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1BEA589">
      <w:pPr>
        <w:rPr>
          <w:color w:val="auto"/>
        </w:rPr>
      </w:pPr>
      <w:r>
        <w:rPr>
          <w:color w:val="auto"/>
        </w:rPr>
        <w:tab/>
      </w:r>
    </w:p>
    <w:p w14:paraId="5F429470">
      <w:pPr>
        <w:jc w:val="center"/>
        <w:rPr>
          <w:rFonts w:hint="eastAsia" w:ascii="宋体" w:hAnsi="宋体"/>
          <w:b/>
          <w:bCs/>
          <w:color w:val="auto"/>
          <w:spacing w:val="20"/>
          <w:sz w:val="84"/>
          <w:szCs w:val="84"/>
        </w:rPr>
      </w:pPr>
      <w:r>
        <w:rPr>
          <w:rFonts w:hint="eastAsia" w:ascii="宋体" w:hAnsi="宋体"/>
          <w:b/>
          <w:bCs/>
          <w:color w:val="auto"/>
          <w:spacing w:val="20"/>
          <w:sz w:val="84"/>
          <w:szCs w:val="84"/>
        </w:rPr>
        <w:t>温州市政府（分散）采购</w:t>
      </w:r>
    </w:p>
    <w:p w14:paraId="10B8FC1C">
      <w:pPr>
        <w:jc w:val="center"/>
        <w:rPr>
          <w:rFonts w:hint="eastAsia" w:ascii="宋体" w:hAnsi="宋体" w:cs="宋体"/>
          <w:b/>
          <w:bCs/>
          <w:color w:val="auto"/>
          <w:spacing w:val="26"/>
          <w:sz w:val="52"/>
        </w:rPr>
      </w:pPr>
    </w:p>
    <w:p w14:paraId="05FDFD15">
      <w:pPr>
        <w:ind w:firstLine="2357" w:firstLineChars="235"/>
        <w:rPr>
          <w:rFonts w:hint="eastAsia" w:ascii="宋体" w:hAnsi="宋体" w:cs="宋体"/>
          <w:b/>
          <w:bCs/>
          <w:color w:val="auto"/>
          <w:spacing w:val="140"/>
          <w:sz w:val="72"/>
        </w:rPr>
      </w:pPr>
    </w:p>
    <w:p w14:paraId="50041A89">
      <w:pPr>
        <w:spacing w:line="360" w:lineRule="exact"/>
        <w:jc w:val="center"/>
        <w:rPr>
          <w:rFonts w:hint="eastAsia" w:ascii="宋体" w:hAnsi="宋体" w:cs="宋体"/>
          <w:b/>
          <w:bCs/>
          <w:color w:val="auto"/>
          <w:spacing w:val="140"/>
          <w:sz w:val="72"/>
        </w:rPr>
      </w:pPr>
    </w:p>
    <w:p w14:paraId="6B9166E2">
      <w:pPr>
        <w:spacing w:line="900" w:lineRule="exact"/>
        <w:jc w:val="center"/>
        <w:rPr>
          <w:rFonts w:hint="eastAsia" w:ascii="宋体" w:hAnsi="宋体" w:cs="宋体"/>
          <w:b/>
          <w:bCs/>
          <w:color w:val="auto"/>
          <w:spacing w:val="140"/>
          <w:sz w:val="84"/>
          <w:szCs w:val="84"/>
        </w:rPr>
      </w:pPr>
      <w:r>
        <w:rPr>
          <w:rFonts w:hint="eastAsia" w:ascii="宋体" w:hAnsi="宋体" w:cs="宋体"/>
          <w:b/>
          <w:bCs/>
          <w:color w:val="auto"/>
          <w:spacing w:val="140"/>
          <w:sz w:val="84"/>
          <w:szCs w:val="84"/>
        </w:rPr>
        <w:t>招 标 文 件</w:t>
      </w:r>
    </w:p>
    <w:p w14:paraId="3C1B6172">
      <w:pPr>
        <w:pStyle w:val="19"/>
        <w:jc w:val="center"/>
        <w:rPr>
          <w:color w:val="auto"/>
        </w:rPr>
      </w:pPr>
      <w:r>
        <w:rPr>
          <w:rFonts w:hint="eastAsia" w:ascii="宋体" w:hAnsi="宋体" w:cs="宋体"/>
          <w:b/>
          <w:bCs/>
          <w:color w:val="auto"/>
          <w:spacing w:val="140"/>
          <w:sz w:val="84"/>
          <w:szCs w:val="84"/>
        </w:rPr>
        <w:t>（电子投标）</w:t>
      </w:r>
    </w:p>
    <w:p w14:paraId="45F2579A">
      <w:pPr>
        <w:spacing w:line="400" w:lineRule="exact"/>
        <w:jc w:val="center"/>
        <w:rPr>
          <w:rFonts w:hint="eastAsia" w:ascii="宋体" w:hAnsi="宋体" w:cs="宋体"/>
          <w:b/>
          <w:bCs/>
          <w:color w:val="auto"/>
          <w:sz w:val="32"/>
          <w:szCs w:val="32"/>
        </w:rPr>
      </w:pPr>
    </w:p>
    <w:p w14:paraId="6CC91AC6">
      <w:pPr>
        <w:spacing w:line="400" w:lineRule="exact"/>
        <w:jc w:val="center"/>
        <w:rPr>
          <w:rFonts w:hint="eastAsia" w:ascii="宋体" w:hAnsi="宋体" w:cs="宋体"/>
          <w:b/>
          <w:bCs/>
          <w:color w:val="auto"/>
          <w:sz w:val="32"/>
          <w:szCs w:val="32"/>
        </w:rPr>
      </w:pPr>
    </w:p>
    <w:p w14:paraId="7BB9BB05">
      <w:pPr>
        <w:rPr>
          <w:rFonts w:hint="eastAsia" w:ascii="宋体" w:hAnsi="宋体" w:cs="宋体"/>
          <w:b/>
          <w:bCs/>
          <w:color w:val="auto"/>
          <w:sz w:val="24"/>
        </w:rPr>
      </w:pPr>
    </w:p>
    <w:p w14:paraId="2840D7BE">
      <w:pPr>
        <w:rPr>
          <w:rFonts w:hint="eastAsia" w:ascii="宋体" w:hAnsi="宋体" w:cs="宋体"/>
          <w:b/>
          <w:bCs/>
          <w:color w:val="auto"/>
          <w:sz w:val="24"/>
        </w:rPr>
      </w:pPr>
    </w:p>
    <w:p w14:paraId="390AD1E0">
      <w:pPr>
        <w:pStyle w:val="19"/>
        <w:rPr>
          <w:rFonts w:hint="eastAsia"/>
          <w:color w:val="auto"/>
        </w:rPr>
      </w:pPr>
    </w:p>
    <w:p w14:paraId="7D094144">
      <w:pPr>
        <w:spacing w:line="600" w:lineRule="exact"/>
        <w:ind w:left="1050" w:leftChars="500"/>
        <w:rPr>
          <w:rFonts w:hint="eastAsia" w:ascii="宋体" w:hAnsi="宋体"/>
          <w:color w:val="auto"/>
          <w:spacing w:val="30"/>
          <w:sz w:val="30"/>
        </w:rPr>
      </w:pPr>
      <w:r>
        <w:rPr>
          <w:rFonts w:hint="eastAsia" w:ascii="宋体" w:hAnsi="宋体"/>
          <w:color w:val="auto"/>
          <w:spacing w:val="30"/>
          <w:sz w:val="30"/>
        </w:rPr>
        <w:t>项 目 编 号：WZZF2024(ZC)-11-245（GK）</w:t>
      </w:r>
    </w:p>
    <w:p w14:paraId="5D3FB091">
      <w:pPr>
        <w:spacing w:line="600" w:lineRule="exact"/>
        <w:ind w:left="1050" w:leftChars="500"/>
        <w:rPr>
          <w:rFonts w:hint="eastAsia" w:ascii="宋体" w:hAnsi="宋体" w:eastAsia="宋体"/>
          <w:color w:val="auto"/>
          <w:spacing w:val="30"/>
          <w:sz w:val="30"/>
          <w:lang w:eastAsia="zh-CN"/>
        </w:rPr>
      </w:pPr>
      <w:r>
        <w:rPr>
          <w:rFonts w:hint="eastAsia" w:ascii="宋体" w:hAnsi="宋体"/>
          <w:color w:val="auto"/>
          <w:spacing w:val="30"/>
          <w:sz w:val="30"/>
        </w:rPr>
        <w:t>项 目 名 称：</w:t>
      </w:r>
      <w:r>
        <w:rPr>
          <w:rFonts w:hint="eastAsia" w:ascii="宋体" w:hAnsi="宋体"/>
          <w:color w:val="auto"/>
          <w:spacing w:val="30"/>
          <w:sz w:val="30"/>
          <w:lang w:eastAsia="zh-CN"/>
        </w:rPr>
        <w:t>12#楼宿舍等家具采购</w:t>
      </w:r>
    </w:p>
    <w:p w14:paraId="2D2B339A">
      <w:pPr>
        <w:spacing w:line="600" w:lineRule="exact"/>
        <w:ind w:left="1050" w:leftChars="500"/>
        <w:rPr>
          <w:rFonts w:hint="eastAsia" w:ascii="宋体" w:hAnsi="宋体"/>
          <w:color w:val="auto"/>
          <w:spacing w:val="40"/>
          <w:sz w:val="30"/>
        </w:rPr>
      </w:pPr>
      <w:r>
        <w:rPr>
          <w:rFonts w:hint="eastAsia" w:ascii="宋体" w:hAnsi="宋体"/>
          <w:color w:val="auto"/>
          <w:spacing w:val="30"/>
          <w:sz w:val="30"/>
        </w:rPr>
        <w:t>采 购 方 式：</w:t>
      </w:r>
      <w:r>
        <w:rPr>
          <w:rFonts w:hint="eastAsia" w:ascii="宋体" w:hAnsi="宋体"/>
          <w:color w:val="auto"/>
          <w:sz w:val="30"/>
        </w:rPr>
        <w:t>公开招标</w:t>
      </w:r>
    </w:p>
    <w:p w14:paraId="4AFE8867">
      <w:pPr>
        <w:spacing w:line="600" w:lineRule="exact"/>
        <w:ind w:firstLine="1140" w:firstLineChars="300"/>
        <w:rPr>
          <w:rFonts w:hint="eastAsia" w:ascii="宋体" w:hAnsi="宋体" w:cs="宋体"/>
          <w:color w:val="auto"/>
          <w:spacing w:val="40"/>
          <w:sz w:val="30"/>
          <w:szCs w:val="30"/>
        </w:rPr>
      </w:pPr>
    </w:p>
    <w:p w14:paraId="66864AF4">
      <w:pPr>
        <w:rPr>
          <w:color w:val="auto"/>
        </w:rPr>
      </w:pPr>
    </w:p>
    <w:p w14:paraId="0BE71C87">
      <w:pPr>
        <w:rPr>
          <w:color w:val="auto"/>
        </w:rPr>
      </w:pPr>
    </w:p>
    <w:p w14:paraId="457D1B20">
      <w:pPr>
        <w:pStyle w:val="52"/>
        <w:ind w:firstLine="560"/>
        <w:rPr>
          <w:rFonts w:ascii="Times New Roman" w:eastAsia="宋体"/>
          <w:color w:val="auto"/>
        </w:rPr>
      </w:pPr>
    </w:p>
    <w:p w14:paraId="58785E24">
      <w:pPr>
        <w:pStyle w:val="52"/>
        <w:ind w:firstLine="560"/>
        <w:rPr>
          <w:rFonts w:ascii="Times New Roman" w:eastAsia="宋体"/>
          <w:color w:val="auto"/>
        </w:rPr>
      </w:pPr>
    </w:p>
    <w:p w14:paraId="5901DE53">
      <w:pPr>
        <w:pStyle w:val="89"/>
        <w:rPr>
          <w:color w:val="auto"/>
        </w:rPr>
      </w:pPr>
    </w:p>
    <w:p w14:paraId="77B074CF">
      <w:pPr>
        <w:spacing w:line="600" w:lineRule="exact"/>
        <w:jc w:val="center"/>
        <w:rPr>
          <w:rFonts w:hint="eastAsia" w:ascii="宋体" w:hAnsi="宋体" w:cs="宋体"/>
          <w:b/>
          <w:color w:val="auto"/>
          <w:sz w:val="30"/>
          <w:szCs w:val="30"/>
        </w:rPr>
      </w:pPr>
      <w:r>
        <w:rPr>
          <w:rFonts w:hint="eastAsia" w:ascii="宋体" w:hAnsi="宋体" w:cs="宋体"/>
          <w:b/>
          <w:color w:val="auto"/>
          <w:sz w:val="30"/>
          <w:szCs w:val="30"/>
        </w:rPr>
        <w:t>采购人：</w:t>
      </w:r>
      <w:r>
        <w:rPr>
          <w:rFonts w:hint="eastAsia" w:ascii="宋体" w:hAnsi="宋体"/>
          <w:b/>
          <w:color w:val="auto"/>
          <w:kern w:val="11"/>
          <w:sz w:val="30"/>
        </w:rPr>
        <w:t>浙江安防职业技术学院</w:t>
      </w:r>
    </w:p>
    <w:p w14:paraId="480C0E82">
      <w:pPr>
        <w:spacing w:line="600" w:lineRule="exact"/>
        <w:ind w:left="753" w:hanging="753" w:hangingChars="250"/>
        <w:jc w:val="center"/>
        <w:rPr>
          <w:rFonts w:hint="eastAsia" w:ascii="宋体" w:hAnsi="宋体" w:cs="宋体"/>
          <w:b/>
          <w:color w:val="auto"/>
          <w:sz w:val="30"/>
          <w:szCs w:val="30"/>
        </w:rPr>
      </w:pPr>
      <w:r>
        <w:rPr>
          <w:rFonts w:hint="eastAsia" w:ascii="宋体" w:hAnsi="宋体" w:cs="宋体"/>
          <w:b/>
          <w:color w:val="auto"/>
          <w:sz w:val="30"/>
          <w:szCs w:val="30"/>
        </w:rPr>
        <w:t>采购代理机构：温州正风招标代理有限公司</w:t>
      </w:r>
    </w:p>
    <w:p w14:paraId="2960D6AC">
      <w:pPr>
        <w:spacing w:line="760" w:lineRule="exact"/>
        <w:ind w:left="753" w:hanging="753" w:hangingChars="250"/>
        <w:jc w:val="center"/>
        <w:rPr>
          <w:rFonts w:hint="eastAsia" w:ascii="宋体" w:hAnsi="宋体" w:cs="宋体"/>
          <w:b/>
          <w:color w:val="auto"/>
          <w:sz w:val="30"/>
          <w:szCs w:val="30"/>
        </w:rPr>
      </w:pPr>
      <w:r>
        <w:rPr>
          <w:rFonts w:hint="eastAsia" w:ascii="宋体" w:hAnsi="宋体" w:cs="宋体"/>
          <w:b/>
          <w:color w:val="auto"/>
          <w:sz w:val="30"/>
          <w:szCs w:val="30"/>
        </w:rPr>
        <w:t>二〇二四年</w:t>
      </w:r>
      <w:r>
        <w:rPr>
          <w:rFonts w:hint="eastAsia" w:ascii="宋体" w:hAnsi="宋体" w:cs="宋体"/>
          <w:b/>
          <w:color w:val="auto"/>
          <w:sz w:val="30"/>
          <w:szCs w:val="30"/>
          <w:lang w:val="en-US" w:eastAsia="zh-CN"/>
        </w:rPr>
        <w:t>十一</w:t>
      </w:r>
      <w:r>
        <w:rPr>
          <w:rFonts w:hint="eastAsia" w:ascii="宋体" w:hAnsi="宋体" w:cs="宋体"/>
          <w:b/>
          <w:color w:val="auto"/>
          <w:sz w:val="30"/>
          <w:szCs w:val="30"/>
        </w:rPr>
        <w:t>月</w:t>
      </w:r>
    </w:p>
    <w:p w14:paraId="1E686E33">
      <w:pPr>
        <w:pStyle w:val="4"/>
        <w:spacing w:line="600" w:lineRule="exact"/>
        <w:jc w:val="center"/>
        <w:rPr>
          <w:rFonts w:hint="eastAsia" w:ascii="黑体" w:hAnsi="黑体" w:eastAsia="黑体"/>
          <w:bCs/>
          <w:color w:val="auto"/>
          <w:sz w:val="36"/>
          <w:szCs w:val="36"/>
        </w:rPr>
        <w:sectPr>
          <w:footerReference r:id="rId4" w:type="default"/>
          <w:headerReference r:id="rId3" w:type="even"/>
          <w:footerReference r:id="rId5" w:type="even"/>
          <w:pgSz w:w="11906" w:h="16838"/>
          <w:pgMar w:top="1134" w:right="1134" w:bottom="1134" w:left="1134" w:header="851" w:footer="992" w:gutter="0"/>
          <w:cols w:space="720" w:num="1"/>
          <w:docGrid w:linePitch="312" w:charSpace="0"/>
        </w:sectPr>
      </w:pPr>
      <w:bookmarkStart w:id="0" w:name="_Toc230773770"/>
    </w:p>
    <w:p w14:paraId="546E3178">
      <w:pPr>
        <w:tabs>
          <w:tab w:val="left" w:pos="840"/>
        </w:tabs>
        <w:spacing w:line="600" w:lineRule="exact"/>
        <w:jc w:val="center"/>
        <w:rPr>
          <w:rFonts w:hint="eastAsia" w:ascii="黑体" w:hAnsi="黑体" w:eastAsia="黑体"/>
          <w:bCs/>
          <w:color w:val="auto"/>
          <w:sz w:val="36"/>
          <w:szCs w:val="36"/>
        </w:rPr>
      </w:pPr>
    </w:p>
    <w:p w14:paraId="10B189BF">
      <w:pPr>
        <w:pStyle w:val="4"/>
        <w:spacing w:line="600" w:lineRule="exact"/>
        <w:jc w:val="center"/>
        <w:rPr>
          <w:rFonts w:hint="eastAsia" w:ascii="黑体" w:hAnsi="黑体" w:eastAsia="黑体"/>
          <w:bCs/>
          <w:color w:val="auto"/>
          <w:sz w:val="36"/>
          <w:szCs w:val="36"/>
        </w:rPr>
      </w:pPr>
      <w:bookmarkStart w:id="1" w:name="_Toc16694"/>
      <w:r>
        <w:rPr>
          <w:rFonts w:hint="eastAsia" w:ascii="黑体" w:hAnsi="黑体" w:eastAsia="黑体"/>
          <w:bCs/>
          <w:color w:val="auto"/>
          <w:sz w:val="36"/>
          <w:szCs w:val="36"/>
        </w:rPr>
        <w:t>目    录</w:t>
      </w:r>
      <w:bookmarkEnd w:id="0"/>
      <w:bookmarkEnd w:id="1"/>
    </w:p>
    <w:p w14:paraId="67FAB878">
      <w:pPr>
        <w:jc w:val="right"/>
        <w:rPr>
          <w:rFonts w:hint="eastAsia" w:ascii="宋体" w:hAnsi="宋体" w:cs="宋体"/>
          <w:color w:val="auto"/>
        </w:rPr>
      </w:pPr>
    </w:p>
    <w:p w14:paraId="12A0145B">
      <w:pPr>
        <w:pStyle w:val="30"/>
        <w:tabs>
          <w:tab w:val="right" w:leader="dot" w:pos="9638"/>
          <w:tab w:val="clear" w:pos="9628"/>
        </w:tabs>
        <w:rPr>
          <w:color w:val="auto"/>
        </w:rPr>
      </w:pPr>
      <w:r>
        <w:rPr>
          <w:rFonts w:hint="eastAsia" w:ascii="宋体" w:hAnsi="宋体" w:cs="宋体"/>
          <w:b/>
          <w:color w:val="auto"/>
          <w:szCs w:val="21"/>
        </w:rPr>
        <w:fldChar w:fldCharType="begin"/>
      </w:r>
      <w:r>
        <w:rPr>
          <w:rFonts w:hint="eastAsia" w:ascii="宋体" w:hAnsi="宋体" w:cs="宋体"/>
          <w:color w:val="auto"/>
          <w:szCs w:val="21"/>
        </w:rPr>
        <w:instrText xml:space="preserve"> TOC \o "1-3" \h \z \u </w:instrText>
      </w:r>
      <w:r>
        <w:rPr>
          <w:rFonts w:hint="eastAsia" w:ascii="宋体" w:hAnsi="宋体" w:cs="宋体"/>
          <w:b/>
          <w:color w:val="auto"/>
          <w:szCs w:val="21"/>
        </w:rPr>
        <w:fldChar w:fldCharType="separate"/>
      </w:r>
      <w:r>
        <w:rPr>
          <w:rFonts w:hint="eastAsia" w:ascii="宋体" w:hAnsi="宋体" w:cs="宋体"/>
          <w:color w:val="auto"/>
          <w:szCs w:val="21"/>
        </w:rPr>
        <w:fldChar w:fldCharType="begin"/>
      </w:r>
      <w:r>
        <w:rPr>
          <w:rFonts w:hint="eastAsia" w:ascii="宋体" w:hAnsi="宋体" w:cs="宋体"/>
          <w:color w:val="auto"/>
          <w:szCs w:val="21"/>
        </w:rPr>
        <w:instrText xml:space="preserve"> HYPERLINK \l _Toc16694 </w:instrText>
      </w:r>
      <w:r>
        <w:rPr>
          <w:rFonts w:hint="eastAsia" w:ascii="宋体" w:hAnsi="宋体" w:cs="宋体"/>
          <w:color w:val="auto"/>
          <w:szCs w:val="21"/>
        </w:rPr>
        <w:fldChar w:fldCharType="separate"/>
      </w:r>
      <w:r>
        <w:rPr>
          <w:rFonts w:hint="eastAsia" w:ascii="黑体" w:hAnsi="黑体" w:eastAsia="黑体"/>
          <w:bCs/>
          <w:color w:val="auto"/>
          <w:szCs w:val="36"/>
        </w:rPr>
        <w:t>目    录</w:t>
      </w:r>
      <w:r>
        <w:rPr>
          <w:color w:val="auto"/>
        </w:rPr>
        <w:tab/>
      </w:r>
      <w:r>
        <w:rPr>
          <w:color w:val="auto"/>
        </w:rPr>
        <w:fldChar w:fldCharType="begin"/>
      </w:r>
      <w:r>
        <w:rPr>
          <w:color w:val="auto"/>
        </w:rPr>
        <w:instrText xml:space="preserve"> PAGEREF _Toc16694 \h </w:instrText>
      </w:r>
      <w:r>
        <w:rPr>
          <w:color w:val="auto"/>
        </w:rPr>
        <w:fldChar w:fldCharType="separate"/>
      </w:r>
      <w:r>
        <w:rPr>
          <w:color w:val="auto"/>
        </w:rPr>
        <w:t>1</w:t>
      </w:r>
      <w:r>
        <w:rPr>
          <w:color w:val="auto"/>
        </w:rPr>
        <w:fldChar w:fldCharType="end"/>
      </w:r>
      <w:r>
        <w:rPr>
          <w:rFonts w:hint="eastAsia" w:ascii="宋体" w:hAnsi="宋体" w:cs="宋体"/>
          <w:color w:val="auto"/>
          <w:szCs w:val="21"/>
        </w:rPr>
        <w:fldChar w:fldCharType="end"/>
      </w:r>
    </w:p>
    <w:p w14:paraId="43D11FF7">
      <w:pPr>
        <w:pStyle w:val="30"/>
        <w:tabs>
          <w:tab w:val="right" w:leader="dot" w:pos="9638"/>
          <w:tab w:val="clear" w:pos="9628"/>
        </w:tabs>
        <w:rPr>
          <w:color w:val="auto"/>
        </w:rPr>
      </w:pPr>
      <w:r>
        <w:rPr>
          <w:rFonts w:hint="eastAsia" w:ascii="宋体" w:hAnsi="宋体" w:cs="宋体"/>
          <w:bCs/>
          <w:caps/>
          <w:color w:val="auto"/>
          <w:szCs w:val="21"/>
        </w:rPr>
        <w:fldChar w:fldCharType="begin"/>
      </w:r>
      <w:r>
        <w:rPr>
          <w:rFonts w:hint="eastAsia" w:ascii="宋体" w:hAnsi="宋体" w:cs="宋体"/>
          <w:bCs/>
          <w:caps/>
          <w:color w:val="auto"/>
          <w:szCs w:val="21"/>
        </w:rPr>
        <w:instrText xml:space="preserve"> HYPERLINK \l _Toc2205 </w:instrText>
      </w:r>
      <w:r>
        <w:rPr>
          <w:rFonts w:hint="eastAsia" w:ascii="宋体" w:hAnsi="宋体" w:cs="宋体"/>
          <w:bCs/>
          <w:caps/>
          <w:color w:val="auto"/>
          <w:szCs w:val="21"/>
        </w:rPr>
        <w:fldChar w:fldCharType="separate"/>
      </w:r>
      <w:r>
        <w:rPr>
          <w:rFonts w:hint="eastAsia" w:ascii="黑体" w:hAnsi="黑体" w:eastAsia="黑体"/>
          <w:bCs/>
          <w:color w:val="auto"/>
          <w:szCs w:val="36"/>
        </w:rPr>
        <w:t>第一部分   招标公告</w:t>
      </w:r>
      <w:r>
        <w:rPr>
          <w:color w:val="auto"/>
        </w:rPr>
        <w:tab/>
      </w:r>
      <w:r>
        <w:rPr>
          <w:color w:val="auto"/>
        </w:rPr>
        <w:fldChar w:fldCharType="begin"/>
      </w:r>
      <w:r>
        <w:rPr>
          <w:color w:val="auto"/>
        </w:rPr>
        <w:instrText xml:space="preserve"> PAGEREF _Toc2205 \h </w:instrText>
      </w:r>
      <w:r>
        <w:rPr>
          <w:color w:val="auto"/>
        </w:rPr>
        <w:fldChar w:fldCharType="separate"/>
      </w:r>
      <w:r>
        <w:rPr>
          <w:color w:val="auto"/>
        </w:rPr>
        <w:t>2</w:t>
      </w:r>
      <w:r>
        <w:rPr>
          <w:color w:val="auto"/>
        </w:rPr>
        <w:fldChar w:fldCharType="end"/>
      </w:r>
      <w:r>
        <w:rPr>
          <w:rFonts w:hint="eastAsia" w:ascii="宋体" w:hAnsi="宋体" w:cs="宋体"/>
          <w:bCs/>
          <w:caps/>
          <w:color w:val="auto"/>
          <w:szCs w:val="21"/>
        </w:rPr>
        <w:fldChar w:fldCharType="end"/>
      </w:r>
    </w:p>
    <w:p w14:paraId="1660A84B">
      <w:pPr>
        <w:pStyle w:val="30"/>
        <w:tabs>
          <w:tab w:val="right" w:leader="dot" w:pos="9638"/>
          <w:tab w:val="clear" w:pos="9628"/>
        </w:tabs>
        <w:rPr>
          <w:color w:val="auto"/>
        </w:rPr>
      </w:pPr>
      <w:r>
        <w:rPr>
          <w:rFonts w:hint="eastAsia" w:ascii="宋体" w:hAnsi="宋体" w:cs="宋体"/>
          <w:bCs/>
          <w:caps/>
          <w:color w:val="auto"/>
          <w:szCs w:val="21"/>
        </w:rPr>
        <w:fldChar w:fldCharType="begin"/>
      </w:r>
      <w:r>
        <w:rPr>
          <w:rFonts w:hint="eastAsia" w:ascii="宋体" w:hAnsi="宋体" w:cs="宋体"/>
          <w:bCs/>
          <w:caps/>
          <w:color w:val="auto"/>
          <w:szCs w:val="21"/>
        </w:rPr>
        <w:instrText xml:space="preserve"> HYPERLINK \l _Toc29587 </w:instrText>
      </w:r>
      <w:r>
        <w:rPr>
          <w:rFonts w:hint="eastAsia" w:ascii="宋体" w:hAnsi="宋体" w:cs="宋体"/>
          <w:bCs/>
          <w:caps/>
          <w:color w:val="auto"/>
          <w:szCs w:val="21"/>
        </w:rPr>
        <w:fldChar w:fldCharType="separate"/>
      </w:r>
      <w:r>
        <w:rPr>
          <w:rFonts w:hint="eastAsia" w:ascii="黑体" w:hAnsi="黑体" w:eastAsia="黑体"/>
          <w:bCs/>
          <w:color w:val="auto"/>
          <w:szCs w:val="36"/>
        </w:rPr>
        <w:t>第二部分   投标人须知</w:t>
      </w:r>
      <w:r>
        <w:rPr>
          <w:color w:val="auto"/>
        </w:rPr>
        <w:tab/>
      </w:r>
      <w:r>
        <w:rPr>
          <w:color w:val="auto"/>
        </w:rPr>
        <w:fldChar w:fldCharType="begin"/>
      </w:r>
      <w:r>
        <w:rPr>
          <w:color w:val="auto"/>
        </w:rPr>
        <w:instrText xml:space="preserve"> PAGEREF _Toc29587 \h </w:instrText>
      </w:r>
      <w:r>
        <w:rPr>
          <w:color w:val="auto"/>
        </w:rPr>
        <w:fldChar w:fldCharType="separate"/>
      </w:r>
      <w:r>
        <w:rPr>
          <w:color w:val="auto"/>
        </w:rPr>
        <w:t>5</w:t>
      </w:r>
      <w:r>
        <w:rPr>
          <w:color w:val="auto"/>
        </w:rPr>
        <w:fldChar w:fldCharType="end"/>
      </w:r>
      <w:r>
        <w:rPr>
          <w:rFonts w:hint="eastAsia" w:ascii="宋体" w:hAnsi="宋体" w:cs="宋体"/>
          <w:bCs/>
          <w:caps/>
          <w:color w:val="auto"/>
          <w:szCs w:val="21"/>
        </w:rPr>
        <w:fldChar w:fldCharType="end"/>
      </w:r>
    </w:p>
    <w:p w14:paraId="45C5A3EB">
      <w:pPr>
        <w:pStyle w:val="33"/>
        <w:tabs>
          <w:tab w:val="right" w:leader="dot" w:pos="9638"/>
        </w:tabs>
        <w:rPr>
          <w:color w:val="auto"/>
        </w:rPr>
      </w:pPr>
      <w:r>
        <w:rPr>
          <w:rFonts w:hint="eastAsia" w:ascii="宋体" w:hAnsi="宋体" w:cs="宋体"/>
          <w:bCs/>
          <w:caps/>
          <w:color w:val="auto"/>
          <w:szCs w:val="21"/>
        </w:rPr>
        <w:fldChar w:fldCharType="begin"/>
      </w:r>
      <w:r>
        <w:rPr>
          <w:rFonts w:hint="eastAsia" w:ascii="宋体" w:hAnsi="宋体" w:cs="宋体"/>
          <w:bCs/>
          <w:caps/>
          <w:color w:val="auto"/>
          <w:szCs w:val="21"/>
        </w:rPr>
        <w:instrText xml:space="preserve"> HYPERLINK \l _Toc3293 </w:instrText>
      </w:r>
      <w:r>
        <w:rPr>
          <w:rFonts w:hint="eastAsia" w:ascii="宋体" w:hAnsi="宋体" w:cs="宋体"/>
          <w:bCs/>
          <w:caps/>
          <w:color w:val="auto"/>
          <w:szCs w:val="21"/>
        </w:rPr>
        <w:fldChar w:fldCharType="separate"/>
      </w:r>
      <w:r>
        <w:rPr>
          <w:rFonts w:hint="eastAsia" w:ascii="宋体" w:hAnsi="宋体" w:eastAsia="宋体" w:cs="宋体"/>
          <w:color w:val="auto"/>
          <w:szCs w:val="28"/>
        </w:rPr>
        <w:t>投标人须知前附表</w:t>
      </w:r>
      <w:r>
        <w:rPr>
          <w:color w:val="auto"/>
        </w:rPr>
        <w:tab/>
      </w:r>
      <w:r>
        <w:rPr>
          <w:color w:val="auto"/>
        </w:rPr>
        <w:fldChar w:fldCharType="begin"/>
      </w:r>
      <w:r>
        <w:rPr>
          <w:color w:val="auto"/>
        </w:rPr>
        <w:instrText xml:space="preserve"> PAGEREF _Toc3293 \h </w:instrText>
      </w:r>
      <w:r>
        <w:rPr>
          <w:color w:val="auto"/>
        </w:rPr>
        <w:fldChar w:fldCharType="separate"/>
      </w:r>
      <w:r>
        <w:rPr>
          <w:color w:val="auto"/>
        </w:rPr>
        <w:t>5</w:t>
      </w:r>
      <w:r>
        <w:rPr>
          <w:color w:val="auto"/>
        </w:rPr>
        <w:fldChar w:fldCharType="end"/>
      </w:r>
      <w:r>
        <w:rPr>
          <w:rFonts w:hint="eastAsia" w:ascii="宋体" w:hAnsi="宋体" w:cs="宋体"/>
          <w:bCs/>
          <w:caps/>
          <w:color w:val="auto"/>
          <w:szCs w:val="21"/>
        </w:rPr>
        <w:fldChar w:fldCharType="end"/>
      </w:r>
    </w:p>
    <w:p w14:paraId="79EFDC78">
      <w:pPr>
        <w:pStyle w:val="33"/>
        <w:tabs>
          <w:tab w:val="right" w:leader="dot" w:pos="9638"/>
        </w:tabs>
        <w:rPr>
          <w:color w:val="auto"/>
        </w:rPr>
      </w:pPr>
      <w:r>
        <w:rPr>
          <w:rFonts w:hint="eastAsia" w:ascii="宋体" w:hAnsi="宋体" w:cs="宋体"/>
          <w:bCs/>
          <w:caps/>
          <w:color w:val="auto"/>
          <w:szCs w:val="21"/>
        </w:rPr>
        <w:fldChar w:fldCharType="begin"/>
      </w:r>
      <w:r>
        <w:rPr>
          <w:rFonts w:hint="eastAsia" w:ascii="宋体" w:hAnsi="宋体" w:cs="宋体"/>
          <w:bCs/>
          <w:caps/>
          <w:color w:val="auto"/>
          <w:szCs w:val="21"/>
        </w:rPr>
        <w:instrText xml:space="preserve"> HYPERLINK \l _Toc6504 </w:instrText>
      </w:r>
      <w:r>
        <w:rPr>
          <w:rFonts w:hint="eastAsia" w:ascii="宋体" w:hAnsi="宋体" w:cs="宋体"/>
          <w:bCs/>
          <w:caps/>
          <w:color w:val="auto"/>
          <w:szCs w:val="21"/>
        </w:rPr>
        <w:fldChar w:fldCharType="separate"/>
      </w:r>
      <w:r>
        <w:rPr>
          <w:rFonts w:hint="eastAsia" w:ascii="宋体" w:hAnsi="宋体" w:eastAsia="宋体" w:cs="宋体"/>
          <w:color w:val="auto"/>
          <w:szCs w:val="28"/>
        </w:rPr>
        <w:t>一、 说   明</w:t>
      </w:r>
      <w:r>
        <w:rPr>
          <w:color w:val="auto"/>
        </w:rPr>
        <w:tab/>
      </w:r>
      <w:r>
        <w:rPr>
          <w:color w:val="auto"/>
        </w:rPr>
        <w:fldChar w:fldCharType="begin"/>
      </w:r>
      <w:r>
        <w:rPr>
          <w:color w:val="auto"/>
        </w:rPr>
        <w:instrText xml:space="preserve"> PAGEREF _Toc6504 \h </w:instrText>
      </w:r>
      <w:r>
        <w:rPr>
          <w:color w:val="auto"/>
        </w:rPr>
        <w:fldChar w:fldCharType="separate"/>
      </w:r>
      <w:r>
        <w:rPr>
          <w:color w:val="auto"/>
        </w:rPr>
        <w:t>9</w:t>
      </w:r>
      <w:r>
        <w:rPr>
          <w:color w:val="auto"/>
        </w:rPr>
        <w:fldChar w:fldCharType="end"/>
      </w:r>
      <w:r>
        <w:rPr>
          <w:rFonts w:hint="eastAsia" w:ascii="宋体" w:hAnsi="宋体" w:cs="宋体"/>
          <w:bCs/>
          <w:caps/>
          <w:color w:val="auto"/>
          <w:szCs w:val="21"/>
        </w:rPr>
        <w:fldChar w:fldCharType="end"/>
      </w:r>
    </w:p>
    <w:p w14:paraId="43E969B0">
      <w:pPr>
        <w:pStyle w:val="33"/>
        <w:tabs>
          <w:tab w:val="right" w:leader="dot" w:pos="9638"/>
        </w:tabs>
        <w:rPr>
          <w:color w:val="auto"/>
        </w:rPr>
      </w:pPr>
      <w:r>
        <w:rPr>
          <w:rFonts w:hint="eastAsia" w:ascii="宋体" w:hAnsi="宋体" w:cs="宋体"/>
          <w:bCs/>
          <w:caps/>
          <w:color w:val="auto"/>
          <w:szCs w:val="21"/>
        </w:rPr>
        <w:fldChar w:fldCharType="begin"/>
      </w:r>
      <w:r>
        <w:rPr>
          <w:rFonts w:hint="eastAsia" w:ascii="宋体" w:hAnsi="宋体" w:cs="宋体"/>
          <w:bCs/>
          <w:caps/>
          <w:color w:val="auto"/>
          <w:szCs w:val="21"/>
        </w:rPr>
        <w:instrText xml:space="preserve"> HYPERLINK \l _Toc30141 </w:instrText>
      </w:r>
      <w:r>
        <w:rPr>
          <w:rFonts w:hint="eastAsia" w:ascii="宋体" w:hAnsi="宋体" w:cs="宋体"/>
          <w:bCs/>
          <w:caps/>
          <w:color w:val="auto"/>
          <w:szCs w:val="21"/>
        </w:rPr>
        <w:fldChar w:fldCharType="separate"/>
      </w:r>
      <w:r>
        <w:rPr>
          <w:rFonts w:hint="eastAsia" w:ascii="宋体" w:hAnsi="宋体" w:eastAsia="宋体" w:cs="宋体"/>
          <w:color w:val="auto"/>
          <w:szCs w:val="28"/>
        </w:rPr>
        <w:t>二、 招标文件</w:t>
      </w:r>
      <w:r>
        <w:rPr>
          <w:color w:val="auto"/>
        </w:rPr>
        <w:tab/>
      </w:r>
      <w:r>
        <w:rPr>
          <w:color w:val="auto"/>
        </w:rPr>
        <w:fldChar w:fldCharType="begin"/>
      </w:r>
      <w:r>
        <w:rPr>
          <w:color w:val="auto"/>
        </w:rPr>
        <w:instrText xml:space="preserve"> PAGEREF _Toc30141 \h </w:instrText>
      </w:r>
      <w:r>
        <w:rPr>
          <w:color w:val="auto"/>
        </w:rPr>
        <w:fldChar w:fldCharType="separate"/>
      </w:r>
      <w:r>
        <w:rPr>
          <w:color w:val="auto"/>
        </w:rPr>
        <w:t>13</w:t>
      </w:r>
      <w:r>
        <w:rPr>
          <w:color w:val="auto"/>
        </w:rPr>
        <w:fldChar w:fldCharType="end"/>
      </w:r>
      <w:r>
        <w:rPr>
          <w:rFonts w:hint="eastAsia" w:ascii="宋体" w:hAnsi="宋体" w:cs="宋体"/>
          <w:bCs/>
          <w:caps/>
          <w:color w:val="auto"/>
          <w:szCs w:val="21"/>
        </w:rPr>
        <w:fldChar w:fldCharType="end"/>
      </w:r>
    </w:p>
    <w:p w14:paraId="208804C3">
      <w:pPr>
        <w:pStyle w:val="33"/>
        <w:tabs>
          <w:tab w:val="right" w:leader="dot" w:pos="9638"/>
        </w:tabs>
        <w:rPr>
          <w:color w:val="auto"/>
        </w:rPr>
      </w:pPr>
      <w:r>
        <w:rPr>
          <w:rFonts w:hint="eastAsia" w:ascii="宋体" w:hAnsi="宋体" w:cs="宋体"/>
          <w:bCs/>
          <w:caps/>
          <w:color w:val="auto"/>
          <w:szCs w:val="21"/>
        </w:rPr>
        <w:fldChar w:fldCharType="begin"/>
      </w:r>
      <w:r>
        <w:rPr>
          <w:rFonts w:hint="eastAsia" w:ascii="宋体" w:hAnsi="宋体" w:cs="宋体"/>
          <w:bCs/>
          <w:caps/>
          <w:color w:val="auto"/>
          <w:szCs w:val="21"/>
        </w:rPr>
        <w:instrText xml:space="preserve"> HYPERLINK \l _Toc31057 </w:instrText>
      </w:r>
      <w:r>
        <w:rPr>
          <w:rFonts w:hint="eastAsia" w:ascii="宋体" w:hAnsi="宋体" w:cs="宋体"/>
          <w:bCs/>
          <w:caps/>
          <w:color w:val="auto"/>
          <w:szCs w:val="21"/>
        </w:rPr>
        <w:fldChar w:fldCharType="separate"/>
      </w:r>
      <w:r>
        <w:rPr>
          <w:rFonts w:hint="eastAsia" w:ascii="宋体" w:hAnsi="宋体" w:eastAsia="宋体" w:cs="宋体"/>
          <w:color w:val="auto"/>
          <w:szCs w:val="28"/>
        </w:rPr>
        <w:t>三、 投标文件的编制</w:t>
      </w:r>
      <w:r>
        <w:rPr>
          <w:color w:val="auto"/>
        </w:rPr>
        <w:tab/>
      </w:r>
      <w:r>
        <w:rPr>
          <w:color w:val="auto"/>
        </w:rPr>
        <w:fldChar w:fldCharType="begin"/>
      </w:r>
      <w:r>
        <w:rPr>
          <w:color w:val="auto"/>
        </w:rPr>
        <w:instrText xml:space="preserve"> PAGEREF _Toc31057 \h </w:instrText>
      </w:r>
      <w:r>
        <w:rPr>
          <w:color w:val="auto"/>
        </w:rPr>
        <w:fldChar w:fldCharType="separate"/>
      </w:r>
      <w:r>
        <w:rPr>
          <w:color w:val="auto"/>
        </w:rPr>
        <w:t>13</w:t>
      </w:r>
      <w:r>
        <w:rPr>
          <w:color w:val="auto"/>
        </w:rPr>
        <w:fldChar w:fldCharType="end"/>
      </w:r>
      <w:r>
        <w:rPr>
          <w:rFonts w:hint="eastAsia" w:ascii="宋体" w:hAnsi="宋体" w:cs="宋体"/>
          <w:bCs/>
          <w:caps/>
          <w:color w:val="auto"/>
          <w:szCs w:val="21"/>
        </w:rPr>
        <w:fldChar w:fldCharType="end"/>
      </w:r>
    </w:p>
    <w:p w14:paraId="7BBA4821">
      <w:pPr>
        <w:pStyle w:val="33"/>
        <w:tabs>
          <w:tab w:val="right" w:leader="dot" w:pos="9638"/>
        </w:tabs>
        <w:rPr>
          <w:color w:val="auto"/>
        </w:rPr>
      </w:pPr>
      <w:r>
        <w:rPr>
          <w:rFonts w:hint="eastAsia" w:ascii="宋体" w:hAnsi="宋体" w:cs="宋体"/>
          <w:bCs/>
          <w:caps/>
          <w:color w:val="auto"/>
          <w:szCs w:val="21"/>
        </w:rPr>
        <w:fldChar w:fldCharType="begin"/>
      </w:r>
      <w:r>
        <w:rPr>
          <w:rFonts w:hint="eastAsia" w:ascii="宋体" w:hAnsi="宋体" w:cs="宋体"/>
          <w:bCs/>
          <w:caps/>
          <w:color w:val="auto"/>
          <w:szCs w:val="21"/>
        </w:rPr>
        <w:instrText xml:space="preserve"> HYPERLINK \l _Toc2447 </w:instrText>
      </w:r>
      <w:r>
        <w:rPr>
          <w:rFonts w:hint="eastAsia" w:ascii="宋体" w:hAnsi="宋体" w:cs="宋体"/>
          <w:bCs/>
          <w:caps/>
          <w:color w:val="auto"/>
          <w:szCs w:val="21"/>
        </w:rPr>
        <w:fldChar w:fldCharType="separate"/>
      </w:r>
      <w:r>
        <w:rPr>
          <w:rFonts w:hint="eastAsia" w:ascii="宋体" w:hAnsi="宋体" w:eastAsia="宋体" w:cs="宋体"/>
          <w:color w:val="auto"/>
          <w:szCs w:val="28"/>
        </w:rPr>
        <w:t>四、 投标文件的递交</w:t>
      </w:r>
      <w:r>
        <w:rPr>
          <w:color w:val="auto"/>
        </w:rPr>
        <w:tab/>
      </w:r>
      <w:r>
        <w:rPr>
          <w:color w:val="auto"/>
        </w:rPr>
        <w:fldChar w:fldCharType="begin"/>
      </w:r>
      <w:r>
        <w:rPr>
          <w:color w:val="auto"/>
        </w:rPr>
        <w:instrText xml:space="preserve"> PAGEREF _Toc2447 \h </w:instrText>
      </w:r>
      <w:r>
        <w:rPr>
          <w:color w:val="auto"/>
        </w:rPr>
        <w:fldChar w:fldCharType="separate"/>
      </w:r>
      <w:r>
        <w:rPr>
          <w:color w:val="auto"/>
        </w:rPr>
        <w:t>16</w:t>
      </w:r>
      <w:r>
        <w:rPr>
          <w:color w:val="auto"/>
        </w:rPr>
        <w:fldChar w:fldCharType="end"/>
      </w:r>
      <w:r>
        <w:rPr>
          <w:rFonts w:hint="eastAsia" w:ascii="宋体" w:hAnsi="宋体" w:cs="宋体"/>
          <w:bCs/>
          <w:caps/>
          <w:color w:val="auto"/>
          <w:szCs w:val="21"/>
        </w:rPr>
        <w:fldChar w:fldCharType="end"/>
      </w:r>
    </w:p>
    <w:p w14:paraId="052D0FAF">
      <w:pPr>
        <w:pStyle w:val="33"/>
        <w:tabs>
          <w:tab w:val="right" w:leader="dot" w:pos="9638"/>
        </w:tabs>
        <w:rPr>
          <w:color w:val="auto"/>
        </w:rPr>
      </w:pPr>
      <w:r>
        <w:rPr>
          <w:rFonts w:hint="eastAsia" w:ascii="宋体" w:hAnsi="宋体" w:cs="宋体"/>
          <w:bCs/>
          <w:caps/>
          <w:color w:val="auto"/>
          <w:szCs w:val="21"/>
        </w:rPr>
        <w:fldChar w:fldCharType="begin"/>
      </w:r>
      <w:r>
        <w:rPr>
          <w:rFonts w:hint="eastAsia" w:ascii="宋体" w:hAnsi="宋体" w:cs="宋体"/>
          <w:bCs/>
          <w:caps/>
          <w:color w:val="auto"/>
          <w:szCs w:val="21"/>
        </w:rPr>
        <w:instrText xml:space="preserve"> HYPERLINK \l _Toc6611 </w:instrText>
      </w:r>
      <w:r>
        <w:rPr>
          <w:rFonts w:hint="eastAsia" w:ascii="宋体" w:hAnsi="宋体" w:cs="宋体"/>
          <w:bCs/>
          <w:caps/>
          <w:color w:val="auto"/>
          <w:szCs w:val="21"/>
        </w:rPr>
        <w:fldChar w:fldCharType="separate"/>
      </w:r>
      <w:r>
        <w:rPr>
          <w:rFonts w:hint="eastAsia" w:ascii="宋体" w:hAnsi="宋体" w:eastAsia="宋体" w:cs="宋体"/>
          <w:color w:val="auto"/>
          <w:szCs w:val="28"/>
        </w:rPr>
        <w:t>五、 开标和评标</w:t>
      </w:r>
      <w:r>
        <w:rPr>
          <w:color w:val="auto"/>
        </w:rPr>
        <w:tab/>
      </w:r>
      <w:r>
        <w:rPr>
          <w:color w:val="auto"/>
        </w:rPr>
        <w:fldChar w:fldCharType="begin"/>
      </w:r>
      <w:r>
        <w:rPr>
          <w:color w:val="auto"/>
        </w:rPr>
        <w:instrText xml:space="preserve"> PAGEREF _Toc6611 \h </w:instrText>
      </w:r>
      <w:r>
        <w:rPr>
          <w:color w:val="auto"/>
        </w:rPr>
        <w:fldChar w:fldCharType="separate"/>
      </w:r>
      <w:r>
        <w:rPr>
          <w:color w:val="auto"/>
        </w:rPr>
        <w:t>16</w:t>
      </w:r>
      <w:r>
        <w:rPr>
          <w:color w:val="auto"/>
        </w:rPr>
        <w:fldChar w:fldCharType="end"/>
      </w:r>
      <w:r>
        <w:rPr>
          <w:rFonts w:hint="eastAsia" w:ascii="宋体" w:hAnsi="宋体" w:cs="宋体"/>
          <w:bCs/>
          <w:caps/>
          <w:color w:val="auto"/>
          <w:szCs w:val="21"/>
        </w:rPr>
        <w:fldChar w:fldCharType="end"/>
      </w:r>
    </w:p>
    <w:p w14:paraId="3F54267D">
      <w:pPr>
        <w:pStyle w:val="33"/>
        <w:tabs>
          <w:tab w:val="right" w:leader="dot" w:pos="9638"/>
        </w:tabs>
        <w:rPr>
          <w:color w:val="auto"/>
        </w:rPr>
      </w:pPr>
      <w:r>
        <w:rPr>
          <w:rFonts w:hint="eastAsia" w:ascii="宋体" w:hAnsi="宋体" w:cs="宋体"/>
          <w:bCs/>
          <w:caps/>
          <w:color w:val="auto"/>
          <w:szCs w:val="21"/>
        </w:rPr>
        <w:fldChar w:fldCharType="begin"/>
      </w:r>
      <w:r>
        <w:rPr>
          <w:rFonts w:hint="eastAsia" w:ascii="宋体" w:hAnsi="宋体" w:cs="宋体"/>
          <w:bCs/>
          <w:caps/>
          <w:color w:val="auto"/>
          <w:szCs w:val="21"/>
        </w:rPr>
        <w:instrText xml:space="preserve"> HYPERLINK \l _Toc12353 </w:instrText>
      </w:r>
      <w:r>
        <w:rPr>
          <w:rFonts w:hint="eastAsia" w:ascii="宋体" w:hAnsi="宋体" w:cs="宋体"/>
          <w:bCs/>
          <w:caps/>
          <w:color w:val="auto"/>
          <w:szCs w:val="21"/>
        </w:rPr>
        <w:fldChar w:fldCharType="separate"/>
      </w:r>
      <w:r>
        <w:rPr>
          <w:rFonts w:hint="eastAsia" w:ascii="宋体" w:hAnsi="宋体" w:eastAsia="宋体" w:cs="宋体"/>
          <w:color w:val="auto"/>
          <w:szCs w:val="28"/>
        </w:rPr>
        <w:t>六、 中标和合同</w:t>
      </w:r>
      <w:r>
        <w:rPr>
          <w:color w:val="auto"/>
        </w:rPr>
        <w:tab/>
      </w:r>
      <w:r>
        <w:rPr>
          <w:color w:val="auto"/>
        </w:rPr>
        <w:fldChar w:fldCharType="begin"/>
      </w:r>
      <w:r>
        <w:rPr>
          <w:color w:val="auto"/>
        </w:rPr>
        <w:instrText xml:space="preserve"> PAGEREF _Toc12353 \h </w:instrText>
      </w:r>
      <w:r>
        <w:rPr>
          <w:color w:val="auto"/>
        </w:rPr>
        <w:fldChar w:fldCharType="separate"/>
      </w:r>
      <w:r>
        <w:rPr>
          <w:color w:val="auto"/>
        </w:rPr>
        <w:t>18</w:t>
      </w:r>
      <w:r>
        <w:rPr>
          <w:color w:val="auto"/>
        </w:rPr>
        <w:fldChar w:fldCharType="end"/>
      </w:r>
      <w:r>
        <w:rPr>
          <w:rFonts w:hint="eastAsia" w:ascii="宋体" w:hAnsi="宋体" w:cs="宋体"/>
          <w:bCs/>
          <w:caps/>
          <w:color w:val="auto"/>
          <w:szCs w:val="21"/>
        </w:rPr>
        <w:fldChar w:fldCharType="end"/>
      </w:r>
    </w:p>
    <w:p w14:paraId="4107F6AB">
      <w:pPr>
        <w:pStyle w:val="33"/>
        <w:tabs>
          <w:tab w:val="right" w:leader="dot" w:pos="9638"/>
        </w:tabs>
        <w:rPr>
          <w:color w:val="auto"/>
        </w:rPr>
      </w:pPr>
      <w:r>
        <w:rPr>
          <w:rFonts w:hint="eastAsia" w:ascii="宋体" w:hAnsi="宋体" w:cs="宋体"/>
          <w:bCs/>
          <w:caps/>
          <w:color w:val="auto"/>
          <w:szCs w:val="21"/>
        </w:rPr>
        <w:fldChar w:fldCharType="begin"/>
      </w:r>
      <w:r>
        <w:rPr>
          <w:rFonts w:hint="eastAsia" w:ascii="宋体" w:hAnsi="宋体" w:cs="宋体"/>
          <w:bCs/>
          <w:caps/>
          <w:color w:val="auto"/>
          <w:szCs w:val="21"/>
        </w:rPr>
        <w:instrText xml:space="preserve"> HYPERLINK \l _Toc14522 </w:instrText>
      </w:r>
      <w:r>
        <w:rPr>
          <w:rFonts w:hint="eastAsia" w:ascii="宋体" w:hAnsi="宋体" w:cs="宋体"/>
          <w:bCs/>
          <w:caps/>
          <w:color w:val="auto"/>
          <w:szCs w:val="21"/>
        </w:rPr>
        <w:fldChar w:fldCharType="separate"/>
      </w:r>
      <w:r>
        <w:rPr>
          <w:rFonts w:hint="eastAsia" w:ascii="宋体" w:hAnsi="宋体" w:eastAsia="宋体" w:cs="宋体"/>
          <w:color w:val="auto"/>
          <w:szCs w:val="28"/>
        </w:rPr>
        <w:t>七、 可中止电子交易活动的情形</w:t>
      </w:r>
      <w:r>
        <w:rPr>
          <w:color w:val="auto"/>
        </w:rPr>
        <w:tab/>
      </w:r>
      <w:r>
        <w:rPr>
          <w:color w:val="auto"/>
        </w:rPr>
        <w:fldChar w:fldCharType="begin"/>
      </w:r>
      <w:r>
        <w:rPr>
          <w:color w:val="auto"/>
        </w:rPr>
        <w:instrText xml:space="preserve"> PAGEREF _Toc14522 \h </w:instrText>
      </w:r>
      <w:r>
        <w:rPr>
          <w:color w:val="auto"/>
        </w:rPr>
        <w:fldChar w:fldCharType="separate"/>
      </w:r>
      <w:r>
        <w:rPr>
          <w:color w:val="auto"/>
        </w:rPr>
        <w:t>19</w:t>
      </w:r>
      <w:r>
        <w:rPr>
          <w:color w:val="auto"/>
        </w:rPr>
        <w:fldChar w:fldCharType="end"/>
      </w:r>
      <w:r>
        <w:rPr>
          <w:rFonts w:hint="eastAsia" w:ascii="宋体" w:hAnsi="宋体" w:cs="宋体"/>
          <w:bCs/>
          <w:caps/>
          <w:color w:val="auto"/>
          <w:szCs w:val="21"/>
        </w:rPr>
        <w:fldChar w:fldCharType="end"/>
      </w:r>
    </w:p>
    <w:p w14:paraId="423AE6D6">
      <w:pPr>
        <w:pStyle w:val="33"/>
        <w:tabs>
          <w:tab w:val="right" w:leader="dot" w:pos="9638"/>
        </w:tabs>
        <w:rPr>
          <w:color w:val="auto"/>
        </w:rPr>
      </w:pPr>
      <w:r>
        <w:rPr>
          <w:rFonts w:hint="eastAsia" w:ascii="宋体" w:hAnsi="宋体" w:cs="宋体"/>
          <w:bCs/>
          <w:caps/>
          <w:color w:val="auto"/>
          <w:szCs w:val="21"/>
        </w:rPr>
        <w:fldChar w:fldCharType="begin"/>
      </w:r>
      <w:r>
        <w:rPr>
          <w:rFonts w:hint="eastAsia" w:ascii="宋体" w:hAnsi="宋体" w:cs="宋体"/>
          <w:bCs/>
          <w:caps/>
          <w:color w:val="auto"/>
          <w:szCs w:val="21"/>
        </w:rPr>
        <w:instrText xml:space="preserve"> HYPERLINK \l _Toc6068 </w:instrText>
      </w:r>
      <w:r>
        <w:rPr>
          <w:rFonts w:hint="eastAsia" w:ascii="宋体" w:hAnsi="宋体" w:cs="宋体"/>
          <w:bCs/>
          <w:caps/>
          <w:color w:val="auto"/>
          <w:szCs w:val="21"/>
        </w:rPr>
        <w:fldChar w:fldCharType="separate"/>
      </w:r>
      <w:r>
        <w:rPr>
          <w:rFonts w:hint="eastAsia" w:ascii="宋体" w:hAnsi="宋体" w:eastAsia="宋体" w:cs="宋体"/>
          <w:color w:val="auto"/>
          <w:szCs w:val="28"/>
        </w:rPr>
        <w:t>八、 验  收</w:t>
      </w:r>
      <w:r>
        <w:rPr>
          <w:color w:val="auto"/>
        </w:rPr>
        <w:tab/>
      </w:r>
      <w:r>
        <w:rPr>
          <w:color w:val="auto"/>
        </w:rPr>
        <w:fldChar w:fldCharType="begin"/>
      </w:r>
      <w:r>
        <w:rPr>
          <w:color w:val="auto"/>
        </w:rPr>
        <w:instrText xml:space="preserve"> PAGEREF _Toc6068 \h </w:instrText>
      </w:r>
      <w:r>
        <w:rPr>
          <w:color w:val="auto"/>
        </w:rPr>
        <w:fldChar w:fldCharType="separate"/>
      </w:r>
      <w:r>
        <w:rPr>
          <w:color w:val="auto"/>
        </w:rPr>
        <w:t>20</w:t>
      </w:r>
      <w:r>
        <w:rPr>
          <w:color w:val="auto"/>
        </w:rPr>
        <w:fldChar w:fldCharType="end"/>
      </w:r>
      <w:r>
        <w:rPr>
          <w:rFonts w:hint="eastAsia" w:ascii="宋体" w:hAnsi="宋体" w:cs="宋体"/>
          <w:bCs/>
          <w:caps/>
          <w:color w:val="auto"/>
          <w:szCs w:val="21"/>
        </w:rPr>
        <w:fldChar w:fldCharType="end"/>
      </w:r>
    </w:p>
    <w:p w14:paraId="56ACB69B">
      <w:pPr>
        <w:pStyle w:val="30"/>
        <w:tabs>
          <w:tab w:val="right" w:leader="dot" w:pos="9638"/>
          <w:tab w:val="clear" w:pos="9628"/>
        </w:tabs>
        <w:rPr>
          <w:color w:val="auto"/>
        </w:rPr>
      </w:pPr>
      <w:r>
        <w:rPr>
          <w:rFonts w:hint="eastAsia" w:ascii="宋体" w:hAnsi="宋体" w:cs="宋体"/>
          <w:bCs/>
          <w:caps/>
          <w:color w:val="auto"/>
          <w:szCs w:val="21"/>
        </w:rPr>
        <w:fldChar w:fldCharType="begin"/>
      </w:r>
      <w:r>
        <w:rPr>
          <w:rFonts w:hint="eastAsia" w:ascii="宋体" w:hAnsi="宋体" w:cs="宋体"/>
          <w:bCs/>
          <w:caps/>
          <w:color w:val="auto"/>
          <w:szCs w:val="21"/>
        </w:rPr>
        <w:instrText xml:space="preserve"> HYPERLINK \l _Toc16003 </w:instrText>
      </w:r>
      <w:r>
        <w:rPr>
          <w:rFonts w:hint="eastAsia" w:ascii="宋体" w:hAnsi="宋体" w:cs="宋体"/>
          <w:bCs/>
          <w:caps/>
          <w:color w:val="auto"/>
          <w:szCs w:val="21"/>
        </w:rPr>
        <w:fldChar w:fldCharType="separate"/>
      </w:r>
      <w:r>
        <w:rPr>
          <w:rFonts w:hint="eastAsia" w:ascii="黑体" w:hAnsi="黑体" w:eastAsia="黑体"/>
          <w:bCs/>
          <w:color w:val="auto"/>
          <w:szCs w:val="36"/>
        </w:rPr>
        <w:t xml:space="preserve">第三部分 </w:t>
      </w:r>
      <w:r>
        <w:rPr>
          <w:rFonts w:ascii="黑体" w:hAnsi="黑体" w:eastAsia="黑体"/>
          <w:bCs/>
          <w:color w:val="auto"/>
          <w:szCs w:val="36"/>
        </w:rPr>
        <w:t xml:space="preserve"> </w:t>
      </w:r>
      <w:r>
        <w:rPr>
          <w:rFonts w:hint="eastAsia" w:ascii="黑体" w:hAnsi="黑体" w:eastAsia="黑体"/>
          <w:color w:val="auto"/>
          <w:szCs w:val="36"/>
        </w:rPr>
        <w:t>主要合同条款</w:t>
      </w:r>
      <w:r>
        <w:rPr>
          <w:color w:val="auto"/>
        </w:rPr>
        <w:tab/>
      </w:r>
      <w:r>
        <w:rPr>
          <w:color w:val="auto"/>
        </w:rPr>
        <w:fldChar w:fldCharType="begin"/>
      </w:r>
      <w:r>
        <w:rPr>
          <w:color w:val="auto"/>
        </w:rPr>
        <w:instrText xml:space="preserve"> PAGEREF _Toc16003 \h </w:instrText>
      </w:r>
      <w:r>
        <w:rPr>
          <w:color w:val="auto"/>
        </w:rPr>
        <w:fldChar w:fldCharType="separate"/>
      </w:r>
      <w:r>
        <w:rPr>
          <w:color w:val="auto"/>
        </w:rPr>
        <w:t>21</w:t>
      </w:r>
      <w:r>
        <w:rPr>
          <w:color w:val="auto"/>
        </w:rPr>
        <w:fldChar w:fldCharType="end"/>
      </w:r>
      <w:r>
        <w:rPr>
          <w:rFonts w:hint="eastAsia" w:ascii="宋体" w:hAnsi="宋体" w:cs="宋体"/>
          <w:bCs/>
          <w:caps/>
          <w:color w:val="auto"/>
          <w:szCs w:val="21"/>
        </w:rPr>
        <w:fldChar w:fldCharType="end"/>
      </w:r>
    </w:p>
    <w:p w14:paraId="33936F70">
      <w:pPr>
        <w:pStyle w:val="30"/>
        <w:tabs>
          <w:tab w:val="right" w:leader="dot" w:pos="9638"/>
          <w:tab w:val="clear" w:pos="9628"/>
        </w:tabs>
        <w:rPr>
          <w:color w:val="auto"/>
        </w:rPr>
      </w:pPr>
      <w:r>
        <w:rPr>
          <w:rFonts w:hint="eastAsia" w:ascii="宋体" w:hAnsi="宋体" w:cs="宋体"/>
          <w:bCs/>
          <w:caps/>
          <w:color w:val="auto"/>
          <w:szCs w:val="21"/>
        </w:rPr>
        <w:fldChar w:fldCharType="begin"/>
      </w:r>
      <w:r>
        <w:rPr>
          <w:rFonts w:hint="eastAsia" w:ascii="宋体" w:hAnsi="宋体" w:cs="宋体"/>
          <w:bCs/>
          <w:caps/>
          <w:color w:val="auto"/>
          <w:szCs w:val="21"/>
        </w:rPr>
        <w:instrText xml:space="preserve"> HYPERLINK \l _Toc14352 </w:instrText>
      </w:r>
      <w:r>
        <w:rPr>
          <w:rFonts w:hint="eastAsia" w:ascii="宋体" w:hAnsi="宋体" w:cs="宋体"/>
          <w:bCs/>
          <w:caps/>
          <w:color w:val="auto"/>
          <w:szCs w:val="21"/>
        </w:rPr>
        <w:fldChar w:fldCharType="separate"/>
      </w:r>
      <w:r>
        <w:rPr>
          <w:rFonts w:hint="eastAsia" w:ascii="黑体" w:hAnsi="黑体" w:eastAsia="黑体"/>
          <w:bCs/>
          <w:color w:val="auto"/>
          <w:kern w:val="44"/>
          <w:szCs w:val="36"/>
        </w:rPr>
        <w:t>第四部分  附   件</w:t>
      </w:r>
      <w:r>
        <w:rPr>
          <w:color w:val="auto"/>
        </w:rPr>
        <w:tab/>
      </w:r>
      <w:r>
        <w:rPr>
          <w:color w:val="auto"/>
        </w:rPr>
        <w:fldChar w:fldCharType="begin"/>
      </w:r>
      <w:r>
        <w:rPr>
          <w:color w:val="auto"/>
        </w:rPr>
        <w:instrText xml:space="preserve"> PAGEREF _Toc14352 \h </w:instrText>
      </w:r>
      <w:r>
        <w:rPr>
          <w:color w:val="auto"/>
        </w:rPr>
        <w:fldChar w:fldCharType="separate"/>
      </w:r>
      <w:r>
        <w:rPr>
          <w:color w:val="auto"/>
        </w:rPr>
        <w:t>25</w:t>
      </w:r>
      <w:r>
        <w:rPr>
          <w:color w:val="auto"/>
        </w:rPr>
        <w:fldChar w:fldCharType="end"/>
      </w:r>
      <w:r>
        <w:rPr>
          <w:rFonts w:hint="eastAsia" w:ascii="宋体" w:hAnsi="宋体" w:cs="宋体"/>
          <w:bCs/>
          <w:caps/>
          <w:color w:val="auto"/>
          <w:szCs w:val="21"/>
        </w:rPr>
        <w:fldChar w:fldCharType="end"/>
      </w:r>
    </w:p>
    <w:p w14:paraId="77C2F433">
      <w:pPr>
        <w:pStyle w:val="33"/>
        <w:tabs>
          <w:tab w:val="right" w:leader="dot" w:pos="9638"/>
        </w:tabs>
        <w:rPr>
          <w:color w:val="auto"/>
        </w:rPr>
      </w:pPr>
      <w:r>
        <w:rPr>
          <w:rFonts w:hint="eastAsia" w:ascii="宋体" w:hAnsi="宋体" w:cs="宋体"/>
          <w:bCs/>
          <w:caps/>
          <w:color w:val="auto"/>
          <w:szCs w:val="21"/>
        </w:rPr>
        <w:fldChar w:fldCharType="begin"/>
      </w:r>
      <w:r>
        <w:rPr>
          <w:rFonts w:hint="eastAsia" w:ascii="宋体" w:hAnsi="宋体" w:cs="宋体"/>
          <w:bCs/>
          <w:caps/>
          <w:color w:val="auto"/>
          <w:szCs w:val="21"/>
        </w:rPr>
        <w:instrText xml:space="preserve"> HYPERLINK \l _Toc5610 </w:instrText>
      </w:r>
      <w:r>
        <w:rPr>
          <w:rFonts w:hint="eastAsia" w:ascii="宋体" w:hAnsi="宋体" w:cs="宋体"/>
          <w:bCs/>
          <w:caps/>
          <w:color w:val="auto"/>
          <w:szCs w:val="21"/>
        </w:rPr>
        <w:fldChar w:fldCharType="separate"/>
      </w:r>
      <w:r>
        <w:rPr>
          <w:rFonts w:hint="eastAsia" w:ascii="宋体" w:hAnsi="宋体" w:eastAsia="宋体" w:cs="宋体"/>
          <w:color w:val="auto"/>
          <w:szCs w:val="24"/>
        </w:rPr>
        <w:t>附件一 投标函</w:t>
      </w:r>
      <w:r>
        <w:rPr>
          <w:color w:val="auto"/>
        </w:rPr>
        <w:tab/>
      </w:r>
      <w:r>
        <w:rPr>
          <w:color w:val="auto"/>
        </w:rPr>
        <w:fldChar w:fldCharType="begin"/>
      </w:r>
      <w:r>
        <w:rPr>
          <w:color w:val="auto"/>
        </w:rPr>
        <w:instrText xml:space="preserve"> PAGEREF _Toc5610 \h </w:instrText>
      </w:r>
      <w:r>
        <w:rPr>
          <w:color w:val="auto"/>
        </w:rPr>
        <w:fldChar w:fldCharType="separate"/>
      </w:r>
      <w:r>
        <w:rPr>
          <w:color w:val="auto"/>
        </w:rPr>
        <w:t>25</w:t>
      </w:r>
      <w:r>
        <w:rPr>
          <w:color w:val="auto"/>
        </w:rPr>
        <w:fldChar w:fldCharType="end"/>
      </w:r>
      <w:r>
        <w:rPr>
          <w:rFonts w:hint="eastAsia" w:ascii="宋体" w:hAnsi="宋体" w:cs="宋体"/>
          <w:bCs/>
          <w:caps/>
          <w:color w:val="auto"/>
          <w:szCs w:val="21"/>
        </w:rPr>
        <w:fldChar w:fldCharType="end"/>
      </w:r>
    </w:p>
    <w:p w14:paraId="66043ACF">
      <w:pPr>
        <w:pStyle w:val="33"/>
        <w:tabs>
          <w:tab w:val="right" w:leader="dot" w:pos="9638"/>
        </w:tabs>
        <w:rPr>
          <w:color w:val="auto"/>
        </w:rPr>
      </w:pPr>
      <w:r>
        <w:rPr>
          <w:rFonts w:hint="eastAsia" w:ascii="宋体" w:hAnsi="宋体" w:cs="宋体"/>
          <w:bCs/>
          <w:caps/>
          <w:color w:val="auto"/>
          <w:szCs w:val="21"/>
        </w:rPr>
        <w:fldChar w:fldCharType="begin"/>
      </w:r>
      <w:r>
        <w:rPr>
          <w:rFonts w:hint="eastAsia" w:ascii="宋体" w:hAnsi="宋体" w:cs="宋体"/>
          <w:bCs/>
          <w:caps/>
          <w:color w:val="auto"/>
          <w:szCs w:val="21"/>
        </w:rPr>
        <w:instrText xml:space="preserve"> HYPERLINK \l _Toc8073 </w:instrText>
      </w:r>
      <w:r>
        <w:rPr>
          <w:rFonts w:hint="eastAsia" w:ascii="宋体" w:hAnsi="宋体" w:cs="宋体"/>
          <w:bCs/>
          <w:caps/>
          <w:color w:val="auto"/>
          <w:szCs w:val="21"/>
        </w:rPr>
        <w:fldChar w:fldCharType="separate"/>
      </w:r>
      <w:r>
        <w:rPr>
          <w:rFonts w:hint="eastAsia" w:ascii="宋体" w:hAnsi="宋体" w:eastAsia="宋体" w:cs="宋体"/>
          <w:color w:val="auto"/>
          <w:szCs w:val="24"/>
        </w:rPr>
        <w:t>附件二 投标报价一览表</w:t>
      </w:r>
      <w:r>
        <w:rPr>
          <w:color w:val="auto"/>
        </w:rPr>
        <w:tab/>
      </w:r>
      <w:r>
        <w:rPr>
          <w:color w:val="auto"/>
        </w:rPr>
        <w:fldChar w:fldCharType="begin"/>
      </w:r>
      <w:r>
        <w:rPr>
          <w:color w:val="auto"/>
        </w:rPr>
        <w:instrText xml:space="preserve"> PAGEREF _Toc8073 \h </w:instrText>
      </w:r>
      <w:r>
        <w:rPr>
          <w:color w:val="auto"/>
        </w:rPr>
        <w:fldChar w:fldCharType="separate"/>
      </w:r>
      <w:r>
        <w:rPr>
          <w:color w:val="auto"/>
        </w:rPr>
        <w:t>26</w:t>
      </w:r>
      <w:r>
        <w:rPr>
          <w:color w:val="auto"/>
        </w:rPr>
        <w:fldChar w:fldCharType="end"/>
      </w:r>
      <w:r>
        <w:rPr>
          <w:rFonts w:hint="eastAsia" w:ascii="宋体" w:hAnsi="宋体" w:cs="宋体"/>
          <w:bCs/>
          <w:caps/>
          <w:color w:val="auto"/>
          <w:szCs w:val="21"/>
        </w:rPr>
        <w:fldChar w:fldCharType="end"/>
      </w:r>
    </w:p>
    <w:p w14:paraId="667AA60A">
      <w:pPr>
        <w:pStyle w:val="33"/>
        <w:tabs>
          <w:tab w:val="right" w:leader="dot" w:pos="9638"/>
        </w:tabs>
        <w:rPr>
          <w:color w:val="auto"/>
        </w:rPr>
      </w:pPr>
      <w:r>
        <w:rPr>
          <w:rFonts w:hint="eastAsia" w:ascii="宋体" w:hAnsi="宋体" w:cs="宋体"/>
          <w:bCs/>
          <w:caps/>
          <w:color w:val="auto"/>
          <w:szCs w:val="21"/>
        </w:rPr>
        <w:fldChar w:fldCharType="begin"/>
      </w:r>
      <w:r>
        <w:rPr>
          <w:rFonts w:hint="eastAsia" w:ascii="宋体" w:hAnsi="宋体" w:cs="宋体"/>
          <w:bCs/>
          <w:caps/>
          <w:color w:val="auto"/>
          <w:szCs w:val="21"/>
        </w:rPr>
        <w:instrText xml:space="preserve"> HYPERLINK \l _Toc20756 </w:instrText>
      </w:r>
      <w:r>
        <w:rPr>
          <w:rFonts w:hint="eastAsia" w:ascii="宋体" w:hAnsi="宋体" w:cs="宋体"/>
          <w:bCs/>
          <w:caps/>
          <w:color w:val="auto"/>
          <w:szCs w:val="21"/>
        </w:rPr>
        <w:fldChar w:fldCharType="separate"/>
      </w:r>
      <w:r>
        <w:rPr>
          <w:rFonts w:hint="eastAsia" w:ascii="宋体" w:hAnsi="宋体" w:eastAsia="宋体"/>
          <w:color w:val="auto"/>
          <w:szCs w:val="24"/>
        </w:rPr>
        <w:t>附件三 投标分项报价表</w:t>
      </w:r>
      <w:r>
        <w:rPr>
          <w:color w:val="auto"/>
        </w:rPr>
        <w:tab/>
      </w:r>
      <w:r>
        <w:rPr>
          <w:color w:val="auto"/>
        </w:rPr>
        <w:fldChar w:fldCharType="begin"/>
      </w:r>
      <w:r>
        <w:rPr>
          <w:color w:val="auto"/>
        </w:rPr>
        <w:instrText xml:space="preserve"> PAGEREF _Toc20756 \h </w:instrText>
      </w:r>
      <w:r>
        <w:rPr>
          <w:color w:val="auto"/>
        </w:rPr>
        <w:fldChar w:fldCharType="separate"/>
      </w:r>
      <w:r>
        <w:rPr>
          <w:color w:val="auto"/>
        </w:rPr>
        <w:t>27</w:t>
      </w:r>
      <w:r>
        <w:rPr>
          <w:color w:val="auto"/>
        </w:rPr>
        <w:fldChar w:fldCharType="end"/>
      </w:r>
      <w:r>
        <w:rPr>
          <w:rFonts w:hint="eastAsia" w:ascii="宋体" w:hAnsi="宋体" w:cs="宋体"/>
          <w:bCs/>
          <w:caps/>
          <w:color w:val="auto"/>
          <w:szCs w:val="21"/>
        </w:rPr>
        <w:fldChar w:fldCharType="end"/>
      </w:r>
    </w:p>
    <w:p w14:paraId="57EB42E3">
      <w:pPr>
        <w:pStyle w:val="33"/>
        <w:tabs>
          <w:tab w:val="right" w:leader="dot" w:pos="9638"/>
        </w:tabs>
        <w:rPr>
          <w:color w:val="auto"/>
        </w:rPr>
      </w:pPr>
      <w:r>
        <w:rPr>
          <w:rFonts w:hint="eastAsia" w:ascii="宋体" w:hAnsi="宋体" w:cs="宋体"/>
          <w:bCs/>
          <w:caps/>
          <w:color w:val="auto"/>
          <w:szCs w:val="21"/>
        </w:rPr>
        <w:fldChar w:fldCharType="begin"/>
      </w:r>
      <w:r>
        <w:rPr>
          <w:rFonts w:hint="eastAsia" w:ascii="宋体" w:hAnsi="宋体" w:cs="宋体"/>
          <w:bCs/>
          <w:caps/>
          <w:color w:val="auto"/>
          <w:szCs w:val="21"/>
        </w:rPr>
        <w:instrText xml:space="preserve"> HYPERLINK \l _Toc26986 </w:instrText>
      </w:r>
      <w:r>
        <w:rPr>
          <w:rFonts w:hint="eastAsia" w:ascii="宋体" w:hAnsi="宋体" w:cs="宋体"/>
          <w:bCs/>
          <w:caps/>
          <w:color w:val="auto"/>
          <w:szCs w:val="21"/>
        </w:rPr>
        <w:fldChar w:fldCharType="separate"/>
      </w:r>
      <w:r>
        <w:rPr>
          <w:rFonts w:hint="eastAsia" w:ascii="宋体" w:hAnsi="宋体" w:eastAsia="宋体"/>
          <w:color w:val="auto"/>
          <w:szCs w:val="24"/>
        </w:rPr>
        <w:t>附件四 资格证明文件</w:t>
      </w:r>
      <w:r>
        <w:rPr>
          <w:color w:val="auto"/>
        </w:rPr>
        <w:tab/>
      </w:r>
      <w:r>
        <w:rPr>
          <w:color w:val="auto"/>
        </w:rPr>
        <w:fldChar w:fldCharType="begin"/>
      </w:r>
      <w:r>
        <w:rPr>
          <w:color w:val="auto"/>
        </w:rPr>
        <w:instrText xml:space="preserve"> PAGEREF _Toc26986 \h </w:instrText>
      </w:r>
      <w:r>
        <w:rPr>
          <w:color w:val="auto"/>
        </w:rPr>
        <w:fldChar w:fldCharType="separate"/>
      </w:r>
      <w:r>
        <w:rPr>
          <w:color w:val="auto"/>
        </w:rPr>
        <w:t>28</w:t>
      </w:r>
      <w:r>
        <w:rPr>
          <w:color w:val="auto"/>
        </w:rPr>
        <w:fldChar w:fldCharType="end"/>
      </w:r>
      <w:r>
        <w:rPr>
          <w:rFonts w:hint="eastAsia" w:ascii="宋体" w:hAnsi="宋体" w:cs="宋体"/>
          <w:bCs/>
          <w:caps/>
          <w:color w:val="auto"/>
          <w:szCs w:val="21"/>
        </w:rPr>
        <w:fldChar w:fldCharType="end"/>
      </w:r>
    </w:p>
    <w:p w14:paraId="089B0449">
      <w:pPr>
        <w:pStyle w:val="33"/>
        <w:tabs>
          <w:tab w:val="right" w:leader="dot" w:pos="9638"/>
        </w:tabs>
        <w:rPr>
          <w:color w:val="auto"/>
        </w:rPr>
      </w:pPr>
      <w:r>
        <w:rPr>
          <w:rFonts w:hint="eastAsia" w:ascii="宋体" w:hAnsi="宋体" w:cs="宋体"/>
          <w:bCs/>
          <w:caps/>
          <w:color w:val="auto"/>
          <w:szCs w:val="21"/>
        </w:rPr>
        <w:fldChar w:fldCharType="begin"/>
      </w:r>
      <w:r>
        <w:rPr>
          <w:rFonts w:hint="eastAsia" w:ascii="宋体" w:hAnsi="宋体" w:cs="宋体"/>
          <w:bCs/>
          <w:caps/>
          <w:color w:val="auto"/>
          <w:szCs w:val="21"/>
        </w:rPr>
        <w:instrText xml:space="preserve"> HYPERLINK \l _Toc4340 </w:instrText>
      </w:r>
      <w:r>
        <w:rPr>
          <w:rFonts w:hint="eastAsia" w:ascii="宋体" w:hAnsi="宋体" w:cs="宋体"/>
          <w:bCs/>
          <w:caps/>
          <w:color w:val="auto"/>
          <w:szCs w:val="21"/>
        </w:rPr>
        <w:fldChar w:fldCharType="separate"/>
      </w:r>
      <w:r>
        <w:rPr>
          <w:rFonts w:hint="eastAsia" w:ascii="宋体" w:hAnsi="宋体" w:eastAsia="宋体" w:cs="宋体"/>
          <w:color w:val="auto"/>
          <w:szCs w:val="24"/>
        </w:rPr>
        <w:t>附件五 商务条款、技术规格偏离表</w:t>
      </w:r>
      <w:r>
        <w:rPr>
          <w:color w:val="auto"/>
        </w:rPr>
        <w:tab/>
      </w:r>
      <w:r>
        <w:rPr>
          <w:color w:val="auto"/>
        </w:rPr>
        <w:fldChar w:fldCharType="begin"/>
      </w:r>
      <w:r>
        <w:rPr>
          <w:color w:val="auto"/>
        </w:rPr>
        <w:instrText xml:space="preserve"> PAGEREF _Toc4340 \h </w:instrText>
      </w:r>
      <w:r>
        <w:rPr>
          <w:color w:val="auto"/>
        </w:rPr>
        <w:fldChar w:fldCharType="separate"/>
      </w:r>
      <w:r>
        <w:rPr>
          <w:color w:val="auto"/>
        </w:rPr>
        <w:t>33</w:t>
      </w:r>
      <w:r>
        <w:rPr>
          <w:color w:val="auto"/>
        </w:rPr>
        <w:fldChar w:fldCharType="end"/>
      </w:r>
      <w:r>
        <w:rPr>
          <w:rFonts w:hint="eastAsia" w:ascii="宋体" w:hAnsi="宋体" w:cs="宋体"/>
          <w:bCs/>
          <w:caps/>
          <w:color w:val="auto"/>
          <w:szCs w:val="21"/>
        </w:rPr>
        <w:fldChar w:fldCharType="end"/>
      </w:r>
    </w:p>
    <w:p w14:paraId="76B72CEA">
      <w:pPr>
        <w:pStyle w:val="33"/>
        <w:tabs>
          <w:tab w:val="right" w:leader="dot" w:pos="9638"/>
        </w:tabs>
        <w:rPr>
          <w:color w:val="auto"/>
        </w:rPr>
      </w:pPr>
      <w:r>
        <w:rPr>
          <w:rFonts w:hint="eastAsia" w:ascii="宋体" w:hAnsi="宋体" w:cs="宋体"/>
          <w:bCs/>
          <w:caps/>
          <w:color w:val="auto"/>
          <w:szCs w:val="21"/>
        </w:rPr>
        <w:fldChar w:fldCharType="begin"/>
      </w:r>
      <w:r>
        <w:rPr>
          <w:rFonts w:hint="eastAsia" w:ascii="宋体" w:hAnsi="宋体" w:cs="宋体"/>
          <w:bCs/>
          <w:caps/>
          <w:color w:val="auto"/>
          <w:szCs w:val="21"/>
        </w:rPr>
        <w:instrText xml:space="preserve"> HYPERLINK \l _Toc8805 </w:instrText>
      </w:r>
      <w:r>
        <w:rPr>
          <w:rFonts w:hint="eastAsia" w:ascii="宋体" w:hAnsi="宋体" w:cs="宋体"/>
          <w:bCs/>
          <w:caps/>
          <w:color w:val="auto"/>
          <w:szCs w:val="21"/>
        </w:rPr>
        <w:fldChar w:fldCharType="separate"/>
      </w:r>
      <w:r>
        <w:rPr>
          <w:rFonts w:hint="eastAsia" w:ascii="宋体" w:hAnsi="宋体" w:eastAsia="宋体" w:cs="宋体"/>
          <w:color w:val="auto"/>
          <w:szCs w:val="24"/>
        </w:rPr>
        <w:t xml:space="preserve">附件六 </w:t>
      </w:r>
      <w:r>
        <w:rPr>
          <w:rFonts w:hint="eastAsia" w:ascii="宋体" w:hAnsi="宋体" w:eastAsia="宋体"/>
          <w:color w:val="auto"/>
          <w:szCs w:val="24"/>
        </w:rPr>
        <w:t>货物成套供货清单</w:t>
      </w:r>
      <w:r>
        <w:rPr>
          <w:color w:val="auto"/>
        </w:rPr>
        <w:tab/>
      </w:r>
      <w:r>
        <w:rPr>
          <w:color w:val="auto"/>
        </w:rPr>
        <w:fldChar w:fldCharType="begin"/>
      </w:r>
      <w:r>
        <w:rPr>
          <w:color w:val="auto"/>
        </w:rPr>
        <w:instrText xml:space="preserve"> PAGEREF _Toc8805 \h </w:instrText>
      </w:r>
      <w:r>
        <w:rPr>
          <w:color w:val="auto"/>
        </w:rPr>
        <w:fldChar w:fldCharType="separate"/>
      </w:r>
      <w:r>
        <w:rPr>
          <w:color w:val="auto"/>
        </w:rPr>
        <w:t>34</w:t>
      </w:r>
      <w:r>
        <w:rPr>
          <w:color w:val="auto"/>
        </w:rPr>
        <w:fldChar w:fldCharType="end"/>
      </w:r>
      <w:r>
        <w:rPr>
          <w:rFonts w:hint="eastAsia" w:ascii="宋体" w:hAnsi="宋体" w:cs="宋体"/>
          <w:bCs/>
          <w:caps/>
          <w:color w:val="auto"/>
          <w:szCs w:val="21"/>
        </w:rPr>
        <w:fldChar w:fldCharType="end"/>
      </w:r>
    </w:p>
    <w:p w14:paraId="200EBF14">
      <w:pPr>
        <w:pStyle w:val="33"/>
        <w:tabs>
          <w:tab w:val="right" w:leader="dot" w:pos="9638"/>
        </w:tabs>
        <w:rPr>
          <w:color w:val="auto"/>
        </w:rPr>
      </w:pPr>
      <w:r>
        <w:rPr>
          <w:rFonts w:hint="eastAsia" w:ascii="宋体" w:hAnsi="宋体" w:cs="宋体"/>
          <w:bCs/>
          <w:caps/>
          <w:color w:val="auto"/>
          <w:szCs w:val="21"/>
        </w:rPr>
        <w:fldChar w:fldCharType="begin"/>
      </w:r>
      <w:r>
        <w:rPr>
          <w:rFonts w:hint="eastAsia" w:ascii="宋体" w:hAnsi="宋体" w:cs="宋体"/>
          <w:bCs/>
          <w:caps/>
          <w:color w:val="auto"/>
          <w:szCs w:val="21"/>
        </w:rPr>
        <w:instrText xml:space="preserve"> HYPERLINK \l _Toc2259 </w:instrText>
      </w:r>
      <w:r>
        <w:rPr>
          <w:rFonts w:hint="eastAsia" w:ascii="宋体" w:hAnsi="宋体" w:cs="宋体"/>
          <w:bCs/>
          <w:caps/>
          <w:color w:val="auto"/>
          <w:szCs w:val="21"/>
        </w:rPr>
        <w:fldChar w:fldCharType="separate"/>
      </w:r>
      <w:r>
        <w:rPr>
          <w:rFonts w:hint="eastAsia" w:ascii="宋体" w:hAnsi="宋体" w:eastAsia="宋体" w:cs="宋体"/>
          <w:color w:val="auto"/>
          <w:szCs w:val="24"/>
        </w:rPr>
        <w:t>附件七 同类项目业绩一览表</w:t>
      </w:r>
      <w:r>
        <w:rPr>
          <w:color w:val="auto"/>
        </w:rPr>
        <w:tab/>
      </w:r>
      <w:r>
        <w:rPr>
          <w:color w:val="auto"/>
        </w:rPr>
        <w:fldChar w:fldCharType="begin"/>
      </w:r>
      <w:r>
        <w:rPr>
          <w:color w:val="auto"/>
        </w:rPr>
        <w:instrText xml:space="preserve"> PAGEREF _Toc2259 \h </w:instrText>
      </w:r>
      <w:r>
        <w:rPr>
          <w:color w:val="auto"/>
        </w:rPr>
        <w:fldChar w:fldCharType="separate"/>
      </w:r>
      <w:r>
        <w:rPr>
          <w:color w:val="auto"/>
        </w:rPr>
        <w:t>35</w:t>
      </w:r>
      <w:r>
        <w:rPr>
          <w:color w:val="auto"/>
        </w:rPr>
        <w:fldChar w:fldCharType="end"/>
      </w:r>
      <w:r>
        <w:rPr>
          <w:rFonts w:hint="eastAsia" w:ascii="宋体" w:hAnsi="宋体" w:cs="宋体"/>
          <w:bCs/>
          <w:caps/>
          <w:color w:val="auto"/>
          <w:szCs w:val="21"/>
        </w:rPr>
        <w:fldChar w:fldCharType="end"/>
      </w:r>
    </w:p>
    <w:p w14:paraId="38BDDB0A">
      <w:pPr>
        <w:pStyle w:val="33"/>
        <w:tabs>
          <w:tab w:val="right" w:leader="dot" w:pos="9638"/>
        </w:tabs>
        <w:rPr>
          <w:color w:val="auto"/>
        </w:rPr>
      </w:pPr>
      <w:r>
        <w:rPr>
          <w:rFonts w:hint="eastAsia" w:ascii="宋体" w:hAnsi="宋体" w:cs="宋体"/>
          <w:bCs/>
          <w:caps/>
          <w:color w:val="auto"/>
          <w:szCs w:val="21"/>
        </w:rPr>
        <w:fldChar w:fldCharType="begin"/>
      </w:r>
      <w:r>
        <w:rPr>
          <w:rFonts w:hint="eastAsia" w:ascii="宋体" w:hAnsi="宋体" w:cs="宋体"/>
          <w:bCs/>
          <w:caps/>
          <w:color w:val="auto"/>
          <w:szCs w:val="21"/>
        </w:rPr>
        <w:instrText xml:space="preserve"> HYPERLINK \l _Toc11385 </w:instrText>
      </w:r>
      <w:r>
        <w:rPr>
          <w:rFonts w:hint="eastAsia" w:ascii="宋体" w:hAnsi="宋体" w:cs="宋体"/>
          <w:bCs/>
          <w:caps/>
          <w:color w:val="auto"/>
          <w:szCs w:val="21"/>
        </w:rPr>
        <w:fldChar w:fldCharType="separate"/>
      </w:r>
      <w:r>
        <w:rPr>
          <w:rFonts w:ascii="宋体" w:hAnsi="宋体" w:eastAsia="宋体"/>
          <w:color w:val="auto"/>
          <w:szCs w:val="24"/>
        </w:rPr>
        <w:t>附件</w:t>
      </w:r>
      <w:r>
        <w:rPr>
          <w:rFonts w:hint="eastAsia" w:ascii="宋体" w:hAnsi="宋体" w:eastAsia="宋体"/>
          <w:color w:val="auto"/>
          <w:szCs w:val="24"/>
        </w:rPr>
        <w:t>八 政府采购政策功能相关说明</w:t>
      </w:r>
      <w:r>
        <w:rPr>
          <w:color w:val="auto"/>
        </w:rPr>
        <w:tab/>
      </w:r>
      <w:r>
        <w:rPr>
          <w:color w:val="auto"/>
        </w:rPr>
        <w:fldChar w:fldCharType="begin"/>
      </w:r>
      <w:r>
        <w:rPr>
          <w:color w:val="auto"/>
        </w:rPr>
        <w:instrText xml:space="preserve"> PAGEREF _Toc11385 \h </w:instrText>
      </w:r>
      <w:r>
        <w:rPr>
          <w:color w:val="auto"/>
        </w:rPr>
        <w:fldChar w:fldCharType="separate"/>
      </w:r>
      <w:r>
        <w:rPr>
          <w:color w:val="auto"/>
        </w:rPr>
        <w:t>36</w:t>
      </w:r>
      <w:r>
        <w:rPr>
          <w:color w:val="auto"/>
        </w:rPr>
        <w:fldChar w:fldCharType="end"/>
      </w:r>
      <w:r>
        <w:rPr>
          <w:rFonts w:hint="eastAsia" w:ascii="宋体" w:hAnsi="宋体" w:cs="宋体"/>
          <w:bCs/>
          <w:caps/>
          <w:color w:val="auto"/>
          <w:szCs w:val="21"/>
        </w:rPr>
        <w:fldChar w:fldCharType="end"/>
      </w:r>
    </w:p>
    <w:p w14:paraId="684943FC">
      <w:pPr>
        <w:pStyle w:val="30"/>
        <w:tabs>
          <w:tab w:val="right" w:leader="dot" w:pos="9638"/>
          <w:tab w:val="clear" w:pos="9628"/>
        </w:tabs>
        <w:rPr>
          <w:color w:val="auto"/>
        </w:rPr>
      </w:pPr>
      <w:r>
        <w:rPr>
          <w:rFonts w:hint="eastAsia" w:ascii="宋体" w:hAnsi="宋体" w:cs="宋体"/>
          <w:bCs/>
          <w:caps/>
          <w:color w:val="auto"/>
          <w:szCs w:val="21"/>
        </w:rPr>
        <w:fldChar w:fldCharType="begin"/>
      </w:r>
      <w:r>
        <w:rPr>
          <w:rFonts w:hint="eastAsia" w:ascii="宋体" w:hAnsi="宋体" w:cs="宋体"/>
          <w:bCs/>
          <w:caps/>
          <w:color w:val="auto"/>
          <w:szCs w:val="21"/>
        </w:rPr>
        <w:instrText xml:space="preserve"> HYPERLINK \l _Toc1831 </w:instrText>
      </w:r>
      <w:r>
        <w:rPr>
          <w:rFonts w:hint="eastAsia" w:ascii="宋体" w:hAnsi="宋体" w:cs="宋体"/>
          <w:bCs/>
          <w:caps/>
          <w:color w:val="auto"/>
          <w:szCs w:val="21"/>
        </w:rPr>
        <w:fldChar w:fldCharType="separate"/>
      </w:r>
      <w:r>
        <w:rPr>
          <w:rFonts w:hint="eastAsia" w:ascii="黑体" w:hAnsi="黑体" w:eastAsia="黑体"/>
          <w:bCs/>
          <w:color w:val="auto"/>
          <w:szCs w:val="36"/>
        </w:rPr>
        <w:t>第五部分  招标内容及要求</w:t>
      </w:r>
      <w:r>
        <w:rPr>
          <w:color w:val="auto"/>
        </w:rPr>
        <w:tab/>
      </w:r>
      <w:r>
        <w:rPr>
          <w:color w:val="auto"/>
        </w:rPr>
        <w:fldChar w:fldCharType="begin"/>
      </w:r>
      <w:r>
        <w:rPr>
          <w:color w:val="auto"/>
        </w:rPr>
        <w:instrText xml:space="preserve"> PAGEREF _Toc1831 \h </w:instrText>
      </w:r>
      <w:r>
        <w:rPr>
          <w:color w:val="auto"/>
        </w:rPr>
        <w:fldChar w:fldCharType="separate"/>
      </w:r>
      <w:r>
        <w:rPr>
          <w:color w:val="auto"/>
        </w:rPr>
        <w:t>42</w:t>
      </w:r>
      <w:r>
        <w:rPr>
          <w:color w:val="auto"/>
        </w:rPr>
        <w:fldChar w:fldCharType="end"/>
      </w:r>
      <w:r>
        <w:rPr>
          <w:rFonts w:hint="eastAsia" w:ascii="宋体" w:hAnsi="宋体" w:cs="宋体"/>
          <w:bCs/>
          <w:caps/>
          <w:color w:val="auto"/>
          <w:szCs w:val="21"/>
        </w:rPr>
        <w:fldChar w:fldCharType="end"/>
      </w:r>
    </w:p>
    <w:p w14:paraId="2885D87D">
      <w:pPr>
        <w:pStyle w:val="33"/>
        <w:tabs>
          <w:tab w:val="right" w:leader="dot" w:pos="9638"/>
        </w:tabs>
        <w:rPr>
          <w:color w:val="auto"/>
        </w:rPr>
      </w:pPr>
      <w:r>
        <w:rPr>
          <w:rFonts w:hint="eastAsia" w:ascii="宋体" w:hAnsi="宋体" w:cs="宋体"/>
          <w:bCs/>
          <w:caps/>
          <w:color w:val="auto"/>
          <w:szCs w:val="21"/>
        </w:rPr>
        <w:fldChar w:fldCharType="begin"/>
      </w:r>
      <w:r>
        <w:rPr>
          <w:rFonts w:hint="eastAsia" w:ascii="宋体" w:hAnsi="宋体" w:cs="宋体"/>
          <w:bCs/>
          <w:caps/>
          <w:color w:val="auto"/>
          <w:szCs w:val="21"/>
        </w:rPr>
        <w:instrText xml:space="preserve"> HYPERLINK \l _Toc1772 </w:instrText>
      </w:r>
      <w:r>
        <w:rPr>
          <w:rFonts w:hint="eastAsia" w:ascii="宋体" w:hAnsi="宋体" w:cs="宋体"/>
          <w:bCs/>
          <w:caps/>
          <w:color w:val="auto"/>
          <w:szCs w:val="21"/>
        </w:rPr>
        <w:fldChar w:fldCharType="separate"/>
      </w:r>
      <w:r>
        <w:rPr>
          <w:rFonts w:hint="eastAsia" w:ascii="宋体" w:hAnsi="宋体" w:eastAsia="宋体" w:cs="宋体"/>
          <w:color w:val="auto"/>
          <w:szCs w:val="28"/>
        </w:rPr>
        <w:t>一、相关说明</w:t>
      </w:r>
      <w:r>
        <w:rPr>
          <w:color w:val="auto"/>
        </w:rPr>
        <w:tab/>
      </w:r>
      <w:r>
        <w:rPr>
          <w:color w:val="auto"/>
        </w:rPr>
        <w:fldChar w:fldCharType="begin"/>
      </w:r>
      <w:r>
        <w:rPr>
          <w:color w:val="auto"/>
        </w:rPr>
        <w:instrText xml:space="preserve"> PAGEREF _Toc1772 \h </w:instrText>
      </w:r>
      <w:r>
        <w:rPr>
          <w:color w:val="auto"/>
        </w:rPr>
        <w:fldChar w:fldCharType="separate"/>
      </w:r>
      <w:r>
        <w:rPr>
          <w:color w:val="auto"/>
        </w:rPr>
        <w:t>42</w:t>
      </w:r>
      <w:r>
        <w:rPr>
          <w:color w:val="auto"/>
        </w:rPr>
        <w:fldChar w:fldCharType="end"/>
      </w:r>
      <w:r>
        <w:rPr>
          <w:rFonts w:hint="eastAsia" w:ascii="宋体" w:hAnsi="宋体" w:cs="宋体"/>
          <w:bCs/>
          <w:caps/>
          <w:color w:val="auto"/>
          <w:szCs w:val="21"/>
        </w:rPr>
        <w:fldChar w:fldCharType="end"/>
      </w:r>
    </w:p>
    <w:p w14:paraId="409BB21B">
      <w:pPr>
        <w:pStyle w:val="33"/>
        <w:tabs>
          <w:tab w:val="right" w:leader="dot" w:pos="9638"/>
        </w:tabs>
        <w:rPr>
          <w:color w:val="auto"/>
        </w:rPr>
      </w:pPr>
      <w:r>
        <w:rPr>
          <w:rFonts w:hint="eastAsia" w:ascii="宋体" w:hAnsi="宋体" w:cs="宋体"/>
          <w:bCs/>
          <w:caps/>
          <w:color w:val="auto"/>
          <w:szCs w:val="21"/>
        </w:rPr>
        <w:fldChar w:fldCharType="begin"/>
      </w:r>
      <w:r>
        <w:rPr>
          <w:rFonts w:hint="eastAsia" w:ascii="宋体" w:hAnsi="宋体" w:cs="宋体"/>
          <w:bCs/>
          <w:caps/>
          <w:color w:val="auto"/>
          <w:szCs w:val="21"/>
        </w:rPr>
        <w:instrText xml:space="preserve"> HYPERLINK \l _Toc30240 </w:instrText>
      </w:r>
      <w:r>
        <w:rPr>
          <w:rFonts w:hint="eastAsia" w:ascii="宋体" w:hAnsi="宋体" w:cs="宋体"/>
          <w:bCs/>
          <w:caps/>
          <w:color w:val="auto"/>
          <w:szCs w:val="21"/>
        </w:rPr>
        <w:fldChar w:fldCharType="separate"/>
      </w:r>
      <w:r>
        <w:rPr>
          <w:rFonts w:hint="eastAsia" w:ascii="宋体" w:hAnsi="宋体" w:eastAsia="宋体"/>
          <w:color w:val="auto"/>
          <w:szCs w:val="28"/>
          <w:lang w:val="en-US" w:eastAsia="zh-CN"/>
        </w:rPr>
        <w:t>二、</w:t>
      </w:r>
      <w:r>
        <w:rPr>
          <w:rFonts w:hint="eastAsia" w:ascii="宋体" w:hAnsi="宋体" w:eastAsia="宋体"/>
          <w:color w:val="auto"/>
          <w:szCs w:val="28"/>
        </w:rPr>
        <w:t>采购内容及要求</w:t>
      </w:r>
      <w:r>
        <w:rPr>
          <w:color w:val="auto"/>
        </w:rPr>
        <w:tab/>
      </w:r>
      <w:r>
        <w:rPr>
          <w:color w:val="auto"/>
        </w:rPr>
        <w:fldChar w:fldCharType="begin"/>
      </w:r>
      <w:r>
        <w:rPr>
          <w:color w:val="auto"/>
        </w:rPr>
        <w:instrText xml:space="preserve"> PAGEREF _Toc30240 \h </w:instrText>
      </w:r>
      <w:r>
        <w:rPr>
          <w:color w:val="auto"/>
        </w:rPr>
        <w:fldChar w:fldCharType="separate"/>
      </w:r>
      <w:r>
        <w:rPr>
          <w:color w:val="auto"/>
        </w:rPr>
        <w:t>44</w:t>
      </w:r>
      <w:r>
        <w:rPr>
          <w:color w:val="auto"/>
        </w:rPr>
        <w:fldChar w:fldCharType="end"/>
      </w:r>
      <w:r>
        <w:rPr>
          <w:rFonts w:hint="eastAsia" w:ascii="宋体" w:hAnsi="宋体" w:cs="宋体"/>
          <w:bCs/>
          <w:caps/>
          <w:color w:val="auto"/>
          <w:szCs w:val="21"/>
        </w:rPr>
        <w:fldChar w:fldCharType="end"/>
      </w:r>
    </w:p>
    <w:p w14:paraId="7CDDA611">
      <w:pPr>
        <w:pStyle w:val="30"/>
        <w:tabs>
          <w:tab w:val="right" w:leader="dot" w:pos="9638"/>
          <w:tab w:val="clear" w:pos="9628"/>
        </w:tabs>
        <w:rPr>
          <w:color w:val="auto"/>
        </w:rPr>
      </w:pPr>
      <w:r>
        <w:rPr>
          <w:rFonts w:hint="eastAsia" w:ascii="宋体" w:hAnsi="宋体" w:cs="宋体"/>
          <w:bCs/>
          <w:caps/>
          <w:color w:val="auto"/>
          <w:szCs w:val="21"/>
        </w:rPr>
        <w:fldChar w:fldCharType="begin"/>
      </w:r>
      <w:r>
        <w:rPr>
          <w:rFonts w:hint="eastAsia" w:ascii="宋体" w:hAnsi="宋体" w:cs="宋体"/>
          <w:bCs/>
          <w:caps/>
          <w:color w:val="auto"/>
          <w:szCs w:val="21"/>
        </w:rPr>
        <w:instrText xml:space="preserve"> HYPERLINK \l _Toc17193 </w:instrText>
      </w:r>
      <w:r>
        <w:rPr>
          <w:rFonts w:hint="eastAsia" w:ascii="宋体" w:hAnsi="宋体" w:cs="宋体"/>
          <w:bCs/>
          <w:caps/>
          <w:color w:val="auto"/>
          <w:szCs w:val="21"/>
        </w:rPr>
        <w:fldChar w:fldCharType="separate"/>
      </w:r>
      <w:r>
        <w:rPr>
          <w:rFonts w:hint="eastAsia" w:ascii="黑体" w:hAnsi="黑体" w:eastAsia="黑体"/>
          <w:bCs/>
          <w:color w:val="auto"/>
          <w:szCs w:val="36"/>
        </w:rPr>
        <w:t>第六部分  评标原则及方法</w:t>
      </w:r>
      <w:r>
        <w:rPr>
          <w:color w:val="auto"/>
        </w:rPr>
        <w:tab/>
      </w:r>
      <w:r>
        <w:rPr>
          <w:color w:val="auto"/>
        </w:rPr>
        <w:fldChar w:fldCharType="begin"/>
      </w:r>
      <w:r>
        <w:rPr>
          <w:color w:val="auto"/>
        </w:rPr>
        <w:instrText xml:space="preserve"> PAGEREF _Toc17193 \h </w:instrText>
      </w:r>
      <w:r>
        <w:rPr>
          <w:color w:val="auto"/>
        </w:rPr>
        <w:fldChar w:fldCharType="separate"/>
      </w:r>
      <w:r>
        <w:rPr>
          <w:color w:val="auto"/>
        </w:rPr>
        <w:t>70</w:t>
      </w:r>
      <w:r>
        <w:rPr>
          <w:color w:val="auto"/>
        </w:rPr>
        <w:fldChar w:fldCharType="end"/>
      </w:r>
      <w:r>
        <w:rPr>
          <w:rFonts w:hint="eastAsia" w:ascii="宋体" w:hAnsi="宋体" w:cs="宋体"/>
          <w:bCs/>
          <w:caps/>
          <w:color w:val="auto"/>
          <w:szCs w:val="21"/>
        </w:rPr>
        <w:fldChar w:fldCharType="end"/>
      </w:r>
    </w:p>
    <w:p w14:paraId="781DC461">
      <w:pPr>
        <w:ind w:right="110"/>
        <w:rPr>
          <w:rFonts w:hint="eastAsia" w:ascii="宋体" w:hAnsi="宋体" w:cs="宋体"/>
          <w:bCs/>
          <w:caps/>
          <w:color w:val="auto"/>
          <w:szCs w:val="21"/>
        </w:rPr>
      </w:pPr>
      <w:r>
        <w:rPr>
          <w:rFonts w:hint="eastAsia" w:ascii="宋体" w:hAnsi="宋体" w:cs="宋体"/>
          <w:bCs/>
          <w:caps/>
          <w:color w:val="auto"/>
          <w:szCs w:val="21"/>
        </w:rPr>
        <w:fldChar w:fldCharType="end"/>
      </w:r>
    </w:p>
    <w:p w14:paraId="1E634321">
      <w:pPr>
        <w:spacing w:line="360" w:lineRule="exact"/>
        <w:ind w:right="110"/>
        <w:rPr>
          <w:rFonts w:hint="eastAsia" w:ascii="宋体" w:hAnsi="宋体" w:cs="宋体"/>
          <w:b/>
          <w:color w:val="auto"/>
          <w:sz w:val="22"/>
          <w:szCs w:val="22"/>
          <w:u w:val="single"/>
        </w:rPr>
      </w:pPr>
      <w:r>
        <w:rPr>
          <w:rFonts w:hint="eastAsia" w:ascii="宋体" w:hAnsi="宋体" w:cs="宋体"/>
          <w:b/>
          <w:color w:val="auto"/>
          <w:sz w:val="22"/>
          <w:szCs w:val="22"/>
        </w:rPr>
        <w:t>▲</w:t>
      </w:r>
      <w:r>
        <w:rPr>
          <w:rFonts w:hint="eastAsia" w:ascii="宋体" w:hAnsi="宋体" w:cs="宋体"/>
          <w:b/>
          <w:color w:val="auto"/>
          <w:sz w:val="22"/>
          <w:szCs w:val="22"/>
          <w:u w:val="single"/>
        </w:rPr>
        <w:t>备注：招标文件中带“▲”并加下划线的内容为实质性要求或者条款；带有下划线或深色底纹的内容，为招标文件的着重提醒内容，请投标人审慎阅读。</w:t>
      </w:r>
    </w:p>
    <w:p w14:paraId="5578C1E1">
      <w:pPr>
        <w:spacing w:line="360" w:lineRule="exact"/>
        <w:ind w:right="110"/>
        <w:rPr>
          <w:rFonts w:hint="eastAsia" w:ascii="宋体" w:hAnsi="宋体" w:cs="宋体"/>
          <w:b/>
          <w:color w:val="auto"/>
          <w:sz w:val="22"/>
          <w:szCs w:val="22"/>
          <w:u w:val="single"/>
        </w:rPr>
      </w:pPr>
    </w:p>
    <w:p w14:paraId="093AB807">
      <w:pPr>
        <w:spacing w:line="360" w:lineRule="exact"/>
        <w:ind w:right="110"/>
        <w:rPr>
          <w:rFonts w:hint="eastAsia" w:ascii="宋体" w:hAnsi="宋体" w:cs="宋体"/>
          <w:b/>
          <w:color w:val="auto"/>
          <w:sz w:val="22"/>
          <w:szCs w:val="22"/>
          <w:u w:val="single"/>
        </w:rPr>
      </w:pPr>
    </w:p>
    <w:p w14:paraId="0E327CF7">
      <w:pPr>
        <w:spacing w:line="360" w:lineRule="exact"/>
        <w:ind w:right="110"/>
        <w:rPr>
          <w:rFonts w:hint="eastAsia" w:ascii="宋体" w:hAnsi="宋体" w:cs="宋体"/>
          <w:b/>
          <w:color w:val="auto"/>
          <w:sz w:val="22"/>
          <w:szCs w:val="22"/>
          <w:u w:val="single"/>
        </w:rPr>
      </w:pPr>
    </w:p>
    <w:p w14:paraId="1F996712">
      <w:pPr>
        <w:spacing w:line="360" w:lineRule="exact"/>
        <w:ind w:right="110"/>
        <w:rPr>
          <w:rFonts w:hint="eastAsia" w:ascii="宋体" w:hAnsi="宋体" w:cs="宋体"/>
          <w:b/>
          <w:color w:val="auto"/>
          <w:sz w:val="22"/>
          <w:szCs w:val="22"/>
          <w:u w:val="single"/>
        </w:rPr>
      </w:pPr>
    </w:p>
    <w:p w14:paraId="138EA7B3">
      <w:pPr>
        <w:spacing w:line="360" w:lineRule="exact"/>
        <w:ind w:right="110"/>
        <w:rPr>
          <w:rFonts w:hint="eastAsia" w:ascii="宋体" w:hAnsi="宋体" w:cs="宋体"/>
          <w:b/>
          <w:color w:val="auto"/>
          <w:sz w:val="22"/>
          <w:szCs w:val="22"/>
          <w:u w:val="single"/>
        </w:rPr>
      </w:pPr>
    </w:p>
    <w:p w14:paraId="36E886F9">
      <w:pPr>
        <w:spacing w:line="360" w:lineRule="exact"/>
        <w:ind w:right="110"/>
        <w:rPr>
          <w:rFonts w:hint="eastAsia" w:ascii="宋体" w:hAnsi="宋体" w:cs="宋体"/>
          <w:b/>
          <w:color w:val="auto"/>
          <w:sz w:val="22"/>
          <w:szCs w:val="22"/>
          <w:u w:val="single"/>
        </w:rPr>
      </w:pPr>
    </w:p>
    <w:p w14:paraId="2AB209DA">
      <w:pPr>
        <w:spacing w:line="360" w:lineRule="exact"/>
        <w:ind w:right="110"/>
        <w:rPr>
          <w:rFonts w:hint="eastAsia" w:ascii="宋体" w:hAnsi="宋体" w:cs="宋体"/>
          <w:b/>
          <w:color w:val="auto"/>
          <w:sz w:val="22"/>
          <w:szCs w:val="22"/>
          <w:u w:val="single"/>
        </w:rPr>
      </w:pPr>
    </w:p>
    <w:p w14:paraId="0CD37C49">
      <w:pPr>
        <w:spacing w:line="360" w:lineRule="exact"/>
        <w:ind w:right="110"/>
        <w:rPr>
          <w:rFonts w:hint="eastAsia" w:ascii="宋体" w:hAnsi="宋体" w:cs="宋体"/>
          <w:b/>
          <w:color w:val="auto"/>
          <w:sz w:val="22"/>
          <w:szCs w:val="22"/>
          <w:u w:val="single"/>
        </w:rPr>
      </w:pPr>
    </w:p>
    <w:p w14:paraId="0E3F5EE6">
      <w:pPr>
        <w:pStyle w:val="2"/>
        <w:ind w:left="420" w:firstLine="480"/>
        <w:rPr>
          <w:color w:val="auto"/>
        </w:rPr>
      </w:pPr>
    </w:p>
    <w:p w14:paraId="1A3A9A09">
      <w:pPr>
        <w:pStyle w:val="20"/>
        <w:ind w:firstLine="210"/>
        <w:rPr>
          <w:color w:val="auto"/>
        </w:rPr>
      </w:pPr>
    </w:p>
    <w:p w14:paraId="43312262">
      <w:pPr>
        <w:pStyle w:val="2"/>
        <w:ind w:left="420" w:firstLine="480"/>
        <w:rPr>
          <w:color w:val="auto"/>
        </w:rPr>
      </w:pPr>
    </w:p>
    <w:p w14:paraId="5C24D4C8">
      <w:pPr>
        <w:rPr>
          <w:rFonts w:hint="eastAsia" w:ascii="黑体" w:hAnsi="黑体" w:eastAsia="黑体"/>
          <w:bCs/>
          <w:color w:val="auto"/>
          <w:sz w:val="36"/>
          <w:szCs w:val="36"/>
        </w:rPr>
      </w:pPr>
    </w:p>
    <w:p w14:paraId="48D31E7F">
      <w:pPr>
        <w:rPr>
          <w:rFonts w:hint="eastAsia" w:ascii="黑体" w:hAnsi="黑体" w:eastAsia="黑体"/>
          <w:bCs/>
          <w:color w:val="auto"/>
          <w:sz w:val="36"/>
          <w:szCs w:val="36"/>
        </w:rPr>
      </w:pPr>
      <w:r>
        <w:rPr>
          <w:rFonts w:hint="eastAsia" w:ascii="黑体" w:hAnsi="黑体" w:eastAsia="黑体"/>
          <w:bCs/>
          <w:color w:val="auto"/>
          <w:sz w:val="36"/>
          <w:szCs w:val="36"/>
        </w:rPr>
        <w:br w:type="page"/>
      </w:r>
    </w:p>
    <w:p w14:paraId="2578B15D">
      <w:pPr>
        <w:pStyle w:val="4"/>
        <w:spacing w:line="600" w:lineRule="exact"/>
        <w:jc w:val="center"/>
        <w:rPr>
          <w:rFonts w:hint="eastAsia" w:ascii="黑体" w:hAnsi="黑体" w:eastAsia="黑体"/>
          <w:bCs/>
          <w:color w:val="auto"/>
          <w:sz w:val="36"/>
          <w:szCs w:val="36"/>
        </w:rPr>
      </w:pPr>
      <w:bookmarkStart w:id="2" w:name="_Toc2205"/>
      <w:r>
        <w:rPr>
          <w:rFonts w:hint="eastAsia" w:ascii="黑体" w:hAnsi="黑体" w:eastAsia="黑体"/>
          <w:bCs/>
          <w:color w:val="auto"/>
          <w:sz w:val="36"/>
          <w:szCs w:val="36"/>
        </w:rPr>
        <w:t>第一部分   招标公告</w:t>
      </w:r>
      <w:bookmarkEnd w:id="2"/>
    </w:p>
    <w:p w14:paraId="2DE75DCB">
      <w:pPr>
        <w:pBdr>
          <w:top w:val="single" w:color="auto" w:sz="4" w:space="1"/>
          <w:left w:val="single" w:color="auto" w:sz="4" w:space="4"/>
          <w:bottom w:val="single" w:color="auto" w:sz="4" w:space="1"/>
          <w:right w:val="single" w:color="auto" w:sz="4" w:space="4"/>
        </w:pBdr>
        <w:spacing w:line="440" w:lineRule="exact"/>
        <w:rPr>
          <w:rFonts w:hint="eastAsia" w:ascii="宋体" w:hAnsi="宋体"/>
          <w:color w:val="auto"/>
          <w:sz w:val="22"/>
          <w:szCs w:val="22"/>
        </w:rPr>
      </w:pPr>
      <w:r>
        <w:rPr>
          <w:rFonts w:hint="eastAsia" w:ascii="宋体" w:hAnsi="宋体"/>
          <w:color w:val="auto"/>
          <w:sz w:val="22"/>
          <w:szCs w:val="22"/>
        </w:rPr>
        <w:t>项目概况</w:t>
      </w:r>
    </w:p>
    <w:p w14:paraId="2ECC1FAE">
      <w:pPr>
        <w:pBdr>
          <w:top w:val="single" w:color="auto" w:sz="4" w:space="1"/>
          <w:left w:val="single" w:color="auto" w:sz="4" w:space="4"/>
          <w:bottom w:val="single" w:color="auto" w:sz="4" w:space="1"/>
          <w:right w:val="single" w:color="auto" w:sz="4" w:space="4"/>
        </w:pBdr>
        <w:spacing w:line="440" w:lineRule="exact"/>
        <w:ind w:firstLine="440" w:firstLineChars="200"/>
        <w:rPr>
          <w:rFonts w:hint="eastAsia" w:ascii="宋体" w:hAnsi="宋体"/>
          <w:color w:val="auto"/>
          <w:sz w:val="22"/>
          <w:szCs w:val="22"/>
        </w:rPr>
      </w:pPr>
      <w:r>
        <w:rPr>
          <w:rFonts w:hint="eastAsia" w:ascii="宋体" w:hAnsi="宋体"/>
          <w:color w:val="auto"/>
          <w:sz w:val="22"/>
          <w:szCs w:val="22"/>
          <w:u w:val="single"/>
          <w:lang w:eastAsia="zh-CN"/>
        </w:rPr>
        <w:t>12#楼宿舍等家具采购</w:t>
      </w:r>
      <w:r>
        <w:rPr>
          <w:rFonts w:hint="eastAsia" w:ascii="宋体" w:hAnsi="宋体"/>
          <w:color w:val="auto"/>
          <w:sz w:val="22"/>
          <w:szCs w:val="22"/>
        </w:rPr>
        <w:t>招标项目的潜在投标人应在</w:t>
      </w:r>
      <w:r>
        <w:rPr>
          <w:rFonts w:hint="eastAsia" w:ascii="宋体" w:hAnsi="宋体"/>
          <w:color w:val="auto"/>
          <w:sz w:val="22"/>
          <w:szCs w:val="22"/>
          <w:u w:val="single"/>
        </w:rPr>
        <w:t>政采云平台（</w:t>
      </w:r>
      <w:r>
        <w:rPr>
          <w:color w:val="auto"/>
        </w:rPr>
        <w:fldChar w:fldCharType="begin"/>
      </w:r>
      <w:r>
        <w:rPr>
          <w:color w:val="auto"/>
        </w:rPr>
        <w:instrText xml:space="preserve"> HYPERLINK "https://www.zcygov.cn）获取（下载）招标文件，并于2023年" </w:instrText>
      </w:r>
      <w:r>
        <w:rPr>
          <w:color w:val="auto"/>
        </w:rPr>
        <w:fldChar w:fldCharType="separate"/>
      </w:r>
      <w:r>
        <w:rPr>
          <w:rStyle w:val="45"/>
          <w:rFonts w:hint="eastAsia" w:ascii="宋体" w:hAnsi="宋体"/>
          <w:color w:val="auto"/>
          <w:sz w:val="22"/>
          <w:szCs w:val="22"/>
        </w:rPr>
        <w:t>https://www.zcygov.cn）获取（下载）招标文件，并于</w:t>
      </w:r>
      <w:r>
        <w:rPr>
          <w:rStyle w:val="45"/>
          <w:rFonts w:ascii="宋体" w:hAnsi="宋体"/>
          <w:color w:val="auto"/>
          <w:sz w:val="22"/>
          <w:szCs w:val="22"/>
        </w:rPr>
        <w:t>202</w:t>
      </w:r>
      <w:r>
        <w:rPr>
          <w:rStyle w:val="45"/>
          <w:rFonts w:hint="eastAsia" w:ascii="宋体" w:hAnsi="宋体"/>
          <w:color w:val="auto"/>
          <w:sz w:val="22"/>
          <w:szCs w:val="22"/>
        </w:rPr>
        <w:t>4</w:t>
      </w:r>
      <w:r>
        <w:rPr>
          <w:rStyle w:val="45"/>
          <w:rFonts w:hint="eastAsia" w:ascii="宋体" w:hAnsi="宋体"/>
          <w:bCs/>
          <w:color w:val="auto"/>
          <w:sz w:val="22"/>
          <w:szCs w:val="22"/>
        </w:rPr>
        <w:t>年</w:t>
      </w:r>
      <w:r>
        <w:rPr>
          <w:rStyle w:val="45"/>
          <w:rFonts w:hint="eastAsia" w:ascii="宋体" w:hAnsi="宋体"/>
          <w:bCs/>
          <w:color w:val="auto"/>
          <w:sz w:val="22"/>
          <w:szCs w:val="22"/>
        </w:rPr>
        <w:fldChar w:fldCharType="end"/>
      </w:r>
      <w:r>
        <w:rPr>
          <w:rFonts w:hint="eastAsia" w:ascii="宋体" w:hAnsi="宋体"/>
          <w:color w:val="auto"/>
          <w:sz w:val="22"/>
          <w:szCs w:val="22"/>
          <w:u w:val="single"/>
          <w:lang w:val="en-US" w:eastAsia="zh-CN"/>
        </w:rPr>
        <w:t>12</w:t>
      </w:r>
      <w:r>
        <w:rPr>
          <w:rFonts w:hint="eastAsia" w:ascii="宋体" w:hAnsi="宋体"/>
          <w:bCs/>
          <w:color w:val="auto"/>
          <w:sz w:val="22"/>
          <w:szCs w:val="22"/>
        </w:rPr>
        <w:t>月</w:t>
      </w:r>
      <w:r>
        <w:rPr>
          <w:rFonts w:hint="eastAsia" w:ascii="宋体" w:hAnsi="宋体"/>
          <w:bCs/>
          <w:color w:val="auto"/>
          <w:sz w:val="22"/>
          <w:szCs w:val="22"/>
          <w:u w:val="single"/>
          <w:lang w:val="en-US" w:eastAsia="zh-CN"/>
        </w:rPr>
        <w:t>18</w:t>
      </w:r>
      <w:r>
        <w:rPr>
          <w:rFonts w:hint="eastAsia" w:ascii="宋体" w:hAnsi="宋体"/>
          <w:bCs/>
          <w:color w:val="auto"/>
          <w:sz w:val="22"/>
          <w:szCs w:val="22"/>
        </w:rPr>
        <w:t>日</w:t>
      </w:r>
      <w:r>
        <w:rPr>
          <w:rFonts w:hint="eastAsia" w:ascii="宋体" w:hAnsi="宋体"/>
          <w:bCs/>
          <w:color w:val="auto"/>
          <w:sz w:val="22"/>
          <w:szCs w:val="22"/>
          <w:u w:val="single"/>
          <w:lang w:val="en-US" w:eastAsia="zh-CN"/>
        </w:rPr>
        <w:t>09</w:t>
      </w:r>
      <w:r>
        <w:rPr>
          <w:rFonts w:hint="eastAsia" w:ascii="宋体" w:hAnsi="宋体"/>
          <w:bCs/>
          <w:color w:val="auto"/>
          <w:sz w:val="22"/>
          <w:szCs w:val="22"/>
        </w:rPr>
        <w:t>点</w:t>
      </w:r>
      <w:r>
        <w:rPr>
          <w:rFonts w:ascii="宋体" w:hAnsi="宋体"/>
          <w:bCs/>
          <w:color w:val="auto"/>
          <w:sz w:val="22"/>
          <w:szCs w:val="22"/>
          <w:u w:val="single"/>
        </w:rPr>
        <w:t>30</w:t>
      </w:r>
      <w:r>
        <w:rPr>
          <w:rFonts w:hint="eastAsia" w:ascii="宋体" w:hAnsi="宋体"/>
          <w:bCs/>
          <w:color w:val="auto"/>
          <w:sz w:val="22"/>
          <w:szCs w:val="22"/>
        </w:rPr>
        <w:t>分（北京时间）前递交（上传）投标</w:t>
      </w:r>
      <w:r>
        <w:rPr>
          <w:rFonts w:ascii="宋体" w:hAnsi="宋体"/>
          <w:bCs/>
          <w:color w:val="auto"/>
          <w:sz w:val="22"/>
          <w:szCs w:val="22"/>
        </w:rPr>
        <w:t>文件</w:t>
      </w:r>
      <w:r>
        <w:rPr>
          <w:rFonts w:hint="eastAsia" w:ascii="宋体" w:hAnsi="宋体"/>
          <w:color w:val="auto"/>
          <w:sz w:val="22"/>
          <w:szCs w:val="22"/>
        </w:rPr>
        <w:t>。</w:t>
      </w:r>
    </w:p>
    <w:p w14:paraId="05AC8EC5">
      <w:pPr>
        <w:widowControl/>
        <w:spacing w:line="440" w:lineRule="exact"/>
        <w:rPr>
          <w:rFonts w:hint="eastAsia" w:ascii="宋体" w:hAnsi="宋体" w:cs="宋体"/>
          <w:b/>
          <w:color w:val="auto"/>
          <w:sz w:val="22"/>
          <w:szCs w:val="22"/>
        </w:rPr>
      </w:pPr>
      <w:bookmarkStart w:id="3" w:name="_Toc35393621"/>
      <w:bookmarkStart w:id="4" w:name="_Toc35393790"/>
      <w:bookmarkStart w:id="5" w:name="_Toc28359002"/>
      <w:bookmarkStart w:id="6" w:name="_Toc28359079"/>
      <w:bookmarkStart w:id="7" w:name="_Hlk24379207"/>
      <w:r>
        <w:rPr>
          <w:rFonts w:hint="eastAsia" w:ascii="宋体" w:hAnsi="宋体" w:cs="宋体"/>
          <w:b/>
          <w:color w:val="auto"/>
          <w:sz w:val="22"/>
          <w:szCs w:val="22"/>
        </w:rPr>
        <w:t>一、项目基本情况</w:t>
      </w:r>
      <w:bookmarkEnd w:id="3"/>
      <w:bookmarkEnd w:id="4"/>
      <w:bookmarkEnd w:id="5"/>
      <w:bookmarkEnd w:id="6"/>
    </w:p>
    <w:p w14:paraId="2D8992A6">
      <w:pPr>
        <w:spacing w:line="440" w:lineRule="exact"/>
        <w:ind w:firstLine="440" w:firstLineChars="200"/>
        <w:rPr>
          <w:rFonts w:hint="eastAsia" w:ascii="宋体" w:hAnsi="宋体"/>
          <w:color w:val="auto"/>
          <w:sz w:val="22"/>
          <w:szCs w:val="22"/>
        </w:rPr>
      </w:pPr>
      <w:r>
        <w:rPr>
          <w:rFonts w:hint="eastAsia" w:ascii="宋体" w:hAnsi="宋体"/>
          <w:color w:val="auto"/>
          <w:sz w:val="22"/>
          <w:szCs w:val="22"/>
        </w:rPr>
        <w:t>项目编号：WZZF2024(ZC)-11-245（GK）</w:t>
      </w:r>
    </w:p>
    <w:p w14:paraId="664360C7">
      <w:pPr>
        <w:spacing w:line="440" w:lineRule="exact"/>
        <w:ind w:firstLine="440" w:firstLineChars="200"/>
        <w:rPr>
          <w:rFonts w:hint="eastAsia" w:ascii="宋体" w:hAnsi="宋体" w:eastAsia="宋体"/>
          <w:color w:val="auto"/>
          <w:sz w:val="22"/>
          <w:szCs w:val="22"/>
          <w:lang w:eastAsia="zh-CN"/>
        </w:rPr>
      </w:pPr>
      <w:r>
        <w:rPr>
          <w:rFonts w:hint="eastAsia" w:ascii="宋体" w:hAnsi="宋体"/>
          <w:color w:val="auto"/>
          <w:sz w:val="22"/>
          <w:szCs w:val="22"/>
        </w:rPr>
        <w:t>项目名称：</w:t>
      </w:r>
      <w:r>
        <w:rPr>
          <w:rFonts w:hint="eastAsia" w:ascii="宋体" w:hAnsi="宋体"/>
          <w:color w:val="auto"/>
          <w:sz w:val="22"/>
          <w:szCs w:val="22"/>
          <w:lang w:eastAsia="zh-CN"/>
        </w:rPr>
        <w:t>12#楼宿舍等家具采购</w:t>
      </w:r>
    </w:p>
    <w:bookmarkEnd w:id="7"/>
    <w:p w14:paraId="00B8D9B3">
      <w:pPr>
        <w:spacing w:line="440" w:lineRule="exact"/>
        <w:ind w:firstLine="440" w:firstLineChars="200"/>
        <w:rPr>
          <w:rFonts w:hint="default" w:ascii="宋体" w:hAnsi="宋体" w:eastAsia="宋体"/>
          <w:color w:val="auto"/>
          <w:sz w:val="22"/>
          <w:szCs w:val="22"/>
          <w:lang w:val="en-US" w:eastAsia="zh-CN"/>
        </w:rPr>
      </w:pPr>
      <w:r>
        <w:rPr>
          <w:rFonts w:hint="eastAsia" w:ascii="宋体" w:hAnsi="宋体"/>
          <w:color w:val="auto"/>
          <w:sz w:val="22"/>
          <w:szCs w:val="22"/>
        </w:rPr>
        <w:t>预算金额（元）：</w:t>
      </w:r>
      <w:r>
        <w:rPr>
          <w:rFonts w:hint="eastAsia" w:ascii="宋体" w:hAnsi="宋体"/>
          <w:color w:val="auto"/>
          <w:sz w:val="22"/>
          <w:szCs w:val="22"/>
          <w:lang w:val="en-US" w:eastAsia="zh-CN"/>
        </w:rPr>
        <w:t>2760000</w:t>
      </w:r>
    </w:p>
    <w:p w14:paraId="43D64DE0">
      <w:pPr>
        <w:spacing w:line="440" w:lineRule="exact"/>
        <w:ind w:firstLine="440" w:firstLineChars="200"/>
        <w:rPr>
          <w:rFonts w:hint="eastAsia" w:ascii="宋体" w:hAnsi="宋体"/>
          <w:color w:val="auto"/>
          <w:sz w:val="22"/>
          <w:szCs w:val="22"/>
          <w:u w:val="single"/>
        </w:rPr>
      </w:pPr>
      <w:r>
        <w:rPr>
          <w:rFonts w:hint="eastAsia" w:ascii="宋体" w:hAnsi="宋体"/>
          <w:color w:val="auto"/>
          <w:sz w:val="22"/>
          <w:szCs w:val="22"/>
        </w:rPr>
        <w:t>最高限价（元）：</w:t>
      </w:r>
      <w:r>
        <w:rPr>
          <w:rFonts w:hint="eastAsia" w:ascii="宋体" w:hAnsi="宋体"/>
          <w:color w:val="auto"/>
          <w:sz w:val="22"/>
          <w:szCs w:val="22"/>
          <w:lang w:val="en-US" w:eastAsia="zh-CN"/>
        </w:rPr>
        <w:t>2760000</w:t>
      </w:r>
    </w:p>
    <w:p w14:paraId="45472394">
      <w:pPr>
        <w:spacing w:line="440" w:lineRule="exact"/>
        <w:ind w:firstLine="440" w:firstLineChars="200"/>
        <w:rPr>
          <w:rFonts w:hint="eastAsia" w:ascii="宋体" w:hAnsi="宋体"/>
          <w:color w:val="auto"/>
          <w:sz w:val="22"/>
          <w:szCs w:val="22"/>
        </w:rPr>
      </w:pPr>
      <w:r>
        <w:rPr>
          <w:rFonts w:hint="eastAsia" w:ascii="宋体" w:hAnsi="宋体"/>
          <w:color w:val="auto"/>
          <w:sz w:val="22"/>
          <w:szCs w:val="22"/>
        </w:rPr>
        <w:t>采购需求：</w:t>
      </w:r>
    </w:p>
    <w:p w14:paraId="3570DD4F">
      <w:pPr>
        <w:spacing w:line="440" w:lineRule="exact"/>
        <w:ind w:firstLine="440" w:firstLineChars="200"/>
        <w:rPr>
          <w:rFonts w:hint="eastAsia" w:ascii="宋体" w:hAnsi="宋体"/>
          <w:color w:val="auto"/>
          <w:sz w:val="22"/>
          <w:szCs w:val="22"/>
        </w:rPr>
      </w:pPr>
      <w:r>
        <w:rPr>
          <w:rFonts w:hint="eastAsia" w:ascii="宋体" w:hAnsi="宋体"/>
          <w:color w:val="auto"/>
          <w:sz w:val="22"/>
          <w:szCs w:val="22"/>
        </w:rPr>
        <w:t>标项一：</w:t>
      </w:r>
      <w:r>
        <w:rPr>
          <w:rFonts w:hint="eastAsia" w:ascii="宋体" w:hAnsi="宋体"/>
          <w:color w:val="auto"/>
          <w:sz w:val="22"/>
          <w:szCs w:val="22"/>
        </w:rPr>
        <w:br w:type="textWrapping"/>
      </w:r>
      <w:r>
        <w:rPr>
          <w:rFonts w:hint="eastAsia" w:ascii="宋体" w:hAnsi="宋体"/>
          <w:color w:val="auto"/>
          <w:sz w:val="22"/>
          <w:szCs w:val="22"/>
        </w:rPr>
        <w:t>   标项名称：</w:t>
      </w:r>
      <w:r>
        <w:rPr>
          <w:rFonts w:hint="eastAsia" w:ascii="宋体" w:hAnsi="宋体"/>
          <w:color w:val="auto"/>
          <w:sz w:val="22"/>
          <w:szCs w:val="22"/>
          <w:lang w:eastAsia="zh-CN"/>
        </w:rPr>
        <w:t>12#楼宿舍等家具采购</w:t>
      </w:r>
      <w:r>
        <w:rPr>
          <w:rFonts w:hint="eastAsia" w:ascii="宋体" w:hAnsi="宋体"/>
          <w:color w:val="auto"/>
          <w:sz w:val="22"/>
          <w:szCs w:val="22"/>
        </w:rPr>
        <w:br w:type="textWrapping"/>
      </w:r>
      <w:r>
        <w:rPr>
          <w:rFonts w:hint="eastAsia" w:ascii="宋体" w:hAnsi="宋体"/>
          <w:color w:val="auto"/>
          <w:sz w:val="22"/>
          <w:szCs w:val="22"/>
        </w:rPr>
        <w:t>   数量: 1项</w:t>
      </w:r>
      <w:r>
        <w:rPr>
          <w:rFonts w:hint="eastAsia" w:ascii="宋体" w:hAnsi="宋体"/>
          <w:color w:val="auto"/>
          <w:sz w:val="22"/>
          <w:szCs w:val="22"/>
        </w:rPr>
        <w:br w:type="textWrapping"/>
      </w:r>
      <w:r>
        <w:rPr>
          <w:rFonts w:hint="eastAsia" w:ascii="宋体" w:hAnsi="宋体"/>
          <w:color w:val="auto"/>
          <w:sz w:val="22"/>
          <w:szCs w:val="22"/>
        </w:rPr>
        <w:t>   预算金额（元）：</w:t>
      </w:r>
      <w:r>
        <w:rPr>
          <w:rFonts w:hint="eastAsia" w:ascii="宋体" w:hAnsi="宋体"/>
          <w:color w:val="auto"/>
          <w:sz w:val="22"/>
          <w:szCs w:val="22"/>
          <w:lang w:val="en-US" w:eastAsia="zh-CN"/>
        </w:rPr>
        <w:t>2760000</w:t>
      </w:r>
      <w:r>
        <w:rPr>
          <w:rFonts w:hint="eastAsia" w:ascii="宋体" w:hAnsi="宋体"/>
          <w:color w:val="auto"/>
          <w:sz w:val="22"/>
          <w:szCs w:val="22"/>
        </w:rPr>
        <w:br w:type="textWrapping"/>
      </w:r>
      <w:r>
        <w:rPr>
          <w:rFonts w:hint="eastAsia" w:ascii="宋体" w:hAnsi="宋体"/>
          <w:color w:val="auto"/>
          <w:sz w:val="22"/>
          <w:szCs w:val="22"/>
        </w:rPr>
        <w:t>   简要规格描述或项目基本概况介绍、用途：浙江安防职业技术学院</w:t>
      </w:r>
      <w:r>
        <w:rPr>
          <w:rFonts w:hint="eastAsia" w:ascii="宋体" w:hAnsi="宋体"/>
          <w:color w:val="auto"/>
          <w:sz w:val="22"/>
          <w:szCs w:val="22"/>
          <w:lang w:eastAsia="zh-CN"/>
        </w:rPr>
        <w:t>12#楼宿舍等家具采购</w:t>
      </w:r>
      <w:r>
        <w:rPr>
          <w:rFonts w:hint="eastAsia" w:ascii="宋体" w:hAnsi="宋体"/>
          <w:color w:val="auto"/>
          <w:sz w:val="22"/>
          <w:szCs w:val="22"/>
        </w:rPr>
        <w:t>，包括货物的</w:t>
      </w:r>
      <w:r>
        <w:rPr>
          <w:rFonts w:hint="eastAsia" w:ascii="宋体" w:hAnsi="宋体" w:cs="宋体"/>
          <w:color w:val="auto"/>
          <w:sz w:val="22"/>
          <w:szCs w:val="22"/>
        </w:rPr>
        <w:t>供货、安装、调试等内容，</w:t>
      </w:r>
      <w:r>
        <w:rPr>
          <w:rFonts w:hint="eastAsia" w:ascii="宋体" w:hAnsi="宋体"/>
          <w:color w:val="auto"/>
          <w:sz w:val="22"/>
          <w:szCs w:val="22"/>
        </w:rPr>
        <w:t>详见招标文件第五部分。</w:t>
      </w:r>
    </w:p>
    <w:p w14:paraId="7852EF89">
      <w:pPr>
        <w:spacing w:line="440" w:lineRule="exact"/>
        <w:ind w:firstLine="440" w:firstLineChars="200"/>
        <w:rPr>
          <w:rFonts w:hint="eastAsia" w:ascii="宋体" w:hAnsi="宋体"/>
          <w:color w:val="auto"/>
          <w:sz w:val="22"/>
          <w:szCs w:val="22"/>
        </w:rPr>
      </w:pPr>
      <w:r>
        <w:rPr>
          <w:rFonts w:hint="eastAsia" w:ascii="宋体" w:hAnsi="宋体"/>
          <w:color w:val="auto"/>
          <w:sz w:val="22"/>
          <w:szCs w:val="22"/>
        </w:rPr>
        <w:t>备注：</w:t>
      </w:r>
    </w:p>
    <w:p w14:paraId="4B9B28A2">
      <w:pPr>
        <w:adjustRightInd w:val="0"/>
        <w:snapToGrid w:val="0"/>
        <w:spacing w:line="440" w:lineRule="exact"/>
        <w:ind w:firstLine="440" w:firstLineChars="200"/>
        <w:rPr>
          <w:rFonts w:hint="eastAsia" w:ascii="宋体" w:hAnsi="宋体" w:cs="宋体"/>
          <w:color w:val="auto"/>
          <w:sz w:val="22"/>
          <w:szCs w:val="22"/>
        </w:rPr>
      </w:pPr>
      <w:r>
        <w:rPr>
          <w:rFonts w:hint="eastAsia" w:ascii="宋体" w:hAnsi="宋体"/>
          <w:color w:val="auto"/>
          <w:sz w:val="22"/>
          <w:szCs w:val="22"/>
        </w:rPr>
        <w:t>合同履行期限：</w:t>
      </w:r>
      <w:r>
        <w:rPr>
          <w:rFonts w:hint="eastAsia" w:ascii="宋体" w:hAnsi="宋体" w:cs="宋体"/>
          <w:color w:val="auto"/>
          <w:sz w:val="22"/>
        </w:rPr>
        <w:t>合同签订后</w:t>
      </w:r>
      <w:r>
        <w:rPr>
          <w:rFonts w:hint="eastAsia" w:ascii="宋体" w:hAnsi="宋体" w:cs="宋体"/>
          <w:color w:val="auto"/>
          <w:sz w:val="22"/>
          <w:lang w:val="en-US" w:eastAsia="zh-CN"/>
        </w:rPr>
        <w:t>9</w:t>
      </w:r>
      <w:r>
        <w:rPr>
          <w:rFonts w:hint="eastAsia" w:ascii="宋体" w:hAnsi="宋体" w:cs="宋体"/>
          <w:color w:val="auto"/>
          <w:sz w:val="22"/>
        </w:rPr>
        <w:t>0天内完成全部设备的</w:t>
      </w:r>
      <w:r>
        <w:rPr>
          <w:rFonts w:hint="eastAsia" w:ascii="宋体" w:hAnsi="宋体" w:cs="宋体"/>
          <w:color w:val="auto"/>
          <w:sz w:val="22"/>
          <w:szCs w:val="22"/>
        </w:rPr>
        <w:t>供货、安装、调试</w:t>
      </w:r>
      <w:r>
        <w:rPr>
          <w:rFonts w:hint="eastAsia" w:ascii="宋体" w:hAnsi="宋体" w:cs="宋体"/>
          <w:color w:val="auto"/>
          <w:sz w:val="22"/>
        </w:rPr>
        <w:t>，由采购人进行验收</w:t>
      </w:r>
      <w:r>
        <w:rPr>
          <w:rFonts w:hint="eastAsia" w:ascii="宋体" w:hAnsi="宋体" w:cs="宋体"/>
          <w:color w:val="auto"/>
          <w:sz w:val="22"/>
          <w:szCs w:val="22"/>
        </w:rPr>
        <w:t>。</w:t>
      </w:r>
    </w:p>
    <w:p w14:paraId="46FA4959">
      <w:pPr>
        <w:spacing w:line="440" w:lineRule="exact"/>
        <w:ind w:firstLine="440" w:firstLineChars="200"/>
        <w:rPr>
          <w:rFonts w:hint="eastAsia" w:ascii="宋体" w:hAnsi="宋体"/>
          <w:color w:val="auto"/>
          <w:sz w:val="22"/>
          <w:szCs w:val="22"/>
        </w:rPr>
      </w:pPr>
      <w:r>
        <w:rPr>
          <w:rFonts w:hint="eastAsia" w:ascii="宋体" w:hAnsi="宋体"/>
          <w:color w:val="auto"/>
          <w:sz w:val="22"/>
          <w:szCs w:val="22"/>
        </w:rPr>
        <w:t>本项目（是）接受联合体投标。</w:t>
      </w:r>
    </w:p>
    <w:p w14:paraId="4C033E39">
      <w:pPr>
        <w:widowControl/>
        <w:spacing w:line="440" w:lineRule="exact"/>
        <w:rPr>
          <w:rFonts w:hint="eastAsia" w:ascii="宋体" w:hAnsi="宋体" w:cs="宋体"/>
          <w:b/>
          <w:color w:val="auto"/>
          <w:sz w:val="22"/>
          <w:szCs w:val="22"/>
        </w:rPr>
      </w:pPr>
      <w:bookmarkStart w:id="8" w:name="_Toc28359003"/>
      <w:bookmarkStart w:id="9" w:name="_Toc35393622"/>
      <w:bookmarkStart w:id="10" w:name="_Toc35393791"/>
      <w:bookmarkStart w:id="11" w:name="_Toc28359080"/>
      <w:r>
        <w:rPr>
          <w:rFonts w:hint="eastAsia" w:ascii="宋体" w:hAnsi="宋体" w:cs="宋体"/>
          <w:b/>
          <w:color w:val="auto"/>
          <w:sz w:val="22"/>
          <w:szCs w:val="22"/>
        </w:rPr>
        <w:t>二、申请人的资格要求：</w:t>
      </w:r>
      <w:bookmarkEnd w:id="8"/>
      <w:bookmarkEnd w:id="9"/>
      <w:bookmarkEnd w:id="10"/>
      <w:bookmarkEnd w:id="11"/>
    </w:p>
    <w:p w14:paraId="5A291140">
      <w:pPr>
        <w:spacing w:line="440" w:lineRule="exact"/>
        <w:ind w:firstLine="440" w:firstLineChars="200"/>
        <w:rPr>
          <w:rFonts w:hint="eastAsia" w:ascii="宋体" w:hAnsi="宋体"/>
          <w:color w:val="auto"/>
          <w:sz w:val="22"/>
          <w:szCs w:val="22"/>
        </w:rPr>
      </w:pPr>
      <w:r>
        <w:rPr>
          <w:rFonts w:hint="eastAsia" w:ascii="宋体" w:hAnsi="宋体"/>
          <w:color w:val="auto"/>
          <w:sz w:val="22"/>
          <w:szCs w:val="22"/>
        </w:rPr>
        <w:t>1.满足《中华人民共和国政府采购法》第二十二条规定；未被“信用中国”（www.creditchina.gov.cn)、中国政府采购网（www.ccgp.gov.cn）列入失信被执行人、重大税收违法案件当事人名单、政府采购严重违法失信行为记录名单；</w:t>
      </w:r>
    </w:p>
    <w:p w14:paraId="350BBB3C">
      <w:pPr>
        <w:spacing w:line="440" w:lineRule="exact"/>
        <w:ind w:firstLine="440" w:firstLineChars="200"/>
        <w:rPr>
          <w:rFonts w:hint="eastAsia" w:ascii="宋体" w:hAnsi="宋体"/>
          <w:color w:val="auto"/>
          <w:sz w:val="22"/>
          <w:szCs w:val="22"/>
          <w:u w:val="single"/>
        </w:rPr>
      </w:pPr>
      <w:bookmarkStart w:id="12" w:name="_Toc28359081"/>
      <w:bookmarkStart w:id="13" w:name="_Toc28359004"/>
      <w:r>
        <w:rPr>
          <w:rFonts w:ascii="宋体" w:hAnsi="宋体"/>
          <w:color w:val="auto"/>
          <w:sz w:val="22"/>
          <w:szCs w:val="22"/>
        </w:rPr>
        <w:t>2</w:t>
      </w:r>
      <w:r>
        <w:rPr>
          <w:rFonts w:hint="eastAsia" w:ascii="宋体" w:hAnsi="宋体"/>
          <w:color w:val="auto"/>
          <w:sz w:val="22"/>
          <w:szCs w:val="22"/>
        </w:rPr>
        <w:t>.落实政府采购政策需满足的资格要求：供应商为中小企业/小微企业。</w:t>
      </w:r>
    </w:p>
    <w:p w14:paraId="48FE5769">
      <w:pPr>
        <w:spacing w:line="440" w:lineRule="exact"/>
        <w:ind w:firstLine="440" w:firstLineChars="200"/>
        <w:rPr>
          <w:rFonts w:hint="eastAsia" w:ascii="宋体" w:hAnsi="宋体"/>
          <w:color w:val="auto"/>
          <w:sz w:val="22"/>
          <w:szCs w:val="22"/>
          <w:u w:val="single"/>
        </w:rPr>
      </w:pPr>
      <w:r>
        <w:rPr>
          <w:rFonts w:hint="eastAsia" w:ascii="宋体" w:hAnsi="宋体"/>
          <w:color w:val="auto"/>
          <w:sz w:val="22"/>
          <w:szCs w:val="22"/>
        </w:rPr>
        <w:t>3.本项目的特定资格要求：无。</w:t>
      </w:r>
    </w:p>
    <w:p w14:paraId="4CD9996D">
      <w:pPr>
        <w:widowControl/>
        <w:spacing w:line="440" w:lineRule="exact"/>
        <w:rPr>
          <w:rFonts w:hint="eastAsia" w:ascii="宋体" w:hAnsi="宋体" w:cs="宋体"/>
          <w:b/>
          <w:color w:val="auto"/>
          <w:sz w:val="22"/>
          <w:szCs w:val="22"/>
        </w:rPr>
      </w:pPr>
      <w:bookmarkStart w:id="14" w:name="_Toc35393623"/>
      <w:bookmarkStart w:id="15" w:name="_Toc35393792"/>
      <w:r>
        <w:rPr>
          <w:rFonts w:hint="eastAsia" w:ascii="宋体" w:hAnsi="宋体" w:cs="宋体"/>
          <w:b/>
          <w:color w:val="auto"/>
          <w:sz w:val="22"/>
          <w:szCs w:val="22"/>
        </w:rPr>
        <w:t>三、获取招标文件</w:t>
      </w:r>
      <w:bookmarkEnd w:id="12"/>
      <w:bookmarkEnd w:id="13"/>
      <w:bookmarkEnd w:id="14"/>
      <w:bookmarkEnd w:id="15"/>
    </w:p>
    <w:p w14:paraId="51D4094B">
      <w:pPr>
        <w:pStyle w:val="34"/>
        <w:spacing w:before="75" w:beforeAutospacing="0" w:after="75" w:afterAutospacing="0" w:line="440" w:lineRule="exact"/>
        <w:ind w:firstLine="440" w:firstLineChars="200"/>
        <w:rPr>
          <w:rFonts w:hint="eastAsia"/>
          <w:color w:val="auto"/>
          <w:sz w:val="22"/>
          <w:szCs w:val="22"/>
        </w:rPr>
      </w:pPr>
      <w:r>
        <w:rPr>
          <w:rFonts w:hint="eastAsia"/>
          <w:color w:val="auto"/>
          <w:sz w:val="22"/>
          <w:szCs w:val="22"/>
        </w:rPr>
        <w:t>时间：/ 至2024年</w:t>
      </w:r>
      <w:r>
        <w:rPr>
          <w:rFonts w:hint="eastAsia"/>
          <w:color w:val="auto"/>
          <w:sz w:val="22"/>
          <w:szCs w:val="22"/>
          <w:u w:val="single"/>
          <w:lang w:val="en-US" w:eastAsia="zh-CN"/>
        </w:rPr>
        <w:t>12</w:t>
      </w:r>
      <w:r>
        <w:rPr>
          <w:rFonts w:hint="eastAsia"/>
          <w:color w:val="auto"/>
          <w:sz w:val="22"/>
          <w:szCs w:val="22"/>
        </w:rPr>
        <w:t>月</w:t>
      </w:r>
      <w:r>
        <w:rPr>
          <w:rFonts w:hint="eastAsia"/>
          <w:color w:val="auto"/>
          <w:sz w:val="22"/>
          <w:szCs w:val="22"/>
          <w:u w:val="single"/>
          <w:lang w:val="en-US" w:eastAsia="zh-CN"/>
        </w:rPr>
        <w:t>18</w:t>
      </w:r>
      <w:r>
        <w:rPr>
          <w:rFonts w:hint="eastAsia"/>
          <w:color w:val="auto"/>
          <w:sz w:val="22"/>
          <w:szCs w:val="22"/>
        </w:rPr>
        <w:t>日，每天上午00:00至12:00，下午12:00至23:59（北京时间，线上获取法定节假日均可，线下获取文件法定节假日除外）</w:t>
      </w:r>
    </w:p>
    <w:p w14:paraId="39F38745">
      <w:pPr>
        <w:pStyle w:val="34"/>
        <w:spacing w:before="75" w:beforeAutospacing="0" w:after="75" w:afterAutospacing="0" w:line="440" w:lineRule="exact"/>
        <w:rPr>
          <w:rFonts w:hint="eastAsia"/>
          <w:color w:val="auto"/>
          <w:sz w:val="22"/>
          <w:szCs w:val="22"/>
        </w:rPr>
      </w:pPr>
      <w:r>
        <w:rPr>
          <w:rFonts w:hint="eastAsia"/>
          <w:color w:val="auto"/>
          <w:sz w:val="22"/>
          <w:szCs w:val="22"/>
        </w:rPr>
        <w:t>  地点（网址）：政采云平台（https://www.zcygov.cn）</w:t>
      </w:r>
    </w:p>
    <w:p w14:paraId="7DE11673">
      <w:pPr>
        <w:pStyle w:val="34"/>
        <w:spacing w:before="75" w:beforeAutospacing="0" w:after="75" w:afterAutospacing="0" w:line="440" w:lineRule="exact"/>
        <w:rPr>
          <w:rFonts w:hint="eastAsia"/>
          <w:color w:val="auto"/>
          <w:sz w:val="22"/>
          <w:szCs w:val="22"/>
          <w:u w:val="single"/>
        </w:rPr>
      </w:pPr>
      <w:r>
        <w:rPr>
          <w:rFonts w:hint="eastAsia"/>
          <w:color w:val="auto"/>
          <w:sz w:val="22"/>
          <w:szCs w:val="22"/>
        </w:rPr>
        <w:t xml:space="preserve">  方式：供应商登录政采云平台https://www.zcygov.cn/在线申请获取采购文件（进入“项目采购”应用，在获取采购文件菜单中选择项目，申请获取采购文件） </w:t>
      </w:r>
    </w:p>
    <w:p w14:paraId="10A309D2">
      <w:pPr>
        <w:pStyle w:val="34"/>
        <w:spacing w:before="75" w:beforeAutospacing="0" w:after="75" w:afterAutospacing="0" w:line="440" w:lineRule="exact"/>
        <w:rPr>
          <w:rFonts w:hint="eastAsia"/>
          <w:color w:val="auto"/>
          <w:sz w:val="22"/>
          <w:szCs w:val="22"/>
        </w:rPr>
      </w:pPr>
      <w:r>
        <w:rPr>
          <w:rFonts w:hint="eastAsia"/>
          <w:color w:val="auto"/>
          <w:sz w:val="22"/>
          <w:szCs w:val="22"/>
        </w:rPr>
        <w:t>  售价（元）：0 </w:t>
      </w:r>
    </w:p>
    <w:p w14:paraId="1D178F18">
      <w:pPr>
        <w:widowControl/>
        <w:spacing w:line="440" w:lineRule="exact"/>
        <w:rPr>
          <w:rFonts w:hint="eastAsia" w:ascii="宋体" w:hAnsi="宋体" w:cs="宋体"/>
          <w:color w:val="auto"/>
          <w:sz w:val="22"/>
          <w:szCs w:val="22"/>
        </w:rPr>
      </w:pPr>
      <w:r>
        <w:rPr>
          <w:rFonts w:hint="eastAsia" w:ascii="宋体" w:hAnsi="宋体" w:cs="宋体"/>
          <w:b/>
          <w:color w:val="auto"/>
          <w:sz w:val="22"/>
          <w:szCs w:val="22"/>
        </w:rPr>
        <w:t>四、提交投标文件截止时间、开标时间和地点</w:t>
      </w:r>
    </w:p>
    <w:p w14:paraId="047764B2">
      <w:pPr>
        <w:pStyle w:val="34"/>
        <w:spacing w:before="75" w:beforeAutospacing="0" w:after="75" w:afterAutospacing="0" w:line="440" w:lineRule="exact"/>
        <w:rPr>
          <w:rFonts w:hint="eastAsia"/>
          <w:color w:val="auto"/>
          <w:sz w:val="22"/>
          <w:szCs w:val="22"/>
        </w:rPr>
      </w:pPr>
      <w:r>
        <w:rPr>
          <w:rFonts w:hint="eastAsia"/>
          <w:color w:val="auto"/>
          <w:sz w:val="22"/>
          <w:szCs w:val="22"/>
        </w:rPr>
        <w:t>   提交投标文件截止时间：2024年</w:t>
      </w:r>
      <w:r>
        <w:rPr>
          <w:rFonts w:hint="eastAsia"/>
          <w:color w:val="auto"/>
          <w:sz w:val="22"/>
          <w:szCs w:val="22"/>
          <w:u w:val="single"/>
          <w:lang w:val="en-US" w:eastAsia="zh-CN"/>
        </w:rPr>
        <w:t>12</w:t>
      </w:r>
      <w:r>
        <w:rPr>
          <w:rFonts w:hint="eastAsia"/>
          <w:color w:val="auto"/>
          <w:sz w:val="22"/>
          <w:szCs w:val="22"/>
        </w:rPr>
        <w:t>月</w:t>
      </w:r>
      <w:r>
        <w:rPr>
          <w:rFonts w:hint="eastAsia"/>
          <w:color w:val="auto"/>
          <w:sz w:val="22"/>
          <w:szCs w:val="22"/>
          <w:u w:val="single"/>
          <w:lang w:val="en-US" w:eastAsia="zh-CN"/>
        </w:rPr>
        <w:t>18</w:t>
      </w:r>
      <w:r>
        <w:rPr>
          <w:rFonts w:hint="eastAsia"/>
          <w:color w:val="auto"/>
          <w:sz w:val="22"/>
          <w:szCs w:val="22"/>
        </w:rPr>
        <w:t>日</w:t>
      </w:r>
      <w:r>
        <w:rPr>
          <w:rFonts w:hint="eastAsia"/>
          <w:color w:val="auto"/>
          <w:sz w:val="22"/>
          <w:szCs w:val="22"/>
          <w:lang w:val="en-US" w:eastAsia="zh-CN"/>
        </w:rPr>
        <w:t>09</w:t>
      </w:r>
      <w:r>
        <w:rPr>
          <w:rFonts w:hint="eastAsia"/>
          <w:color w:val="auto"/>
          <w:sz w:val="22"/>
          <w:szCs w:val="22"/>
        </w:rPr>
        <w:t>:30（北京时间）</w:t>
      </w:r>
    </w:p>
    <w:p w14:paraId="260647E8">
      <w:pPr>
        <w:pStyle w:val="34"/>
        <w:spacing w:before="75" w:beforeAutospacing="0" w:after="75" w:afterAutospacing="0" w:line="440" w:lineRule="exact"/>
        <w:rPr>
          <w:rFonts w:hint="eastAsia"/>
          <w:color w:val="auto"/>
          <w:sz w:val="22"/>
          <w:szCs w:val="22"/>
        </w:rPr>
      </w:pPr>
      <w:r>
        <w:rPr>
          <w:rFonts w:hint="eastAsia"/>
          <w:color w:val="auto"/>
          <w:sz w:val="22"/>
          <w:szCs w:val="22"/>
        </w:rPr>
        <w:t>   投标地点（网址）：请登录政采云投标客户端投标</w:t>
      </w:r>
    </w:p>
    <w:p w14:paraId="4BF58170">
      <w:pPr>
        <w:pStyle w:val="34"/>
        <w:spacing w:before="75" w:beforeAutospacing="0" w:after="75" w:afterAutospacing="0" w:line="440" w:lineRule="exact"/>
        <w:rPr>
          <w:rFonts w:hint="eastAsia"/>
          <w:color w:val="auto"/>
          <w:sz w:val="22"/>
          <w:szCs w:val="22"/>
        </w:rPr>
      </w:pPr>
      <w:r>
        <w:rPr>
          <w:rFonts w:hint="eastAsia"/>
          <w:color w:val="auto"/>
          <w:sz w:val="22"/>
          <w:szCs w:val="22"/>
        </w:rPr>
        <w:t>   开标时间：2024年</w:t>
      </w:r>
      <w:r>
        <w:rPr>
          <w:rFonts w:hint="eastAsia"/>
          <w:color w:val="auto"/>
          <w:sz w:val="22"/>
          <w:szCs w:val="22"/>
          <w:u w:val="single"/>
          <w:lang w:val="en-US" w:eastAsia="zh-CN"/>
        </w:rPr>
        <w:t>12</w:t>
      </w:r>
      <w:r>
        <w:rPr>
          <w:rFonts w:hint="eastAsia"/>
          <w:color w:val="auto"/>
          <w:sz w:val="22"/>
          <w:szCs w:val="22"/>
        </w:rPr>
        <w:t>月</w:t>
      </w:r>
      <w:r>
        <w:rPr>
          <w:rFonts w:hint="eastAsia"/>
          <w:color w:val="auto"/>
          <w:sz w:val="22"/>
          <w:szCs w:val="22"/>
          <w:u w:val="single"/>
          <w:lang w:val="en-US" w:eastAsia="zh-CN"/>
        </w:rPr>
        <w:t>18</w:t>
      </w:r>
      <w:r>
        <w:rPr>
          <w:rFonts w:hint="eastAsia"/>
          <w:color w:val="auto"/>
          <w:sz w:val="22"/>
          <w:szCs w:val="22"/>
        </w:rPr>
        <w:t>日</w:t>
      </w:r>
      <w:r>
        <w:rPr>
          <w:rFonts w:hint="eastAsia"/>
          <w:color w:val="auto"/>
          <w:sz w:val="22"/>
          <w:szCs w:val="22"/>
          <w:lang w:val="en-US" w:eastAsia="zh-CN"/>
        </w:rPr>
        <w:t>09</w:t>
      </w:r>
      <w:r>
        <w:rPr>
          <w:rFonts w:hint="eastAsia"/>
          <w:color w:val="auto"/>
          <w:sz w:val="22"/>
          <w:szCs w:val="22"/>
        </w:rPr>
        <w:t>:30（北京时间）</w:t>
      </w:r>
    </w:p>
    <w:p w14:paraId="2D573413">
      <w:pPr>
        <w:pStyle w:val="34"/>
        <w:spacing w:before="75" w:beforeAutospacing="0" w:after="75" w:afterAutospacing="0" w:line="440" w:lineRule="exact"/>
        <w:rPr>
          <w:rFonts w:hint="eastAsia"/>
          <w:color w:val="auto"/>
          <w:sz w:val="22"/>
          <w:szCs w:val="22"/>
        </w:rPr>
      </w:pPr>
      <w:r>
        <w:rPr>
          <w:rFonts w:hint="eastAsia"/>
          <w:color w:val="auto"/>
          <w:sz w:val="22"/>
          <w:szCs w:val="22"/>
        </w:rPr>
        <w:t>   开标地点（网址）：温州市瓯海区南塘一组团1幢1504室，政采云平台（https://www.zcygov.cn）在线评标</w:t>
      </w:r>
    </w:p>
    <w:p w14:paraId="5F1FBDEC">
      <w:pPr>
        <w:widowControl/>
        <w:spacing w:line="440" w:lineRule="exact"/>
        <w:rPr>
          <w:rFonts w:hint="eastAsia" w:ascii="宋体" w:hAnsi="宋体" w:cs="宋体"/>
          <w:b/>
          <w:color w:val="auto"/>
          <w:sz w:val="22"/>
          <w:szCs w:val="22"/>
        </w:rPr>
      </w:pPr>
      <w:bookmarkStart w:id="16" w:name="_Toc28359084"/>
      <w:bookmarkStart w:id="17" w:name="_Toc35393625"/>
      <w:bookmarkStart w:id="18" w:name="_Toc35393794"/>
      <w:bookmarkStart w:id="19" w:name="_Toc28359007"/>
      <w:r>
        <w:rPr>
          <w:rFonts w:hint="eastAsia" w:ascii="宋体" w:hAnsi="宋体" w:cs="宋体"/>
          <w:b/>
          <w:color w:val="auto"/>
          <w:sz w:val="22"/>
          <w:szCs w:val="22"/>
        </w:rPr>
        <w:t>五、公告期限</w:t>
      </w:r>
      <w:bookmarkEnd w:id="16"/>
      <w:bookmarkEnd w:id="17"/>
      <w:bookmarkEnd w:id="18"/>
      <w:bookmarkEnd w:id="19"/>
    </w:p>
    <w:p w14:paraId="6ED78922">
      <w:pPr>
        <w:spacing w:line="440" w:lineRule="exact"/>
        <w:ind w:firstLine="440" w:firstLineChars="200"/>
        <w:rPr>
          <w:rFonts w:hint="eastAsia" w:ascii="宋体" w:hAnsi="宋体" w:cs="宋体"/>
          <w:color w:val="auto"/>
          <w:sz w:val="22"/>
          <w:szCs w:val="22"/>
        </w:rPr>
      </w:pPr>
      <w:r>
        <w:rPr>
          <w:rFonts w:hint="eastAsia" w:ascii="宋体" w:hAnsi="宋体" w:cs="宋体"/>
          <w:color w:val="auto"/>
          <w:sz w:val="22"/>
          <w:szCs w:val="22"/>
        </w:rPr>
        <w:t>自本公告发布之日起5个工作日。</w:t>
      </w:r>
    </w:p>
    <w:p w14:paraId="672B0D98">
      <w:pPr>
        <w:widowControl/>
        <w:spacing w:line="440" w:lineRule="exact"/>
        <w:rPr>
          <w:rFonts w:hint="eastAsia" w:ascii="宋体" w:hAnsi="宋体" w:cs="宋体"/>
          <w:b/>
          <w:color w:val="auto"/>
          <w:sz w:val="22"/>
          <w:szCs w:val="22"/>
        </w:rPr>
      </w:pPr>
      <w:bookmarkStart w:id="20" w:name="_Toc35393795"/>
      <w:bookmarkStart w:id="21" w:name="_Toc35393626"/>
      <w:r>
        <w:rPr>
          <w:rFonts w:hint="eastAsia" w:ascii="宋体" w:hAnsi="宋体" w:cs="宋体"/>
          <w:b/>
          <w:color w:val="auto"/>
          <w:sz w:val="22"/>
          <w:szCs w:val="22"/>
        </w:rPr>
        <w:t>六、其他补充事宜</w:t>
      </w:r>
      <w:bookmarkEnd w:id="20"/>
      <w:bookmarkEnd w:id="21"/>
    </w:p>
    <w:p w14:paraId="5D8B7A3F">
      <w:pPr>
        <w:spacing w:line="440" w:lineRule="exact"/>
        <w:rPr>
          <w:rFonts w:hint="eastAsia" w:ascii="宋体" w:hAnsi="宋体"/>
          <w:color w:val="auto"/>
          <w:sz w:val="22"/>
          <w:szCs w:val="22"/>
        </w:rPr>
      </w:pPr>
      <w:bookmarkStart w:id="22" w:name="_Hlk47793939"/>
      <w:r>
        <w:rPr>
          <w:rFonts w:hint="eastAsia" w:ascii="宋体" w:hAnsi="宋体" w:cs="宋体"/>
          <w:color w:val="auto"/>
          <w:sz w:val="22"/>
          <w:szCs w:val="22"/>
        </w:rPr>
        <w:t xml:space="preserve">    </w:t>
      </w:r>
      <w:r>
        <w:rPr>
          <w:rFonts w:hint="eastAsia" w:ascii="宋体" w:hAnsi="宋体"/>
          <w:color w:val="auto"/>
          <w:sz w:val="22"/>
          <w:szCs w:val="22"/>
        </w:rPr>
        <w:t>1.《浙江省财政厅关于进一步发挥政府采购政策功能全力推动经济稳进提质的通知》 （浙财采监（2022）3号）、《浙江省财政厅关于进一步促进政府采购公平竞争打造最优营商环境的通知》（浙财采监（2021）22号）已分别于2022年1月29日和2022年2月1日开始实施，此前有关规定与上述文件内容不一致的，按上述文件要求执行。</w:t>
      </w:r>
    </w:p>
    <w:p w14:paraId="71FEC95A">
      <w:pPr>
        <w:widowControl/>
        <w:spacing w:line="440" w:lineRule="exact"/>
        <w:rPr>
          <w:rFonts w:hint="eastAsia" w:ascii="宋体" w:hAnsi="宋体" w:cs="宋体"/>
          <w:color w:val="auto"/>
          <w:sz w:val="22"/>
          <w:szCs w:val="22"/>
        </w:rPr>
      </w:pPr>
      <w:r>
        <w:rPr>
          <w:rFonts w:hint="eastAsia" w:ascii="宋体" w:hAnsi="宋体" w:cs="宋体"/>
          <w:color w:val="auto"/>
          <w:sz w:val="22"/>
          <w:szCs w:val="22"/>
        </w:rPr>
        <w:t>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D142DD3">
      <w:pPr>
        <w:widowControl/>
        <w:spacing w:line="440" w:lineRule="exact"/>
        <w:rPr>
          <w:rFonts w:hint="eastAsia" w:ascii="宋体" w:hAnsi="宋体" w:cs="宋体"/>
          <w:color w:val="auto"/>
          <w:sz w:val="22"/>
          <w:szCs w:val="22"/>
        </w:rPr>
      </w:pPr>
      <w:r>
        <w:rPr>
          <w:rFonts w:hint="eastAsia" w:ascii="宋体" w:hAnsi="宋体" w:cs="宋体"/>
          <w:color w:val="auto"/>
          <w:sz w:val="22"/>
          <w:szCs w:val="22"/>
        </w:rPr>
        <w:t> 3.其他事项：</w:t>
      </w:r>
    </w:p>
    <w:p w14:paraId="41219BA8">
      <w:pPr>
        <w:widowControl/>
        <w:spacing w:line="440" w:lineRule="exact"/>
        <w:ind w:firstLine="220" w:firstLineChars="100"/>
        <w:rPr>
          <w:rFonts w:hint="eastAsia" w:ascii="宋体" w:hAnsi="宋体" w:cs="宋体"/>
          <w:color w:val="auto"/>
          <w:sz w:val="22"/>
          <w:szCs w:val="22"/>
        </w:rPr>
      </w:pPr>
      <w:r>
        <w:rPr>
          <w:rFonts w:hint="eastAsia" w:ascii="宋体" w:hAnsi="宋体" w:cs="宋体"/>
          <w:color w:val="auto"/>
          <w:sz w:val="22"/>
          <w:szCs w:val="22"/>
        </w:rPr>
        <w:t>3.1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AF3BF02">
      <w:pPr>
        <w:widowControl/>
        <w:spacing w:line="440" w:lineRule="exact"/>
        <w:ind w:firstLine="220" w:firstLineChars="100"/>
        <w:rPr>
          <w:rFonts w:hint="eastAsia" w:ascii="宋体" w:hAnsi="宋体" w:cs="宋体"/>
          <w:color w:val="auto"/>
          <w:sz w:val="22"/>
          <w:szCs w:val="22"/>
        </w:rPr>
      </w:pPr>
      <w:r>
        <w:rPr>
          <w:rFonts w:hint="eastAsia" w:ascii="宋体" w:hAnsi="宋体" w:cs="宋体"/>
          <w:color w:val="auto"/>
          <w:sz w:val="22"/>
          <w:szCs w:val="22"/>
        </w:rPr>
        <w:t>3.2（1）本项目实行电子投标，应按照本项目招标文件和政采云平台的要求编制、加密并递交投标文件。供应商在使用系统进行投标的过程中遇到涉及平台使用的任何问题，可致电政采云平台技术支持热线咨询，联系方式：400-881-7190。 （2）投标人应在开标前完成CA数字证书办理。（办理流程详见：http://www.zjzfcg.gov.cn/bidClientTemplate/2019-05-27/12945.html）。完成CA数字证书办理预计一周左右，建议各投标人抓紧时间办理。 (3)投标人通过政采云平台电子投标工具制作投标文件，电子投标工具请供应商自行前往浙江省政府采购网下载并安装，（下载网址：http://www.zjzfcg.gov.cn/bidClientTemplate/2019-05-27/12946.html），电子投标具体流程详见（网址：</w:t>
      </w:r>
      <w:r>
        <w:rPr>
          <w:color w:val="auto"/>
        </w:rPr>
        <w:fldChar w:fldCharType="begin"/>
      </w:r>
      <w:r>
        <w:rPr>
          <w:color w:val="auto"/>
        </w:rPr>
        <w:instrText xml:space="preserve">HYPERLINK "https://help.zcygov.cn/web/site_2/2018/12/25/2547.html）。"</w:instrText>
      </w:r>
      <w:r>
        <w:rPr>
          <w:color w:val="auto"/>
        </w:rPr>
        <w:fldChar w:fldCharType="separate"/>
      </w:r>
      <w:r>
        <w:rPr>
          <w:rStyle w:val="45"/>
          <w:rFonts w:hint="eastAsia" w:ascii="宋体" w:hAnsi="宋体" w:cs="宋体"/>
          <w:color w:val="auto"/>
          <w:sz w:val="22"/>
          <w:szCs w:val="22"/>
        </w:rPr>
        <w:t>https://help.zcygov.cn/web/site_2/2018/12/25/2547.html）。</w:t>
      </w:r>
      <w:r>
        <w:rPr>
          <w:rStyle w:val="45"/>
          <w:rFonts w:ascii="宋体" w:hAnsi="宋体" w:cs="宋体"/>
          <w:color w:val="auto"/>
          <w:sz w:val="22"/>
          <w:szCs w:val="22"/>
        </w:rPr>
        <w:fldChar w:fldCharType="end"/>
      </w:r>
    </w:p>
    <w:p w14:paraId="07105F3E">
      <w:pPr>
        <w:widowControl/>
        <w:spacing w:line="440" w:lineRule="exact"/>
        <w:rPr>
          <w:rFonts w:hint="eastAsia" w:ascii="宋体" w:hAnsi="宋体" w:cs="宋体"/>
          <w:color w:val="auto"/>
          <w:sz w:val="22"/>
          <w:szCs w:val="22"/>
        </w:rPr>
      </w:pPr>
      <w:r>
        <w:rPr>
          <w:rFonts w:hint="eastAsia" w:ascii="宋体" w:hAnsi="宋体" w:cs="宋体"/>
          <w:b/>
          <w:color w:val="auto"/>
          <w:sz w:val="22"/>
          <w:szCs w:val="22"/>
        </w:rPr>
        <w:t>七、对本次招标提出询问、质疑、投诉，请按以下方式联系</w:t>
      </w:r>
    </w:p>
    <w:bookmarkEnd w:id="22"/>
    <w:p w14:paraId="1628FBDA">
      <w:pPr>
        <w:widowControl/>
        <w:spacing w:line="440" w:lineRule="exact"/>
        <w:jc w:val="left"/>
        <w:rPr>
          <w:rFonts w:hint="eastAsia" w:ascii="宋体" w:hAnsi="宋体" w:cs="宋体"/>
          <w:color w:val="auto"/>
          <w:sz w:val="22"/>
          <w:szCs w:val="22"/>
        </w:rPr>
      </w:pPr>
      <w:r>
        <w:rPr>
          <w:rFonts w:hint="eastAsia" w:ascii="宋体" w:hAnsi="宋体" w:cs="宋体"/>
          <w:color w:val="auto"/>
          <w:sz w:val="22"/>
          <w:szCs w:val="22"/>
        </w:rPr>
        <w:t>　　1.采购人信息</w:t>
      </w:r>
    </w:p>
    <w:p w14:paraId="2275E399">
      <w:pPr>
        <w:widowControl/>
        <w:spacing w:line="440" w:lineRule="exact"/>
        <w:jc w:val="left"/>
        <w:rPr>
          <w:rFonts w:hint="eastAsia" w:ascii="宋体" w:hAnsi="宋体" w:cs="宋体"/>
          <w:color w:val="auto"/>
          <w:szCs w:val="22"/>
          <w:lang w:bidi="ar"/>
        </w:rPr>
      </w:pPr>
      <w:r>
        <w:rPr>
          <w:rFonts w:hint="eastAsia" w:ascii="宋体" w:hAnsi="宋体" w:cs="宋体"/>
          <w:color w:val="auto"/>
          <w:szCs w:val="22"/>
          <w:lang w:bidi="ar"/>
        </w:rPr>
        <w:t>    名    称：浙江安防职业技术学院</w:t>
      </w:r>
    </w:p>
    <w:p w14:paraId="1C2B642A">
      <w:pPr>
        <w:widowControl/>
        <w:spacing w:line="440" w:lineRule="exact"/>
        <w:jc w:val="left"/>
        <w:rPr>
          <w:rFonts w:hint="eastAsia" w:ascii="宋体" w:hAnsi="宋体" w:cs="宋体"/>
          <w:color w:val="auto"/>
          <w:szCs w:val="22"/>
          <w:lang w:bidi="ar"/>
        </w:rPr>
      </w:pPr>
      <w:r>
        <w:rPr>
          <w:rFonts w:hint="eastAsia" w:ascii="宋体" w:hAnsi="宋体" w:cs="宋体"/>
          <w:color w:val="auto"/>
          <w:szCs w:val="22"/>
          <w:lang w:bidi="ar"/>
        </w:rPr>
        <w:t>    地    址：</w:t>
      </w:r>
      <w:r>
        <w:rPr>
          <w:rFonts w:hint="eastAsia" w:ascii="宋体" w:hAnsi="宋体" w:cs="宋体"/>
          <w:color w:val="auto"/>
          <w:szCs w:val="22"/>
        </w:rPr>
        <w:t>温州市瓯海大道2555号</w:t>
      </w:r>
    </w:p>
    <w:p w14:paraId="03BD6453">
      <w:pPr>
        <w:widowControl/>
        <w:spacing w:line="440" w:lineRule="exact"/>
        <w:jc w:val="left"/>
        <w:rPr>
          <w:rFonts w:hint="eastAsia" w:ascii="宋体" w:hAnsi="宋体" w:cs="宋体"/>
          <w:color w:val="auto"/>
          <w:szCs w:val="22"/>
          <w:lang w:bidi="ar"/>
        </w:rPr>
      </w:pPr>
      <w:r>
        <w:rPr>
          <w:rFonts w:hint="eastAsia" w:ascii="宋体" w:hAnsi="宋体" w:cs="宋体"/>
          <w:color w:val="auto"/>
          <w:szCs w:val="22"/>
          <w:lang w:bidi="ar"/>
        </w:rPr>
        <w:t>    传    真：/</w:t>
      </w:r>
    </w:p>
    <w:p w14:paraId="510C8DDF">
      <w:pPr>
        <w:widowControl/>
        <w:spacing w:line="440" w:lineRule="exact"/>
        <w:jc w:val="left"/>
        <w:rPr>
          <w:rFonts w:hint="eastAsia" w:ascii="宋体" w:hAnsi="宋体" w:cs="宋体"/>
          <w:color w:val="auto"/>
          <w:szCs w:val="22"/>
        </w:rPr>
      </w:pPr>
      <w:r>
        <w:rPr>
          <w:rFonts w:hint="eastAsia" w:ascii="宋体" w:hAnsi="宋体" w:cs="宋体"/>
          <w:color w:val="auto"/>
          <w:szCs w:val="22"/>
          <w:lang w:bidi="ar"/>
        </w:rPr>
        <w:t>   </w:t>
      </w:r>
      <w:bookmarkStart w:id="23" w:name="_Hlk47793869"/>
      <w:r>
        <w:rPr>
          <w:rFonts w:hint="eastAsia" w:ascii="宋体" w:hAnsi="宋体" w:cs="宋体"/>
          <w:color w:val="auto"/>
          <w:szCs w:val="22"/>
          <w:lang w:bidi="ar"/>
        </w:rPr>
        <w:t xml:space="preserve"> </w:t>
      </w:r>
      <w:r>
        <w:rPr>
          <w:rFonts w:hint="eastAsia" w:ascii="宋体" w:hAnsi="宋体" w:cs="宋体"/>
          <w:color w:val="auto"/>
          <w:szCs w:val="22"/>
        </w:rPr>
        <w:t>项目联系人（询问）：洪老师</w:t>
      </w:r>
    </w:p>
    <w:p w14:paraId="16B44E87">
      <w:pPr>
        <w:widowControl/>
        <w:spacing w:line="440" w:lineRule="exact"/>
        <w:jc w:val="left"/>
        <w:rPr>
          <w:rFonts w:hint="default" w:ascii="宋体" w:hAnsi="宋体" w:eastAsia="宋体" w:cs="宋体"/>
          <w:color w:val="auto"/>
          <w:szCs w:val="22"/>
          <w:lang w:val="en-US" w:eastAsia="zh-CN"/>
        </w:rPr>
      </w:pPr>
      <w:r>
        <w:rPr>
          <w:rFonts w:hint="eastAsia" w:ascii="宋体" w:hAnsi="宋体" w:cs="宋体"/>
          <w:color w:val="auto"/>
          <w:szCs w:val="22"/>
        </w:rPr>
        <w:t>    项目联系方式（询问）：0577-8510</w:t>
      </w:r>
      <w:r>
        <w:rPr>
          <w:rFonts w:hint="eastAsia" w:ascii="宋体" w:hAnsi="宋体" w:cs="宋体"/>
          <w:color w:val="auto"/>
          <w:szCs w:val="22"/>
          <w:lang w:val="en-US" w:eastAsia="zh-CN"/>
        </w:rPr>
        <w:t>2826</w:t>
      </w:r>
    </w:p>
    <w:p w14:paraId="3D8DC34A">
      <w:pPr>
        <w:widowControl/>
        <w:spacing w:line="440" w:lineRule="exact"/>
        <w:jc w:val="left"/>
        <w:rPr>
          <w:rFonts w:hint="eastAsia" w:ascii="宋体" w:hAnsi="宋体" w:cs="宋体"/>
          <w:color w:val="auto"/>
          <w:szCs w:val="22"/>
        </w:rPr>
      </w:pPr>
      <w:r>
        <w:rPr>
          <w:rFonts w:hint="eastAsia" w:ascii="宋体" w:hAnsi="宋体" w:cs="宋体"/>
          <w:color w:val="auto"/>
          <w:szCs w:val="22"/>
        </w:rPr>
        <w:t>    质疑联系人：包老师</w:t>
      </w:r>
    </w:p>
    <w:p w14:paraId="3B0F9D80">
      <w:pPr>
        <w:widowControl/>
        <w:spacing w:line="440" w:lineRule="exact"/>
        <w:jc w:val="left"/>
        <w:rPr>
          <w:rFonts w:hint="eastAsia" w:ascii="宋体" w:hAnsi="宋体" w:cs="宋体"/>
          <w:color w:val="auto"/>
          <w:szCs w:val="22"/>
        </w:rPr>
      </w:pPr>
      <w:r>
        <w:rPr>
          <w:rFonts w:hint="eastAsia" w:ascii="宋体" w:hAnsi="宋体" w:cs="宋体"/>
          <w:color w:val="auto"/>
          <w:szCs w:val="22"/>
        </w:rPr>
        <w:t>    质疑联系方式：</w:t>
      </w:r>
      <w:r>
        <w:rPr>
          <w:rFonts w:hint="eastAsia" w:ascii="宋体" w:hAnsi="宋体" w:cs="宋体"/>
          <w:bCs/>
          <w:color w:val="auto"/>
          <w:sz w:val="22"/>
          <w:szCs w:val="22"/>
        </w:rPr>
        <w:t>0577-8510</w:t>
      </w:r>
      <w:r>
        <w:rPr>
          <w:rFonts w:hint="eastAsia" w:ascii="宋体" w:hAnsi="宋体" w:cs="宋体"/>
          <w:color w:val="auto"/>
          <w:szCs w:val="22"/>
        </w:rPr>
        <w:t>3996</w:t>
      </w:r>
    </w:p>
    <w:bookmarkEnd w:id="23"/>
    <w:p w14:paraId="45345748">
      <w:pPr>
        <w:widowControl/>
        <w:spacing w:line="440" w:lineRule="exact"/>
        <w:ind w:firstLine="440" w:firstLineChars="200"/>
        <w:jc w:val="left"/>
        <w:rPr>
          <w:rFonts w:hint="eastAsia" w:ascii="宋体" w:hAnsi="宋体" w:cs="宋体"/>
          <w:color w:val="auto"/>
          <w:sz w:val="22"/>
          <w:szCs w:val="22"/>
        </w:rPr>
      </w:pPr>
      <w:r>
        <w:rPr>
          <w:rFonts w:hint="eastAsia" w:ascii="宋体" w:hAnsi="宋体" w:cs="宋体"/>
          <w:color w:val="auto"/>
          <w:sz w:val="22"/>
          <w:szCs w:val="22"/>
        </w:rPr>
        <w:t>2.采购代理机构信息</w:t>
      </w:r>
    </w:p>
    <w:p w14:paraId="61E9F218">
      <w:pPr>
        <w:widowControl/>
        <w:spacing w:line="440" w:lineRule="exact"/>
        <w:jc w:val="left"/>
        <w:rPr>
          <w:rFonts w:hint="eastAsia" w:ascii="宋体" w:hAnsi="宋体" w:cs="宋体"/>
          <w:color w:val="auto"/>
          <w:sz w:val="22"/>
          <w:szCs w:val="22"/>
        </w:rPr>
      </w:pPr>
      <w:r>
        <w:rPr>
          <w:rFonts w:hint="eastAsia" w:ascii="宋体" w:hAnsi="宋体" w:cs="宋体"/>
          <w:color w:val="auto"/>
          <w:sz w:val="22"/>
          <w:szCs w:val="22"/>
        </w:rPr>
        <w:t>    名    称：温州正风招标代理有限公司</w:t>
      </w:r>
    </w:p>
    <w:p w14:paraId="28520794">
      <w:pPr>
        <w:widowControl/>
        <w:spacing w:line="440" w:lineRule="exact"/>
        <w:jc w:val="left"/>
        <w:rPr>
          <w:rFonts w:hint="eastAsia" w:ascii="宋体" w:hAnsi="宋体" w:cs="宋体"/>
          <w:color w:val="auto"/>
          <w:sz w:val="22"/>
          <w:szCs w:val="22"/>
        </w:rPr>
      </w:pPr>
      <w:r>
        <w:rPr>
          <w:rFonts w:hint="eastAsia" w:ascii="宋体" w:hAnsi="宋体" w:cs="宋体"/>
          <w:color w:val="auto"/>
          <w:sz w:val="22"/>
          <w:szCs w:val="22"/>
        </w:rPr>
        <w:t>    地    址：温州市瓯海区南塘一组团1幢（商务楼）1504室</w:t>
      </w:r>
    </w:p>
    <w:p w14:paraId="4D52DDCF">
      <w:pPr>
        <w:widowControl/>
        <w:spacing w:line="440" w:lineRule="exact"/>
        <w:jc w:val="left"/>
        <w:rPr>
          <w:rFonts w:hint="eastAsia" w:ascii="宋体" w:hAnsi="宋体" w:cs="宋体"/>
          <w:color w:val="auto"/>
          <w:sz w:val="22"/>
          <w:szCs w:val="22"/>
        </w:rPr>
      </w:pPr>
      <w:r>
        <w:rPr>
          <w:rFonts w:hint="eastAsia" w:ascii="宋体" w:hAnsi="宋体" w:cs="宋体"/>
          <w:color w:val="auto"/>
          <w:sz w:val="22"/>
          <w:szCs w:val="22"/>
        </w:rPr>
        <w:t>    项目联系人（询问）：刘先生、诸葛先生</w:t>
      </w:r>
    </w:p>
    <w:p w14:paraId="643660CB">
      <w:pPr>
        <w:widowControl/>
        <w:spacing w:line="440" w:lineRule="exact"/>
        <w:ind w:firstLine="660" w:firstLineChars="300"/>
        <w:jc w:val="left"/>
        <w:rPr>
          <w:rFonts w:hint="eastAsia" w:ascii="宋体" w:hAnsi="宋体" w:cs="宋体"/>
          <w:color w:val="auto"/>
          <w:sz w:val="22"/>
          <w:szCs w:val="22"/>
        </w:rPr>
      </w:pPr>
      <w:r>
        <w:rPr>
          <w:rFonts w:hint="eastAsia" w:ascii="宋体" w:hAnsi="宋体" w:cs="宋体"/>
          <w:color w:val="auto"/>
          <w:sz w:val="22"/>
          <w:szCs w:val="22"/>
        </w:rPr>
        <w:t>项目联系方式（询问）：15858517848、13506646781</w:t>
      </w:r>
    </w:p>
    <w:p w14:paraId="0EBC2381">
      <w:pPr>
        <w:widowControl/>
        <w:spacing w:line="440" w:lineRule="exact"/>
        <w:ind w:firstLine="660"/>
        <w:jc w:val="left"/>
        <w:rPr>
          <w:rFonts w:hint="eastAsia" w:ascii="宋体" w:hAnsi="宋体" w:cs="宋体"/>
          <w:color w:val="auto"/>
          <w:sz w:val="22"/>
          <w:szCs w:val="22"/>
        </w:rPr>
      </w:pPr>
      <w:r>
        <w:rPr>
          <w:rFonts w:hint="eastAsia" w:ascii="宋体" w:hAnsi="宋体" w:cs="宋体"/>
          <w:color w:val="auto"/>
          <w:sz w:val="22"/>
          <w:szCs w:val="22"/>
        </w:rPr>
        <w:t>质疑联系人：胡女士</w:t>
      </w:r>
    </w:p>
    <w:p w14:paraId="64FF9F9E">
      <w:pPr>
        <w:widowControl/>
        <w:spacing w:line="440" w:lineRule="exact"/>
        <w:ind w:firstLine="660"/>
        <w:jc w:val="left"/>
        <w:rPr>
          <w:rFonts w:hint="eastAsia" w:ascii="宋体" w:hAnsi="宋体" w:cs="宋体"/>
          <w:color w:val="auto"/>
          <w:sz w:val="22"/>
          <w:szCs w:val="22"/>
        </w:rPr>
      </w:pPr>
      <w:r>
        <w:rPr>
          <w:rFonts w:hint="eastAsia" w:ascii="宋体" w:hAnsi="宋体" w:cs="宋体"/>
          <w:color w:val="auto"/>
          <w:sz w:val="22"/>
          <w:szCs w:val="22"/>
        </w:rPr>
        <w:t>质疑联系方式：</w:t>
      </w:r>
      <w:r>
        <w:rPr>
          <w:rFonts w:ascii="宋体" w:hAnsi="宋体" w:cs="宋体"/>
          <w:color w:val="auto"/>
          <w:sz w:val="22"/>
          <w:szCs w:val="22"/>
        </w:rPr>
        <w:t>0577</w:t>
      </w:r>
      <w:r>
        <w:rPr>
          <w:rFonts w:hint="eastAsia" w:ascii="宋体" w:hAnsi="宋体" w:cs="宋体"/>
          <w:color w:val="auto"/>
          <w:sz w:val="22"/>
          <w:szCs w:val="22"/>
        </w:rPr>
        <w:t>-</w:t>
      </w:r>
      <w:r>
        <w:rPr>
          <w:rFonts w:ascii="宋体" w:hAnsi="宋体" w:cs="宋体"/>
          <w:color w:val="auto"/>
          <w:sz w:val="22"/>
          <w:szCs w:val="22"/>
        </w:rPr>
        <w:t>88119278</w:t>
      </w:r>
    </w:p>
    <w:p w14:paraId="4A46C6F3">
      <w:pPr>
        <w:widowControl/>
        <w:spacing w:line="440" w:lineRule="exact"/>
        <w:ind w:firstLine="440" w:firstLineChars="200"/>
        <w:jc w:val="left"/>
        <w:rPr>
          <w:rFonts w:hint="eastAsia" w:ascii="宋体" w:hAnsi="宋体" w:cs="宋体"/>
          <w:color w:val="auto"/>
          <w:sz w:val="22"/>
          <w:szCs w:val="22"/>
        </w:rPr>
      </w:pPr>
      <w:r>
        <w:rPr>
          <w:rFonts w:hint="eastAsia" w:ascii="宋体" w:hAnsi="宋体" w:cs="宋体"/>
          <w:color w:val="auto"/>
          <w:sz w:val="22"/>
          <w:szCs w:val="22"/>
        </w:rPr>
        <w:t>3.同级政府采购监督管理部门</w:t>
      </w:r>
    </w:p>
    <w:p w14:paraId="43C8339B">
      <w:pPr>
        <w:widowControl/>
        <w:spacing w:line="440" w:lineRule="exact"/>
        <w:jc w:val="left"/>
        <w:rPr>
          <w:rFonts w:hint="eastAsia" w:ascii="宋体" w:hAnsi="宋体" w:cs="宋体"/>
          <w:color w:val="auto"/>
          <w:szCs w:val="22"/>
          <w:lang w:bidi="ar"/>
        </w:rPr>
      </w:pPr>
      <w:r>
        <w:rPr>
          <w:rFonts w:hint="eastAsia" w:ascii="宋体" w:hAnsi="宋体" w:cs="宋体"/>
          <w:color w:val="auto"/>
          <w:szCs w:val="22"/>
          <w:lang w:bidi="ar"/>
        </w:rPr>
        <w:t>    名    称：温州市财政局政府采购监管处 </w:t>
      </w:r>
    </w:p>
    <w:p w14:paraId="30778BBF">
      <w:pPr>
        <w:widowControl/>
        <w:spacing w:line="440" w:lineRule="exact"/>
        <w:jc w:val="left"/>
        <w:rPr>
          <w:rFonts w:hint="eastAsia" w:ascii="宋体" w:hAnsi="宋体" w:cs="宋体"/>
          <w:color w:val="auto"/>
          <w:szCs w:val="22"/>
          <w:lang w:bidi="ar"/>
        </w:rPr>
      </w:pPr>
      <w:r>
        <w:rPr>
          <w:rFonts w:hint="eastAsia" w:ascii="宋体" w:hAnsi="宋体" w:cs="宋体"/>
          <w:color w:val="auto"/>
          <w:szCs w:val="22"/>
          <w:lang w:bidi="ar"/>
        </w:rPr>
        <w:t>    地    址：温州市鹿城区绣山路299号 </w:t>
      </w:r>
    </w:p>
    <w:p w14:paraId="494993F6">
      <w:pPr>
        <w:widowControl/>
        <w:spacing w:line="440" w:lineRule="exact"/>
        <w:jc w:val="left"/>
        <w:rPr>
          <w:rFonts w:hint="eastAsia" w:ascii="宋体" w:hAnsi="宋体" w:cs="宋体"/>
          <w:color w:val="auto"/>
          <w:szCs w:val="22"/>
          <w:lang w:bidi="ar"/>
        </w:rPr>
      </w:pPr>
      <w:r>
        <w:rPr>
          <w:rFonts w:hint="eastAsia" w:ascii="宋体" w:hAnsi="宋体" w:cs="宋体"/>
          <w:color w:val="auto"/>
          <w:szCs w:val="22"/>
          <w:lang w:bidi="ar"/>
        </w:rPr>
        <w:t>    传     真：/</w:t>
      </w:r>
    </w:p>
    <w:p w14:paraId="2152D3A3">
      <w:pPr>
        <w:widowControl/>
        <w:spacing w:line="440" w:lineRule="exact"/>
        <w:jc w:val="left"/>
        <w:rPr>
          <w:rFonts w:hint="eastAsia" w:ascii="宋体" w:hAnsi="宋体" w:cs="宋体"/>
          <w:color w:val="auto"/>
          <w:szCs w:val="22"/>
          <w:lang w:bidi="ar"/>
        </w:rPr>
      </w:pPr>
      <w:r>
        <w:rPr>
          <w:rFonts w:hint="eastAsia" w:ascii="宋体" w:hAnsi="宋体" w:cs="宋体"/>
          <w:color w:val="auto"/>
          <w:szCs w:val="22"/>
          <w:lang w:bidi="ar"/>
        </w:rPr>
        <w:t>    联系人 ：项先生、蔡女士 </w:t>
      </w:r>
    </w:p>
    <w:p w14:paraId="7957BBBD">
      <w:pPr>
        <w:widowControl/>
        <w:spacing w:line="440" w:lineRule="exact"/>
        <w:jc w:val="left"/>
        <w:rPr>
          <w:rFonts w:hint="eastAsia" w:ascii="宋体" w:hAnsi="宋体" w:cs="宋体"/>
          <w:color w:val="auto"/>
          <w:sz w:val="24"/>
          <w:lang w:bidi="ar"/>
        </w:rPr>
      </w:pPr>
      <w:r>
        <w:rPr>
          <w:rFonts w:hint="eastAsia" w:ascii="宋体" w:hAnsi="宋体" w:cs="宋体"/>
          <w:color w:val="auto"/>
          <w:szCs w:val="22"/>
          <w:lang w:bidi="ar"/>
        </w:rPr>
        <w:t>    监督投诉电话：0577-88532725、88521948</w:t>
      </w:r>
    </w:p>
    <w:p w14:paraId="3A4F2C8E">
      <w:pPr>
        <w:adjustRightInd w:val="0"/>
        <w:snapToGrid w:val="0"/>
        <w:spacing w:line="440" w:lineRule="exact"/>
        <w:ind w:firstLine="660"/>
        <w:rPr>
          <w:rFonts w:hint="eastAsia" w:ascii="宋体" w:hAnsi="宋体" w:cs="宋体"/>
          <w:color w:val="auto"/>
          <w:sz w:val="22"/>
          <w:szCs w:val="22"/>
        </w:rPr>
      </w:pPr>
    </w:p>
    <w:p w14:paraId="1D54ACDA">
      <w:pPr>
        <w:adjustRightInd w:val="0"/>
        <w:snapToGrid w:val="0"/>
        <w:spacing w:line="440" w:lineRule="exact"/>
        <w:ind w:firstLine="660"/>
        <w:rPr>
          <w:rFonts w:hint="eastAsia" w:ascii="宋体" w:hAnsi="宋体" w:cs="宋体"/>
          <w:color w:val="auto"/>
          <w:sz w:val="22"/>
          <w:szCs w:val="22"/>
        </w:rPr>
      </w:pPr>
      <w:r>
        <w:rPr>
          <w:rFonts w:hint="eastAsia" w:ascii="宋体" w:hAnsi="宋体" w:cs="宋体"/>
          <w:color w:val="auto"/>
          <w:sz w:val="22"/>
          <w:szCs w:val="22"/>
        </w:rPr>
        <w:t>若对项目采购电子交易系统操作有疑问，可登录政采云（https://www.zcygov.cn/），点击右侧咨询小采，获取采小蜜智能服务管家帮助，或拨打政采云服务热线400-881-7190获取热线服务帮助。CA问题联系电话（人工）：汇信CA 400-888-4636；天谷CA 400-087-8198。</w:t>
      </w:r>
    </w:p>
    <w:p w14:paraId="7EEA4D71">
      <w:pPr>
        <w:pStyle w:val="52"/>
        <w:ind w:firstLine="560"/>
        <w:rPr>
          <w:rFonts w:ascii="Times New Roman" w:eastAsia="宋体"/>
          <w:color w:val="auto"/>
        </w:rPr>
      </w:pPr>
    </w:p>
    <w:p w14:paraId="1A958EE1">
      <w:pPr>
        <w:pStyle w:val="4"/>
        <w:spacing w:line="600" w:lineRule="exact"/>
        <w:jc w:val="center"/>
        <w:rPr>
          <w:rFonts w:hint="eastAsia" w:ascii="黑体" w:hAnsi="黑体" w:eastAsia="黑体"/>
          <w:bCs/>
          <w:color w:val="auto"/>
          <w:sz w:val="36"/>
          <w:szCs w:val="36"/>
        </w:rPr>
      </w:pPr>
      <w:bookmarkStart w:id="24" w:name="_Toc230773774"/>
      <w:bookmarkStart w:id="25" w:name="_Toc29587"/>
      <w:r>
        <w:rPr>
          <w:rFonts w:hint="eastAsia" w:ascii="黑体" w:hAnsi="黑体" w:eastAsia="黑体"/>
          <w:bCs/>
          <w:color w:val="auto"/>
          <w:sz w:val="36"/>
          <w:szCs w:val="36"/>
        </w:rPr>
        <w:t>第二部分   投标人须知</w:t>
      </w:r>
      <w:bookmarkEnd w:id="24"/>
      <w:bookmarkEnd w:id="25"/>
    </w:p>
    <w:p w14:paraId="609C1B9F">
      <w:pPr>
        <w:pStyle w:val="5"/>
        <w:tabs>
          <w:tab w:val="left" w:pos="840"/>
        </w:tabs>
        <w:spacing w:line="680" w:lineRule="exact"/>
        <w:jc w:val="center"/>
        <w:rPr>
          <w:rFonts w:hint="eastAsia" w:ascii="宋体" w:hAnsi="宋体" w:eastAsia="宋体" w:cs="宋体"/>
          <w:color w:val="auto"/>
          <w:sz w:val="28"/>
          <w:szCs w:val="28"/>
        </w:rPr>
      </w:pPr>
      <w:bookmarkStart w:id="26" w:name="_Toc486600281"/>
      <w:bookmarkStart w:id="27" w:name="_Toc3293"/>
      <w:r>
        <w:rPr>
          <w:rFonts w:hint="eastAsia" w:ascii="宋体" w:hAnsi="宋体" w:eastAsia="宋体" w:cs="宋体"/>
          <w:color w:val="auto"/>
          <w:sz w:val="28"/>
          <w:szCs w:val="28"/>
        </w:rPr>
        <w:t>投标人须知前附表</w:t>
      </w:r>
      <w:bookmarkEnd w:id="26"/>
      <w:bookmarkEnd w:id="27"/>
    </w:p>
    <w:tbl>
      <w:tblPr>
        <w:tblStyle w:val="37"/>
        <w:tblW w:w="10008" w:type="dxa"/>
        <w:tblInd w:w="0" w:type="dxa"/>
        <w:tblLayout w:type="fixed"/>
        <w:tblCellMar>
          <w:top w:w="0" w:type="dxa"/>
          <w:left w:w="108" w:type="dxa"/>
          <w:bottom w:w="0" w:type="dxa"/>
          <w:right w:w="108" w:type="dxa"/>
        </w:tblCellMar>
      </w:tblPr>
      <w:tblGrid>
        <w:gridCol w:w="1001"/>
        <w:gridCol w:w="1712"/>
        <w:gridCol w:w="7295"/>
      </w:tblGrid>
      <w:tr w14:paraId="55BF50E5">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4DD575F4">
            <w:pPr>
              <w:spacing w:line="360" w:lineRule="exact"/>
              <w:jc w:val="center"/>
              <w:rPr>
                <w:rFonts w:hint="eastAsia" w:ascii="宋体" w:hAnsi="宋体" w:cs="宋体"/>
                <w:b/>
                <w:color w:val="auto"/>
                <w:sz w:val="22"/>
                <w:szCs w:val="22"/>
              </w:rPr>
            </w:pPr>
            <w:r>
              <w:rPr>
                <w:rFonts w:hint="eastAsia" w:ascii="宋体" w:hAnsi="宋体" w:cs="宋体"/>
                <w:b/>
                <w:color w:val="auto"/>
                <w:sz w:val="22"/>
                <w:szCs w:val="22"/>
              </w:rPr>
              <w:t>序号</w:t>
            </w:r>
          </w:p>
        </w:tc>
        <w:tc>
          <w:tcPr>
            <w:tcW w:w="1712" w:type="dxa"/>
            <w:tcBorders>
              <w:top w:val="single" w:color="auto" w:sz="4" w:space="0"/>
              <w:left w:val="single" w:color="auto" w:sz="4" w:space="0"/>
              <w:bottom w:val="single" w:color="auto" w:sz="4" w:space="0"/>
              <w:right w:val="single" w:color="auto" w:sz="4" w:space="0"/>
            </w:tcBorders>
            <w:vAlign w:val="center"/>
          </w:tcPr>
          <w:p w14:paraId="2601AACF">
            <w:pPr>
              <w:spacing w:line="360" w:lineRule="exact"/>
              <w:jc w:val="center"/>
              <w:rPr>
                <w:rFonts w:hint="eastAsia" w:ascii="宋体" w:hAnsi="宋体" w:cs="宋体"/>
                <w:b/>
                <w:color w:val="auto"/>
                <w:sz w:val="22"/>
                <w:szCs w:val="22"/>
              </w:rPr>
            </w:pPr>
            <w:r>
              <w:rPr>
                <w:rFonts w:hint="eastAsia" w:ascii="宋体" w:hAnsi="宋体" w:cs="宋体"/>
                <w:b/>
                <w:color w:val="auto"/>
                <w:sz w:val="22"/>
                <w:szCs w:val="22"/>
              </w:rPr>
              <w:t>条款名称</w:t>
            </w:r>
          </w:p>
        </w:tc>
        <w:tc>
          <w:tcPr>
            <w:tcW w:w="7295" w:type="dxa"/>
            <w:tcBorders>
              <w:top w:val="single" w:color="auto" w:sz="4" w:space="0"/>
              <w:left w:val="single" w:color="auto" w:sz="4" w:space="0"/>
              <w:bottom w:val="single" w:color="auto" w:sz="4" w:space="0"/>
              <w:right w:val="single" w:color="auto" w:sz="4" w:space="0"/>
            </w:tcBorders>
            <w:vAlign w:val="center"/>
          </w:tcPr>
          <w:p w14:paraId="10B5EF32">
            <w:pPr>
              <w:spacing w:line="360" w:lineRule="exact"/>
              <w:jc w:val="center"/>
              <w:rPr>
                <w:rFonts w:hint="eastAsia" w:ascii="宋体" w:hAnsi="宋体" w:cs="宋体"/>
                <w:b/>
                <w:color w:val="auto"/>
                <w:sz w:val="22"/>
                <w:szCs w:val="22"/>
              </w:rPr>
            </w:pPr>
            <w:r>
              <w:rPr>
                <w:rFonts w:hint="eastAsia" w:ascii="宋体" w:hAnsi="宋体" w:cs="宋体"/>
                <w:b/>
                <w:color w:val="auto"/>
                <w:sz w:val="22"/>
                <w:szCs w:val="22"/>
              </w:rPr>
              <w:t>编列内容</w:t>
            </w:r>
          </w:p>
        </w:tc>
      </w:tr>
      <w:tr w14:paraId="223508BF">
        <w:tblPrEx>
          <w:tblCellMar>
            <w:top w:w="0" w:type="dxa"/>
            <w:left w:w="108" w:type="dxa"/>
            <w:bottom w:w="0" w:type="dxa"/>
            <w:right w:w="108" w:type="dxa"/>
          </w:tblCellMar>
        </w:tblPrEx>
        <w:trPr>
          <w:trHeight w:val="467" w:hRule="atLeast"/>
        </w:trPr>
        <w:tc>
          <w:tcPr>
            <w:tcW w:w="1001" w:type="dxa"/>
            <w:tcBorders>
              <w:top w:val="single" w:color="auto" w:sz="4" w:space="0"/>
              <w:left w:val="single" w:color="auto" w:sz="4" w:space="0"/>
              <w:bottom w:val="single" w:color="auto" w:sz="4" w:space="0"/>
              <w:right w:val="single" w:color="auto" w:sz="4" w:space="0"/>
            </w:tcBorders>
            <w:vAlign w:val="center"/>
          </w:tcPr>
          <w:p w14:paraId="08800347">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1</w:t>
            </w:r>
          </w:p>
        </w:tc>
        <w:tc>
          <w:tcPr>
            <w:tcW w:w="1712" w:type="dxa"/>
            <w:tcBorders>
              <w:top w:val="single" w:color="auto" w:sz="4" w:space="0"/>
              <w:left w:val="single" w:color="auto" w:sz="4" w:space="0"/>
              <w:bottom w:val="single" w:color="auto" w:sz="4" w:space="0"/>
              <w:right w:val="single" w:color="auto" w:sz="4" w:space="0"/>
            </w:tcBorders>
            <w:vAlign w:val="center"/>
          </w:tcPr>
          <w:p w14:paraId="7BDAD59A">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项目名称、编号</w:t>
            </w:r>
          </w:p>
        </w:tc>
        <w:tc>
          <w:tcPr>
            <w:tcW w:w="7295" w:type="dxa"/>
            <w:tcBorders>
              <w:top w:val="single" w:color="auto" w:sz="4" w:space="0"/>
              <w:left w:val="single" w:color="auto" w:sz="4" w:space="0"/>
              <w:bottom w:val="single" w:color="auto" w:sz="4" w:space="0"/>
              <w:right w:val="single" w:color="auto" w:sz="4" w:space="0"/>
            </w:tcBorders>
            <w:vAlign w:val="center"/>
          </w:tcPr>
          <w:p w14:paraId="66BC2035">
            <w:pPr>
              <w:spacing w:line="360" w:lineRule="exact"/>
              <w:rPr>
                <w:rFonts w:hint="eastAsia" w:ascii="宋体" w:hAnsi="宋体" w:cs="宋体"/>
                <w:color w:val="auto"/>
                <w:sz w:val="22"/>
                <w:szCs w:val="22"/>
              </w:rPr>
            </w:pPr>
            <w:r>
              <w:rPr>
                <w:rFonts w:hint="eastAsia" w:ascii="宋体" w:hAnsi="宋体" w:cs="宋体"/>
                <w:color w:val="auto"/>
                <w:sz w:val="22"/>
                <w:szCs w:val="22"/>
              </w:rPr>
              <w:t>见第一部分“招标公告”</w:t>
            </w:r>
          </w:p>
        </w:tc>
      </w:tr>
      <w:tr w14:paraId="7B0D10DA">
        <w:tblPrEx>
          <w:tblCellMar>
            <w:top w:w="0" w:type="dxa"/>
            <w:left w:w="108" w:type="dxa"/>
            <w:bottom w:w="0" w:type="dxa"/>
            <w:right w:w="108" w:type="dxa"/>
          </w:tblCellMar>
        </w:tblPrEx>
        <w:trPr>
          <w:trHeight w:val="488" w:hRule="atLeast"/>
        </w:trPr>
        <w:tc>
          <w:tcPr>
            <w:tcW w:w="1001" w:type="dxa"/>
            <w:tcBorders>
              <w:top w:val="single" w:color="auto" w:sz="4" w:space="0"/>
              <w:left w:val="single" w:color="auto" w:sz="4" w:space="0"/>
              <w:bottom w:val="single" w:color="auto" w:sz="4" w:space="0"/>
              <w:right w:val="single" w:color="auto" w:sz="4" w:space="0"/>
            </w:tcBorders>
            <w:vAlign w:val="center"/>
          </w:tcPr>
          <w:p w14:paraId="340F79E7">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2</w:t>
            </w:r>
          </w:p>
        </w:tc>
        <w:tc>
          <w:tcPr>
            <w:tcW w:w="1712" w:type="dxa"/>
            <w:tcBorders>
              <w:top w:val="single" w:color="auto" w:sz="4" w:space="0"/>
              <w:left w:val="single" w:color="auto" w:sz="4" w:space="0"/>
              <w:bottom w:val="single" w:color="auto" w:sz="4" w:space="0"/>
              <w:right w:val="single" w:color="auto" w:sz="4" w:space="0"/>
            </w:tcBorders>
            <w:vAlign w:val="center"/>
          </w:tcPr>
          <w:p w14:paraId="4EBD1320">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采购内容</w:t>
            </w:r>
          </w:p>
        </w:tc>
        <w:tc>
          <w:tcPr>
            <w:tcW w:w="7295" w:type="dxa"/>
            <w:tcBorders>
              <w:top w:val="single" w:color="auto" w:sz="4" w:space="0"/>
              <w:left w:val="single" w:color="auto" w:sz="4" w:space="0"/>
              <w:bottom w:val="single" w:color="auto" w:sz="4" w:space="0"/>
              <w:right w:val="single" w:color="auto" w:sz="4" w:space="0"/>
            </w:tcBorders>
            <w:vAlign w:val="center"/>
          </w:tcPr>
          <w:p w14:paraId="146A2C70">
            <w:pPr>
              <w:tabs>
                <w:tab w:val="left" w:pos="851"/>
                <w:tab w:val="center" w:pos="5812"/>
                <w:tab w:val="decimal" w:pos="6804"/>
                <w:tab w:val="decimal" w:pos="8789"/>
              </w:tabs>
              <w:adjustRightInd w:val="0"/>
              <w:snapToGrid w:val="0"/>
              <w:spacing w:line="360" w:lineRule="exact"/>
              <w:rPr>
                <w:color w:val="auto"/>
                <w:sz w:val="22"/>
                <w:szCs w:val="22"/>
              </w:rPr>
            </w:pPr>
            <w:r>
              <w:rPr>
                <w:rFonts w:hint="eastAsia" w:ascii="宋体" w:hAnsi="宋体" w:cs="宋体"/>
                <w:color w:val="auto"/>
                <w:sz w:val="22"/>
                <w:szCs w:val="22"/>
              </w:rPr>
              <w:t>见第一部分“招标公告”</w:t>
            </w:r>
          </w:p>
        </w:tc>
      </w:tr>
      <w:tr w14:paraId="0F7A519A">
        <w:tblPrEx>
          <w:tblCellMar>
            <w:top w:w="0" w:type="dxa"/>
            <w:left w:w="108" w:type="dxa"/>
            <w:bottom w:w="0" w:type="dxa"/>
            <w:right w:w="108" w:type="dxa"/>
          </w:tblCellMar>
        </w:tblPrEx>
        <w:trPr>
          <w:trHeight w:val="573" w:hRule="atLeast"/>
        </w:trPr>
        <w:tc>
          <w:tcPr>
            <w:tcW w:w="1001" w:type="dxa"/>
            <w:tcBorders>
              <w:top w:val="single" w:color="auto" w:sz="4" w:space="0"/>
              <w:left w:val="single" w:color="auto" w:sz="4" w:space="0"/>
              <w:bottom w:val="single" w:color="auto" w:sz="4" w:space="0"/>
              <w:right w:val="single" w:color="auto" w:sz="4" w:space="0"/>
            </w:tcBorders>
            <w:vAlign w:val="center"/>
          </w:tcPr>
          <w:p w14:paraId="3BCFEFAD">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3</w:t>
            </w:r>
          </w:p>
        </w:tc>
        <w:tc>
          <w:tcPr>
            <w:tcW w:w="1712" w:type="dxa"/>
            <w:tcBorders>
              <w:top w:val="single" w:color="auto" w:sz="4" w:space="0"/>
              <w:left w:val="single" w:color="auto" w:sz="4" w:space="0"/>
              <w:bottom w:val="single" w:color="auto" w:sz="4" w:space="0"/>
              <w:right w:val="single" w:color="auto" w:sz="4" w:space="0"/>
            </w:tcBorders>
            <w:vAlign w:val="center"/>
          </w:tcPr>
          <w:p w14:paraId="2D72B62F">
            <w:pPr>
              <w:spacing w:line="360" w:lineRule="exact"/>
              <w:jc w:val="center"/>
              <w:rPr>
                <w:rFonts w:hint="eastAsia" w:hAnsi="宋体"/>
                <w:b/>
                <w:bCs/>
                <w:color w:val="auto"/>
                <w:sz w:val="22"/>
                <w:szCs w:val="22"/>
              </w:rPr>
            </w:pPr>
            <w:r>
              <w:rPr>
                <w:rFonts w:hint="eastAsia" w:ascii="宋体" w:hAnsi="宋体" w:cs="宋体"/>
                <w:color w:val="auto"/>
                <w:sz w:val="22"/>
                <w:szCs w:val="22"/>
              </w:rPr>
              <w:t>采购预算</w:t>
            </w:r>
          </w:p>
        </w:tc>
        <w:tc>
          <w:tcPr>
            <w:tcW w:w="7295" w:type="dxa"/>
            <w:tcBorders>
              <w:top w:val="single" w:color="auto" w:sz="4" w:space="0"/>
              <w:left w:val="single" w:color="auto" w:sz="4" w:space="0"/>
              <w:bottom w:val="single" w:color="auto" w:sz="4" w:space="0"/>
              <w:right w:val="single" w:color="auto" w:sz="4" w:space="0"/>
            </w:tcBorders>
            <w:vAlign w:val="center"/>
          </w:tcPr>
          <w:p w14:paraId="516892A8">
            <w:pPr>
              <w:spacing w:line="360" w:lineRule="exact"/>
              <w:rPr>
                <w:rFonts w:hint="eastAsia" w:ascii="宋体" w:hAnsi="宋体" w:cs="宋体"/>
                <w:b/>
                <w:bCs/>
                <w:color w:val="auto"/>
                <w:sz w:val="22"/>
                <w:szCs w:val="22"/>
              </w:rPr>
            </w:pPr>
            <w:r>
              <w:rPr>
                <w:rFonts w:hint="eastAsia" w:ascii="宋体" w:hAnsi="宋体" w:cs="宋体"/>
                <w:color w:val="auto"/>
                <w:sz w:val="22"/>
                <w:szCs w:val="22"/>
              </w:rPr>
              <w:t>见第一部分“招标公告”</w:t>
            </w:r>
          </w:p>
        </w:tc>
      </w:tr>
      <w:tr w14:paraId="2787C976">
        <w:tblPrEx>
          <w:tblCellMar>
            <w:top w:w="0" w:type="dxa"/>
            <w:left w:w="108" w:type="dxa"/>
            <w:bottom w:w="0" w:type="dxa"/>
            <w:right w:w="108" w:type="dxa"/>
          </w:tblCellMar>
        </w:tblPrEx>
        <w:trPr>
          <w:trHeight w:val="573" w:hRule="atLeast"/>
        </w:trPr>
        <w:tc>
          <w:tcPr>
            <w:tcW w:w="1001" w:type="dxa"/>
            <w:tcBorders>
              <w:top w:val="single" w:color="auto" w:sz="4" w:space="0"/>
              <w:left w:val="single" w:color="auto" w:sz="4" w:space="0"/>
              <w:bottom w:val="single" w:color="auto" w:sz="4" w:space="0"/>
              <w:right w:val="single" w:color="auto" w:sz="4" w:space="0"/>
            </w:tcBorders>
            <w:vAlign w:val="center"/>
          </w:tcPr>
          <w:p w14:paraId="79D847EF">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4</w:t>
            </w:r>
          </w:p>
        </w:tc>
        <w:tc>
          <w:tcPr>
            <w:tcW w:w="1712" w:type="dxa"/>
            <w:tcBorders>
              <w:top w:val="single" w:color="auto" w:sz="4" w:space="0"/>
              <w:left w:val="single" w:color="auto" w:sz="4" w:space="0"/>
              <w:bottom w:val="single" w:color="auto" w:sz="4" w:space="0"/>
              <w:right w:val="single" w:color="auto" w:sz="4" w:space="0"/>
            </w:tcBorders>
            <w:vAlign w:val="center"/>
          </w:tcPr>
          <w:p w14:paraId="5AEC1AF3">
            <w:pPr>
              <w:spacing w:line="360" w:lineRule="exact"/>
              <w:jc w:val="center"/>
              <w:rPr>
                <w:rFonts w:hint="eastAsia" w:ascii="宋体" w:hAnsi="宋体" w:cs="宋体"/>
                <w:color w:val="auto"/>
                <w:sz w:val="22"/>
                <w:szCs w:val="22"/>
              </w:rPr>
            </w:pPr>
            <w:r>
              <w:rPr>
                <w:rFonts w:hint="eastAsia" w:ascii="宋体" w:hAnsi="宋体"/>
                <w:color w:val="auto"/>
                <w:sz w:val="22"/>
                <w:szCs w:val="22"/>
              </w:rPr>
              <w:t>交付时间</w:t>
            </w:r>
          </w:p>
        </w:tc>
        <w:tc>
          <w:tcPr>
            <w:tcW w:w="7295" w:type="dxa"/>
            <w:tcBorders>
              <w:top w:val="single" w:color="auto" w:sz="4" w:space="0"/>
              <w:left w:val="single" w:color="auto" w:sz="4" w:space="0"/>
              <w:bottom w:val="single" w:color="auto" w:sz="4" w:space="0"/>
              <w:right w:val="single" w:color="auto" w:sz="4" w:space="0"/>
            </w:tcBorders>
            <w:vAlign w:val="center"/>
          </w:tcPr>
          <w:p w14:paraId="31599F13">
            <w:pPr>
              <w:spacing w:line="360" w:lineRule="exact"/>
              <w:rPr>
                <w:rFonts w:hint="eastAsia" w:ascii="宋体" w:hAnsi="宋体" w:cs="宋体"/>
                <w:color w:val="auto"/>
                <w:sz w:val="22"/>
                <w:szCs w:val="22"/>
              </w:rPr>
            </w:pPr>
            <w:r>
              <w:rPr>
                <w:rFonts w:hint="eastAsia" w:ascii="宋体" w:hAnsi="宋体" w:cs="宋体"/>
                <w:color w:val="auto"/>
                <w:sz w:val="22"/>
              </w:rPr>
              <w:t>合同签订后</w:t>
            </w:r>
            <w:r>
              <w:rPr>
                <w:rFonts w:hint="eastAsia" w:ascii="宋体" w:hAnsi="宋体" w:cs="宋体"/>
                <w:color w:val="auto"/>
                <w:sz w:val="22"/>
                <w:lang w:val="en-US" w:eastAsia="zh-CN"/>
              </w:rPr>
              <w:t>90</w:t>
            </w:r>
            <w:r>
              <w:rPr>
                <w:rFonts w:hint="eastAsia" w:ascii="宋体" w:hAnsi="宋体" w:cs="宋体"/>
                <w:color w:val="auto"/>
                <w:sz w:val="22"/>
              </w:rPr>
              <w:t>天内完成全部货物供货、安装调试，由采购人进行验收。</w:t>
            </w:r>
          </w:p>
        </w:tc>
      </w:tr>
      <w:tr w14:paraId="405F73A7">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0DE9F2CF">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5</w:t>
            </w:r>
          </w:p>
        </w:tc>
        <w:tc>
          <w:tcPr>
            <w:tcW w:w="1712" w:type="dxa"/>
            <w:tcBorders>
              <w:top w:val="single" w:color="auto" w:sz="4" w:space="0"/>
              <w:left w:val="single" w:color="auto" w:sz="4" w:space="0"/>
              <w:bottom w:val="single" w:color="auto" w:sz="4" w:space="0"/>
              <w:right w:val="single" w:color="auto" w:sz="4" w:space="0"/>
            </w:tcBorders>
            <w:vAlign w:val="center"/>
          </w:tcPr>
          <w:p w14:paraId="207B1838">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投标人资格要求</w:t>
            </w:r>
          </w:p>
        </w:tc>
        <w:tc>
          <w:tcPr>
            <w:tcW w:w="7295" w:type="dxa"/>
            <w:tcBorders>
              <w:top w:val="single" w:color="auto" w:sz="4" w:space="0"/>
              <w:left w:val="single" w:color="auto" w:sz="4" w:space="0"/>
              <w:bottom w:val="single" w:color="auto" w:sz="4" w:space="0"/>
              <w:right w:val="single" w:color="auto" w:sz="4" w:space="0"/>
            </w:tcBorders>
            <w:vAlign w:val="center"/>
          </w:tcPr>
          <w:p w14:paraId="08FAB872">
            <w:pPr>
              <w:spacing w:line="360" w:lineRule="exact"/>
              <w:rPr>
                <w:rFonts w:hint="eastAsia" w:ascii="宋体" w:hAnsi="宋体" w:cs="宋体"/>
                <w:b/>
                <w:color w:val="auto"/>
                <w:sz w:val="22"/>
                <w:szCs w:val="22"/>
              </w:rPr>
            </w:pPr>
            <w:r>
              <w:rPr>
                <w:rFonts w:hint="eastAsia" w:ascii="宋体" w:hAnsi="宋体" w:cs="宋体"/>
                <w:color w:val="auto"/>
                <w:sz w:val="22"/>
                <w:szCs w:val="22"/>
              </w:rPr>
              <w:t>见第一部分“招标公告”</w:t>
            </w:r>
          </w:p>
        </w:tc>
      </w:tr>
      <w:tr w14:paraId="59871CB5">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7EA0D207">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6</w:t>
            </w:r>
          </w:p>
        </w:tc>
        <w:tc>
          <w:tcPr>
            <w:tcW w:w="1712" w:type="dxa"/>
            <w:tcBorders>
              <w:top w:val="single" w:color="auto" w:sz="4" w:space="0"/>
              <w:left w:val="single" w:color="auto" w:sz="4" w:space="0"/>
              <w:bottom w:val="single" w:color="auto" w:sz="4" w:space="0"/>
              <w:right w:val="single" w:color="auto" w:sz="4" w:space="0"/>
            </w:tcBorders>
            <w:vAlign w:val="center"/>
          </w:tcPr>
          <w:p w14:paraId="3ED896FE">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是否接受联合体投标</w:t>
            </w:r>
          </w:p>
        </w:tc>
        <w:tc>
          <w:tcPr>
            <w:tcW w:w="7295" w:type="dxa"/>
            <w:tcBorders>
              <w:top w:val="single" w:color="auto" w:sz="4" w:space="0"/>
              <w:left w:val="single" w:color="auto" w:sz="4" w:space="0"/>
              <w:bottom w:val="single" w:color="auto" w:sz="4" w:space="0"/>
              <w:right w:val="single" w:color="auto" w:sz="4" w:space="0"/>
            </w:tcBorders>
            <w:vAlign w:val="center"/>
          </w:tcPr>
          <w:p w14:paraId="60DAD428">
            <w:pPr>
              <w:spacing w:line="360" w:lineRule="exact"/>
              <w:rPr>
                <w:rFonts w:hint="eastAsia" w:ascii="宋体" w:hAnsi="宋体" w:cs="宋体"/>
                <w:color w:val="auto"/>
                <w:sz w:val="22"/>
                <w:szCs w:val="22"/>
              </w:rPr>
            </w:pPr>
            <w:r>
              <w:rPr>
                <w:rFonts w:hint="eastAsia" w:ascii="宋体" w:hAnsi="宋体" w:cs="宋体"/>
                <w:b/>
                <w:snapToGrid w:val="0"/>
                <w:color w:val="auto"/>
                <w:sz w:val="22"/>
                <w:szCs w:val="22"/>
              </w:rPr>
              <w:sym w:font="Wingdings" w:char="00A8"/>
            </w:r>
            <w:r>
              <w:rPr>
                <w:rFonts w:hint="eastAsia" w:ascii="宋体" w:hAnsi="宋体" w:cs="宋体"/>
                <w:color w:val="auto"/>
                <w:sz w:val="22"/>
                <w:szCs w:val="22"/>
              </w:rPr>
              <w:t>不接受</w:t>
            </w:r>
          </w:p>
          <w:p w14:paraId="0B1DC8ED">
            <w:pPr>
              <w:spacing w:line="360" w:lineRule="exact"/>
              <w:rPr>
                <w:rFonts w:hint="eastAsia" w:ascii="宋体" w:hAnsi="宋体" w:cs="宋体"/>
                <w:color w:val="auto"/>
                <w:sz w:val="22"/>
                <w:szCs w:val="22"/>
              </w:rPr>
            </w:pPr>
            <w:r>
              <w:rPr>
                <w:rFonts w:hint="eastAsia" w:ascii="宋体" w:hAnsi="宋体" w:cs="宋体"/>
                <w:color w:val="auto"/>
                <w:sz w:val="22"/>
                <w:szCs w:val="22"/>
              </w:rPr>
              <w:sym w:font="Wingdings 2" w:char="0052"/>
            </w:r>
            <w:r>
              <w:rPr>
                <w:rFonts w:hint="eastAsia" w:ascii="宋体" w:hAnsi="宋体" w:cs="宋体"/>
                <w:color w:val="auto"/>
                <w:sz w:val="22"/>
                <w:szCs w:val="22"/>
              </w:rPr>
              <w:t>接受，应满足下列要求：无。</w:t>
            </w:r>
          </w:p>
        </w:tc>
      </w:tr>
      <w:tr w14:paraId="5DF75E04">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7C4849B1">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7</w:t>
            </w:r>
          </w:p>
        </w:tc>
        <w:tc>
          <w:tcPr>
            <w:tcW w:w="1712" w:type="dxa"/>
            <w:tcBorders>
              <w:top w:val="single" w:color="auto" w:sz="4" w:space="0"/>
              <w:left w:val="single" w:color="auto" w:sz="4" w:space="0"/>
              <w:bottom w:val="single" w:color="auto" w:sz="4" w:space="0"/>
              <w:right w:val="single" w:color="auto" w:sz="4" w:space="0"/>
            </w:tcBorders>
            <w:vAlign w:val="center"/>
          </w:tcPr>
          <w:p w14:paraId="10E4CC46">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踏勘现场</w:t>
            </w:r>
          </w:p>
        </w:tc>
        <w:tc>
          <w:tcPr>
            <w:tcW w:w="7295" w:type="dxa"/>
            <w:tcBorders>
              <w:top w:val="single" w:color="auto" w:sz="4" w:space="0"/>
              <w:left w:val="single" w:color="auto" w:sz="4" w:space="0"/>
              <w:bottom w:val="single" w:color="auto" w:sz="4" w:space="0"/>
              <w:right w:val="single" w:color="auto" w:sz="4" w:space="0"/>
            </w:tcBorders>
            <w:vAlign w:val="center"/>
          </w:tcPr>
          <w:p w14:paraId="159524AA">
            <w:pPr>
              <w:spacing w:line="360" w:lineRule="exact"/>
              <w:rPr>
                <w:rFonts w:hint="eastAsia" w:ascii="宋体" w:hAnsi="宋体" w:cs="宋体"/>
                <w:color w:val="auto"/>
                <w:sz w:val="22"/>
                <w:szCs w:val="22"/>
              </w:rPr>
            </w:pPr>
            <w:r>
              <w:rPr>
                <w:rFonts w:hint="eastAsia" w:ascii="宋体" w:hAnsi="宋体" w:cs="宋体"/>
                <w:color w:val="auto"/>
                <w:sz w:val="22"/>
                <w:szCs w:val="22"/>
              </w:rPr>
              <w:t>□组织</w:t>
            </w:r>
          </w:p>
          <w:p w14:paraId="43463D6A">
            <w:pPr>
              <w:spacing w:line="360" w:lineRule="exact"/>
              <w:rPr>
                <w:rFonts w:hint="eastAsia" w:ascii="宋体" w:hAnsi="宋体" w:cs="宋体"/>
                <w:color w:val="auto"/>
                <w:sz w:val="22"/>
                <w:szCs w:val="22"/>
              </w:rPr>
            </w:pPr>
            <w:r>
              <w:rPr>
                <w:rFonts w:hint="eastAsia" w:ascii="宋体" w:hAnsi="宋体" w:cs="宋体"/>
                <w:b/>
                <w:snapToGrid w:val="0"/>
                <w:color w:val="auto"/>
                <w:sz w:val="22"/>
                <w:szCs w:val="22"/>
              </w:rPr>
              <w:sym w:font="Wingdings" w:char="F0FE"/>
            </w:r>
            <w:r>
              <w:rPr>
                <w:rFonts w:hint="eastAsia" w:ascii="宋体" w:hAnsi="宋体" w:cs="宋体"/>
                <w:color w:val="auto"/>
                <w:sz w:val="22"/>
                <w:szCs w:val="22"/>
              </w:rPr>
              <w:t>不组织，如需勘察，投标人需提早向代理机构提出申请，接到通知后方可前往。</w:t>
            </w:r>
          </w:p>
        </w:tc>
      </w:tr>
      <w:tr w14:paraId="5FC732BD">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1E276593">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8</w:t>
            </w:r>
          </w:p>
        </w:tc>
        <w:tc>
          <w:tcPr>
            <w:tcW w:w="1712" w:type="dxa"/>
            <w:tcBorders>
              <w:top w:val="single" w:color="auto" w:sz="4" w:space="0"/>
              <w:left w:val="single" w:color="auto" w:sz="4" w:space="0"/>
              <w:bottom w:val="single" w:color="auto" w:sz="4" w:space="0"/>
              <w:right w:val="single" w:color="auto" w:sz="4" w:space="0"/>
            </w:tcBorders>
            <w:vAlign w:val="center"/>
          </w:tcPr>
          <w:p w14:paraId="5E655B51">
            <w:pPr>
              <w:spacing w:line="360" w:lineRule="exact"/>
              <w:jc w:val="center"/>
              <w:rPr>
                <w:rFonts w:hint="eastAsia" w:ascii="宋体" w:hAnsi="宋体" w:cs="宋体"/>
                <w:color w:val="auto"/>
                <w:sz w:val="22"/>
                <w:szCs w:val="22"/>
              </w:rPr>
            </w:pPr>
            <w:r>
              <w:rPr>
                <w:rFonts w:hint="eastAsia" w:ascii="宋体" w:hAnsi="宋体" w:cs="仿宋"/>
                <w:color w:val="auto"/>
                <w:sz w:val="22"/>
                <w:szCs w:val="22"/>
              </w:rPr>
              <w:t>开标前答疑会</w:t>
            </w:r>
          </w:p>
        </w:tc>
        <w:tc>
          <w:tcPr>
            <w:tcW w:w="7295" w:type="dxa"/>
            <w:tcBorders>
              <w:top w:val="single" w:color="auto" w:sz="4" w:space="0"/>
              <w:left w:val="single" w:color="auto" w:sz="4" w:space="0"/>
              <w:bottom w:val="single" w:color="auto" w:sz="4" w:space="0"/>
              <w:right w:val="single" w:color="auto" w:sz="4" w:space="0"/>
            </w:tcBorders>
            <w:vAlign w:val="center"/>
          </w:tcPr>
          <w:p w14:paraId="45C27174">
            <w:pPr>
              <w:spacing w:line="360" w:lineRule="exact"/>
              <w:rPr>
                <w:rFonts w:hint="eastAsia" w:ascii="宋体" w:hAnsi="宋体" w:cs="仿宋"/>
                <w:color w:val="auto"/>
                <w:sz w:val="22"/>
                <w:szCs w:val="22"/>
              </w:rPr>
            </w:pPr>
            <w:r>
              <w:rPr>
                <w:rFonts w:hint="eastAsia" w:ascii="宋体" w:hAnsi="宋体" w:cs="宋体"/>
                <w:b/>
                <w:snapToGrid w:val="0"/>
                <w:color w:val="auto"/>
                <w:sz w:val="22"/>
                <w:szCs w:val="22"/>
              </w:rPr>
              <w:sym w:font="Wingdings" w:char="F0FE"/>
            </w:r>
            <w:r>
              <w:rPr>
                <w:rFonts w:hint="eastAsia" w:ascii="宋体" w:hAnsi="宋体" w:cs="仿宋"/>
                <w:color w:val="auto"/>
                <w:sz w:val="22"/>
                <w:szCs w:val="22"/>
              </w:rPr>
              <w:t>不组织。</w:t>
            </w:r>
          </w:p>
          <w:p w14:paraId="7961A6AE">
            <w:pPr>
              <w:spacing w:line="360" w:lineRule="exact"/>
              <w:rPr>
                <w:rFonts w:hint="eastAsia" w:ascii="宋体" w:hAnsi="宋体" w:cs="宋体"/>
                <w:color w:val="auto"/>
                <w:sz w:val="22"/>
                <w:szCs w:val="22"/>
              </w:rPr>
            </w:pPr>
            <w:r>
              <w:rPr>
                <w:rFonts w:hint="eastAsia" w:ascii="宋体" w:hAnsi="宋体" w:cs="仿宋"/>
                <w:color w:val="auto"/>
                <w:sz w:val="22"/>
                <w:szCs w:val="22"/>
              </w:rPr>
              <w:sym w:font="Wingdings" w:char="00A8"/>
            </w:r>
            <w:r>
              <w:rPr>
                <w:rFonts w:hint="eastAsia" w:ascii="宋体" w:hAnsi="宋体" w:cs="仿宋"/>
                <w:color w:val="auto"/>
                <w:sz w:val="22"/>
                <w:szCs w:val="22"/>
              </w:rPr>
              <w:t xml:space="preserve"> 组织，时间：,地点：，联系人：，联系方式</w:t>
            </w:r>
            <w:r>
              <w:rPr>
                <w:rFonts w:hint="eastAsia" w:ascii="宋体" w:hAnsi="宋体" w:cs="仿宋"/>
                <w:color w:val="auto"/>
                <w:sz w:val="22"/>
                <w:szCs w:val="22"/>
                <w:u w:val="single"/>
              </w:rPr>
              <w:t xml:space="preserve">：      </w:t>
            </w:r>
            <w:r>
              <w:rPr>
                <w:rFonts w:hint="eastAsia" w:ascii="宋体" w:hAnsi="宋体" w:cs="仿宋"/>
                <w:color w:val="auto"/>
                <w:sz w:val="22"/>
                <w:szCs w:val="22"/>
              </w:rPr>
              <w:t>。</w:t>
            </w:r>
          </w:p>
        </w:tc>
      </w:tr>
      <w:tr w14:paraId="4DE223A6">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389B65EC">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9</w:t>
            </w:r>
          </w:p>
        </w:tc>
        <w:tc>
          <w:tcPr>
            <w:tcW w:w="1712" w:type="dxa"/>
            <w:tcBorders>
              <w:top w:val="single" w:color="auto" w:sz="4" w:space="0"/>
              <w:left w:val="single" w:color="auto" w:sz="4" w:space="0"/>
              <w:bottom w:val="single" w:color="auto" w:sz="4" w:space="0"/>
              <w:right w:val="single" w:color="auto" w:sz="4" w:space="0"/>
            </w:tcBorders>
            <w:vAlign w:val="center"/>
          </w:tcPr>
          <w:p w14:paraId="134A4A42">
            <w:pPr>
              <w:spacing w:line="360" w:lineRule="exact"/>
              <w:jc w:val="center"/>
              <w:rPr>
                <w:rFonts w:hint="eastAsia" w:ascii="宋体" w:hAnsi="宋体" w:cs="宋体"/>
                <w:color w:val="auto"/>
                <w:sz w:val="22"/>
                <w:szCs w:val="22"/>
              </w:rPr>
            </w:pPr>
            <w:r>
              <w:rPr>
                <w:rFonts w:hint="eastAsia" w:ascii="宋体" w:hAnsi="宋体" w:cs="仿宋"/>
                <w:bCs/>
                <w:color w:val="auto"/>
                <w:sz w:val="22"/>
                <w:szCs w:val="22"/>
              </w:rPr>
              <w:t>分包与转包</w:t>
            </w:r>
          </w:p>
        </w:tc>
        <w:tc>
          <w:tcPr>
            <w:tcW w:w="7295" w:type="dxa"/>
            <w:tcBorders>
              <w:top w:val="single" w:color="auto" w:sz="4" w:space="0"/>
              <w:left w:val="single" w:color="auto" w:sz="4" w:space="0"/>
              <w:bottom w:val="single" w:color="auto" w:sz="4" w:space="0"/>
              <w:right w:val="single" w:color="auto" w:sz="4" w:space="0"/>
            </w:tcBorders>
            <w:vAlign w:val="center"/>
          </w:tcPr>
          <w:p w14:paraId="72C0AED8">
            <w:pPr>
              <w:spacing w:line="360" w:lineRule="exact"/>
              <w:rPr>
                <w:rFonts w:hint="eastAsia" w:ascii="宋体" w:hAnsi="宋体" w:cs="仿宋"/>
                <w:bCs/>
                <w:color w:val="auto"/>
                <w:sz w:val="22"/>
                <w:szCs w:val="22"/>
              </w:rPr>
            </w:pPr>
            <w:r>
              <w:rPr>
                <w:rFonts w:hint="eastAsia" w:ascii="宋体" w:hAnsi="宋体" w:cs="仿宋"/>
                <w:bCs/>
                <w:color w:val="auto"/>
                <w:sz w:val="22"/>
                <w:szCs w:val="22"/>
              </w:rPr>
              <w:t>（1）分包：</w:t>
            </w:r>
          </w:p>
          <w:p w14:paraId="4FA872F0">
            <w:pPr>
              <w:spacing w:line="360" w:lineRule="exact"/>
              <w:rPr>
                <w:rFonts w:hint="eastAsia" w:ascii="宋体" w:hAnsi="宋体" w:cs="仿宋"/>
                <w:bCs/>
                <w:color w:val="auto"/>
                <w:sz w:val="22"/>
                <w:szCs w:val="22"/>
              </w:rPr>
            </w:pPr>
            <w:r>
              <w:rPr>
                <w:rFonts w:hint="eastAsia" w:ascii="宋体" w:hAnsi="宋体" w:cs="仿宋"/>
                <w:bCs/>
                <w:color w:val="auto"/>
                <w:sz w:val="22"/>
                <w:szCs w:val="22"/>
              </w:rPr>
              <w:sym w:font="Wingdings" w:char="00FE"/>
            </w:r>
            <w:r>
              <w:rPr>
                <w:rFonts w:hint="eastAsia" w:ascii="宋体" w:hAnsi="宋体" w:cs="仿宋"/>
                <w:bCs/>
                <w:color w:val="auto"/>
                <w:sz w:val="22"/>
                <w:szCs w:val="22"/>
              </w:rPr>
              <w:t>同意将非主体、非关键性的工作分包。</w:t>
            </w:r>
          </w:p>
          <w:p w14:paraId="1136E560">
            <w:pPr>
              <w:spacing w:line="360" w:lineRule="exact"/>
              <w:rPr>
                <w:rFonts w:hint="eastAsia" w:ascii="宋体" w:hAnsi="宋体" w:cs="仿宋"/>
                <w:bCs/>
                <w:color w:val="auto"/>
                <w:sz w:val="22"/>
                <w:szCs w:val="22"/>
              </w:rPr>
            </w:pPr>
            <w:r>
              <w:rPr>
                <w:rFonts w:hint="eastAsia" w:ascii="宋体" w:hAnsi="宋体" w:cs="宋体"/>
                <w:b/>
                <w:snapToGrid w:val="0"/>
                <w:color w:val="auto"/>
                <w:sz w:val="22"/>
                <w:szCs w:val="22"/>
              </w:rPr>
              <w:sym w:font="Wingdings" w:char="00A8"/>
            </w:r>
            <w:r>
              <w:rPr>
                <w:rFonts w:hint="eastAsia" w:ascii="宋体" w:hAnsi="宋体" w:cs="仿宋"/>
                <w:bCs/>
                <w:color w:val="auto"/>
                <w:sz w:val="22"/>
                <w:szCs w:val="22"/>
              </w:rPr>
              <w:t>不同意分包。</w:t>
            </w:r>
          </w:p>
          <w:p w14:paraId="3E6C2923">
            <w:pPr>
              <w:spacing w:line="360" w:lineRule="exact"/>
              <w:rPr>
                <w:rFonts w:hint="eastAsia" w:ascii="宋体" w:hAnsi="宋体" w:cs="宋体"/>
                <w:color w:val="auto"/>
                <w:sz w:val="22"/>
                <w:szCs w:val="22"/>
              </w:rPr>
            </w:pPr>
            <w:r>
              <w:rPr>
                <w:rFonts w:hint="eastAsia" w:ascii="宋体" w:hAnsi="宋体" w:cs="仿宋"/>
                <w:bCs/>
                <w:color w:val="auto"/>
                <w:sz w:val="22"/>
                <w:szCs w:val="22"/>
              </w:rPr>
              <w:t>（2）转包：本项目不允许转包。</w:t>
            </w:r>
          </w:p>
        </w:tc>
      </w:tr>
      <w:tr w14:paraId="4CEFFEBB">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6726F755">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10</w:t>
            </w:r>
          </w:p>
        </w:tc>
        <w:tc>
          <w:tcPr>
            <w:tcW w:w="1712" w:type="dxa"/>
            <w:tcBorders>
              <w:top w:val="single" w:color="auto" w:sz="4" w:space="0"/>
              <w:left w:val="single" w:color="auto" w:sz="4" w:space="0"/>
              <w:bottom w:val="single" w:color="auto" w:sz="4" w:space="0"/>
              <w:right w:val="single" w:color="auto" w:sz="4" w:space="0"/>
            </w:tcBorders>
            <w:vAlign w:val="center"/>
          </w:tcPr>
          <w:p w14:paraId="72F19D41">
            <w:pPr>
              <w:autoSpaceDE w:val="0"/>
              <w:autoSpaceDN w:val="0"/>
              <w:adjustRightInd w:val="0"/>
              <w:snapToGrid w:val="0"/>
              <w:spacing w:line="360" w:lineRule="exact"/>
              <w:jc w:val="center"/>
              <w:rPr>
                <w:rFonts w:hint="eastAsia" w:ascii="宋体" w:hAnsi="宋体" w:cs="仿宋"/>
                <w:bCs/>
                <w:color w:val="auto"/>
                <w:sz w:val="22"/>
                <w:szCs w:val="22"/>
              </w:rPr>
            </w:pPr>
            <w:r>
              <w:rPr>
                <w:rFonts w:hint="eastAsia" w:ascii="宋体" w:hAnsi="宋体" w:cs="宋体"/>
                <w:snapToGrid w:val="0"/>
                <w:color w:val="auto"/>
                <w:szCs w:val="22"/>
              </w:rPr>
              <w:t>报价要求</w:t>
            </w:r>
          </w:p>
        </w:tc>
        <w:tc>
          <w:tcPr>
            <w:tcW w:w="7295" w:type="dxa"/>
            <w:tcBorders>
              <w:top w:val="single" w:color="auto" w:sz="4" w:space="0"/>
              <w:left w:val="single" w:color="auto" w:sz="4" w:space="0"/>
              <w:bottom w:val="single" w:color="auto" w:sz="4" w:space="0"/>
              <w:right w:val="single" w:color="auto" w:sz="4" w:space="0"/>
            </w:tcBorders>
            <w:vAlign w:val="center"/>
          </w:tcPr>
          <w:p w14:paraId="035A1947">
            <w:pPr>
              <w:adjustRightInd w:val="0"/>
              <w:snapToGrid w:val="0"/>
              <w:spacing w:line="360" w:lineRule="exact"/>
              <w:rPr>
                <w:rFonts w:hint="eastAsia" w:ascii="宋体" w:hAnsi="宋体" w:cs="宋体"/>
                <w:b/>
                <w:bCs/>
                <w:color w:val="auto"/>
                <w:szCs w:val="22"/>
              </w:rPr>
            </w:pPr>
            <w:r>
              <w:rPr>
                <w:rFonts w:hint="eastAsia" w:ascii="宋体" w:hAnsi="宋体" w:cs="宋体"/>
                <w:b/>
                <w:bCs/>
                <w:color w:val="auto"/>
                <w:szCs w:val="22"/>
              </w:rPr>
              <w:t>本项目采用人民币报价</w:t>
            </w:r>
          </w:p>
          <w:p w14:paraId="0DB3C17C">
            <w:pPr>
              <w:adjustRightInd w:val="0"/>
              <w:snapToGrid w:val="0"/>
              <w:spacing w:line="360" w:lineRule="exact"/>
              <w:rPr>
                <w:rFonts w:hint="eastAsia" w:ascii="宋体" w:hAnsi="宋体" w:cs="仿宋"/>
                <w:bCs/>
                <w:color w:val="auto"/>
                <w:sz w:val="22"/>
                <w:szCs w:val="22"/>
              </w:rPr>
            </w:pPr>
            <w:r>
              <w:rPr>
                <w:rFonts w:hint="eastAsia" w:ascii="宋体" w:hAnsi="宋体" w:cs="宋体"/>
                <w:snapToGrid w:val="0"/>
                <w:color w:val="auto"/>
                <w:szCs w:val="22"/>
              </w:rPr>
              <w:t>客户端填写的报价与以pdf格式上传文件中的报价不一致的，应以Pdf格式上传文件中的报价为准。</w:t>
            </w:r>
          </w:p>
        </w:tc>
      </w:tr>
      <w:tr w14:paraId="5980CCA9">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0F16FE6E">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11</w:t>
            </w:r>
          </w:p>
        </w:tc>
        <w:tc>
          <w:tcPr>
            <w:tcW w:w="1712" w:type="dxa"/>
            <w:tcBorders>
              <w:top w:val="single" w:color="auto" w:sz="4" w:space="0"/>
              <w:left w:val="single" w:color="auto" w:sz="4" w:space="0"/>
              <w:bottom w:val="single" w:color="auto" w:sz="4" w:space="0"/>
              <w:right w:val="single" w:color="auto" w:sz="4" w:space="0"/>
            </w:tcBorders>
            <w:vAlign w:val="center"/>
          </w:tcPr>
          <w:p w14:paraId="710CBB21">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偏离</w:t>
            </w:r>
          </w:p>
        </w:tc>
        <w:tc>
          <w:tcPr>
            <w:tcW w:w="7295" w:type="dxa"/>
            <w:tcBorders>
              <w:top w:val="single" w:color="auto" w:sz="4" w:space="0"/>
              <w:left w:val="single" w:color="auto" w:sz="4" w:space="0"/>
              <w:bottom w:val="single" w:color="auto" w:sz="4" w:space="0"/>
              <w:right w:val="single" w:color="auto" w:sz="4" w:space="0"/>
            </w:tcBorders>
            <w:vAlign w:val="center"/>
          </w:tcPr>
          <w:p w14:paraId="2C72ADA5">
            <w:pPr>
              <w:spacing w:line="360" w:lineRule="exact"/>
              <w:rPr>
                <w:rFonts w:hint="eastAsia" w:ascii="宋体" w:hAnsi="宋体" w:cs="宋体"/>
                <w:color w:val="auto"/>
                <w:sz w:val="22"/>
                <w:szCs w:val="22"/>
              </w:rPr>
            </w:pPr>
            <w:r>
              <w:rPr>
                <w:rFonts w:hint="eastAsia" w:ascii="宋体" w:hAnsi="宋体" w:cs="宋体"/>
                <w:color w:val="auto"/>
                <w:sz w:val="22"/>
                <w:szCs w:val="22"/>
              </w:rPr>
              <w:t>偏差允许幅度及其处理方法：允许细微偏差，不允许重大偏差。由评标委员会判断，细微偏差要求投标人在评标结束前予以澄清、说明或补正，不接受要求进行的，评标委员会有权做无效标处理，详见评标方法。</w:t>
            </w:r>
          </w:p>
        </w:tc>
      </w:tr>
      <w:tr w14:paraId="6F8A4950">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2B7B00D9">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12</w:t>
            </w:r>
          </w:p>
        </w:tc>
        <w:tc>
          <w:tcPr>
            <w:tcW w:w="1712" w:type="dxa"/>
            <w:tcBorders>
              <w:top w:val="single" w:color="auto" w:sz="4" w:space="0"/>
              <w:left w:val="single" w:color="auto" w:sz="4" w:space="0"/>
              <w:bottom w:val="single" w:color="auto" w:sz="4" w:space="0"/>
              <w:right w:val="single" w:color="auto" w:sz="4" w:space="0"/>
            </w:tcBorders>
            <w:vAlign w:val="center"/>
          </w:tcPr>
          <w:p w14:paraId="1647213F">
            <w:pPr>
              <w:spacing w:line="360" w:lineRule="exact"/>
              <w:jc w:val="center"/>
              <w:rPr>
                <w:rFonts w:hint="eastAsia" w:ascii="宋体" w:hAnsi="宋体" w:cs="宋体"/>
                <w:color w:val="auto"/>
                <w:sz w:val="22"/>
                <w:szCs w:val="22"/>
              </w:rPr>
            </w:pPr>
            <w:r>
              <w:rPr>
                <w:rFonts w:hint="eastAsia" w:ascii="宋体" w:hAnsi="宋体" w:cs="仿宋"/>
                <w:color w:val="auto"/>
                <w:sz w:val="22"/>
                <w:szCs w:val="22"/>
              </w:rPr>
              <w:t>投标有效期</w:t>
            </w:r>
          </w:p>
        </w:tc>
        <w:tc>
          <w:tcPr>
            <w:tcW w:w="7295" w:type="dxa"/>
            <w:tcBorders>
              <w:top w:val="single" w:color="auto" w:sz="4" w:space="0"/>
              <w:left w:val="single" w:color="auto" w:sz="4" w:space="0"/>
              <w:bottom w:val="single" w:color="auto" w:sz="4" w:space="0"/>
              <w:right w:val="single" w:color="auto" w:sz="4" w:space="0"/>
            </w:tcBorders>
            <w:vAlign w:val="center"/>
          </w:tcPr>
          <w:p w14:paraId="68B84447">
            <w:pPr>
              <w:spacing w:line="360" w:lineRule="exact"/>
              <w:rPr>
                <w:rFonts w:hint="eastAsia" w:ascii="宋体" w:hAnsi="宋体" w:cs="宋体"/>
                <w:color w:val="auto"/>
                <w:sz w:val="22"/>
                <w:szCs w:val="22"/>
              </w:rPr>
            </w:pPr>
            <w:r>
              <w:rPr>
                <w:rFonts w:hint="eastAsia" w:ascii="宋体" w:hAnsi="宋体" w:cs="仿宋"/>
                <w:color w:val="auto"/>
                <w:sz w:val="22"/>
                <w:szCs w:val="22"/>
              </w:rPr>
              <w:t xml:space="preserve">投标有效期为从提交投标文件的截止之日起 </w:t>
            </w:r>
            <w:r>
              <w:rPr>
                <w:rFonts w:ascii="宋体" w:hAnsi="宋体" w:cs="仿宋"/>
                <w:color w:val="auto"/>
                <w:sz w:val="22"/>
                <w:szCs w:val="22"/>
              </w:rPr>
              <w:t>90</w:t>
            </w:r>
            <w:r>
              <w:rPr>
                <w:rFonts w:hint="eastAsia" w:ascii="宋体" w:hAnsi="宋体" w:cs="仿宋"/>
                <w:color w:val="auto"/>
                <w:sz w:val="22"/>
                <w:szCs w:val="22"/>
              </w:rPr>
              <w:t>天</w:t>
            </w:r>
          </w:p>
        </w:tc>
      </w:tr>
      <w:tr w14:paraId="0C17573C">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6DB5FF3B">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13</w:t>
            </w:r>
          </w:p>
        </w:tc>
        <w:tc>
          <w:tcPr>
            <w:tcW w:w="1712" w:type="dxa"/>
            <w:tcBorders>
              <w:top w:val="single" w:color="auto" w:sz="4" w:space="0"/>
              <w:left w:val="single" w:color="auto" w:sz="4" w:space="0"/>
              <w:bottom w:val="single" w:color="auto" w:sz="4" w:space="0"/>
              <w:right w:val="single" w:color="auto" w:sz="4" w:space="0"/>
            </w:tcBorders>
            <w:vAlign w:val="center"/>
          </w:tcPr>
          <w:p w14:paraId="370E5EB5">
            <w:pPr>
              <w:spacing w:line="360" w:lineRule="exact"/>
              <w:jc w:val="center"/>
              <w:rPr>
                <w:rFonts w:hint="eastAsia" w:ascii="宋体" w:hAnsi="宋体" w:cs="宋体"/>
                <w:color w:val="auto"/>
                <w:sz w:val="22"/>
                <w:szCs w:val="22"/>
              </w:rPr>
            </w:pPr>
            <w:r>
              <w:rPr>
                <w:rFonts w:hint="eastAsia" w:ascii="宋体" w:hAnsi="宋体" w:cs="仿宋"/>
                <w:color w:val="auto"/>
                <w:sz w:val="22"/>
                <w:szCs w:val="22"/>
              </w:rPr>
              <w:t>合同签订时间</w:t>
            </w:r>
          </w:p>
        </w:tc>
        <w:tc>
          <w:tcPr>
            <w:tcW w:w="7295" w:type="dxa"/>
            <w:tcBorders>
              <w:top w:val="single" w:color="auto" w:sz="4" w:space="0"/>
              <w:left w:val="single" w:color="auto" w:sz="4" w:space="0"/>
              <w:bottom w:val="single" w:color="auto" w:sz="4" w:space="0"/>
              <w:right w:val="single" w:color="auto" w:sz="4" w:space="0"/>
            </w:tcBorders>
            <w:vAlign w:val="center"/>
          </w:tcPr>
          <w:p w14:paraId="6301F68D">
            <w:pPr>
              <w:spacing w:line="360" w:lineRule="exact"/>
              <w:rPr>
                <w:rFonts w:hint="eastAsia" w:ascii="宋体" w:hAnsi="宋体" w:cs="宋体"/>
                <w:color w:val="auto"/>
                <w:sz w:val="22"/>
                <w:szCs w:val="22"/>
              </w:rPr>
            </w:pPr>
            <w:r>
              <w:rPr>
                <w:rFonts w:hint="eastAsia" w:ascii="宋体" w:hAnsi="宋体" w:cs="仿宋"/>
                <w:color w:val="auto"/>
                <w:sz w:val="22"/>
                <w:szCs w:val="22"/>
              </w:rPr>
              <w:t>中标通知书发出之日起30天内。</w:t>
            </w:r>
          </w:p>
        </w:tc>
      </w:tr>
      <w:tr w14:paraId="7B9C9990">
        <w:tblPrEx>
          <w:tblCellMar>
            <w:top w:w="0" w:type="dxa"/>
            <w:left w:w="108" w:type="dxa"/>
            <w:bottom w:w="0" w:type="dxa"/>
            <w:right w:w="108" w:type="dxa"/>
          </w:tblCellMar>
        </w:tblPrEx>
        <w:trPr>
          <w:trHeight w:val="273" w:hRule="atLeast"/>
        </w:trPr>
        <w:tc>
          <w:tcPr>
            <w:tcW w:w="1001" w:type="dxa"/>
            <w:tcBorders>
              <w:top w:val="single" w:color="auto" w:sz="4" w:space="0"/>
              <w:left w:val="single" w:color="auto" w:sz="4" w:space="0"/>
              <w:bottom w:val="single" w:color="auto" w:sz="4" w:space="0"/>
              <w:right w:val="single" w:color="auto" w:sz="4" w:space="0"/>
            </w:tcBorders>
            <w:vAlign w:val="center"/>
          </w:tcPr>
          <w:p w14:paraId="02BEDB85">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14</w:t>
            </w:r>
          </w:p>
        </w:tc>
        <w:tc>
          <w:tcPr>
            <w:tcW w:w="1712" w:type="dxa"/>
            <w:tcBorders>
              <w:top w:val="single" w:color="auto" w:sz="4" w:space="0"/>
              <w:left w:val="single" w:color="auto" w:sz="4" w:space="0"/>
              <w:bottom w:val="single" w:color="auto" w:sz="4" w:space="0"/>
              <w:right w:val="single" w:color="auto" w:sz="4" w:space="0"/>
            </w:tcBorders>
            <w:vAlign w:val="center"/>
          </w:tcPr>
          <w:p w14:paraId="4C48876A">
            <w:pPr>
              <w:spacing w:line="360" w:lineRule="exact"/>
              <w:jc w:val="center"/>
              <w:rPr>
                <w:rFonts w:hint="eastAsia" w:ascii="宋体" w:hAnsi="宋体" w:cs="宋体"/>
                <w:color w:val="auto"/>
                <w:sz w:val="22"/>
                <w:szCs w:val="22"/>
              </w:rPr>
            </w:pPr>
            <w:r>
              <w:rPr>
                <w:rFonts w:hint="eastAsia" w:ascii="宋体" w:hAnsi="宋体" w:cs="仿宋"/>
                <w:color w:val="auto"/>
                <w:sz w:val="22"/>
                <w:szCs w:val="22"/>
              </w:rPr>
              <w:t>提交投标文件截止时间、开标时间和地点</w:t>
            </w:r>
          </w:p>
        </w:tc>
        <w:tc>
          <w:tcPr>
            <w:tcW w:w="7295" w:type="dxa"/>
            <w:tcBorders>
              <w:top w:val="single" w:color="auto" w:sz="4" w:space="0"/>
              <w:left w:val="single" w:color="auto" w:sz="4" w:space="0"/>
              <w:bottom w:val="single" w:color="auto" w:sz="4" w:space="0"/>
              <w:right w:val="single" w:color="auto" w:sz="4" w:space="0"/>
            </w:tcBorders>
            <w:vAlign w:val="center"/>
          </w:tcPr>
          <w:p w14:paraId="51EDED0E">
            <w:pPr>
              <w:spacing w:line="360" w:lineRule="exact"/>
              <w:rPr>
                <w:rFonts w:hint="eastAsia" w:ascii="宋体" w:hAnsi="宋体" w:cs="宋体"/>
                <w:color w:val="auto"/>
                <w:sz w:val="22"/>
                <w:szCs w:val="22"/>
              </w:rPr>
            </w:pPr>
            <w:r>
              <w:rPr>
                <w:rFonts w:hint="eastAsia" w:ascii="宋体" w:hAnsi="宋体" w:cs="仿宋"/>
                <w:color w:val="auto"/>
                <w:sz w:val="22"/>
                <w:szCs w:val="22"/>
              </w:rPr>
              <w:t>详见第一部分“招标公告”</w:t>
            </w:r>
          </w:p>
        </w:tc>
      </w:tr>
      <w:tr w14:paraId="6EE304D9">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5AB3A63B">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15</w:t>
            </w:r>
          </w:p>
        </w:tc>
        <w:tc>
          <w:tcPr>
            <w:tcW w:w="1712" w:type="dxa"/>
            <w:tcBorders>
              <w:top w:val="single" w:color="auto" w:sz="4" w:space="0"/>
              <w:left w:val="single" w:color="auto" w:sz="4" w:space="0"/>
              <w:bottom w:val="single" w:color="auto" w:sz="4" w:space="0"/>
              <w:right w:val="single" w:color="auto" w:sz="4" w:space="0"/>
            </w:tcBorders>
            <w:vAlign w:val="center"/>
          </w:tcPr>
          <w:p w14:paraId="51C43957">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投标文件的编制</w:t>
            </w:r>
          </w:p>
        </w:tc>
        <w:tc>
          <w:tcPr>
            <w:tcW w:w="7295" w:type="dxa"/>
            <w:tcBorders>
              <w:top w:val="single" w:color="auto" w:sz="4" w:space="0"/>
              <w:left w:val="single" w:color="auto" w:sz="4" w:space="0"/>
              <w:bottom w:val="single" w:color="auto" w:sz="4" w:space="0"/>
              <w:right w:val="single" w:color="auto" w:sz="4" w:space="0"/>
            </w:tcBorders>
            <w:vAlign w:val="center"/>
          </w:tcPr>
          <w:p w14:paraId="144DFD4A">
            <w:pPr>
              <w:spacing w:line="360" w:lineRule="exact"/>
              <w:rPr>
                <w:rFonts w:hint="eastAsia" w:ascii="宋体" w:hAnsi="宋体" w:cs="宋体"/>
                <w:color w:val="auto"/>
                <w:sz w:val="22"/>
                <w:szCs w:val="22"/>
              </w:rPr>
            </w:pPr>
            <w:r>
              <w:rPr>
                <w:rFonts w:hint="eastAsia" w:ascii="宋体" w:hAnsi="宋体" w:cs="仿宋"/>
                <w:bCs/>
                <w:color w:val="auto"/>
                <w:sz w:val="22"/>
                <w:szCs w:val="22"/>
              </w:rPr>
              <w:t>详见第二部分“投标人须知”第三款</w:t>
            </w:r>
          </w:p>
        </w:tc>
      </w:tr>
      <w:tr w14:paraId="324AA9CE">
        <w:tblPrEx>
          <w:tblCellMar>
            <w:top w:w="0" w:type="dxa"/>
            <w:left w:w="108" w:type="dxa"/>
            <w:bottom w:w="0" w:type="dxa"/>
            <w:right w:w="108" w:type="dxa"/>
          </w:tblCellMar>
        </w:tblPrEx>
        <w:trPr>
          <w:trHeight w:val="358" w:hRule="atLeast"/>
        </w:trPr>
        <w:tc>
          <w:tcPr>
            <w:tcW w:w="1001" w:type="dxa"/>
            <w:tcBorders>
              <w:top w:val="single" w:color="auto" w:sz="4" w:space="0"/>
              <w:left w:val="single" w:color="auto" w:sz="4" w:space="0"/>
              <w:bottom w:val="single" w:color="auto" w:sz="4" w:space="0"/>
              <w:right w:val="single" w:color="auto" w:sz="4" w:space="0"/>
            </w:tcBorders>
            <w:vAlign w:val="center"/>
          </w:tcPr>
          <w:p w14:paraId="1D5B0439">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16</w:t>
            </w:r>
          </w:p>
        </w:tc>
        <w:tc>
          <w:tcPr>
            <w:tcW w:w="1712" w:type="dxa"/>
            <w:tcBorders>
              <w:top w:val="single" w:color="auto" w:sz="4" w:space="0"/>
              <w:left w:val="single" w:color="auto" w:sz="4" w:space="0"/>
              <w:bottom w:val="single" w:color="auto" w:sz="4" w:space="0"/>
              <w:right w:val="single" w:color="auto" w:sz="4" w:space="0"/>
            </w:tcBorders>
            <w:vAlign w:val="center"/>
          </w:tcPr>
          <w:p w14:paraId="12B9513B">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投标文件的形式</w:t>
            </w:r>
          </w:p>
        </w:tc>
        <w:tc>
          <w:tcPr>
            <w:tcW w:w="7295" w:type="dxa"/>
            <w:tcBorders>
              <w:top w:val="single" w:color="auto" w:sz="4" w:space="0"/>
              <w:left w:val="single" w:color="auto" w:sz="4" w:space="0"/>
              <w:bottom w:val="single" w:color="auto" w:sz="4" w:space="0"/>
              <w:right w:val="single" w:color="auto" w:sz="4" w:space="0"/>
            </w:tcBorders>
            <w:vAlign w:val="center"/>
          </w:tcPr>
          <w:p w14:paraId="7E3B33E5">
            <w:pPr>
              <w:pStyle w:val="24"/>
              <w:snapToGrid w:val="0"/>
              <w:spacing w:line="360" w:lineRule="exact"/>
              <w:rPr>
                <w:rFonts w:hint="eastAsia" w:hAnsi="宋体" w:cs="宋体"/>
                <w:b/>
                <w:bCs/>
                <w:color w:val="auto"/>
              </w:rPr>
            </w:pPr>
            <w:r>
              <w:rPr>
                <w:rFonts w:hint="eastAsia" w:hAnsi="宋体" w:cs="宋体"/>
                <w:b/>
                <w:bCs/>
                <w:color w:val="auto"/>
              </w:rPr>
              <w:t>本项目实行网上电子投标。</w:t>
            </w:r>
          </w:p>
          <w:p w14:paraId="5DA38ADB">
            <w:pPr>
              <w:pStyle w:val="24"/>
              <w:snapToGrid w:val="0"/>
              <w:spacing w:line="360" w:lineRule="exact"/>
              <w:rPr>
                <w:rFonts w:hint="eastAsia" w:hAnsi="宋体" w:cs="宋体"/>
                <w:b/>
                <w:bCs/>
                <w:color w:val="auto"/>
                <w:szCs w:val="22"/>
              </w:rPr>
            </w:pPr>
            <w:r>
              <w:rPr>
                <w:rFonts w:hint="eastAsia" w:hAnsi="宋体" w:cs="宋体"/>
                <w:b/>
                <w:bCs/>
                <w:color w:val="auto"/>
                <w:szCs w:val="22"/>
              </w:rPr>
              <w:t>供应商应准备电子响应文件、以介质存储的数据电文形式的备份响应文件二类：</w:t>
            </w:r>
          </w:p>
          <w:p w14:paraId="29FF7DF4">
            <w:pPr>
              <w:pStyle w:val="24"/>
              <w:snapToGrid w:val="0"/>
              <w:spacing w:line="360" w:lineRule="exact"/>
              <w:ind w:firstLine="211" w:firstLineChars="100"/>
              <w:rPr>
                <w:rFonts w:hint="eastAsia" w:hAnsi="宋体" w:cs="宋体"/>
                <w:b/>
                <w:bCs/>
                <w:color w:val="auto"/>
                <w:szCs w:val="22"/>
              </w:rPr>
            </w:pPr>
            <w:r>
              <w:rPr>
                <w:rFonts w:hint="eastAsia" w:hAnsi="宋体" w:cs="宋体"/>
                <w:b/>
                <w:bCs/>
                <w:color w:val="auto"/>
                <w:szCs w:val="22"/>
              </w:rPr>
              <w:t>(1)电子响应文件：通过政采云电子交易客户端（政采云投标客户端）完成响应文件编制后生成并加密的数据电文形式的响应文件（文件扩展名为.jmbs）</w:t>
            </w:r>
            <w:r>
              <w:rPr>
                <w:rFonts w:hint="eastAsia" w:hAnsi="宋体" w:cs="宋体"/>
                <w:b/>
                <w:bCs/>
                <w:color w:val="auto"/>
                <w:szCs w:val="22"/>
                <w:lang w:val="zh-CN"/>
              </w:rPr>
              <w:t>。</w:t>
            </w:r>
          </w:p>
          <w:p w14:paraId="5F8EF191">
            <w:pPr>
              <w:spacing w:line="360" w:lineRule="exact"/>
              <w:ind w:firstLine="211" w:firstLineChars="100"/>
              <w:rPr>
                <w:rStyle w:val="40"/>
                <w:rFonts w:hint="eastAsia" w:ascii="宋体" w:hAnsi="宋体" w:cs="宋体"/>
                <w:color w:val="auto"/>
                <w:szCs w:val="22"/>
              </w:rPr>
            </w:pPr>
            <w:r>
              <w:rPr>
                <w:rFonts w:hint="eastAsia" w:ascii="宋体" w:hAnsi="宋体" w:cs="宋体"/>
                <w:b/>
                <w:bCs/>
                <w:color w:val="auto"/>
                <w:szCs w:val="22"/>
              </w:rPr>
              <w:t>(2)以介质存储的数据电文形式的备份响应文件：</w:t>
            </w:r>
            <w:r>
              <w:rPr>
                <w:rStyle w:val="40"/>
                <w:rFonts w:hint="eastAsia" w:ascii="宋体" w:hAnsi="宋体" w:cs="宋体"/>
                <w:color w:val="auto"/>
                <w:szCs w:val="22"/>
              </w:rPr>
              <w:t>与“电子响应文件”同时生成的数据电文形式的备份响应文件(文件扩展名为.bfbs)</w:t>
            </w:r>
            <w:r>
              <w:rPr>
                <w:rFonts w:hint="eastAsia" w:ascii="宋体" w:hAnsi="宋体" w:cs="宋体"/>
                <w:b/>
                <w:bCs/>
                <w:color w:val="auto"/>
                <w:szCs w:val="22"/>
              </w:rPr>
              <w:t>，投标文件提交截止时间前以</w:t>
            </w:r>
            <w:r>
              <w:rPr>
                <w:rFonts w:hint="eastAsia" w:ascii="宋体" w:hAnsi="宋体" w:cs="宋体"/>
                <w:b/>
                <w:bCs/>
                <w:color w:val="auto"/>
                <w:szCs w:val="22"/>
                <w:lang w:val="zh-CN"/>
              </w:rPr>
              <w:t>电子邮件方式传送至</w:t>
            </w:r>
            <w:r>
              <w:rPr>
                <w:rFonts w:hint="eastAsia" w:ascii="宋体" w:hAnsi="宋体" w:cs="宋体"/>
                <w:b/>
                <w:bCs/>
                <w:color w:val="auto"/>
                <w:szCs w:val="22"/>
              </w:rPr>
              <w:t>温州正风招标代理</w:t>
            </w:r>
            <w:r>
              <w:rPr>
                <w:rFonts w:hint="eastAsia" w:ascii="宋体" w:hAnsi="宋体" w:cs="宋体"/>
                <w:b/>
                <w:bCs/>
                <w:color w:val="auto"/>
                <w:szCs w:val="22"/>
                <w:lang w:val="zh-CN"/>
              </w:rPr>
              <w:t>有限公司电子邮箱</w:t>
            </w:r>
            <w:r>
              <w:rPr>
                <w:rFonts w:hint="eastAsia" w:ascii="宋体" w:hAnsi="宋体"/>
                <w:b/>
                <w:bCs/>
                <w:color w:val="auto"/>
                <w:szCs w:val="22"/>
                <w:u w:val="single"/>
              </w:rPr>
              <w:t>41396739@qq.com</w:t>
            </w:r>
            <w:r>
              <w:rPr>
                <w:rFonts w:hint="eastAsia" w:ascii="宋体" w:hAnsi="宋体" w:cs="宋体"/>
                <w:b/>
                <w:bCs/>
                <w:color w:val="auto"/>
                <w:szCs w:val="22"/>
              </w:rPr>
              <w:t>，</w:t>
            </w:r>
            <w:r>
              <w:rPr>
                <w:rFonts w:hint="eastAsia" w:ascii="宋体" w:hAnsi="宋体" w:cs="宋体"/>
                <w:b/>
                <w:bCs/>
                <w:color w:val="auto"/>
                <w:szCs w:val="22"/>
                <w:lang w:val="zh-CN"/>
              </w:rPr>
              <w:t>递交</w:t>
            </w:r>
            <w:r>
              <w:rPr>
                <w:rFonts w:hint="eastAsia" w:ascii="宋体" w:hAnsi="宋体" w:cs="宋体"/>
                <w:b/>
                <w:bCs/>
                <w:color w:val="auto"/>
                <w:szCs w:val="22"/>
              </w:rPr>
              <w:t>1</w:t>
            </w:r>
            <w:r>
              <w:rPr>
                <w:rFonts w:hint="eastAsia" w:ascii="宋体" w:hAnsi="宋体" w:cs="宋体"/>
                <w:b/>
                <w:bCs/>
                <w:color w:val="auto"/>
                <w:szCs w:val="22"/>
                <w:lang w:val="zh-CN"/>
              </w:rPr>
              <w:t>份</w:t>
            </w:r>
            <w:r>
              <w:rPr>
                <w:rFonts w:hint="eastAsia" w:ascii="宋体" w:hAnsi="宋体" w:cs="宋体"/>
                <w:b/>
                <w:bCs/>
                <w:color w:val="auto"/>
                <w:szCs w:val="22"/>
              </w:rPr>
              <w:t>，</w:t>
            </w:r>
            <w:r>
              <w:rPr>
                <w:rFonts w:hint="eastAsia" w:ascii="宋体" w:hAnsi="宋体" w:cs="宋体"/>
                <w:b/>
                <w:bCs/>
                <w:color w:val="auto"/>
                <w:szCs w:val="22"/>
                <w:lang w:val="zh-CN"/>
              </w:rPr>
              <w:t>传送的备份响应文件需打包压缩并加密</w:t>
            </w:r>
            <w:r>
              <w:rPr>
                <w:rFonts w:hint="eastAsia" w:ascii="宋体" w:hAnsi="宋体" w:cs="宋体"/>
                <w:b/>
                <w:bCs/>
                <w:color w:val="auto"/>
                <w:szCs w:val="22"/>
              </w:rPr>
              <w:t>，</w:t>
            </w:r>
            <w:r>
              <w:rPr>
                <w:rFonts w:hint="eastAsia" w:ascii="宋体" w:hAnsi="宋体" w:cs="宋体"/>
                <w:b/>
                <w:bCs/>
                <w:color w:val="auto"/>
                <w:szCs w:val="22"/>
                <w:lang w:val="zh-CN"/>
              </w:rPr>
              <w:t>加密密码由供应商自行保管</w:t>
            </w:r>
            <w:r>
              <w:rPr>
                <w:rFonts w:hint="eastAsia" w:ascii="宋体" w:hAnsi="宋体" w:cs="宋体"/>
                <w:b/>
                <w:bCs/>
                <w:color w:val="auto"/>
                <w:szCs w:val="22"/>
              </w:rPr>
              <w:t>，未加密导致投标信息泄露的风险由供应商自行承担。</w:t>
            </w:r>
          </w:p>
          <w:p w14:paraId="53F0F7CE">
            <w:pPr>
              <w:pStyle w:val="24"/>
              <w:snapToGrid w:val="0"/>
              <w:spacing w:line="360" w:lineRule="exact"/>
              <w:rPr>
                <w:rFonts w:hint="eastAsia" w:hAnsi="宋体" w:cs="宋体"/>
                <w:color w:val="auto"/>
                <w:sz w:val="22"/>
                <w:szCs w:val="22"/>
              </w:rPr>
            </w:pPr>
            <w:r>
              <w:rPr>
                <w:rFonts w:hint="eastAsia" w:hAnsi="宋体" w:cs="宋体"/>
                <w:b/>
                <w:bCs/>
                <w:color w:val="auto"/>
              </w:rPr>
              <w:t>响应文件由报价文件、</w:t>
            </w:r>
            <w:r>
              <w:rPr>
                <w:rFonts w:hint="eastAsia" w:hAnsi="宋体" w:cs="宋体"/>
                <w:b/>
                <w:color w:val="auto"/>
              </w:rPr>
              <w:t>资格文件、商务和</w:t>
            </w:r>
            <w:r>
              <w:rPr>
                <w:rFonts w:hint="eastAsia" w:hAnsi="宋体" w:cs="宋体"/>
                <w:b/>
                <w:bCs/>
                <w:color w:val="auto"/>
              </w:rPr>
              <w:t>技术文件三部分组成。</w:t>
            </w:r>
          </w:p>
        </w:tc>
      </w:tr>
      <w:tr w14:paraId="4107FFA1">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1BE5B64D">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17</w:t>
            </w:r>
          </w:p>
        </w:tc>
        <w:tc>
          <w:tcPr>
            <w:tcW w:w="1712" w:type="dxa"/>
            <w:tcBorders>
              <w:top w:val="single" w:color="auto" w:sz="4" w:space="0"/>
              <w:left w:val="single" w:color="auto" w:sz="4" w:space="0"/>
              <w:bottom w:val="single" w:color="auto" w:sz="4" w:space="0"/>
              <w:right w:val="single" w:color="auto" w:sz="4" w:space="0"/>
            </w:tcBorders>
            <w:vAlign w:val="center"/>
          </w:tcPr>
          <w:p w14:paraId="7B1E45E1">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开评标程序</w:t>
            </w:r>
          </w:p>
        </w:tc>
        <w:tc>
          <w:tcPr>
            <w:tcW w:w="7295" w:type="dxa"/>
            <w:tcBorders>
              <w:top w:val="single" w:color="auto" w:sz="4" w:space="0"/>
              <w:left w:val="single" w:color="auto" w:sz="4" w:space="0"/>
              <w:bottom w:val="single" w:color="auto" w:sz="4" w:space="0"/>
              <w:right w:val="single" w:color="auto" w:sz="4" w:space="0"/>
            </w:tcBorders>
            <w:vAlign w:val="center"/>
          </w:tcPr>
          <w:p w14:paraId="0120F992">
            <w:pPr>
              <w:spacing w:line="360" w:lineRule="exact"/>
              <w:rPr>
                <w:rFonts w:hint="eastAsia" w:ascii="宋体" w:hAnsi="宋体" w:cs="宋体"/>
                <w:color w:val="auto"/>
                <w:sz w:val="22"/>
                <w:szCs w:val="22"/>
              </w:rPr>
            </w:pPr>
            <w:r>
              <w:rPr>
                <w:rFonts w:hint="eastAsia" w:ascii="宋体" w:hAnsi="宋体" w:cs="宋体"/>
                <w:color w:val="auto"/>
                <w:sz w:val="22"/>
                <w:szCs w:val="22"/>
              </w:rPr>
              <w:t>待开标→投标文件在线解密→代理机构或采购人在线资格性审查→评标委员会在线评标→系统公开商务技术文件评审结果→系统公开报价情况→评标委员会对报价情况进行评审→系统公布评审结果。</w:t>
            </w:r>
          </w:p>
          <w:p w14:paraId="05820C98">
            <w:pPr>
              <w:spacing w:line="360" w:lineRule="exact"/>
              <w:rPr>
                <w:rFonts w:hint="eastAsia" w:ascii="宋体" w:hAnsi="宋体" w:cs="宋体"/>
                <w:color w:val="auto"/>
                <w:sz w:val="22"/>
                <w:szCs w:val="22"/>
              </w:rPr>
            </w:pPr>
            <w:r>
              <w:rPr>
                <w:rFonts w:hint="eastAsia" w:ascii="宋体" w:hAnsi="宋体" w:cs="宋体"/>
                <w:color w:val="auto"/>
                <w:sz w:val="22"/>
                <w:szCs w:val="22"/>
              </w:rPr>
              <w:t>上述程序将根据政采云电子评标系统的调整而变动。</w:t>
            </w:r>
          </w:p>
        </w:tc>
      </w:tr>
      <w:tr w14:paraId="1AC0D8B9">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7F302887">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18</w:t>
            </w:r>
          </w:p>
        </w:tc>
        <w:tc>
          <w:tcPr>
            <w:tcW w:w="1712" w:type="dxa"/>
            <w:tcBorders>
              <w:top w:val="single" w:color="auto" w:sz="4" w:space="0"/>
              <w:left w:val="single" w:color="auto" w:sz="4" w:space="0"/>
              <w:bottom w:val="single" w:color="auto" w:sz="4" w:space="0"/>
              <w:right w:val="single" w:color="auto" w:sz="4" w:space="0"/>
            </w:tcBorders>
            <w:vAlign w:val="center"/>
          </w:tcPr>
          <w:p w14:paraId="429FC424">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评标委员会</w:t>
            </w:r>
          </w:p>
          <w:p w14:paraId="55326247">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的组建</w:t>
            </w:r>
          </w:p>
        </w:tc>
        <w:tc>
          <w:tcPr>
            <w:tcW w:w="7295" w:type="dxa"/>
            <w:tcBorders>
              <w:top w:val="single" w:color="auto" w:sz="4" w:space="0"/>
              <w:left w:val="single" w:color="auto" w:sz="4" w:space="0"/>
              <w:bottom w:val="single" w:color="auto" w:sz="4" w:space="0"/>
              <w:right w:val="single" w:color="auto" w:sz="4" w:space="0"/>
            </w:tcBorders>
            <w:vAlign w:val="center"/>
          </w:tcPr>
          <w:p w14:paraId="350DD54E">
            <w:pPr>
              <w:spacing w:line="360" w:lineRule="exact"/>
              <w:rPr>
                <w:rFonts w:hint="eastAsia" w:ascii="宋体" w:hAnsi="宋体" w:cs="宋体"/>
                <w:color w:val="auto"/>
                <w:sz w:val="22"/>
                <w:szCs w:val="22"/>
              </w:rPr>
            </w:pPr>
            <w:r>
              <w:rPr>
                <w:rFonts w:hint="eastAsia" w:ascii="宋体" w:hAnsi="宋体"/>
                <w:color w:val="auto"/>
                <w:sz w:val="22"/>
                <w:szCs w:val="22"/>
              </w:rPr>
              <w:t>评标委员会成员由采购人代表和有关技术、经济等方面的专家组成，成员人数为5人或以上单数，除采购人代表外的专家将在温州市财政局的评标专家库中随机抽取产生。</w:t>
            </w:r>
          </w:p>
        </w:tc>
      </w:tr>
      <w:tr w14:paraId="76989D3C">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73968C1B">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19</w:t>
            </w:r>
          </w:p>
        </w:tc>
        <w:tc>
          <w:tcPr>
            <w:tcW w:w="1712" w:type="dxa"/>
            <w:tcBorders>
              <w:top w:val="single" w:color="auto" w:sz="4" w:space="0"/>
              <w:left w:val="single" w:color="auto" w:sz="4" w:space="0"/>
              <w:bottom w:val="single" w:color="auto" w:sz="4" w:space="0"/>
              <w:right w:val="single" w:color="auto" w:sz="4" w:space="0"/>
            </w:tcBorders>
            <w:vAlign w:val="center"/>
          </w:tcPr>
          <w:p w14:paraId="7341D3D4">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履约担保</w:t>
            </w:r>
          </w:p>
        </w:tc>
        <w:tc>
          <w:tcPr>
            <w:tcW w:w="7295" w:type="dxa"/>
            <w:tcBorders>
              <w:top w:val="single" w:color="auto" w:sz="4" w:space="0"/>
              <w:left w:val="single" w:color="auto" w:sz="4" w:space="0"/>
              <w:bottom w:val="single" w:color="auto" w:sz="4" w:space="0"/>
              <w:right w:val="single" w:color="auto" w:sz="4" w:space="0"/>
            </w:tcBorders>
            <w:vAlign w:val="center"/>
          </w:tcPr>
          <w:p w14:paraId="36EAB1A6">
            <w:pPr>
              <w:spacing w:line="360" w:lineRule="exact"/>
              <w:rPr>
                <w:rFonts w:hint="eastAsia" w:ascii="宋体" w:hAnsi="宋体" w:cs="宋体"/>
                <w:color w:val="auto"/>
                <w:sz w:val="22"/>
                <w:szCs w:val="22"/>
              </w:rPr>
            </w:pPr>
            <w:r>
              <w:rPr>
                <w:rFonts w:hint="eastAsia" w:ascii="宋体" w:hAnsi="宋体" w:cs="宋体"/>
                <w:color w:val="auto"/>
                <w:sz w:val="22"/>
                <w:szCs w:val="22"/>
              </w:rPr>
              <w:t>履约担保的形式：接受</w:t>
            </w:r>
            <w:r>
              <w:rPr>
                <w:rFonts w:ascii="宋体" w:hAnsi="宋体" w:cs="宋体"/>
                <w:color w:val="auto"/>
                <w:sz w:val="22"/>
                <w:szCs w:val="22"/>
              </w:rPr>
              <w:t>支票、汇票、本票或者金融机构、担保机构出具的保函等非现金形式</w:t>
            </w:r>
            <w:r>
              <w:rPr>
                <w:rFonts w:hint="eastAsia" w:ascii="宋体" w:hAnsi="宋体" w:cs="宋体"/>
                <w:color w:val="auto"/>
                <w:sz w:val="22"/>
                <w:szCs w:val="22"/>
              </w:rPr>
              <w:t>。</w:t>
            </w:r>
          </w:p>
          <w:p w14:paraId="0958B4BA">
            <w:pPr>
              <w:spacing w:line="360" w:lineRule="exact"/>
              <w:rPr>
                <w:rFonts w:hint="eastAsia" w:ascii="宋体" w:hAnsi="宋体" w:cs="宋体"/>
                <w:color w:val="auto"/>
                <w:sz w:val="22"/>
                <w:szCs w:val="22"/>
              </w:rPr>
            </w:pPr>
            <w:r>
              <w:rPr>
                <w:rFonts w:hint="eastAsia" w:ascii="宋体" w:hAnsi="宋体" w:cs="宋体"/>
                <w:color w:val="auto"/>
                <w:sz w:val="22"/>
                <w:szCs w:val="22"/>
              </w:rPr>
              <w:t>履约担保的金额：合同金额的</w:t>
            </w:r>
            <w:r>
              <w:rPr>
                <w:rFonts w:ascii="宋体" w:hAnsi="宋体" w:cs="宋体"/>
                <w:color w:val="auto"/>
                <w:sz w:val="22"/>
                <w:szCs w:val="22"/>
              </w:rPr>
              <w:t>1</w:t>
            </w:r>
            <w:r>
              <w:rPr>
                <w:rFonts w:hint="eastAsia" w:ascii="宋体" w:hAnsi="宋体" w:cs="宋体"/>
                <w:color w:val="auto"/>
                <w:sz w:val="22"/>
                <w:szCs w:val="22"/>
              </w:rPr>
              <w:t>%</w:t>
            </w:r>
          </w:p>
          <w:p w14:paraId="60750D7C">
            <w:pPr>
              <w:spacing w:line="360" w:lineRule="exact"/>
              <w:rPr>
                <w:rFonts w:hint="eastAsia" w:ascii="宋体" w:hAnsi="宋体" w:cs="宋体"/>
                <w:b/>
                <w:color w:val="auto"/>
                <w:sz w:val="22"/>
                <w:szCs w:val="22"/>
              </w:rPr>
            </w:pPr>
            <w:r>
              <w:rPr>
                <w:rFonts w:hint="eastAsia" w:ascii="宋体" w:hAnsi="宋体"/>
                <w:color w:val="auto"/>
                <w:sz w:val="22"/>
                <w:szCs w:val="22"/>
                <w:lang w:val="en-US" w:eastAsia="zh-CN"/>
              </w:rPr>
              <w:t>投标人</w:t>
            </w:r>
            <w:r>
              <w:rPr>
                <w:rFonts w:hint="eastAsia" w:ascii="宋体" w:hAnsi="宋体" w:cs="宋体"/>
                <w:color w:val="auto"/>
                <w:sz w:val="22"/>
                <w:szCs w:val="22"/>
              </w:rPr>
              <w:t>在签订合同后7个工作日内提交，用于补偿因</w:t>
            </w:r>
            <w:r>
              <w:rPr>
                <w:rFonts w:hint="eastAsia" w:ascii="宋体" w:hAnsi="宋体"/>
                <w:color w:val="auto"/>
                <w:sz w:val="22"/>
                <w:szCs w:val="22"/>
                <w:lang w:val="en-US" w:eastAsia="zh-CN"/>
              </w:rPr>
              <w:t>投标人</w:t>
            </w:r>
            <w:r>
              <w:rPr>
                <w:rFonts w:hint="eastAsia" w:ascii="宋体" w:hAnsi="宋体" w:cs="宋体"/>
                <w:color w:val="auto"/>
                <w:sz w:val="22"/>
                <w:szCs w:val="22"/>
              </w:rPr>
              <w:t>不能履行其合同义务而造成的损失。项目验收结束后扣除</w:t>
            </w:r>
            <w:r>
              <w:rPr>
                <w:rFonts w:hint="eastAsia" w:ascii="宋体" w:hAnsi="宋体"/>
                <w:color w:val="auto"/>
                <w:sz w:val="22"/>
                <w:szCs w:val="22"/>
                <w:lang w:val="en-US" w:eastAsia="zh-CN"/>
              </w:rPr>
              <w:t>投标人</w:t>
            </w:r>
            <w:r>
              <w:rPr>
                <w:rFonts w:hint="eastAsia" w:ascii="宋体" w:hAnsi="宋体" w:cs="宋体"/>
                <w:color w:val="auto"/>
                <w:sz w:val="22"/>
                <w:szCs w:val="22"/>
              </w:rPr>
              <w:t>应承担的违约赔偿责任外，剩余部分返还</w:t>
            </w:r>
            <w:r>
              <w:rPr>
                <w:rFonts w:hint="eastAsia" w:ascii="宋体" w:hAnsi="宋体"/>
                <w:color w:val="auto"/>
                <w:sz w:val="22"/>
                <w:szCs w:val="22"/>
                <w:lang w:val="en-US" w:eastAsia="zh-CN"/>
              </w:rPr>
              <w:t>投标人</w:t>
            </w:r>
            <w:r>
              <w:rPr>
                <w:rFonts w:hint="eastAsia" w:ascii="宋体" w:hAnsi="宋体" w:cs="宋体"/>
                <w:color w:val="auto"/>
                <w:sz w:val="22"/>
                <w:szCs w:val="22"/>
              </w:rPr>
              <w:t>。</w:t>
            </w:r>
          </w:p>
        </w:tc>
      </w:tr>
      <w:tr w14:paraId="276F56FD">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331F3294">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20</w:t>
            </w:r>
          </w:p>
        </w:tc>
        <w:tc>
          <w:tcPr>
            <w:tcW w:w="1712" w:type="dxa"/>
            <w:tcBorders>
              <w:top w:val="single" w:color="auto" w:sz="4" w:space="0"/>
              <w:left w:val="single" w:color="auto" w:sz="4" w:space="0"/>
              <w:bottom w:val="single" w:color="auto" w:sz="4" w:space="0"/>
              <w:right w:val="single" w:color="auto" w:sz="4" w:space="0"/>
            </w:tcBorders>
            <w:vAlign w:val="center"/>
          </w:tcPr>
          <w:p w14:paraId="5EF025F2">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投标文件无效标条款</w:t>
            </w:r>
          </w:p>
        </w:tc>
        <w:tc>
          <w:tcPr>
            <w:tcW w:w="7295" w:type="dxa"/>
            <w:tcBorders>
              <w:top w:val="single" w:color="auto" w:sz="4" w:space="0"/>
              <w:left w:val="single" w:color="auto" w:sz="4" w:space="0"/>
              <w:bottom w:val="single" w:color="auto" w:sz="4" w:space="0"/>
              <w:right w:val="single" w:color="auto" w:sz="4" w:space="0"/>
            </w:tcBorders>
            <w:vAlign w:val="center"/>
          </w:tcPr>
          <w:p w14:paraId="74C5CA93">
            <w:pPr>
              <w:spacing w:line="360" w:lineRule="exact"/>
              <w:rPr>
                <w:rFonts w:hint="eastAsia" w:ascii="宋体" w:hAnsi="宋体" w:cs="宋体"/>
                <w:b/>
                <w:color w:val="auto"/>
                <w:sz w:val="22"/>
                <w:szCs w:val="22"/>
              </w:rPr>
            </w:pPr>
            <w:r>
              <w:rPr>
                <w:rFonts w:hint="eastAsia" w:ascii="宋体" w:hAnsi="宋体" w:cs="宋体"/>
                <w:b/>
                <w:color w:val="auto"/>
                <w:sz w:val="22"/>
                <w:szCs w:val="22"/>
              </w:rPr>
              <w:t>详见招标文件第1</w:t>
            </w:r>
            <w:r>
              <w:rPr>
                <w:rFonts w:ascii="宋体" w:hAnsi="宋体" w:cs="宋体"/>
                <w:b/>
                <w:color w:val="auto"/>
                <w:sz w:val="22"/>
                <w:szCs w:val="22"/>
              </w:rPr>
              <w:t>8</w:t>
            </w:r>
            <w:r>
              <w:rPr>
                <w:rFonts w:hint="eastAsia" w:ascii="宋体" w:hAnsi="宋体" w:cs="宋体"/>
                <w:b/>
                <w:color w:val="auto"/>
                <w:sz w:val="22"/>
                <w:szCs w:val="22"/>
              </w:rPr>
              <w:t>页，第7点。</w:t>
            </w:r>
          </w:p>
        </w:tc>
      </w:tr>
      <w:tr w14:paraId="14E14004">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74739D2A">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21</w:t>
            </w:r>
          </w:p>
        </w:tc>
        <w:tc>
          <w:tcPr>
            <w:tcW w:w="1712" w:type="dxa"/>
            <w:tcBorders>
              <w:top w:val="single" w:color="auto" w:sz="4" w:space="0"/>
              <w:left w:val="single" w:color="auto" w:sz="4" w:space="0"/>
              <w:bottom w:val="single" w:color="auto" w:sz="4" w:space="0"/>
              <w:right w:val="single" w:color="auto" w:sz="4" w:space="0"/>
            </w:tcBorders>
            <w:vAlign w:val="center"/>
          </w:tcPr>
          <w:p w14:paraId="68508A77">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供应商信用信息查询</w:t>
            </w:r>
          </w:p>
        </w:tc>
        <w:tc>
          <w:tcPr>
            <w:tcW w:w="7295" w:type="dxa"/>
            <w:tcBorders>
              <w:top w:val="single" w:color="auto" w:sz="4" w:space="0"/>
              <w:left w:val="single" w:color="auto" w:sz="4" w:space="0"/>
              <w:bottom w:val="single" w:color="auto" w:sz="4" w:space="0"/>
              <w:right w:val="single" w:color="auto" w:sz="4" w:space="0"/>
            </w:tcBorders>
            <w:vAlign w:val="center"/>
          </w:tcPr>
          <w:p w14:paraId="6E887CA4">
            <w:pPr>
              <w:adjustRightInd w:val="0"/>
              <w:snapToGrid w:val="0"/>
              <w:spacing w:line="360" w:lineRule="exact"/>
              <w:ind w:firstLine="220" w:firstLineChars="100"/>
              <w:rPr>
                <w:rFonts w:hint="eastAsia" w:ascii="宋体" w:hAnsi="宋体" w:cs="宋体"/>
                <w:color w:val="auto"/>
                <w:sz w:val="22"/>
                <w:szCs w:val="22"/>
              </w:rPr>
            </w:pPr>
            <w:r>
              <w:rPr>
                <w:rFonts w:hint="eastAsia" w:ascii="宋体" w:hAnsi="宋体" w:cs="宋体"/>
                <w:color w:val="auto"/>
                <w:sz w:val="22"/>
                <w:szCs w:val="22"/>
              </w:rPr>
              <w:t>根据财库[2016]125号《关于在政府采购活动中查询及使用信用记录有关问题的通知》要求，采购代理机构会对供应商信用记录进行查询并甄别。</w:t>
            </w:r>
          </w:p>
          <w:p w14:paraId="24A89A94">
            <w:pPr>
              <w:adjustRightInd w:val="0"/>
              <w:snapToGrid w:val="0"/>
              <w:spacing w:line="360" w:lineRule="exact"/>
              <w:rPr>
                <w:rFonts w:hint="eastAsia" w:ascii="宋体" w:hAnsi="宋体" w:cs="宋体"/>
                <w:color w:val="auto"/>
                <w:sz w:val="22"/>
                <w:szCs w:val="22"/>
              </w:rPr>
            </w:pPr>
            <w:r>
              <w:rPr>
                <w:rFonts w:hint="eastAsia" w:ascii="宋体" w:hAnsi="宋体" w:cs="宋体"/>
                <w:color w:val="auto"/>
                <w:sz w:val="22"/>
                <w:szCs w:val="22"/>
              </w:rPr>
              <w:t>1.信用信息查询的截止时点：响应文件递交截止时间；</w:t>
            </w:r>
          </w:p>
          <w:p w14:paraId="1E981ECA">
            <w:pPr>
              <w:adjustRightInd w:val="0"/>
              <w:snapToGrid w:val="0"/>
              <w:spacing w:line="360" w:lineRule="exact"/>
              <w:rPr>
                <w:rFonts w:hint="eastAsia" w:ascii="宋体" w:hAnsi="宋体" w:cs="宋体"/>
                <w:color w:val="auto"/>
                <w:sz w:val="22"/>
                <w:szCs w:val="22"/>
              </w:rPr>
            </w:pPr>
            <w:r>
              <w:rPr>
                <w:rFonts w:hint="eastAsia" w:ascii="宋体" w:hAnsi="宋体" w:cs="宋体"/>
                <w:color w:val="auto"/>
                <w:sz w:val="22"/>
                <w:szCs w:val="22"/>
              </w:rPr>
              <w:t>2.查询渠道：“信用中国”（</w:t>
            </w:r>
            <w:r>
              <w:rPr>
                <w:color w:val="auto"/>
              </w:rPr>
              <w:fldChar w:fldCharType="begin"/>
            </w:r>
            <w:r>
              <w:rPr>
                <w:color w:val="auto"/>
              </w:rPr>
              <w:instrText xml:space="preserve">HYPERLINK "http://www.creditchina.gov.cn/"</w:instrText>
            </w:r>
            <w:r>
              <w:rPr>
                <w:color w:val="auto"/>
              </w:rPr>
              <w:fldChar w:fldCharType="separate"/>
            </w:r>
            <w:r>
              <w:rPr>
                <w:rStyle w:val="45"/>
                <w:rFonts w:hint="eastAsia" w:ascii="宋体" w:hAnsi="宋体" w:cs="宋体"/>
                <w:color w:val="auto"/>
                <w:sz w:val="22"/>
                <w:szCs w:val="22"/>
              </w:rPr>
              <w:t>www.creditchina.gov.cn</w:t>
            </w:r>
            <w:r>
              <w:rPr>
                <w:rStyle w:val="45"/>
                <w:rFonts w:ascii="宋体" w:hAnsi="宋体" w:cs="宋体"/>
                <w:color w:val="auto"/>
                <w:sz w:val="22"/>
                <w:szCs w:val="22"/>
              </w:rPr>
              <w:fldChar w:fldCharType="end"/>
            </w:r>
            <w:r>
              <w:rPr>
                <w:rFonts w:hint="eastAsia" w:ascii="宋体" w:hAnsi="宋体" w:cs="宋体"/>
                <w:color w:val="auto"/>
                <w:sz w:val="22"/>
                <w:szCs w:val="22"/>
              </w:rPr>
              <w:t>）、“中国政府采购网”（</w:t>
            </w:r>
            <w:r>
              <w:rPr>
                <w:color w:val="auto"/>
              </w:rPr>
              <w:fldChar w:fldCharType="begin"/>
            </w:r>
            <w:r>
              <w:rPr>
                <w:color w:val="auto"/>
              </w:rPr>
              <w:instrText xml:space="preserve">HYPERLINK "http://www.ccgp.gov.cn/"</w:instrText>
            </w:r>
            <w:r>
              <w:rPr>
                <w:color w:val="auto"/>
              </w:rPr>
              <w:fldChar w:fldCharType="separate"/>
            </w:r>
            <w:r>
              <w:rPr>
                <w:rStyle w:val="45"/>
                <w:rFonts w:hint="eastAsia" w:ascii="宋体" w:hAnsi="宋体" w:cs="宋体"/>
                <w:color w:val="auto"/>
                <w:sz w:val="22"/>
                <w:szCs w:val="22"/>
              </w:rPr>
              <w:t>www.ccgp.gov.cn</w:t>
            </w:r>
            <w:r>
              <w:rPr>
                <w:rStyle w:val="45"/>
                <w:rFonts w:ascii="宋体" w:hAnsi="宋体" w:cs="宋体"/>
                <w:color w:val="auto"/>
                <w:sz w:val="22"/>
                <w:szCs w:val="22"/>
              </w:rPr>
              <w:fldChar w:fldCharType="end"/>
            </w:r>
            <w:r>
              <w:rPr>
                <w:rFonts w:hint="eastAsia" w:ascii="宋体" w:hAnsi="宋体" w:cs="宋体"/>
                <w:color w:val="auto"/>
                <w:sz w:val="22"/>
                <w:szCs w:val="22"/>
              </w:rPr>
              <w:t>）；</w:t>
            </w:r>
          </w:p>
          <w:p w14:paraId="528DA8BD">
            <w:pPr>
              <w:adjustRightInd w:val="0"/>
              <w:snapToGrid w:val="0"/>
              <w:spacing w:line="360" w:lineRule="exact"/>
              <w:rPr>
                <w:rFonts w:hint="eastAsia" w:ascii="宋体" w:hAnsi="宋体" w:cs="宋体"/>
                <w:color w:val="auto"/>
                <w:sz w:val="22"/>
                <w:szCs w:val="22"/>
              </w:rPr>
            </w:pPr>
            <w:r>
              <w:rPr>
                <w:rFonts w:hint="eastAsia" w:ascii="宋体" w:hAnsi="宋体" w:cs="宋体"/>
                <w:color w:val="auto"/>
                <w:sz w:val="22"/>
                <w:szCs w:val="22"/>
              </w:rPr>
              <w:t>3.信用信息的使用规则：供应商存在不良信用记录的，其投标将被作为无效投标被拒绝；</w:t>
            </w:r>
          </w:p>
          <w:p w14:paraId="4583FB87">
            <w:pPr>
              <w:spacing w:line="360" w:lineRule="exact"/>
              <w:rPr>
                <w:rFonts w:hint="eastAsia" w:ascii="宋体" w:hAnsi="宋体" w:cs="宋体"/>
                <w:color w:val="auto"/>
                <w:sz w:val="22"/>
                <w:szCs w:val="22"/>
              </w:rPr>
            </w:pPr>
            <w:r>
              <w:rPr>
                <w:rFonts w:hint="eastAsia" w:ascii="宋体" w:hAnsi="宋体" w:cs="宋体"/>
                <w:color w:val="auto"/>
                <w:sz w:val="22"/>
                <w:szCs w:val="22"/>
              </w:rPr>
              <w:t>4.不良信用记录指：“信用中国”被列入失信被执行人和重大税收违法案件当事人名单或存在 《中华人民共和国政府采购法实施条例》 第十九条规定；中国政府采购网被列入政府采购严重违法失信行为记录名单。</w:t>
            </w:r>
          </w:p>
        </w:tc>
      </w:tr>
      <w:tr w14:paraId="45C9FD1D">
        <w:tblPrEx>
          <w:tblCellMar>
            <w:top w:w="0" w:type="dxa"/>
            <w:left w:w="108" w:type="dxa"/>
            <w:bottom w:w="0" w:type="dxa"/>
            <w:right w:w="108" w:type="dxa"/>
          </w:tblCellMar>
        </w:tblPrEx>
        <w:trPr>
          <w:trHeight w:val="442" w:hRule="atLeast"/>
        </w:trPr>
        <w:tc>
          <w:tcPr>
            <w:tcW w:w="1001" w:type="dxa"/>
            <w:tcBorders>
              <w:top w:val="single" w:color="auto" w:sz="4" w:space="0"/>
              <w:left w:val="single" w:color="auto" w:sz="4" w:space="0"/>
              <w:bottom w:val="single" w:color="auto" w:sz="4" w:space="0"/>
              <w:right w:val="single" w:color="auto" w:sz="4" w:space="0"/>
            </w:tcBorders>
            <w:vAlign w:val="center"/>
          </w:tcPr>
          <w:p w14:paraId="65F521EF">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22</w:t>
            </w:r>
          </w:p>
        </w:tc>
        <w:tc>
          <w:tcPr>
            <w:tcW w:w="1712" w:type="dxa"/>
            <w:tcBorders>
              <w:top w:val="single" w:color="auto" w:sz="4" w:space="0"/>
              <w:left w:val="single" w:color="auto" w:sz="4" w:space="0"/>
              <w:bottom w:val="single" w:color="auto" w:sz="4" w:space="0"/>
              <w:right w:val="single" w:color="auto" w:sz="4" w:space="0"/>
            </w:tcBorders>
            <w:vAlign w:val="center"/>
          </w:tcPr>
          <w:p w14:paraId="7F4D4F25">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政府采购节能环保产品</w:t>
            </w:r>
          </w:p>
        </w:tc>
        <w:tc>
          <w:tcPr>
            <w:tcW w:w="7295" w:type="dxa"/>
            <w:tcBorders>
              <w:top w:val="single" w:color="auto" w:sz="4" w:space="0"/>
              <w:left w:val="single" w:color="auto" w:sz="4" w:space="0"/>
              <w:bottom w:val="single" w:color="auto" w:sz="4" w:space="0"/>
              <w:right w:val="single" w:color="auto" w:sz="4" w:space="0"/>
            </w:tcBorders>
            <w:vAlign w:val="center"/>
          </w:tcPr>
          <w:p w14:paraId="40191948">
            <w:pPr>
              <w:spacing w:line="360" w:lineRule="exact"/>
              <w:rPr>
                <w:rFonts w:hint="eastAsia" w:ascii="宋体" w:hAnsi="宋体" w:cs="宋体"/>
                <w:color w:val="auto"/>
                <w:sz w:val="22"/>
                <w:szCs w:val="22"/>
              </w:rPr>
            </w:pPr>
            <w:r>
              <w:rPr>
                <w:rFonts w:hint="eastAsia" w:ascii="宋体" w:hAnsi="宋体" w:cs="宋体"/>
                <w:color w:val="auto"/>
                <w:sz w:val="22"/>
                <w:szCs w:val="22"/>
              </w:rPr>
              <w:t>1</w:t>
            </w:r>
            <w:r>
              <w:rPr>
                <w:rFonts w:ascii="宋体" w:hAnsi="宋体" w:cs="宋体"/>
                <w:color w:val="auto"/>
                <w:sz w:val="22"/>
                <w:szCs w:val="22"/>
              </w:rPr>
              <w:t>.</w:t>
            </w:r>
            <w:r>
              <w:rPr>
                <w:rFonts w:hint="eastAsia" w:ascii="宋体" w:hAnsi="宋体" w:cs="宋体"/>
                <w:color w:val="auto"/>
                <w:sz w:val="22"/>
                <w:szCs w:val="22"/>
              </w:rPr>
              <w:t>投标产品若属于节能（环保）产品的，请提供参与实施政府采购节能（环境标志）产品认证机构出具的认证证书或证书发布平台的投标产品认证证书查询截图；参与实施政府采购节能（环境标志）产品认证机构详见《市场监督总局关于发布参与实施政府采购节能产品、环境标志产品认证机构名录的公告》（2019第16号）；证书发布平台详见《财政部 发展改革委 生态环境部市场监管总局关于调整优化节能产品、环境标志产品政府采购执行机制的通知》（财库〔2019〕9号）。</w:t>
            </w:r>
          </w:p>
          <w:p w14:paraId="1A32BE84">
            <w:pPr>
              <w:spacing w:line="360" w:lineRule="exact"/>
              <w:rPr>
                <w:rFonts w:hint="eastAsia" w:ascii="宋体" w:hAnsi="宋体" w:cs="宋体"/>
                <w:color w:val="auto"/>
                <w:sz w:val="22"/>
                <w:szCs w:val="22"/>
              </w:rPr>
            </w:pPr>
            <w:r>
              <w:rPr>
                <w:rFonts w:hint="eastAsia" w:ascii="宋体" w:hAnsi="宋体" w:cs="宋体"/>
                <w:color w:val="auto"/>
                <w:sz w:val="22"/>
                <w:szCs w:val="22"/>
              </w:rPr>
              <w:t>2</w:t>
            </w:r>
            <w:r>
              <w:rPr>
                <w:rFonts w:ascii="宋体" w:hAnsi="宋体" w:cs="宋体"/>
                <w:color w:val="auto"/>
                <w:sz w:val="22"/>
                <w:szCs w:val="22"/>
              </w:rPr>
              <w:t>.</w:t>
            </w:r>
            <w:r>
              <w:rPr>
                <w:rFonts w:hint="eastAsia" w:ascii="宋体" w:hAnsi="宋体" w:cs="宋体"/>
                <w:color w:val="auto"/>
                <w:sz w:val="22"/>
                <w:szCs w:val="22"/>
              </w:rPr>
              <w:t>产品属于政府强制采购节能品目的（详见《关于印发节能产品政府采购品目清单的通知》财库〔2019〕19号），供应商须按上款要求提供节能产品认证证书或规定网站证书查询截图。产品属于政府强制采购节能产品品目的，供应商未提供节能产品的，其投标将作无效标处理；本文件另有规定的除外。</w:t>
            </w:r>
          </w:p>
        </w:tc>
      </w:tr>
      <w:tr w14:paraId="608A8C7F">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0AFF15B1">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23</w:t>
            </w:r>
          </w:p>
        </w:tc>
        <w:tc>
          <w:tcPr>
            <w:tcW w:w="1712" w:type="dxa"/>
            <w:tcBorders>
              <w:top w:val="single" w:color="auto" w:sz="4" w:space="0"/>
              <w:left w:val="single" w:color="auto" w:sz="4" w:space="0"/>
              <w:bottom w:val="single" w:color="auto" w:sz="4" w:space="0"/>
              <w:right w:val="single" w:color="auto" w:sz="4" w:space="0"/>
            </w:tcBorders>
            <w:vAlign w:val="center"/>
          </w:tcPr>
          <w:p w14:paraId="23C28332">
            <w:pPr>
              <w:spacing w:line="360" w:lineRule="exact"/>
              <w:jc w:val="center"/>
              <w:rPr>
                <w:rFonts w:hint="eastAsia" w:ascii="宋体" w:hAnsi="宋体" w:cs="宋体"/>
                <w:color w:val="auto"/>
                <w:sz w:val="22"/>
                <w:szCs w:val="22"/>
              </w:rPr>
            </w:pPr>
            <w:r>
              <w:rPr>
                <w:rFonts w:hint="eastAsia" w:ascii="宋体" w:hAnsi="宋体" w:cs="仿宋"/>
                <w:bCs/>
                <w:color w:val="auto"/>
                <w:sz w:val="22"/>
                <w:szCs w:val="22"/>
              </w:rPr>
              <w:t>是否允许采购进口产品</w:t>
            </w:r>
          </w:p>
        </w:tc>
        <w:tc>
          <w:tcPr>
            <w:tcW w:w="7295" w:type="dxa"/>
            <w:tcBorders>
              <w:top w:val="single" w:color="auto" w:sz="4" w:space="0"/>
              <w:left w:val="single" w:color="auto" w:sz="4" w:space="0"/>
              <w:bottom w:val="single" w:color="auto" w:sz="4" w:space="0"/>
              <w:right w:val="single" w:color="auto" w:sz="4" w:space="0"/>
            </w:tcBorders>
            <w:vAlign w:val="center"/>
          </w:tcPr>
          <w:p w14:paraId="51E20632">
            <w:pPr>
              <w:spacing w:line="360" w:lineRule="exact"/>
              <w:rPr>
                <w:rFonts w:hint="eastAsia" w:ascii="宋体" w:hAnsi="宋体" w:cs="仿宋"/>
                <w:bCs/>
                <w:color w:val="auto"/>
                <w:sz w:val="22"/>
                <w:szCs w:val="22"/>
              </w:rPr>
            </w:pPr>
            <w:r>
              <w:rPr>
                <w:rFonts w:hint="eastAsia" w:ascii="宋体" w:hAnsi="宋体" w:cs="仿宋"/>
                <w:color w:val="auto"/>
                <w:sz w:val="22"/>
                <w:szCs w:val="22"/>
              </w:rPr>
              <w:sym w:font="Wingdings" w:char="F0FE"/>
            </w:r>
            <w:r>
              <w:rPr>
                <w:rFonts w:hint="eastAsia" w:ascii="宋体" w:hAnsi="宋体" w:cs="仿宋"/>
                <w:bCs/>
                <w:color w:val="auto"/>
                <w:sz w:val="22"/>
                <w:szCs w:val="22"/>
              </w:rPr>
              <w:t>本项目不允许采购进口产品。</w:t>
            </w:r>
          </w:p>
          <w:p w14:paraId="1B639836">
            <w:pPr>
              <w:spacing w:line="360" w:lineRule="exact"/>
              <w:rPr>
                <w:rFonts w:hint="eastAsia" w:ascii="宋体" w:hAnsi="宋体" w:cs="宋体"/>
                <w:color w:val="auto"/>
                <w:sz w:val="22"/>
                <w:szCs w:val="22"/>
              </w:rPr>
            </w:pPr>
            <w:r>
              <w:rPr>
                <w:rFonts w:hint="eastAsia" w:ascii="宋体" w:hAnsi="宋体" w:cs="仿宋"/>
                <w:bCs/>
                <w:color w:val="auto"/>
                <w:sz w:val="22"/>
                <w:szCs w:val="22"/>
              </w:rPr>
              <w:sym w:font="Wingdings" w:char="00A8"/>
            </w:r>
            <w:r>
              <w:rPr>
                <w:rFonts w:hint="eastAsia" w:ascii="宋体" w:hAnsi="宋体" w:cs="仿宋"/>
                <w:bCs/>
                <w:color w:val="auto"/>
                <w:sz w:val="22"/>
                <w:szCs w:val="22"/>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B861289">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1F7298A6">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24</w:t>
            </w:r>
          </w:p>
        </w:tc>
        <w:tc>
          <w:tcPr>
            <w:tcW w:w="1712" w:type="dxa"/>
            <w:tcBorders>
              <w:top w:val="single" w:color="auto" w:sz="4" w:space="0"/>
              <w:left w:val="single" w:color="auto" w:sz="4" w:space="0"/>
              <w:bottom w:val="single" w:color="auto" w:sz="4" w:space="0"/>
              <w:right w:val="single" w:color="auto" w:sz="4" w:space="0"/>
            </w:tcBorders>
            <w:vAlign w:val="center"/>
          </w:tcPr>
          <w:p w14:paraId="5DC12256">
            <w:pPr>
              <w:spacing w:line="360" w:lineRule="exact"/>
              <w:jc w:val="center"/>
              <w:rPr>
                <w:rFonts w:hint="eastAsia" w:ascii="宋体" w:hAnsi="宋体"/>
                <w:b/>
                <w:color w:val="auto"/>
                <w:sz w:val="22"/>
                <w:szCs w:val="22"/>
              </w:rPr>
            </w:pPr>
            <w:r>
              <w:rPr>
                <w:rFonts w:hint="eastAsia" w:ascii="宋体" w:hAnsi="宋体" w:cs="仿宋"/>
                <w:bCs/>
                <w:color w:val="auto"/>
                <w:sz w:val="22"/>
                <w:szCs w:val="22"/>
              </w:rPr>
              <w:t>本项目扶持中小企业（监狱企业、残疾人福利性单位）有关政策</w:t>
            </w:r>
          </w:p>
        </w:tc>
        <w:tc>
          <w:tcPr>
            <w:tcW w:w="7295" w:type="dxa"/>
            <w:tcBorders>
              <w:top w:val="single" w:color="auto" w:sz="4" w:space="0"/>
              <w:left w:val="single" w:color="auto" w:sz="4" w:space="0"/>
              <w:bottom w:val="single" w:color="auto" w:sz="4" w:space="0"/>
              <w:right w:val="single" w:color="auto" w:sz="4" w:space="0"/>
            </w:tcBorders>
            <w:vAlign w:val="center"/>
          </w:tcPr>
          <w:p w14:paraId="206DA949">
            <w:pPr>
              <w:spacing w:line="360" w:lineRule="exact"/>
              <w:rPr>
                <w:rFonts w:hint="eastAsia" w:ascii="宋体" w:hAnsi="宋体" w:cs="仿宋"/>
                <w:b/>
                <w:bCs/>
                <w:color w:val="auto"/>
                <w:sz w:val="22"/>
                <w:szCs w:val="22"/>
              </w:rPr>
            </w:pPr>
            <w:r>
              <w:rPr>
                <w:rFonts w:ascii="宋体" w:hAnsi="宋体" w:cs="仿宋"/>
                <w:b/>
                <w:bCs/>
                <w:color w:val="auto"/>
                <w:sz w:val="22"/>
                <w:szCs w:val="22"/>
              </w:rPr>
              <w:t xml:space="preserve">1、扶持中小企业（监狱企业、残疾人福利性单位）： </w:t>
            </w:r>
          </w:p>
          <w:p w14:paraId="1CDE98AD">
            <w:pPr>
              <w:spacing w:line="360" w:lineRule="exact"/>
              <w:rPr>
                <w:rFonts w:hint="eastAsia" w:ascii="宋体" w:hAnsi="宋体" w:cs="仿宋"/>
                <w:color w:val="auto"/>
                <w:sz w:val="22"/>
                <w:szCs w:val="22"/>
              </w:rPr>
            </w:pPr>
            <w:r>
              <w:rPr>
                <w:rFonts w:hint="eastAsia" w:ascii="宋体" w:hAnsi="宋体" w:cs="仿宋"/>
                <w:color w:val="auto"/>
                <w:sz w:val="22"/>
                <w:szCs w:val="22"/>
              </w:rPr>
              <w:t>（</w:t>
            </w:r>
            <w:r>
              <w:rPr>
                <w:rFonts w:ascii="宋体" w:hAnsi="宋体" w:cs="仿宋"/>
                <w:color w:val="auto"/>
                <w:sz w:val="22"/>
                <w:szCs w:val="22"/>
              </w:rPr>
              <w:t>1）根据工信部等部委发布的《关于印发中小企业划型标准规定的通知》（工信部联企业〔2011〕300号），本项目属于</w:t>
            </w:r>
            <w:r>
              <w:rPr>
                <w:rFonts w:ascii="宋体" w:hAnsi="宋体" w:cs="仿宋"/>
                <w:color w:val="auto"/>
                <w:sz w:val="22"/>
                <w:szCs w:val="22"/>
                <w:u w:val="single"/>
              </w:rPr>
              <w:sym w:font="Wingdings" w:char="00A8"/>
            </w:r>
            <w:r>
              <w:rPr>
                <w:rFonts w:hint="eastAsia" w:ascii="宋体" w:hAnsi="宋体" w:cs="仿宋"/>
                <w:color w:val="auto"/>
                <w:sz w:val="22"/>
                <w:szCs w:val="22"/>
                <w:u w:val="single"/>
              </w:rPr>
              <w:t>农、林、牧、渔业，</w:t>
            </w:r>
            <w:r>
              <w:rPr>
                <w:rFonts w:ascii="宋体" w:hAnsi="宋体" w:cs="仿宋"/>
                <w:color w:val="auto"/>
                <w:sz w:val="22"/>
                <w:szCs w:val="22"/>
                <w:u w:val="single"/>
              </w:rPr>
              <w:sym w:font="Wingdings" w:char="00FE"/>
            </w:r>
            <w:r>
              <w:rPr>
                <w:rFonts w:hint="eastAsia" w:ascii="宋体" w:hAnsi="宋体" w:cs="仿宋"/>
                <w:color w:val="auto"/>
                <w:sz w:val="22"/>
                <w:szCs w:val="22"/>
                <w:u w:val="single"/>
              </w:rPr>
              <w:t>工业（包括采矿业，制造业，电力、热力、燃气及水生产和供应业），</w:t>
            </w:r>
            <w:r>
              <w:rPr>
                <w:rFonts w:ascii="宋体" w:hAnsi="宋体" w:cs="仿宋"/>
                <w:color w:val="auto"/>
                <w:sz w:val="22"/>
                <w:szCs w:val="22"/>
                <w:u w:val="single"/>
              </w:rPr>
              <w:sym w:font="Wingdings" w:char="00A8"/>
            </w:r>
            <w:r>
              <w:rPr>
                <w:rFonts w:hint="eastAsia" w:ascii="宋体" w:hAnsi="宋体" w:cs="仿宋"/>
                <w:color w:val="auto"/>
                <w:sz w:val="22"/>
                <w:szCs w:val="22"/>
                <w:u w:val="single"/>
              </w:rPr>
              <w:t>建筑业，</w:t>
            </w:r>
            <w:r>
              <w:rPr>
                <w:rFonts w:ascii="宋体" w:hAnsi="宋体" w:cs="仿宋"/>
                <w:color w:val="auto"/>
                <w:sz w:val="22"/>
                <w:szCs w:val="22"/>
                <w:u w:val="single"/>
              </w:rPr>
              <w:sym w:font="Wingdings" w:char="00A8"/>
            </w:r>
            <w:r>
              <w:rPr>
                <w:rFonts w:hint="eastAsia" w:ascii="宋体" w:hAnsi="宋体" w:cs="仿宋"/>
                <w:color w:val="auto"/>
                <w:sz w:val="22"/>
                <w:szCs w:val="22"/>
                <w:u w:val="single"/>
              </w:rPr>
              <w:t>批发业，</w:t>
            </w:r>
            <w:r>
              <w:rPr>
                <w:rFonts w:ascii="宋体" w:hAnsi="宋体" w:cs="仿宋"/>
                <w:color w:val="auto"/>
                <w:sz w:val="22"/>
                <w:szCs w:val="22"/>
                <w:u w:val="single"/>
              </w:rPr>
              <w:sym w:font="Wingdings" w:char="00A8"/>
            </w:r>
            <w:r>
              <w:rPr>
                <w:rFonts w:hint="eastAsia" w:ascii="宋体" w:hAnsi="宋体" w:cs="仿宋"/>
                <w:color w:val="auto"/>
                <w:sz w:val="22"/>
                <w:szCs w:val="22"/>
                <w:u w:val="single"/>
              </w:rPr>
              <w:t>零售业，</w:t>
            </w:r>
            <w:r>
              <w:rPr>
                <w:rFonts w:ascii="宋体" w:hAnsi="宋体" w:cs="仿宋"/>
                <w:color w:val="auto"/>
                <w:sz w:val="22"/>
                <w:szCs w:val="22"/>
                <w:u w:val="single"/>
              </w:rPr>
              <w:sym w:font="Wingdings" w:char="00A8"/>
            </w:r>
            <w:r>
              <w:rPr>
                <w:rFonts w:hint="eastAsia" w:ascii="宋体" w:hAnsi="宋体" w:cs="仿宋"/>
                <w:color w:val="auto"/>
                <w:sz w:val="22"/>
                <w:szCs w:val="22"/>
                <w:u w:val="single"/>
              </w:rPr>
              <w:t>交通运输业（不含铁路运输业），</w:t>
            </w:r>
            <w:r>
              <w:rPr>
                <w:rFonts w:ascii="宋体" w:hAnsi="宋体" w:cs="仿宋"/>
                <w:color w:val="auto"/>
                <w:sz w:val="22"/>
                <w:szCs w:val="22"/>
                <w:u w:val="single"/>
              </w:rPr>
              <w:sym w:font="Wingdings" w:char="00A8"/>
            </w:r>
            <w:r>
              <w:rPr>
                <w:rFonts w:hint="eastAsia" w:ascii="宋体" w:hAnsi="宋体" w:cs="仿宋"/>
                <w:color w:val="auto"/>
                <w:sz w:val="22"/>
                <w:szCs w:val="22"/>
                <w:u w:val="single"/>
              </w:rPr>
              <w:t>仓储业，</w:t>
            </w:r>
            <w:r>
              <w:rPr>
                <w:rFonts w:ascii="宋体" w:hAnsi="宋体" w:cs="仿宋"/>
                <w:color w:val="auto"/>
                <w:sz w:val="22"/>
                <w:szCs w:val="22"/>
                <w:u w:val="single"/>
              </w:rPr>
              <w:sym w:font="Wingdings" w:char="00A8"/>
            </w:r>
            <w:r>
              <w:rPr>
                <w:rFonts w:hint="eastAsia" w:ascii="宋体" w:hAnsi="宋体" w:cs="仿宋"/>
                <w:color w:val="auto"/>
                <w:sz w:val="22"/>
                <w:szCs w:val="22"/>
                <w:u w:val="single"/>
              </w:rPr>
              <w:t>邮政业，</w:t>
            </w:r>
            <w:r>
              <w:rPr>
                <w:rFonts w:ascii="宋体" w:hAnsi="宋体" w:cs="仿宋"/>
                <w:color w:val="auto"/>
                <w:sz w:val="22"/>
                <w:szCs w:val="22"/>
                <w:u w:val="single"/>
              </w:rPr>
              <w:sym w:font="Wingdings" w:char="00A8"/>
            </w:r>
            <w:r>
              <w:rPr>
                <w:rFonts w:hint="eastAsia" w:ascii="宋体" w:hAnsi="宋体" w:cs="仿宋"/>
                <w:color w:val="auto"/>
                <w:sz w:val="22"/>
                <w:szCs w:val="22"/>
                <w:u w:val="single"/>
              </w:rPr>
              <w:t>住宿业，</w:t>
            </w:r>
            <w:r>
              <w:rPr>
                <w:rFonts w:ascii="宋体" w:hAnsi="宋体" w:cs="仿宋"/>
                <w:color w:val="auto"/>
                <w:sz w:val="22"/>
                <w:szCs w:val="22"/>
                <w:u w:val="single"/>
              </w:rPr>
              <w:sym w:font="Wingdings" w:char="00A8"/>
            </w:r>
            <w:r>
              <w:rPr>
                <w:rFonts w:hint="eastAsia" w:ascii="宋体" w:hAnsi="宋体" w:cs="仿宋"/>
                <w:color w:val="auto"/>
                <w:sz w:val="22"/>
                <w:szCs w:val="22"/>
                <w:u w:val="single"/>
              </w:rPr>
              <w:t>餐饮业，</w:t>
            </w:r>
            <w:r>
              <w:rPr>
                <w:rFonts w:ascii="宋体" w:hAnsi="宋体" w:cs="仿宋"/>
                <w:color w:val="auto"/>
                <w:sz w:val="22"/>
                <w:szCs w:val="22"/>
                <w:u w:val="single"/>
              </w:rPr>
              <w:sym w:font="Wingdings" w:char="00A8"/>
            </w:r>
            <w:r>
              <w:rPr>
                <w:rFonts w:hint="eastAsia" w:ascii="宋体" w:hAnsi="宋体" w:cs="仿宋"/>
                <w:color w:val="auto"/>
                <w:sz w:val="22"/>
                <w:szCs w:val="22"/>
                <w:u w:val="single"/>
              </w:rPr>
              <w:t>信息传输业（包括电信、互联网和相关服务），</w:t>
            </w:r>
            <w:r>
              <w:rPr>
                <w:rFonts w:ascii="宋体" w:hAnsi="宋体" w:cs="仿宋"/>
                <w:color w:val="auto"/>
                <w:sz w:val="22"/>
                <w:szCs w:val="22"/>
                <w:u w:val="single"/>
              </w:rPr>
              <w:sym w:font="Wingdings" w:char="00A8"/>
            </w:r>
            <w:r>
              <w:rPr>
                <w:rFonts w:hint="eastAsia" w:ascii="宋体" w:hAnsi="宋体" w:cs="仿宋"/>
                <w:color w:val="auto"/>
                <w:sz w:val="22"/>
                <w:szCs w:val="22"/>
                <w:u w:val="single"/>
              </w:rPr>
              <w:t>软件和信息技术服务业，</w:t>
            </w:r>
            <w:r>
              <w:rPr>
                <w:rFonts w:ascii="宋体" w:hAnsi="宋体" w:cs="仿宋"/>
                <w:color w:val="auto"/>
                <w:sz w:val="22"/>
                <w:szCs w:val="22"/>
                <w:u w:val="single"/>
              </w:rPr>
              <w:sym w:font="Wingdings" w:char="00A8"/>
            </w:r>
            <w:r>
              <w:rPr>
                <w:rFonts w:hint="eastAsia" w:ascii="宋体" w:hAnsi="宋体" w:cs="仿宋"/>
                <w:color w:val="auto"/>
                <w:sz w:val="22"/>
                <w:szCs w:val="22"/>
                <w:u w:val="single"/>
              </w:rPr>
              <w:t>房地产开发经营，</w:t>
            </w:r>
            <w:r>
              <w:rPr>
                <w:rFonts w:ascii="宋体" w:hAnsi="宋体" w:cs="仿宋"/>
                <w:color w:val="auto"/>
                <w:sz w:val="22"/>
                <w:szCs w:val="22"/>
                <w:u w:val="single"/>
              </w:rPr>
              <w:sym w:font="Wingdings" w:char="00A8"/>
            </w:r>
            <w:r>
              <w:rPr>
                <w:rFonts w:hint="eastAsia" w:ascii="宋体" w:hAnsi="宋体" w:cs="仿宋"/>
                <w:color w:val="auto"/>
                <w:sz w:val="22"/>
                <w:szCs w:val="22"/>
                <w:u w:val="single"/>
              </w:rPr>
              <w:t>物业管理，</w:t>
            </w:r>
            <w:r>
              <w:rPr>
                <w:rFonts w:ascii="宋体" w:hAnsi="宋体" w:cs="仿宋"/>
                <w:color w:val="auto"/>
                <w:sz w:val="22"/>
                <w:szCs w:val="22"/>
                <w:u w:val="single"/>
              </w:rPr>
              <w:sym w:font="Wingdings" w:char="00A8"/>
            </w:r>
            <w:r>
              <w:rPr>
                <w:rFonts w:hint="eastAsia" w:ascii="宋体" w:hAnsi="宋体" w:cs="仿宋"/>
                <w:color w:val="auto"/>
                <w:sz w:val="22"/>
                <w:szCs w:val="22"/>
                <w:u w:val="single"/>
              </w:rPr>
              <w:t>租赁和商务服务业，</w:t>
            </w:r>
            <w:r>
              <w:rPr>
                <w:rFonts w:ascii="宋体" w:hAnsi="宋体" w:cs="仿宋"/>
                <w:color w:val="auto"/>
                <w:sz w:val="22"/>
                <w:szCs w:val="22"/>
                <w:u w:val="single"/>
              </w:rPr>
              <w:sym w:font="Wingdings" w:char="00A8"/>
            </w:r>
            <w:r>
              <w:rPr>
                <w:rFonts w:hint="eastAsia" w:ascii="宋体" w:hAnsi="宋体" w:cs="仿宋"/>
                <w:color w:val="auto"/>
                <w:sz w:val="22"/>
                <w:szCs w:val="22"/>
                <w:u w:val="single"/>
              </w:rPr>
              <w:t>其他未列明行业（包括科学研究和技术服务业，水利、环境和公共设施管理业，居民服务、修理和其他服务业，社会工作，文化、体育和娱乐业等）</w:t>
            </w:r>
            <w:r>
              <w:rPr>
                <w:rFonts w:ascii="宋体" w:hAnsi="宋体" w:cs="仿宋"/>
                <w:color w:val="auto"/>
                <w:sz w:val="22"/>
                <w:szCs w:val="22"/>
              </w:rPr>
              <w:t xml:space="preserve"> 行业。</w:t>
            </w:r>
          </w:p>
          <w:p w14:paraId="4CB01C51">
            <w:pPr>
              <w:spacing w:line="360" w:lineRule="exact"/>
              <w:rPr>
                <w:rFonts w:hint="eastAsia" w:ascii="宋体" w:hAnsi="宋体" w:cs="仿宋"/>
                <w:color w:val="auto"/>
                <w:sz w:val="22"/>
                <w:szCs w:val="22"/>
              </w:rPr>
            </w:pPr>
            <w:r>
              <w:rPr>
                <w:rFonts w:hint="eastAsia" w:ascii="宋体" w:hAnsi="宋体" w:cs="仿宋"/>
                <w:color w:val="auto"/>
                <w:sz w:val="22"/>
                <w:szCs w:val="22"/>
              </w:rPr>
              <w:t>（</w:t>
            </w:r>
            <w:r>
              <w:rPr>
                <w:rFonts w:ascii="宋体" w:hAnsi="宋体" w:cs="仿宋"/>
                <w:color w:val="auto"/>
                <w:sz w:val="22"/>
                <w:szCs w:val="22"/>
              </w:rPr>
              <w:t>2）中小企业划型标准：根据（关于印发《中小企业划型标准规定》的通知）（工信部联企业【2011</w:t>
            </w:r>
            <w:r>
              <w:rPr>
                <w:rFonts w:hint="eastAsia" w:ascii="宋体" w:hAnsi="宋体" w:cs="仿宋"/>
                <w:color w:val="auto"/>
                <w:sz w:val="22"/>
                <w:szCs w:val="22"/>
              </w:rPr>
              <w:t>】</w:t>
            </w:r>
            <w:r>
              <w:rPr>
                <w:rFonts w:ascii="宋体" w:hAnsi="宋体" w:cs="仿宋"/>
                <w:color w:val="auto"/>
                <w:sz w:val="22"/>
                <w:szCs w:val="22"/>
              </w:rPr>
              <w:t>300</w:t>
            </w:r>
            <w:r>
              <w:rPr>
                <w:rFonts w:hint="eastAsia" w:ascii="宋体" w:hAnsi="宋体" w:cs="仿宋"/>
                <w:color w:val="auto"/>
                <w:sz w:val="22"/>
                <w:szCs w:val="22"/>
              </w:rPr>
              <w:t>号）的文件规定确定。</w:t>
            </w:r>
          </w:p>
          <w:p w14:paraId="14AAEC77">
            <w:pPr>
              <w:spacing w:line="360" w:lineRule="exact"/>
              <w:rPr>
                <w:rFonts w:hint="eastAsia" w:ascii="宋体" w:hAnsi="宋体" w:cs="仿宋"/>
                <w:color w:val="auto"/>
                <w:sz w:val="22"/>
                <w:szCs w:val="22"/>
              </w:rPr>
            </w:pPr>
            <w:r>
              <w:rPr>
                <w:rFonts w:ascii="宋体" w:hAnsi="宋体" w:cs="仿宋"/>
                <w:color w:val="auto"/>
                <w:sz w:val="22"/>
                <w:szCs w:val="22"/>
              </w:rPr>
              <w:t>2、根据财政部发布的《政府采购促进中小企业发展管理办法》财库（2020）46号、《浙江省财政厅关于进一步发挥政府采购政策功能全力推动经济稳进提质的通知》（浙财采监〔2022〕3号）、（浙财采监〔2022〕8</w:t>
            </w:r>
            <w:r>
              <w:rPr>
                <w:rFonts w:hint="eastAsia" w:ascii="宋体" w:hAnsi="宋体" w:cs="仿宋"/>
                <w:color w:val="auto"/>
                <w:sz w:val="22"/>
                <w:szCs w:val="22"/>
              </w:rPr>
              <w:t>号）、（财库〔</w:t>
            </w:r>
            <w:r>
              <w:rPr>
                <w:rFonts w:ascii="宋体" w:hAnsi="宋体" w:cs="仿宋"/>
                <w:color w:val="auto"/>
                <w:sz w:val="22"/>
                <w:szCs w:val="22"/>
              </w:rPr>
              <w:t>2022〕19</w:t>
            </w:r>
            <w:r>
              <w:rPr>
                <w:rFonts w:hint="eastAsia" w:ascii="宋体" w:hAnsi="宋体" w:cs="仿宋"/>
                <w:color w:val="auto"/>
                <w:sz w:val="22"/>
                <w:szCs w:val="22"/>
              </w:rPr>
              <w:t>号）的相关规定：</w:t>
            </w:r>
          </w:p>
          <w:p w14:paraId="204DFA49">
            <w:pPr>
              <w:spacing w:line="360" w:lineRule="exact"/>
              <w:ind w:firstLine="110" w:firstLineChars="50"/>
              <w:rPr>
                <w:rFonts w:hint="eastAsia" w:ascii="宋体" w:hAnsi="宋体" w:cs="仿宋"/>
                <w:color w:val="auto"/>
                <w:sz w:val="22"/>
                <w:szCs w:val="22"/>
              </w:rPr>
            </w:pPr>
            <w:r>
              <w:rPr>
                <w:rFonts w:ascii="宋体" w:hAnsi="宋体" w:cs="仿宋"/>
                <w:color w:val="auto"/>
                <w:sz w:val="22"/>
                <w:szCs w:val="22"/>
              </w:rPr>
              <w:t>2.1.是否为预留份额项目：</w:t>
            </w:r>
          </w:p>
          <w:p w14:paraId="6CEC8A16">
            <w:pPr>
              <w:spacing w:line="360" w:lineRule="exact"/>
              <w:rPr>
                <w:rFonts w:hint="eastAsia" w:ascii="宋体" w:hAnsi="宋体" w:cs="仿宋"/>
                <w:color w:val="auto"/>
                <w:sz w:val="22"/>
                <w:szCs w:val="22"/>
              </w:rPr>
            </w:pPr>
            <w:r>
              <w:rPr>
                <w:rFonts w:ascii="宋体" w:hAnsi="宋体" w:cs="仿宋"/>
                <w:color w:val="auto"/>
                <w:sz w:val="22"/>
                <w:szCs w:val="22"/>
              </w:rPr>
              <w:sym w:font="Wingdings" w:char="00FE"/>
            </w:r>
            <w:r>
              <w:rPr>
                <w:rFonts w:hint="eastAsia" w:ascii="宋体" w:hAnsi="宋体" w:cs="仿宋"/>
                <w:color w:val="auto"/>
                <w:sz w:val="22"/>
                <w:szCs w:val="22"/>
              </w:rPr>
              <w:t>本项目为预留份额项目，专门面向中小企业采购。</w:t>
            </w:r>
          </w:p>
          <w:p w14:paraId="367F7295">
            <w:pPr>
              <w:spacing w:line="360" w:lineRule="exact"/>
              <w:ind w:left="221" w:hanging="221" w:hangingChars="100"/>
              <w:rPr>
                <w:rFonts w:hint="eastAsia" w:ascii="宋体" w:hAnsi="宋体" w:cs="仿宋"/>
                <w:color w:val="auto"/>
                <w:sz w:val="22"/>
                <w:szCs w:val="22"/>
              </w:rPr>
            </w:pPr>
            <w:r>
              <w:rPr>
                <w:rFonts w:hint="eastAsia" w:ascii="宋体" w:hAnsi="宋体" w:cs="宋体"/>
                <w:b/>
                <w:snapToGrid w:val="0"/>
                <w:color w:val="auto"/>
                <w:sz w:val="22"/>
                <w:szCs w:val="22"/>
              </w:rPr>
              <w:sym w:font="Wingdings" w:char="00A8"/>
            </w:r>
            <w:r>
              <w:rPr>
                <w:rFonts w:hint="eastAsia" w:ascii="宋体" w:hAnsi="宋体" w:cs="仿宋"/>
                <w:color w:val="auto"/>
                <w:sz w:val="22"/>
                <w:szCs w:val="22"/>
              </w:rPr>
              <w:t>本项目为非预留份额项目、非专门面向中小企业的项目</w:t>
            </w:r>
          </w:p>
          <w:p w14:paraId="620C329F">
            <w:pPr>
              <w:spacing w:line="360" w:lineRule="exact"/>
              <w:ind w:left="221" w:hanging="221" w:hangingChars="100"/>
              <w:rPr>
                <w:rFonts w:hint="eastAsia" w:ascii="宋体" w:hAnsi="宋体" w:cs="仿宋"/>
                <w:color w:val="auto"/>
                <w:sz w:val="22"/>
                <w:szCs w:val="22"/>
              </w:rPr>
            </w:pPr>
            <w:r>
              <w:rPr>
                <w:rFonts w:hint="eastAsia" w:ascii="宋体" w:hAnsi="宋体" w:cs="宋体"/>
                <w:b/>
                <w:snapToGrid w:val="0"/>
                <w:color w:val="auto"/>
                <w:sz w:val="22"/>
                <w:szCs w:val="22"/>
              </w:rPr>
              <w:sym w:font="Wingdings" w:char="00A8"/>
            </w:r>
            <w:r>
              <w:rPr>
                <w:rFonts w:hint="eastAsia" w:ascii="宋体" w:hAnsi="宋体" w:cs="仿宋"/>
                <w:color w:val="auto"/>
                <w:sz w:val="22"/>
                <w:szCs w:val="22"/>
              </w:rPr>
              <w:t>在评审时对小型和微型企业报价给予</w:t>
            </w:r>
            <w:r>
              <w:rPr>
                <w:rFonts w:hint="eastAsia" w:ascii="宋体" w:hAnsi="宋体" w:cs="仿宋"/>
                <w:color w:val="auto"/>
                <w:sz w:val="22"/>
                <w:szCs w:val="22"/>
                <w:u w:val="single"/>
              </w:rPr>
              <w:t xml:space="preserve"> 10% </w:t>
            </w:r>
            <w:r>
              <w:rPr>
                <w:rFonts w:hint="eastAsia" w:ascii="宋体" w:hAnsi="宋体" w:cs="仿宋"/>
                <w:color w:val="auto"/>
                <w:sz w:val="22"/>
                <w:szCs w:val="22"/>
              </w:rPr>
              <w:t>的扣除，用扣除后的价格参加评审。适用招标投标法的政府采购工程建设项目，采用综合评估法但未采用低价优先法计算价格分，评标时在采用原报价进行评分的基础上增加其价格得分的</w:t>
            </w:r>
            <w:r>
              <w:rPr>
                <w:rFonts w:ascii="宋体" w:hAnsi="宋体" w:cs="仿宋"/>
                <w:color w:val="auto"/>
                <w:sz w:val="22"/>
                <w:szCs w:val="22"/>
                <w:u w:val="single"/>
              </w:rPr>
              <w:t>/</w:t>
            </w:r>
            <w:r>
              <w:rPr>
                <w:rFonts w:hint="eastAsia" w:ascii="宋体" w:hAnsi="宋体" w:cs="仿宋"/>
                <w:color w:val="auto"/>
                <w:sz w:val="22"/>
                <w:szCs w:val="22"/>
              </w:rPr>
              <w:t>%（3%-5%）作为其价格分。</w:t>
            </w:r>
          </w:p>
          <w:p w14:paraId="7A1B693C">
            <w:pPr>
              <w:spacing w:line="360" w:lineRule="exact"/>
              <w:rPr>
                <w:rFonts w:hint="eastAsia" w:ascii="宋体" w:hAnsi="宋体" w:cs="仿宋"/>
                <w:color w:val="auto"/>
                <w:sz w:val="22"/>
                <w:szCs w:val="22"/>
              </w:rPr>
            </w:pPr>
            <w:r>
              <w:rPr>
                <w:rFonts w:ascii="宋体" w:hAnsi="宋体" w:cs="仿宋"/>
                <w:color w:val="auto"/>
                <w:sz w:val="22"/>
                <w:szCs w:val="22"/>
              </w:rPr>
              <w:sym w:font="Wingdings" w:char="00A8"/>
            </w:r>
            <w:r>
              <w:rPr>
                <w:rFonts w:hint="eastAsia" w:ascii="宋体" w:hAnsi="宋体" w:cs="仿宋"/>
                <w:color w:val="auto"/>
                <w:sz w:val="22"/>
                <w:szCs w:val="22"/>
              </w:rPr>
              <w:t>本项目为</w:t>
            </w:r>
            <w:r>
              <w:rPr>
                <w:rFonts w:ascii="宋体" w:hAnsi="宋体" w:cs="仿宋"/>
                <w:color w:val="auto"/>
                <w:sz w:val="22"/>
                <w:szCs w:val="22"/>
              </w:rPr>
              <w:sym w:font="Wingdings" w:char="00A8"/>
            </w:r>
            <w:r>
              <w:rPr>
                <w:rFonts w:hint="eastAsia" w:ascii="宋体" w:hAnsi="宋体" w:cs="仿宋"/>
                <w:color w:val="auto"/>
                <w:sz w:val="22"/>
                <w:szCs w:val="22"/>
              </w:rPr>
              <w:t>接受大中型企业与小微企业组成联合体、</w:t>
            </w:r>
            <w:r>
              <w:rPr>
                <w:rFonts w:ascii="宋体" w:hAnsi="宋体" w:cs="仿宋"/>
                <w:color w:val="auto"/>
                <w:sz w:val="22"/>
                <w:szCs w:val="22"/>
              </w:rPr>
              <w:sym w:font="Wingdings" w:char="00A8"/>
            </w:r>
            <w:r>
              <w:rPr>
                <w:rFonts w:hint="eastAsia" w:ascii="宋体" w:hAnsi="宋体" w:cs="仿宋"/>
                <w:color w:val="auto"/>
                <w:sz w:val="22"/>
                <w:szCs w:val="22"/>
              </w:rPr>
              <w:t>允许大中型企业向一家或者多家小微企业分包的采购项目，对于联合协议或者分包意向协议约定小微企业的合同份额占到合同总金额</w:t>
            </w:r>
            <w:r>
              <w:rPr>
                <w:rFonts w:ascii="宋体" w:hAnsi="宋体" w:cs="仿宋"/>
                <w:color w:val="auto"/>
                <w:sz w:val="22"/>
                <w:szCs w:val="22"/>
              </w:rPr>
              <w:t>30%以上的，对联合体或者大中型企业的报价给予</w:t>
            </w:r>
            <w:r>
              <w:rPr>
                <w:rFonts w:ascii="宋体" w:hAnsi="宋体" w:cs="仿宋"/>
                <w:color w:val="auto"/>
                <w:sz w:val="22"/>
                <w:szCs w:val="22"/>
                <w:u w:val="single"/>
              </w:rPr>
              <w:t>4</w:t>
            </w:r>
            <w:r>
              <w:rPr>
                <w:rFonts w:ascii="宋体" w:hAnsi="宋体" w:cs="仿宋"/>
                <w:color w:val="auto"/>
                <w:sz w:val="22"/>
                <w:szCs w:val="22"/>
              </w:rPr>
              <w:t>%（4%-6%），工程项目为</w:t>
            </w:r>
            <w:r>
              <w:rPr>
                <w:rFonts w:ascii="宋体" w:hAnsi="宋体" w:cs="仿宋"/>
                <w:color w:val="auto"/>
                <w:sz w:val="22"/>
                <w:szCs w:val="22"/>
                <w:u w:val="single"/>
              </w:rPr>
              <w:t>/ %（1%—2%）</w:t>
            </w:r>
            <w:r>
              <w:rPr>
                <w:rFonts w:hint="eastAsia" w:ascii="宋体" w:hAnsi="宋体" w:cs="仿宋"/>
                <w:color w:val="auto"/>
                <w:sz w:val="22"/>
                <w:szCs w:val="22"/>
              </w:rPr>
              <w:t>的扣除，用扣除后的价格参加评审。</w:t>
            </w:r>
            <w:r>
              <w:rPr>
                <w:rFonts w:ascii="宋体" w:hAnsi="宋体" w:cs="仿宋"/>
                <w:color w:val="auto"/>
                <w:sz w:val="22"/>
                <w:szCs w:val="22"/>
              </w:rPr>
              <w:sym w:font="Wingdings" w:char="00A8"/>
            </w:r>
            <w:r>
              <w:rPr>
                <w:rFonts w:hint="eastAsia" w:ascii="宋体" w:hAnsi="宋体" w:cs="仿宋"/>
                <w:color w:val="auto"/>
                <w:sz w:val="22"/>
                <w:szCs w:val="22"/>
              </w:rPr>
              <w:t>本项目为适用招标投标法的政府采购工程建设项目，采用综合评估法但未采用低价优先法计算价格分，评标时在采用原报价进行评分的基础上增加其价格得分的</w:t>
            </w:r>
            <w:r>
              <w:rPr>
                <w:rFonts w:ascii="宋体" w:hAnsi="宋体" w:cs="仿宋"/>
                <w:color w:val="auto"/>
                <w:sz w:val="22"/>
                <w:szCs w:val="22"/>
                <w:u w:val="single"/>
              </w:rPr>
              <w:t>/</w:t>
            </w:r>
            <w:r>
              <w:rPr>
                <w:rFonts w:ascii="宋体" w:hAnsi="宋体" w:cs="仿宋"/>
                <w:color w:val="auto"/>
                <w:sz w:val="22"/>
                <w:szCs w:val="22"/>
              </w:rPr>
              <w:t xml:space="preserve"> %（1%—2%）作为其价格分。</w:t>
            </w:r>
          </w:p>
          <w:p w14:paraId="55FBA3CD">
            <w:pPr>
              <w:spacing w:line="360" w:lineRule="exact"/>
              <w:rPr>
                <w:rFonts w:hint="eastAsia" w:ascii="宋体" w:hAnsi="宋体" w:cs="仿宋"/>
                <w:color w:val="auto"/>
                <w:sz w:val="22"/>
                <w:szCs w:val="22"/>
              </w:rPr>
            </w:pPr>
            <w:r>
              <w:rPr>
                <w:rFonts w:ascii="宋体" w:hAnsi="宋体" w:cs="仿宋"/>
                <w:color w:val="auto"/>
                <w:sz w:val="22"/>
                <w:szCs w:val="22"/>
              </w:rPr>
              <w:t>2.2组成联合体或者接受分包的小微企业与联合体内其他企业、分包企业之间存在直接控股、管理关系的，不享受价格扣除优惠政策。</w:t>
            </w:r>
          </w:p>
          <w:p w14:paraId="17562166">
            <w:pPr>
              <w:spacing w:line="360" w:lineRule="exact"/>
              <w:rPr>
                <w:rFonts w:hint="eastAsia" w:ascii="宋体" w:hAnsi="宋体" w:cs="仿宋"/>
                <w:color w:val="auto"/>
                <w:sz w:val="22"/>
                <w:szCs w:val="22"/>
              </w:rPr>
            </w:pPr>
            <w:r>
              <w:rPr>
                <w:rFonts w:ascii="宋体" w:hAnsi="宋体" w:cs="仿宋"/>
                <w:color w:val="auto"/>
                <w:sz w:val="22"/>
                <w:szCs w:val="22"/>
              </w:rPr>
              <w:t>2.3价格扣除比例或者价格分加分比例对小型企业和微型企业同等对待，不作区分。</w:t>
            </w:r>
          </w:p>
          <w:p w14:paraId="1381269F">
            <w:pPr>
              <w:spacing w:line="360" w:lineRule="exact"/>
              <w:rPr>
                <w:rFonts w:hint="eastAsia" w:ascii="宋体" w:hAnsi="宋体" w:cs="仿宋"/>
                <w:color w:val="auto"/>
                <w:sz w:val="22"/>
                <w:szCs w:val="22"/>
              </w:rPr>
            </w:pPr>
            <w:r>
              <w:rPr>
                <w:rFonts w:ascii="宋体" w:hAnsi="宋体" w:cs="仿宋"/>
                <w:color w:val="auto"/>
                <w:sz w:val="22"/>
                <w:szCs w:val="22"/>
              </w:rPr>
              <w:t>2.4在货物采购项目中，供应商提供的货物既有中小企业制造货物，也有大型企业制造货物的，不享受本办法规定的中小企业扶持政策。以联合体形式参加政府采购活动，联合体各方均为中小企业的</w:t>
            </w:r>
            <w:r>
              <w:rPr>
                <w:rFonts w:hint="eastAsia" w:ascii="宋体" w:hAnsi="宋体" w:cs="仿宋"/>
                <w:color w:val="auto"/>
                <w:sz w:val="22"/>
                <w:szCs w:val="22"/>
              </w:rPr>
              <w:t>，联合体视同中小企业。其中，联合体各方均为小微企业的，联合体视同小微企业。</w:t>
            </w:r>
          </w:p>
          <w:p w14:paraId="784E186B">
            <w:pPr>
              <w:spacing w:line="360" w:lineRule="exact"/>
              <w:rPr>
                <w:rFonts w:hint="eastAsia" w:ascii="宋体" w:hAnsi="宋体" w:cs="仿宋"/>
                <w:color w:val="auto"/>
                <w:sz w:val="22"/>
                <w:szCs w:val="22"/>
              </w:rPr>
            </w:pPr>
            <w:r>
              <w:rPr>
                <w:rFonts w:hint="eastAsia" w:ascii="宋体" w:hAnsi="宋体" w:cs="仿宋"/>
                <w:color w:val="auto"/>
                <w:sz w:val="22"/>
                <w:szCs w:val="22"/>
              </w:rPr>
              <w:t>2.5接受分包的项目，享受扶持政策获得政府采购合同的，小微企业不得将合同分包给大中型企业，中型企业不得将合同分包给大型企业。</w:t>
            </w:r>
          </w:p>
          <w:p w14:paraId="103CCB27">
            <w:pPr>
              <w:spacing w:line="360" w:lineRule="exact"/>
              <w:rPr>
                <w:rFonts w:hint="eastAsia" w:ascii="宋体" w:hAnsi="宋体" w:cs="仿宋"/>
                <w:color w:val="auto"/>
                <w:sz w:val="22"/>
                <w:szCs w:val="22"/>
              </w:rPr>
            </w:pPr>
            <w:r>
              <w:rPr>
                <w:rFonts w:hint="eastAsia" w:ascii="宋体" w:hAnsi="宋体" w:cs="仿宋"/>
                <w:color w:val="auto"/>
                <w:sz w:val="22"/>
                <w:szCs w:val="22"/>
              </w:rPr>
              <w:t>3、根据财库〔2017〕141号的相关规定，在政府采购活动中，残疾人福利性单位视同小型、微型企业，享受评审中价格扣除政策。属于享受政府采购支持政策的残疾人福利性单位，应满足财库〔2017〕141号文件第一条的规定，并在响应文件中提供残疾人福利性单位声明函。</w:t>
            </w:r>
          </w:p>
          <w:p w14:paraId="505DADA5">
            <w:pPr>
              <w:spacing w:line="360" w:lineRule="exact"/>
              <w:rPr>
                <w:rFonts w:hint="eastAsia" w:ascii="宋体" w:hAnsi="宋体" w:cs="仿宋"/>
                <w:color w:val="auto"/>
                <w:sz w:val="22"/>
                <w:szCs w:val="22"/>
              </w:rPr>
            </w:pPr>
            <w:r>
              <w:rPr>
                <w:rFonts w:hint="eastAsia" w:ascii="宋体" w:hAnsi="宋体" w:cs="仿宋"/>
                <w:color w:val="auto"/>
                <w:sz w:val="22"/>
                <w:szCs w:val="22"/>
              </w:rPr>
              <w:t>4、根据财库〔2014〕68号的相关规定，在政府采购活动中，监狱企业视同小型、微型企业，享受评审中价格扣除政策，并在响应文件中提供由省级以上监狱管理局、戒毒管理局（含新疆生产建设兵团）出具的属于监狱企业的证明文件。</w:t>
            </w:r>
          </w:p>
          <w:p w14:paraId="7C34954D">
            <w:pPr>
              <w:spacing w:line="360" w:lineRule="exact"/>
              <w:rPr>
                <w:rFonts w:hint="eastAsia" w:ascii="宋体" w:hAnsi="宋体"/>
                <w:color w:val="auto"/>
                <w:sz w:val="22"/>
                <w:szCs w:val="22"/>
              </w:rPr>
            </w:pPr>
            <w:r>
              <w:rPr>
                <w:rFonts w:hint="eastAsia" w:ascii="宋体" w:hAnsi="宋体" w:cs="仿宋"/>
                <w:b/>
                <w:bCs/>
                <w:color w:val="auto"/>
                <w:sz w:val="22"/>
                <w:szCs w:val="22"/>
              </w:rPr>
              <w:t>(注：未提供以上材料的，均不给予价格扣除，以上优惠政策只享受一次）。</w:t>
            </w:r>
          </w:p>
        </w:tc>
      </w:tr>
      <w:tr w14:paraId="053423E6">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399A1897">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25</w:t>
            </w:r>
          </w:p>
        </w:tc>
        <w:tc>
          <w:tcPr>
            <w:tcW w:w="1712" w:type="dxa"/>
            <w:tcBorders>
              <w:top w:val="single" w:color="auto" w:sz="4" w:space="0"/>
              <w:left w:val="single" w:color="auto" w:sz="4" w:space="0"/>
              <w:bottom w:val="single" w:color="auto" w:sz="4" w:space="0"/>
              <w:right w:val="single" w:color="auto" w:sz="4" w:space="0"/>
            </w:tcBorders>
            <w:vAlign w:val="center"/>
          </w:tcPr>
          <w:p w14:paraId="36D1A0DA">
            <w:pPr>
              <w:spacing w:line="360" w:lineRule="exact"/>
              <w:jc w:val="center"/>
              <w:rPr>
                <w:rFonts w:hint="eastAsia" w:ascii="宋体" w:hAnsi="宋体"/>
                <w:color w:val="auto"/>
                <w:sz w:val="22"/>
                <w:szCs w:val="22"/>
              </w:rPr>
            </w:pPr>
            <w:r>
              <w:rPr>
                <w:rFonts w:hint="eastAsia" w:ascii="宋体" w:hAnsi="宋体" w:cs="仿宋"/>
                <w:color w:val="auto"/>
                <w:sz w:val="22"/>
                <w:szCs w:val="22"/>
              </w:rPr>
              <w:t>项目属性与核心产品</w:t>
            </w:r>
          </w:p>
        </w:tc>
        <w:tc>
          <w:tcPr>
            <w:tcW w:w="7295" w:type="dxa"/>
            <w:tcBorders>
              <w:top w:val="single" w:color="auto" w:sz="4" w:space="0"/>
              <w:left w:val="single" w:color="auto" w:sz="4" w:space="0"/>
              <w:bottom w:val="single" w:color="auto" w:sz="4" w:space="0"/>
              <w:right w:val="single" w:color="auto" w:sz="4" w:space="0"/>
            </w:tcBorders>
            <w:vAlign w:val="center"/>
          </w:tcPr>
          <w:p w14:paraId="053D8B73">
            <w:pPr>
              <w:spacing w:line="360" w:lineRule="exact"/>
              <w:rPr>
                <w:rFonts w:hint="eastAsia" w:ascii="宋体" w:hAnsi="宋体" w:cs="仿宋"/>
                <w:color w:val="auto"/>
                <w:sz w:val="22"/>
                <w:szCs w:val="22"/>
              </w:rPr>
            </w:pPr>
            <w:r>
              <w:rPr>
                <w:rFonts w:hint="eastAsia" w:ascii="宋体" w:hAnsi="宋体" w:cs="宋体"/>
                <w:b/>
                <w:snapToGrid w:val="0"/>
                <w:color w:val="auto"/>
                <w:sz w:val="22"/>
                <w:szCs w:val="22"/>
              </w:rPr>
              <w:sym w:font="Wingdings" w:char="00FE"/>
            </w:r>
            <w:r>
              <w:rPr>
                <w:rFonts w:hint="eastAsia" w:ascii="宋体" w:hAnsi="宋体" w:cs="仿宋"/>
                <w:color w:val="auto"/>
                <w:sz w:val="22"/>
                <w:szCs w:val="22"/>
              </w:rPr>
              <w:t>货物类，</w:t>
            </w:r>
            <w:r>
              <w:rPr>
                <w:rFonts w:hint="eastAsia" w:ascii="宋体" w:hAnsi="宋体" w:cs="宋体"/>
                <w:b/>
                <w:snapToGrid w:val="0"/>
                <w:color w:val="auto"/>
                <w:szCs w:val="22"/>
              </w:rPr>
              <w:sym w:font="Wingdings" w:char="00A8"/>
            </w:r>
            <w:r>
              <w:rPr>
                <w:rFonts w:hint="eastAsia" w:ascii="宋体" w:hAnsi="宋体" w:cs="宋体"/>
                <w:color w:val="auto"/>
                <w:szCs w:val="22"/>
              </w:rPr>
              <w:t>单一产品或核心产品为：。</w:t>
            </w:r>
            <w:r>
              <w:rPr>
                <w:rFonts w:hint="eastAsia" w:ascii="宋体" w:hAnsi="宋体" w:cs="宋体"/>
                <w:b/>
                <w:snapToGrid w:val="0"/>
                <w:color w:val="auto"/>
                <w:szCs w:val="22"/>
              </w:rPr>
              <w:sym w:font="Wingdings" w:char="00FE"/>
            </w:r>
            <w:r>
              <w:rPr>
                <w:rFonts w:hint="eastAsia" w:ascii="宋体" w:hAnsi="宋体" w:cs="宋体"/>
                <w:color w:val="auto"/>
                <w:szCs w:val="22"/>
              </w:rPr>
              <w:t>非单一产品采购项目，采购人应当根据采购项目技术构成、产品价格比重等合理确定核心产品，并在采购文件中载明。本项目无核心产品。</w:t>
            </w:r>
          </w:p>
          <w:p w14:paraId="31389D13">
            <w:pPr>
              <w:spacing w:line="360" w:lineRule="exact"/>
              <w:rPr>
                <w:rFonts w:hint="eastAsia" w:ascii="宋体" w:hAnsi="宋体"/>
                <w:color w:val="auto"/>
                <w:sz w:val="22"/>
                <w:szCs w:val="22"/>
              </w:rPr>
            </w:pPr>
            <w:r>
              <w:rPr>
                <w:rFonts w:hint="eastAsia" w:ascii="宋体" w:hAnsi="宋体" w:cs="仿宋"/>
                <w:color w:val="auto"/>
                <w:sz w:val="22"/>
                <w:szCs w:val="22"/>
              </w:rPr>
              <w:sym w:font="Wingdings" w:char="00A8"/>
            </w:r>
            <w:r>
              <w:rPr>
                <w:rFonts w:hint="eastAsia" w:ascii="宋体" w:hAnsi="宋体" w:cs="仿宋"/>
                <w:color w:val="auto"/>
                <w:sz w:val="22"/>
                <w:szCs w:val="22"/>
              </w:rPr>
              <w:t>服务类。</w:t>
            </w:r>
          </w:p>
        </w:tc>
      </w:tr>
      <w:tr w14:paraId="021A18EE">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14A42F25">
            <w:pPr>
              <w:spacing w:line="360" w:lineRule="exact"/>
              <w:jc w:val="center"/>
              <w:rPr>
                <w:rFonts w:hint="eastAsia" w:ascii="宋体" w:hAnsi="宋体" w:eastAsia="宋体" w:cs="宋体"/>
                <w:color w:val="auto"/>
                <w:sz w:val="22"/>
                <w:szCs w:val="22"/>
                <w:lang w:eastAsia="zh-CN"/>
              </w:rPr>
            </w:pPr>
            <w:r>
              <w:rPr>
                <w:rFonts w:hint="eastAsia" w:ascii="宋体" w:hAnsi="宋体" w:cs="宋体"/>
                <w:color w:val="auto"/>
                <w:sz w:val="22"/>
                <w:szCs w:val="22"/>
              </w:rPr>
              <w:t>2</w:t>
            </w:r>
            <w:r>
              <w:rPr>
                <w:rFonts w:hint="eastAsia" w:ascii="宋体" w:hAnsi="宋体" w:cs="宋体"/>
                <w:color w:val="auto"/>
                <w:sz w:val="22"/>
                <w:szCs w:val="22"/>
                <w:lang w:val="en-US" w:eastAsia="zh-CN"/>
              </w:rPr>
              <w:t>6</w:t>
            </w:r>
          </w:p>
        </w:tc>
        <w:tc>
          <w:tcPr>
            <w:tcW w:w="1712" w:type="dxa"/>
            <w:tcBorders>
              <w:top w:val="single" w:color="auto" w:sz="4" w:space="0"/>
              <w:left w:val="single" w:color="auto" w:sz="4" w:space="0"/>
              <w:bottom w:val="single" w:color="auto" w:sz="4" w:space="0"/>
              <w:right w:val="single" w:color="auto" w:sz="4" w:space="0"/>
            </w:tcBorders>
            <w:vAlign w:val="center"/>
          </w:tcPr>
          <w:p w14:paraId="45FCD8C1">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政府采购信用融资</w:t>
            </w:r>
          </w:p>
        </w:tc>
        <w:tc>
          <w:tcPr>
            <w:tcW w:w="7295" w:type="dxa"/>
            <w:tcBorders>
              <w:top w:val="single" w:color="auto" w:sz="4" w:space="0"/>
              <w:left w:val="single" w:color="auto" w:sz="4" w:space="0"/>
              <w:bottom w:val="single" w:color="auto" w:sz="4" w:space="0"/>
              <w:right w:val="single" w:color="auto" w:sz="4" w:space="0"/>
            </w:tcBorders>
            <w:vAlign w:val="center"/>
          </w:tcPr>
          <w:p w14:paraId="4A6149D1">
            <w:pPr>
              <w:spacing w:line="360" w:lineRule="exact"/>
              <w:rPr>
                <w:rFonts w:hint="eastAsia" w:ascii="宋体" w:hAnsi="宋体" w:cs="宋体"/>
                <w:color w:val="auto"/>
                <w:sz w:val="22"/>
                <w:szCs w:val="22"/>
              </w:rPr>
            </w:pPr>
            <w:r>
              <w:rPr>
                <w:rFonts w:hint="eastAsia" w:ascii="宋体" w:hAnsi="宋体" w:cs="宋体"/>
                <w:color w:val="auto"/>
                <w:sz w:val="22"/>
                <w:szCs w:val="22"/>
              </w:rPr>
              <w:t>为支持和促进中小企业发展，进一步发挥政府采购政策功能，温州市财政局出台了《温州市财政局关于温州市政府采购支持中小企业信用融资的通知》（温财采〔2020〕3号），供应商若有融资意向，可直接登录http://jinrong.zcygov.cn，查看信用融资政策文件及各相关银行服务方案，也可直接向各银行咨询相关业务。</w:t>
            </w:r>
          </w:p>
        </w:tc>
      </w:tr>
      <w:tr w14:paraId="2A601FEB">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6755F591">
            <w:pPr>
              <w:spacing w:line="360" w:lineRule="exact"/>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27</w:t>
            </w:r>
          </w:p>
        </w:tc>
        <w:tc>
          <w:tcPr>
            <w:tcW w:w="1712" w:type="dxa"/>
            <w:tcBorders>
              <w:top w:val="single" w:color="auto" w:sz="4" w:space="0"/>
              <w:left w:val="single" w:color="auto" w:sz="4" w:space="0"/>
              <w:bottom w:val="single" w:color="auto" w:sz="4" w:space="0"/>
              <w:right w:val="single" w:color="auto" w:sz="4" w:space="0"/>
            </w:tcBorders>
            <w:vAlign w:val="center"/>
          </w:tcPr>
          <w:p w14:paraId="32BC0101">
            <w:pPr>
              <w:spacing w:line="360" w:lineRule="exact"/>
              <w:jc w:val="center"/>
              <w:rPr>
                <w:rFonts w:hint="eastAsia" w:ascii="宋体" w:hAnsi="宋体" w:cs="宋体"/>
                <w:color w:val="auto"/>
                <w:sz w:val="22"/>
                <w:szCs w:val="22"/>
              </w:rPr>
            </w:pPr>
            <w:r>
              <w:rPr>
                <w:rFonts w:hint="eastAsia" w:ascii="宋体" w:hAnsi="宋体" w:cs="宋体"/>
                <w:color w:val="auto"/>
                <w:sz w:val="22"/>
                <w:szCs w:val="22"/>
              </w:rPr>
              <w:t>采购代理服务费</w:t>
            </w:r>
          </w:p>
        </w:tc>
        <w:tc>
          <w:tcPr>
            <w:tcW w:w="7295" w:type="dxa"/>
            <w:tcBorders>
              <w:top w:val="single" w:color="auto" w:sz="4" w:space="0"/>
              <w:left w:val="single" w:color="auto" w:sz="4" w:space="0"/>
              <w:bottom w:val="single" w:color="auto" w:sz="4" w:space="0"/>
              <w:right w:val="single" w:color="auto" w:sz="4" w:space="0"/>
            </w:tcBorders>
            <w:vAlign w:val="center"/>
          </w:tcPr>
          <w:p w14:paraId="155C952A">
            <w:pPr>
              <w:spacing w:line="360" w:lineRule="exact"/>
              <w:rPr>
                <w:rFonts w:hint="eastAsia" w:ascii="宋体" w:hAnsi="宋体" w:cs="宋体"/>
                <w:color w:val="auto"/>
                <w:sz w:val="22"/>
                <w:szCs w:val="22"/>
              </w:rPr>
            </w:pPr>
            <w:r>
              <w:rPr>
                <w:rFonts w:ascii="宋体" w:hAnsi="宋体" w:cs="宋体"/>
                <w:color w:val="auto"/>
                <w:sz w:val="22"/>
                <w:szCs w:val="22"/>
              </w:rPr>
              <w:t>1</w:t>
            </w:r>
            <w:r>
              <w:rPr>
                <w:rFonts w:hint="eastAsia" w:ascii="宋体" w:hAnsi="宋体" w:cs="宋体"/>
                <w:color w:val="auto"/>
                <w:sz w:val="22"/>
                <w:szCs w:val="22"/>
              </w:rPr>
              <w:t>、</w:t>
            </w:r>
            <w:r>
              <w:rPr>
                <w:rFonts w:hint="eastAsia" w:ascii="宋体" w:hAnsi="宋体" w:cs="宋体"/>
                <w:b/>
                <w:color w:val="auto"/>
                <w:sz w:val="22"/>
                <w:szCs w:val="22"/>
              </w:rPr>
              <w:t>▲</w:t>
            </w:r>
            <w:r>
              <w:rPr>
                <w:rFonts w:hint="eastAsia" w:ascii="宋体" w:hAnsi="宋体" w:cs="宋体"/>
                <w:bCs/>
                <w:color w:val="auto"/>
                <w:sz w:val="22"/>
                <w:szCs w:val="22"/>
                <w:u w:val="single"/>
              </w:rPr>
              <w:t>采购代理服务费系根据国家计委印发的《招标代理服务收费管理暂行办法》计价格【2002】1980号文（货物类）的规定按标准计算后下浮</w:t>
            </w:r>
            <w:r>
              <w:rPr>
                <w:rFonts w:hint="eastAsia" w:ascii="宋体" w:hAnsi="宋体" w:cs="宋体"/>
                <w:bCs/>
                <w:color w:val="auto"/>
                <w:sz w:val="22"/>
                <w:szCs w:val="22"/>
                <w:u w:val="single"/>
                <w:lang w:val="en-US" w:eastAsia="zh-CN"/>
              </w:rPr>
              <w:t>4</w:t>
            </w:r>
            <w:r>
              <w:rPr>
                <w:rFonts w:hint="eastAsia" w:ascii="宋体" w:hAnsi="宋体" w:cs="宋体"/>
                <w:bCs/>
                <w:color w:val="auto"/>
                <w:sz w:val="22"/>
                <w:szCs w:val="22"/>
                <w:u w:val="single"/>
              </w:rPr>
              <w:t>0%收取</w:t>
            </w:r>
            <w:r>
              <w:rPr>
                <w:rFonts w:hint="eastAsia" w:ascii="宋体" w:hAnsi="宋体" w:cs="宋体"/>
                <w:color w:val="auto"/>
                <w:sz w:val="22"/>
                <w:szCs w:val="22"/>
                <w:u w:val="single"/>
              </w:rPr>
              <w:t>，由中标人在领取中标通知书时支付，采购代理服务费包含在投标总价中</w:t>
            </w:r>
            <w:r>
              <w:rPr>
                <w:rFonts w:hint="eastAsia" w:ascii="宋体" w:hAnsi="宋体" w:cs="宋体"/>
                <w:color w:val="auto"/>
                <w:sz w:val="22"/>
                <w:szCs w:val="22"/>
              </w:rPr>
              <w:t>。</w:t>
            </w:r>
          </w:p>
          <w:p w14:paraId="2F1FD5F2">
            <w:pPr>
              <w:spacing w:line="360" w:lineRule="exact"/>
              <w:rPr>
                <w:rFonts w:hint="eastAsia" w:ascii="宋体" w:hAnsi="宋体" w:cs="宋体"/>
                <w:color w:val="auto"/>
                <w:spacing w:val="6"/>
                <w:sz w:val="22"/>
                <w:szCs w:val="22"/>
              </w:rPr>
            </w:pPr>
            <w:r>
              <w:rPr>
                <w:rFonts w:ascii="宋体" w:hAnsi="宋体" w:cs="宋体"/>
                <w:color w:val="auto"/>
                <w:sz w:val="22"/>
                <w:szCs w:val="22"/>
              </w:rPr>
              <w:t>2</w:t>
            </w:r>
            <w:r>
              <w:rPr>
                <w:rFonts w:hint="eastAsia" w:ascii="宋体" w:hAnsi="宋体" w:cs="宋体"/>
                <w:color w:val="auto"/>
                <w:sz w:val="22"/>
                <w:szCs w:val="22"/>
              </w:rPr>
              <w:t>、采购代理服务费可以是现金、支票或汇票。</w:t>
            </w:r>
          </w:p>
          <w:p w14:paraId="23FD1B03">
            <w:pPr>
              <w:spacing w:line="360" w:lineRule="exact"/>
              <w:rPr>
                <w:rFonts w:hint="eastAsia" w:ascii="宋体" w:hAnsi="宋体" w:cs="宋体"/>
                <w:color w:val="auto"/>
                <w:sz w:val="22"/>
                <w:szCs w:val="22"/>
              </w:rPr>
            </w:pPr>
            <w:r>
              <w:rPr>
                <w:rFonts w:ascii="宋体" w:hAnsi="宋体" w:cs="宋体"/>
                <w:color w:val="auto"/>
                <w:sz w:val="22"/>
                <w:szCs w:val="22"/>
              </w:rPr>
              <w:t>3</w:t>
            </w:r>
            <w:r>
              <w:rPr>
                <w:rFonts w:hint="eastAsia" w:ascii="宋体" w:hAnsi="宋体" w:cs="宋体"/>
                <w:color w:val="auto"/>
                <w:sz w:val="22"/>
                <w:szCs w:val="22"/>
              </w:rPr>
              <w:t>、采购代理服务费汇入账户：</w:t>
            </w:r>
          </w:p>
          <w:p w14:paraId="2B85285F">
            <w:pPr>
              <w:spacing w:line="360" w:lineRule="exact"/>
              <w:ind w:firstLine="550" w:firstLineChars="250"/>
              <w:rPr>
                <w:rFonts w:hint="eastAsia" w:ascii="宋体" w:hAnsi="宋体" w:cs="宋体"/>
                <w:color w:val="auto"/>
                <w:sz w:val="22"/>
              </w:rPr>
            </w:pPr>
            <w:r>
              <w:rPr>
                <w:rFonts w:hint="eastAsia" w:ascii="宋体" w:hAnsi="宋体" w:cs="宋体"/>
                <w:color w:val="auto"/>
                <w:sz w:val="22"/>
              </w:rPr>
              <w:t>户  名：温州正风招标代理有限公司</w:t>
            </w:r>
          </w:p>
          <w:p w14:paraId="20B63956">
            <w:pPr>
              <w:spacing w:line="360" w:lineRule="exact"/>
              <w:ind w:firstLine="550" w:firstLineChars="250"/>
              <w:rPr>
                <w:rFonts w:hint="eastAsia" w:ascii="宋体" w:hAnsi="宋体" w:cs="宋体"/>
                <w:color w:val="auto"/>
                <w:sz w:val="22"/>
              </w:rPr>
            </w:pPr>
            <w:r>
              <w:rPr>
                <w:rFonts w:hint="eastAsia" w:ascii="宋体" w:hAnsi="宋体" w:cs="宋体"/>
                <w:color w:val="auto"/>
                <w:sz w:val="22"/>
              </w:rPr>
              <w:t>账  号：769000120190010526</w:t>
            </w:r>
          </w:p>
          <w:p w14:paraId="4EC52613">
            <w:pPr>
              <w:spacing w:line="360" w:lineRule="exact"/>
              <w:ind w:firstLine="550" w:firstLineChars="250"/>
              <w:rPr>
                <w:rFonts w:hint="eastAsia" w:ascii="宋体" w:hAnsi="宋体" w:cs="宋体"/>
                <w:color w:val="auto"/>
                <w:sz w:val="22"/>
              </w:rPr>
            </w:pPr>
            <w:r>
              <w:rPr>
                <w:rFonts w:hint="eastAsia" w:ascii="宋体" w:hAnsi="宋体" w:cs="宋体"/>
                <w:color w:val="auto"/>
                <w:sz w:val="22"/>
              </w:rPr>
              <w:t>开户行：温州银行江滨支行</w:t>
            </w:r>
          </w:p>
          <w:p w14:paraId="65063662">
            <w:pPr>
              <w:spacing w:line="360" w:lineRule="exact"/>
              <w:rPr>
                <w:rFonts w:hint="eastAsia" w:ascii="宋体" w:hAnsi="宋体" w:cs="宋体"/>
                <w:color w:val="auto"/>
                <w:sz w:val="22"/>
                <w:szCs w:val="22"/>
              </w:rPr>
            </w:pPr>
            <w:r>
              <w:rPr>
                <w:rFonts w:ascii="宋体" w:hAnsi="宋体" w:cs="宋体"/>
                <w:color w:val="auto"/>
                <w:sz w:val="22"/>
              </w:rPr>
              <w:t>4</w:t>
            </w:r>
            <w:r>
              <w:rPr>
                <w:rFonts w:hint="eastAsia" w:ascii="宋体" w:hAnsi="宋体" w:cs="宋体"/>
                <w:color w:val="auto"/>
                <w:sz w:val="22"/>
              </w:rPr>
              <w:t>、关于采购代理服务费的详细事宜请咨询采购代理机构财务部周先生（0577-88119278）。</w:t>
            </w:r>
          </w:p>
        </w:tc>
      </w:tr>
      <w:tr w14:paraId="61E07949">
        <w:tblPrEx>
          <w:tblCellMar>
            <w:top w:w="0" w:type="dxa"/>
            <w:left w:w="108" w:type="dxa"/>
            <w:bottom w:w="0" w:type="dxa"/>
            <w:right w:w="108" w:type="dxa"/>
          </w:tblCellMar>
        </w:tblPrEx>
        <w:trPr>
          <w:trHeight w:val="567" w:hRule="atLeast"/>
        </w:trPr>
        <w:tc>
          <w:tcPr>
            <w:tcW w:w="1001" w:type="dxa"/>
            <w:tcBorders>
              <w:top w:val="single" w:color="auto" w:sz="4" w:space="0"/>
              <w:left w:val="single" w:color="auto" w:sz="4" w:space="0"/>
              <w:bottom w:val="single" w:color="auto" w:sz="4" w:space="0"/>
              <w:right w:val="single" w:color="auto" w:sz="4" w:space="0"/>
            </w:tcBorders>
            <w:vAlign w:val="center"/>
          </w:tcPr>
          <w:p w14:paraId="2D3B5CFA">
            <w:pPr>
              <w:spacing w:line="360" w:lineRule="exact"/>
              <w:jc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28</w:t>
            </w:r>
          </w:p>
        </w:tc>
        <w:tc>
          <w:tcPr>
            <w:tcW w:w="1712" w:type="dxa"/>
            <w:tcBorders>
              <w:top w:val="single" w:color="auto" w:sz="4" w:space="0"/>
              <w:left w:val="single" w:color="auto" w:sz="4" w:space="0"/>
              <w:bottom w:val="single" w:color="auto" w:sz="4" w:space="0"/>
              <w:right w:val="single" w:color="auto" w:sz="4" w:space="0"/>
            </w:tcBorders>
            <w:vAlign w:val="center"/>
          </w:tcPr>
          <w:p w14:paraId="19D8EBA7">
            <w:pPr>
              <w:spacing w:line="360" w:lineRule="exact"/>
              <w:jc w:val="center"/>
              <w:rPr>
                <w:rFonts w:hint="eastAsia" w:ascii="宋体" w:hAnsi="宋体" w:cs="宋体"/>
                <w:color w:val="auto"/>
                <w:sz w:val="22"/>
                <w:szCs w:val="22"/>
              </w:rPr>
            </w:pPr>
            <w:r>
              <w:rPr>
                <w:rFonts w:hint="eastAsia" w:ascii="宋体" w:hAnsi="宋体" w:cs="宋体"/>
                <w:color w:val="auto"/>
                <w:sz w:val="22"/>
              </w:rPr>
              <w:t>支持创新发展</w:t>
            </w:r>
          </w:p>
        </w:tc>
        <w:tc>
          <w:tcPr>
            <w:tcW w:w="7295" w:type="dxa"/>
            <w:tcBorders>
              <w:top w:val="single" w:color="auto" w:sz="4" w:space="0"/>
              <w:left w:val="single" w:color="auto" w:sz="4" w:space="0"/>
              <w:bottom w:val="single" w:color="auto" w:sz="4" w:space="0"/>
              <w:right w:val="single" w:color="auto" w:sz="4" w:space="0"/>
            </w:tcBorders>
            <w:vAlign w:val="center"/>
          </w:tcPr>
          <w:p w14:paraId="6B66A01C">
            <w:pPr>
              <w:spacing w:line="360" w:lineRule="exact"/>
              <w:rPr>
                <w:rFonts w:hint="eastAsia" w:ascii="宋体" w:hAnsi="宋体" w:cs="宋体"/>
                <w:color w:val="auto"/>
                <w:sz w:val="22"/>
                <w:szCs w:val="22"/>
              </w:rPr>
            </w:pPr>
            <w:r>
              <w:rPr>
                <w:rFonts w:hint="eastAsia" w:ascii="宋体" w:hAnsi="宋体" w:cs="宋体"/>
                <w:color w:val="auto"/>
                <w:sz w:val="22"/>
              </w:rPr>
              <w:t>根据浙财采监〔2022〕8号文相关的规定，对省级以上主管部门认定的首台套产品，自纳入《省推广应用指导目录》起三年内参加政府采购活动，视同已具备相应销售业绩，业绩分为满分。</w:t>
            </w:r>
          </w:p>
        </w:tc>
      </w:tr>
    </w:tbl>
    <w:p w14:paraId="430161AA">
      <w:pPr>
        <w:pStyle w:val="5"/>
        <w:spacing w:line="680" w:lineRule="exact"/>
        <w:jc w:val="center"/>
        <w:rPr>
          <w:rFonts w:hint="eastAsia" w:ascii="宋体" w:hAnsi="宋体" w:eastAsia="宋体" w:cs="宋体"/>
          <w:color w:val="auto"/>
          <w:sz w:val="28"/>
          <w:szCs w:val="28"/>
        </w:rPr>
      </w:pPr>
      <w:bookmarkStart w:id="28" w:name="_Toc6504"/>
      <w:r>
        <w:rPr>
          <w:rFonts w:hint="eastAsia" w:ascii="宋体" w:hAnsi="宋体" w:eastAsia="宋体" w:cs="宋体"/>
          <w:color w:val="auto"/>
          <w:sz w:val="28"/>
          <w:szCs w:val="28"/>
        </w:rPr>
        <w:t>一、 说   明</w:t>
      </w:r>
      <w:bookmarkEnd w:id="28"/>
    </w:p>
    <w:p w14:paraId="636AE6F7">
      <w:pPr>
        <w:tabs>
          <w:tab w:val="left" w:pos="360"/>
        </w:tabs>
        <w:spacing w:line="440" w:lineRule="exact"/>
        <w:ind w:left="550" w:hanging="550" w:hangingChars="250"/>
        <w:rPr>
          <w:rFonts w:hint="eastAsia" w:ascii="宋体" w:hAnsi="宋体" w:cs="宋体"/>
          <w:color w:val="auto"/>
          <w:sz w:val="22"/>
          <w:szCs w:val="22"/>
        </w:rPr>
      </w:pPr>
      <w:bookmarkStart w:id="29" w:name="_Toc230773776"/>
      <w:r>
        <w:rPr>
          <w:rFonts w:hint="eastAsia" w:ascii="宋体" w:hAnsi="宋体" w:cs="宋体"/>
          <w:color w:val="auto"/>
          <w:sz w:val="22"/>
          <w:szCs w:val="22"/>
        </w:rPr>
        <w:t>1.   本次招标是根据《中华人民共和国政府采购法》、《中华人民共和国政府采购法实施条例》、《政府采购货物和服务招标投标管理办法》（财政部第87号令）、《浙江省政府采购项目电子交易管理暂行办法》（浙财采监〔2019〕10号）及浙江省市等有关政府采购的规范性文件组织和实施。</w:t>
      </w:r>
    </w:p>
    <w:p w14:paraId="2CF6B0D0">
      <w:pPr>
        <w:tabs>
          <w:tab w:val="left" w:pos="360"/>
        </w:tabs>
        <w:spacing w:line="440" w:lineRule="exact"/>
        <w:ind w:left="550" w:hanging="550" w:hangingChars="250"/>
        <w:rPr>
          <w:rFonts w:hint="eastAsia" w:ascii="宋体" w:hAnsi="宋体" w:cs="宋体"/>
          <w:color w:val="auto"/>
          <w:sz w:val="22"/>
          <w:szCs w:val="22"/>
        </w:rPr>
      </w:pPr>
      <w:bookmarkStart w:id="30" w:name="_Toc31546"/>
      <w:bookmarkStart w:id="31" w:name="_Toc3235"/>
      <w:bookmarkStart w:id="32" w:name="_Toc19066"/>
      <w:r>
        <w:rPr>
          <w:rFonts w:ascii="宋体" w:hAnsi="宋体" w:cs="宋体"/>
          <w:color w:val="auto"/>
          <w:sz w:val="22"/>
          <w:szCs w:val="22"/>
        </w:rPr>
        <w:t xml:space="preserve">2.   </w:t>
      </w:r>
      <w:r>
        <w:rPr>
          <w:rFonts w:hint="eastAsia" w:ascii="宋体" w:hAnsi="宋体" w:cs="宋体"/>
          <w:color w:val="auto"/>
          <w:sz w:val="22"/>
          <w:szCs w:val="22"/>
        </w:rPr>
        <w:t>定义</w:t>
      </w:r>
      <w:bookmarkEnd w:id="30"/>
      <w:bookmarkEnd w:id="31"/>
      <w:bookmarkEnd w:id="32"/>
    </w:p>
    <w:p w14:paraId="0D3BD248">
      <w:pPr>
        <w:spacing w:line="440" w:lineRule="exact"/>
        <w:ind w:firstLine="440" w:firstLineChars="200"/>
        <w:rPr>
          <w:rFonts w:hint="eastAsia" w:ascii="宋体" w:hAnsi="宋体" w:cs="仿宋"/>
          <w:color w:val="auto"/>
          <w:sz w:val="22"/>
          <w:szCs w:val="22"/>
        </w:rPr>
      </w:pPr>
      <w:r>
        <w:rPr>
          <w:rFonts w:hint="eastAsia" w:ascii="宋体" w:hAnsi="宋体" w:cs="仿宋"/>
          <w:color w:val="auto"/>
          <w:sz w:val="22"/>
          <w:szCs w:val="22"/>
        </w:rPr>
        <w:t>2.1 “采购人”系指招标公告中载明的本项目的采购人。</w:t>
      </w:r>
    </w:p>
    <w:p w14:paraId="318E457A">
      <w:pPr>
        <w:spacing w:line="440" w:lineRule="exact"/>
        <w:ind w:firstLine="440" w:firstLineChars="200"/>
        <w:rPr>
          <w:rFonts w:hint="eastAsia" w:ascii="宋体" w:hAnsi="宋体" w:cs="仿宋"/>
          <w:color w:val="auto"/>
          <w:sz w:val="22"/>
          <w:szCs w:val="22"/>
        </w:rPr>
      </w:pPr>
      <w:r>
        <w:rPr>
          <w:rFonts w:hint="eastAsia" w:ascii="宋体" w:hAnsi="宋体" w:cs="仿宋"/>
          <w:color w:val="auto"/>
          <w:sz w:val="22"/>
          <w:szCs w:val="22"/>
        </w:rPr>
        <w:t>2.2 “采购代理机构”系指招标公告中载明的本项目的采购代理机构。</w:t>
      </w:r>
    </w:p>
    <w:p w14:paraId="7839D520">
      <w:pPr>
        <w:spacing w:line="440" w:lineRule="exact"/>
        <w:ind w:firstLine="440" w:firstLineChars="200"/>
        <w:rPr>
          <w:rFonts w:hint="eastAsia" w:ascii="宋体" w:hAnsi="宋体" w:cs="仿宋"/>
          <w:color w:val="auto"/>
          <w:sz w:val="22"/>
          <w:szCs w:val="22"/>
        </w:rPr>
      </w:pPr>
      <w:r>
        <w:rPr>
          <w:rFonts w:hint="eastAsia" w:ascii="宋体" w:hAnsi="宋体" w:cs="仿宋"/>
          <w:color w:val="auto"/>
          <w:sz w:val="22"/>
          <w:szCs w:val="22"/>
        </w:rPr>
        <w:t>2.3 “投标人、供应商”均系指是指响应招标、参加投标竞争的法人、其他组织或者自然人。</w:t>
      </w:r>
    </w:p>
    <w:p w14:paraId="1EBA9192">
      <w:pPr>
        <w:spacing w:line="440" w:lineRule="exact"/>
        <w:ind w:firstLine="440" w:firstLineChars="200"/>
        <w:rPr>
          <w:rFonts w:hint="eastAsia" w:ascii="宋体" w:hAnsi="宋体" w:cs="仿宋"/>
          <w:color w:val="auto"/>
          <w:sz w:val="22"/>
          <w:szCs w:val="22"/>
        </w:rPr>
      </w:pPr>
      <w:r>
        <w:rPr>
          <w:rFonts w:hint="eastAsia" w:ascii="宋体" w:hAnsi="宋体" w:cs="仿宋"/>
          <w:color w:val="auto"/>
          <w:sz w:val="22"/>
          <w:szCs w:val="22"/>
        </w:rPr>
        <w:t>2.4 “负责人”系指法人企业的法定负责人，或其他组织为法律、行政法规规定代表单位行使职权的主要负责人，或自然人本人。</w:t>
      </w:r>
    </w:p>
    <w:p w14:paraId="2A1AFEEE">
      <w:pPr>
        <w:spacing w:line="440" w:lineRule="exact"/>
        <w:ind w:firstLine="440" w:firstLineChars="200"/>
        <w:rPr>
          <w:rFonts w:hint="eastAsia" w:ascii="宋体" w:hAnsi="宋体" w:cs="仿宋"/>
          <w:color w:val="auto"/>
          <w:sz w:val="22"/>
          <w:szCs w:val="22"/>
        </w:rPr>
      </w:pPr>
      <w:r>
        <w:rPr>
          <w:rFonts w:hint="eastAsia" w:ascii="宋体" w:hAnsi="宋体" w:cs="仿宋"/>
          <w:color w:val="auto"/>
          <w:sz w:val="22"/>
          <w:szCs w:val="22"/>
        </w:rPr>
        <w:t>2.5“电子签名”系指数据电文中以电子形式所含、所附用于识别签名人身份并表明签名人认可其中内容的数据；“公章”系指单位法定名称章。</w:t>
      </w:r>
    </w:p>
    <w:p w14:paraId="50FDBC98">
      <w:pPr>
        <w:spacing w:line="440" w:lineRule="exact"/>
        <w:ind w:firstLine="440" w:firstLineChars="200"/>
        <w:rPr>
          <w:rFonts w:hint="eastAsia" w:ascii="宋体" w:hAnsi="宋体" w:cs="仿宋"/>
          <w:color w:val="auto"/>
          <w:sz w:val="22"/>
          <w:szCs w:val="22"/>
        </w:rPr>
      </w:pPr>
      <w:r>
        <w:rPr>
          <w:rFonts w:hint="eastAsia" w:ascii="宋体" w:hAnsi="宋体" w:cs="仿宋"/>
          <w:color w:val="auto"/>
          <w:sz w:val="22"/>
          <w:szCs w:val="22"/>
        </w:rPr>
        <w:t>2.6“电子交易平台”是指本项目政府采购活动所依托的政府采购云平台（https://www.zcygov.cn/）。</w:t>
      </w:r>
    </w:p>
    <w:p w14:paraId="16F8B964">
      <w:pPr>
        <w:spacing w:line="440" w:lineRule="exact"/>
        <w:ind w:firstLine="440" w:firstLineChars="200"/>
        <w:rPr>
          <w:rFonts w:hint="eastAsia" w:ascii="宋体" w:hAnsi="宋体" w:cs="仿宋"/>
          <w:color w:val="auto"/>
          <w:sz w:val="22"/>
          <w:szCs w:val="22"/>
        </w:rPr>
      </w:pPr>
      <w:r>
        <w:rPr>
          <w:rFonts w:hint="eastAsia" w:ascii="宋体" w:hAnsi="宋体" w:cs="仿宋"/>
          <w:color w:val="auto"/>
          <w:sz w:val="22"/>
          <w:szCs w:val="22"/>
        </w:rPr>
        <w:t>2.7 “▲”</w:t>
      </w:r>
      <w:r>
        <w:rPr>
          <w:rFonts w:hint="eastAsia" w:ascii="宋体" w:hAnsi="宋体" w:cs="仿宋"/>
          <w:snapToGrid w:val="0"/>
          <w:color w:val="auto"/>
          <w:kern w:val="28"/>
          <w:sz w:val="22"/>
          <w:szCs w:val="22"/>
        </w:rPr>
        <w:t>且加下划线的条款</w:t>
      </w:r>
      <w:r>
        <w:rPr>
          <w:rFonts w:hint="eastAsia" w:ascii="宋体" w:hAnsi="宋体" w:cs="仿宋"/>
          <w:color w:val="auto"/>
          <w:sz w:val="22"/>
          <w:szCs w:val="22"/>
        </w:rPr>
        <w:t>系指实质性要求条款， “</w:t>
      </w:r>
      <w:r>
        <w:rPr>
          <w:rFonts w:hint="eastAsia" w:ascii="宋体" w:hAnsi="宋体" w:cs="仿宋"/>
          <w:color w:val="auto"/>
          <w:sz w:val="22"/>
          <w:szCs w:val="22"/>
        </w:rPr>
        <w:sym w:font="Wingdings" w:char="00FE"/>
      </w:r>
      <w:r>
        <w:rPr>
          <w:rFonts w:hint="eastAsia" w:ascii="宋体" w:hAnsi="宋体" w:cs="仿宋"/>
          <w:color w:val="auto"/>
          <w:sz w:val="22"/>
          <w:szCs w:val="22"/>
        </w:rPr>
        <w:t>” 系指适用本项目的要求，“</w:t>
      </w:r>
      <w:r>
        <w:rPr>
          <w:rFonts w:hint="eastAsia" w:ascii="宋体" w:hAnsi="宋体" w:cs="仿宋"/>
          <w:color w:val="auto"/>
          <w:sz w:val="22"/>
          <w:szCs w:val="22"/>
        </w:rPr>
        <w:sym w:font="Wingdings" w:char="00A8"/>
      </w:r>
      <w:r>
        <w:rPr>
          <w:rFonts w:hint="eastAsia" w:ascii="宋体" w:hAnsi="宋体" w:cs="仿宋"/>
          <w:color w:val="auto"/>
          <w:sz w:val="22"/>
          <w:szCs w:val="22"/>
        </w:rPr>
        <w:t>” 系指不适用本项目的要求。</w:t>
      </w:r>
    </w:p>
    <w:p w14:paraId="4F9CD745">
      <w:pPr>
        <w:spacing w:line="440" w:lineRule="exact"/>
        <w:rPr>
          <w:rFonts w:hint="eastAsia" w:ascii="宋体" w:hAnsi="宋体" w:cs="仿宋"/>
          <w:b/>
          <w:color w:val="auto"/>
          <w:sz w:val="22"/>
          <w:szCs w:val="22"/>
        </w:rPr>
      </w:pPr>
      <w:r>
        <w:rPr>
          <w:rFonts w:ascii="宋体" w:hAnsi="宋体" w:cs="仿宋"/>
          <w:b/>
          <w:color w:val="auto"/>
          <w:sz w:val="22"/>
          <w:szCs w:val="22"/>
        </w:rPr>
        <w:t xml:space="preserve">3.  </w:t>
      </w:r>
      <w:r>
        <w:rPr>
          <w:rFonts w:hint="eastAsia" w:ascii="宋体" w:hAnsi="宋体" w:cs="仿宋"/>
          <w:b/>
          <w:color w:val="auto"/>
          <w:sz w:val="22"/>
          <w:szCs w:val="22"/>
        </w:rPr>
        <w:t>合格投标人要求</w:t>
      </w:r>
    </w:p>
    <w:p w14:paraId="1F834DB2">
      <w:pPr>
        <w:tabs>
          <w:tab w:val="left" w:pos="540"/>
          <w:tab w:val="left" w:pos="900"/>
        </w:tabs>
        <w:snapToGrid w:val="0"/>
        <w:spacing w:line="440" w:lineRule="exact"/>
        <w:ind w:firstLine="440" w:firstLineChars="200"/>
        <w:rPr>
          <w:rFonts w:hint="eastAsia" w:ascii="宋体" w:hAnsi="宋体" w:cs="仿宋"/>
          <w:bCs/>
          <w:color w:val="auto"/>
          <w:sz w:val="22"/>
          <w:szCs w:val="22"/>
        </w:rPr>
      </w:pPr>
      <w:r>
        <w:rPr>
          <w:rFonts w:hint="eastAsia" w:ascii="宋体" w:hAnsi="宋体" w:cs="仿宋"/>
          <w:bCs/>
          <w:color w:val="auto"/>
          <w:sz w:val="22"/>
          <w:szCs w:val="22"/>
        </w:rPr>
        <w:t>3.1合格的投标人应满足招标文件第一部分“招标公告”对申请人的资格要求。</w:t>
      </w:r>
    </w:p>
    <w:p w14:paraId="429B5F6F">
      <w:pPr>
        <w:tabs>
          <w:tab w:val="left" w:pos="540"/>
          <w:tab w:val="left" w:pos="900"/>
        </w:tabs>
        <w:snapToGrid w:val="0"/>
        <w:spacing w:line="440" w:lineRule="exact"/>
        <w:ind w:firstLine="440" w:firstLineChars="200"/>
        <w:rPr>
          <w:rFonts w:hint="eastAsia" w:ascii="宋体" w:hAnsi="宋体" w:cs="仿宋"/>
          <w:bCs/>
          <w:color w:val="auto"/>
          <w:sz w:val="22"/>
          <w:szCs w:val="22"/>
        </w:rPr>
      </w:pPr>
      <w:r>
        <w:rPr>
          <w:rFonts w:hint="eastAsia" w:ascii="宋体" w:hAnsi="宋体" w:cs="仿宋"/>
          <w:bCs/>
          <w:color w:val="auto"/>
          <w:sz w:val="22"/>
          <w:szCs w:val="22"/>
        </w:rPr>
        <w:t>3.2</w:t>
      </w:r>
      <w:r>
        <w:rPr>
          <w:rFonts w:hint="eastAsia" w:ascii="宋体" w:hAnsi="宋体" w:cs="仿宋"/>
          <w:b/>
          <w:color w:val="auto"/>
          <w:sz w:val="22"/>
          <w:szCs w:val="22"/>
        </w:rPr>
        <w:t>单位负责人为同一人或者存在直接控股、管理关系的不同投标人，不得参加同一合同项下的政府采购活动。为采购项目提供整体设计、规范编制或者项目管理、监理、检测等服务的投标人，不得再参加该采购项目的其他采购活动。</w:t>
      </w:r>
    </w:p>
    <w:p w14:paraId="72A3634D">
      <w:pPr>
        <w:tabs>
          <w:tab w:val="left" w:pos="540"/>
          <w:tab w:val="left" w:pos="900"/>
        </w:tabs>
        <w:snapToGrid w:val="0"/>
        <w:spacing w:line="440" w:lineRule="exact"/>
        <w:ind w:firstLine="440" w:firstLineChars="200"/>
        <w:rPr>
          <w:rFonts w:hint="eastAsia" w:ascii="宋体" w:hAnsi="宋体" w:cs="仿宋"/>
          <w:color w:val="auto"/>
          <w:sz w:val="22"/>
          <w:szCs w:val="22"/>
        </w:rPr>
      </w:pPr>
      <w:r>
        <w:rPr>
          <w:rFonts w:hint="eastAsia" w:ascii="宋体" w:hAnsi="宋体" w:cs="仿宋"/>
          <w:color w:val="auto"/>
          <w:sz w:val="22"/>
          <w:szCs w:val="22"/>
        </w:rPr>
        <w:t>3.3投标人可授权投标人代表以投标人名义参加本次采购的投标活动（包括投标文件的签署、澄清、说明、补正、递交、撤回、修改等以及签订合同和处理有关事宜）。如果投标人代表不是法定代表人(负责人)，须持有《法定代表人(负责人)授权书》。</w:t>
      </w:r>
    </w:p>
    <w:p w14:paraId="540CFF20">
      <w:pPr>
        <w:snapToGrid w:val="0"/>
        <w:spacing w:line="440" w:lineRule="exact"/>
        <w:ind w:firstLine="464" w:firstLineChars="200"/>
        <w:rPr>
          <w:rFonts w:hint="eastAsia" w:ascii="宋体" w:hAnsi="宋体" w:cs="仿宋"/>
          <w:bCs/>
          <w:color w:val="auto"/>
          <w:spacing w:val="6"/>
          <w:sz w:val="22"/>
          <w:szCs w:val="22"/>
        </w:rPr>
      </w:pPr>
      <w:r>
        <w:rPr>
          <w:rFonts w:hint="eastAsia" w:ascii="宋体" w:hAnsi="宋体" w:cs="仿宋"/>
          <w:bCs/>
          <w:color w:val="auto"/>
          <w:spacing w:val="6"/>
          <w:sz w:val="22"/>
          <w:szCs w:val="22"/>
        </w:rPr>
        <w:t>3.4采用最低评标价法的</w:t>
      </w:r>
      <w:r>
        <w:rPr>
          <w:rFonts w:hint="eastAsia" w:ascii="宋体" w:hAnsi="宋体" w:cs="仿宋"/>
          <w:color w:val="auto"/>
          <w:sz w:val="22"/>
          <w:szCs w:val="22"/>
        </w:rPr>
        <w:t>货物类</w:t>
      </w:r>
      <w:r>
        <w:rPr>
          <w:rFonts w:hint="eastAsia" w:ascii="宋体" w:hAnsi="宋体" w:cs="仿宋"/>
          <w:bCs/>
          <w:color w:val="auto"/>
          <w:spacing w:val="6"/>
          <w:sz w:val="22"/>
          <w:szCs w:val="22"/>
        </w:rPr>
        <w:t>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6685B796">
      <w:pPr>
        <w:snapToGrid w:val="0"/>
        <w:spacing w:line="440" w:lineRule="exact"/>
        <w:ind w:firstLine="464" w:firstLineChars="200"/>
        <w:rPr>
          <w:rFonts w:hint="eastAsia" w:ascii="宋体" w:hAnsi="宋体" w:cs="仿宋"/>
          <w:bCs/>
          <w:color w:val="auto"/>
          <w:spacing w:val="6"/>
          <w:sz w:val="22"/>
          <w:szCs w:val="22"/>
        </w:rPr>
      </w:pPr>
      <w:r>
        <w:rPr>
          <w:rFonts w:hint="eastAsia" w:ascii="宋体" w:hAnsi="宋体" w:cs="仿宋"/>
          <w:bCs/>
          <w:color w:val="auto"/>
          <w:spacing w:val="6"/>
          <w:sz w:val="22"/>
          <w:szCs w:val="22"/>
        </w:rPr>
        <w:t>使用综合评分法的</w:t>
      </w:r>
      <w:r>
        <w:rPr>
          <w:rFonts w:hint="eastAsia" w:ascii="宋体" w:hAnsi="宋体" w:cs="仿宋"/>
          <w:color w:val="auto"/>
          <w:sz w:val="22"/>
          <w:szCs w:val="22"/>
        </w:rPr>
        <w:t>货物类</w:t>
      </w:r>
      <w:r>
        <w:rPr>
          <w:rFonts w:hint="eastAsia" w:ascii="宋体" w:hAnsi="宋体" w:cs="仿宋"/>
          <w:bCs/>
          <w:color w:val="auto"/>
          <w:spacing w:val="6"/>
          <w:sz w:val="22"/>
          <w:szCs w:val="22"/>
        </w:rPr>
        <w:t>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7307EA4">
      <w:pPr>
        <w:snapToGrid w:val="0"/>
        <w:spacing w:line="440" w:lineRule="exact"/>
        <w:ind w:firstLine="464" w:firstLineChars="200"/>
        <w:rPr>
          <w:rFonts w:hint="eastAsia" w:ascii="宋体" w:hAnsi="宋体" w:cs="仿宋"/>
          <w:bCs/>
          <w:color w:val="auto"/>
          <w:spacing w:val="6"/>
          <w:sz w:val="22"/>
          <w:szCs w:val="22"/>
        </w:rPr>
      </w:pPr>
      <w:r>
        <w:rPr>
          <w:rFonts w:hint="eastAsia" w:ascii="宋体" w:hAnsi="宋体" w:cs="仿宋"/>
          <w:bCs/>
          <w:color w:val="auto"/>
          <w:spacing w:val="6"/>
          <w:sz w:val="22"/>
          <w:szCs w:val="22"/>
        </w:rPr>
        <w:t>非单一产品采购项目，多家投标人提供的核心产品（见</w:t>
      </w:r>
      <w:r>
        <w:rPr>
          <w:rFonts w:hint="eastAsia" w:ascii="宋体" w:hAnsi="宋体" w:cs="仿宋"/>
          <w:color w:val="auto"/>
          <w:sz w:val="22"/>
          <w:szCs w:val="22"/>
        </w:rPr>
        <w:t>投标人须知前附表</w:t>
      </w:r>
      <w:r>
        <w:rPr>
          <w:rFonts w:hint="eastAsia" w:ascii="宋体" w:hAnsi="宋体" w:cs="仿宋"/>
          <w:bCs/>
          <w:color w:val="auto"/>
          <w:spacing w:val="6"/>
          <w:sz w:val="22"/>
          <w:szCs w:val="22"/>
        </w:rPr>
        <w:t>）品牌相同的，按前两款规定处理。</w:t>
      </w:r>
    </w:p>
    <w:p w14:paraId="5BECC5C1">
      <w:pPr>
        <w:snapToGrid w:val="0"/>
        <w:spacing w:line="440" w:lineRule="exact"/>
        <w:ind w:firstLine="440" w:firstLineChars="200"/>
        <w:rPr>
          <w:rFonts w:hint="eastAsia" w:ascii="宋体" w:hAnsi="宋体" w:cs="仿宋"/>
          <w:color w:val="auto"/>
          <w:sz w:val="22"/>
          <w:szCs w:val="22"/>
        </w:rPr>
      </w:pPr>
      <w:r>
        <w:rPr>
          <w:rFonts w:hint="eastAsia" w:ascii="宋体" w:hAnsi="宋体" w:cs="仿宋"/>
          <w:color w:val="auto"/>
          <w:sz w:val="22"/>
          <w:szCs w:val="22"/>
        </w:rPr>
        <w:t>3.5货物类是否允许采购进口产品、是否要求节能/环境标志产品等情况见投标人须知前附表。</w:t>
      </w:r>
    </w:p>
    <w:p w14:paraId="5683F595">
      <w:pPr>
        <w:spacing w:line="440" w:lineRule="exact"/>
        <w:rPr>
          <w:rFonts w:hint="eastAsia" w:ascii="宋体" w:hAnsi="宋体" w:cs="仿宋"/>
          <w:b/>
          <w:color w:val="auto"/>
          <w:sz w:val="22"/>
          <w:szCs w:val="22"/>
        </w:rPr>
      </w:pPr>
      <w:r>
        <w:rPr>
          <w:rFonts w:ascii="宋体" w:hAnsi="宋体" w:cs="仿宋"/>
          <w:b/>
          <w:color w:val="auto"/>
          <w:sz w:val="22"/>
          <w:szCs w:val="22"/>
        </w:rPr>
        <w:t xml:space="preserve">4.  </w:t>
      </w:r>
      <w:r>
        <w:rPr>
          <w:rFonts w:hint="eastAsia" w:ascii="宋体" w:hAnsi="宋体" w:cs="仿宋"/>
          <w:b/>
          <w:color w:val="auto"/>
          <w:sz w:val="22"/>
          <w:szCs w:val="22"/>
        </w:rPr>
        <w:t>采购项目需要落实的政府采购政策</w:t>
      </w:r>
    </w:p>
    <w:p w14:paraId="14F59120">
      <w:pPr>
        <w:spacing w:line="440" w:lineRule="exact"/>
        <w:ind w:firstLine="440" w:firstLineChars="200"/>
        <w:rPr>
          <w:rFonts w:hint="eastAsia" w:ascii="宋体" w:hAnsi="宋体" w:cs="仿宋"/>
          <w:color w:val="auto"/>
          <w:sz w:val="22"/>
          <w:szCs w:val="22"/>
        </w:rPr>
      </w:pPr>
      <w:r>
        <w:rPr>
          <w:rFonts w:hint="eastAsia" w:ascii="宋体" w:hAnsi="宋体" w:cs="仿宋"/>
          <w:color w:val="auto"/>
          <w:sz w:val="22"/>
          <w:szCs w:val="22"/>
        </w:rPr>
        <w:t>4.1 根据《政府采购进口产品管理办法》的通知（财库〔2007〕119 号）文件相关规定，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p>
    <w:p w14:paraId="469F1C26">
      <w:pPr>
        <w:spacing w:line="440" w:lineRule="exact"/>
        <w:ind w:firstLine="440" w:firstLineChars="200"/>
        <w:rPr>
          <w:rFonts w:hint="eastAsia" w:ascii="宋体" w:hAnsi="宋体" w:cs="仿宋"/>
          <w:color w:val="auto"/>
          <w:sz w:val="22"/>
          <w:szCs w:val="22"/>
        </w:rPr>
      </w:pPr>
      <w:r>
        <w:rPr>
          <w:rFonts w:hint="eastAsia" w:ascii="宋体" w:hAnsi="宋体" w:cs="仿宋"/>
          <w:color w:val="auto"/>
          <w:sz w:val="22"/>
          <w:szCs w:val="22"/>
        </w:rPr>
        <w:t>4.2 支持绿色发展</w:t>
      </w:r>
    </w:p>
    <w:p w14:paraId="637D4996">
      <w:pPr>
        <w:spacing w:line="440" w:lineRule="exact"/>
        <w:ind w:firstLine="440" w:firstLineChars="200"/>
        <w:rPr>
          <w:rFonts w:hint="eastAsia" w:ascii="宋体" w:hAnsi="宋体" w:cs="仿宋"/>
          <w:color w:val="auto"/>
          <w:sz w:val="22"/>
          <w:szCs w:val="22"/>
        </w:rPr>
      </w:pPr>
      <w:r>
        <w:rPr>
          <w:rFonts w:hint="eastAsia" w:ascii="宋体" w:hAnsi="宋体" w:cs="仿宋"/>
          <w:color w:val="auto"/>
          <w:sz w:val="22"/>
          <w:szCs w:val="22"/>
        </w:rPr>
        <w:t>4.2.1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采购人拟采购的产品属于政府强制采购的节能产品品目清单范围的，投标人未按招标文件要求提供国家确定的认证机构出具的、处于有效期之内的节能产品认证证书的，投标无效。</w:t>
      </w:r>
    </w:p>
    <w:p w14:paraId="78EF4A13">
      <w:pPr>
        <w:spacing w:line="440" w:lineRule="exact"/>
        <w:ind w:firstLine="440" w:firstLineChars="200"/>
        <w:rPr>
          <w:rFonts w:hint="eastAsia" w:ascii="宋体" w:hAnsi="宋体" w:cs="仿宋"/>
          <w:color w:val="auto"/>
          <w:sz w:val="22"/>
          <w:szCs w:val="22"/>
        </w:rPr>
      </w:pPr>
      <w:r>
        <w:rPr>
          <w:rFonts w:hint="eastAsia" w:ascii="宋体" w:hAnsi="宋体" w:cs="仿宋"/>
          <w:color w:val="auto"/>
          <w:sz w:val="22"/>
          <w:szCs w:val="22"/>
        </w:rPr>
        <w:t>4.2.2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DA13C21">
      <w:pPr>
        <w:spacing w:line="440" w:lineRule="exact"/>
        <w:ind w:firstLine="440" w:firstLineChars="200"/>
        <w:rPr>
          <w:rFonts w:hint="eastAsia" w:ascii="宋体" w:hAnsi="宋体" w:cs="仿宋"/>
          <w:color w:val="auto"/>
          <w:sz w:val="22"/>
          <w:szCs w:val="22"/>
        </w:rPr>
      </w:pPr>
      <w:r>
        <w:rPr>
          <w:rFonts w:hint="eastAsia" w:ascii="宋体" w:hAnsi="宋体" w:cs="仿宋"/>
          <w:color w:val="auto"/>
          <w:sz w:val="22"/>
          <w:szCs w:val="22"/>
        </w:rPr>
        <w:t>4.3支持中小企业发展</w:t>
      </w:r>
    </w:p>
    <w:p w14:paraId="5AD537A6">
      <w:pPr>
        <w:spacing w:line="440" w:lineRule="exact"/>
        <w:ind w:firstLine="440" w:firstLineChars="200"/>
        <w:rPr>
          <w:rFonts w:hint="eastAsia" w:ascii="宋体" w:hAnsi="宋体" w:cs="仿宋"/>
          <w:color w:val="auto"/>
          <w:sz w:val="22"/>
          <w:szCs w:val="22"/>
        </w:rPr>
      </w:pPr>
      <w:r>
        <w:rPr>
          <w:rFonts w:hint="eastAsia" w:ascii="宋体" w:hAnsi="宋体" w:cs="仿宋"/>
          <w:color w:val="auto"/>
          <w:sz w:val="22"/>
          <w:szCs w:val="22"/>
        </w:rPr>
        <w:t>4.3.1中小企业，是指在中华人民共和国境内依法设立，依据国务院批准的中小企业划分标准确定的中型企业、小型企业和微型企业，但与大企业的负责人为同一人，或者与大企业存在直接控股、管理关系的除外。</w:t>
      </w:r>
    </w:p>
    <w:p w14:paraId="123FFA48">
      <w:pPr>
        <w:spacing w:line="440" w:lineRule="exact"/>
        <w:ind w:firstLine="440" w:firstLineChars="200"/>
        <w:rPr>
          <w:rFonts w:hint="eastAsia" w:ascii="宋体" w:hAnsi="宋体" w:cs="仿宋"/>
          <w:color w:val="auto"/>
          <w:sz w:val="22"/>
          <w:szCs w:val="22"/>
        </w:rPr>
      </w:pPr>
      <w:r>
        <w:rPr>
          <w:rFonts w:hint="eastAsia" w:ascii="宋体" w:hAnsi="宋体" w:cs="仿宋"/>
          <w:color w:val="auto"/>
          <w:sz w:val="22"/>
          <w:szCs w:val="22"/>
        </w:rPr>
        <w:t>符合中小企业划分标准的个体工商户，在政府采购活动中视同中小企业。</w:t>
      </w:r>
    </w:p>
    <w:p w14:paraId="10B393AD">
      <w:pPr>
        <w:widowControl/>
        <w:spacing w:line="440" w:lineRule="exact"/>
        <w:ind w:firstLine="440" w:firstLineChars="200"/>
        <w:jc w:val="left"/>
        <w:rPr>
          <w:rFonts w:hint="eastAsia" w:ascii="宋体" w:hAnsi="宋体" w:cs="仿宋"/>
          <w:color w:val="auto"/>
          <w:sz w:val="22"/>
          <w:szCs w:val="22"/>
        </w:rPr>
      </w:pPr>
      <w:r>
        <w:rPr>
          <w:rFonts w:hint="eastAsia" w:ascii="宋体" w:hAnsi="宋体" w:cs="仿宋"/>
          <w:bCs/>
          <w:color w:val="auto"/>
          <w:sz w:val="22"/>
          <w:szCs w:val="22"/>
        </w:rPr>
        <w:t>4.3.2</w:t>
      </w:r>
      <w:r>
        <w:rPr>
          <w:rFonts w:hint="eastAsia" w:ascii="宋体" w:hAnsi="宋体" w:cs="仿宋"/>
          <w:color w:val="auto"/>
          <w:sz w:val="22"/>
          <w:szCs w:val="22"/>
        </w:rPr>
        <w:t>在政府采购活动中，投标人提供的货物、工程或者服务符合下列情形的，享受中小企业扶持政策：</w:t>
      </w:r>
    </w:p>
    <w:p w14:paraId="4A30581D">
      <w:pPr>
        <w:widowControl/>
        <w:spacing w:line="440" w:lineRule="exact"/>
        <w:ind w:firstLine="440" w:firstLineChars="200"/>
        <w:jc w:val="left"/>
        <w:rPr>
          <w:rFonts w:hint="eastAsia" w:ascii="宋体" w:hAnsi="宋体" w:cs="仿宋"/>
          <w:color w:val="auto"/>
          <w:sz w:val="22"/>
          <w:szCs w:val="22"/>
        </w:rPr>
      </w:pPr>
      <w:r>
        <w:rPr>
          <w:rFonts w:hint="eastAsia" w:ascii="宋体" w:hAnsi="宋体" w:cs="仿宋"/>
          <w:color w:val="auto"/>
          <w:sz w:val="22"/>
          <w:szCs w:val="22"/>
        </w:rPr>
        <w:t>4.3.2.1在货物采购项目中，货物由中小企业制造，即货物由中小企业生产且使用该中小企业商号或者注册商标。</w:t>
      </w:r>
    </w:p>
    <w:p w14:paraId="042774D0">
      <w:pPr>
        <w:widowControl/>
        <w:spacing w:line="440" w:lineRule="exact"/>
        <w:ind w:firstLine="440" w:firstLineChars="200"/>
        <w:jc w:val="left"/>
        <w:rPr>
          <w:rFonts w:hint="eastAsia" w:ascii="宋体" w:hAnsi="宋体" w:cs="仿宋"/>
          <w:color w:val="auto"/>
          <w:sz w:val="22"/>
          <w:szCs w:val="22"/>
        </w:rPr>
      </w:pPr>
      <w:r>
        <w:rPr>
          <w:rFonts w:hint="eastAsia" w:ascii="宋体" w:hAnsi="宋体" w:cs="仿宋"/>
          <w:color w:val="auto"/>
          <w:sz w:val="22"/>
          <w:szCs w:val="22"/>
        </w:rPr>
        <w:t>4.3.2.2在工程采购项目中，工程由中小企业承建，即工程施工单位为中小企业。</w:t>
      </w:r>
    </w:p>
    <w:p w14:paraId="08B1E009">
      <w:pPr>
        <w:widowControl/>
        <w:spacing w:line="440" w:lineRule="exact"/>
        <w:ind w:firstLine="440" w:firstLineChars="200"/>
        <w:jc w:val="left"/>
        <w:rPr>
          <w:rFonts w:hint="eastAsia" w:ascii="宋体" w:hAnsi="宋体" w:cs="仿宋"/>
          <w:color w:val="auto"/>
          <w:sz w:val="22"/>
          <w:szCs w:val="22"/>
        </w:rPr>
      </w:pPr>
      <w:r>
        <w:rPr>
          <w:rFonts w:hint="eastAsia" w:ascii="宋体" w:hAnsi="宋体" w:cs="仿宋"/>
          <w:color w:val="auto"/>
          <w:sz w:val="22"/>
          <w:szCs w:val="22"/>
        </w:rPr>
        <w:t>4.3.2.3在服务采购项目中，服务由中小企业承接，即提供服务的人员为中小企业依照《中华人民共和国劳动合同法》订立劳动合同的从业人员。</w:t>
      </w:r>
    </w:p>
    <w:p w14:paraId="6E15E2E3">
      <w:pPr>
        <w:widowControl/>
        <w:spacing w:line="440" w:lineRule="exact"/>
        <w:ind w:firstLine="440" w:firstLineChars="200"/>
        <w:jc w:val="left"/>
        <w:rPr>
          <w:rFonts w:hint="eastAsia" w:ascii="宋体" w:hAnsi="宋体" w:cs="仿宋"/>
          <w:color w:val="auto"/>
          <w:sz w:val="22"/>
          <w:szCs w:val="22"/>
        </w:rPr>
      </w:pPr>
      <w:r>
        <w:rPr>
          <w:rFonts w:hint="eastAsia" w:ascii="宋体" w:hAnsi="宋体" w:cs="仿宋"/>
          <w:color w:val="auto"/>
          <w:sz w:val="22"/>
          <w:szCs w:val="22"/>
        </w:rPr>
        <w:t>在货物采购项目中，投标人提供的货物既有中小企业制造货物，也有大型企业制造货物的，不享受中小企业扶持政策。</w:t>
      </w:r>
    </w:p>
    <w:p w14:paraId="49070235">
      <w:pPr>
        <w:widowControl/>
        <w:spacing w:line="440" w:lineRule="exact"/>
        <w:ind w:firstLine="440" w:firstLineChars="200"/>
        <w:jc w:val="left"/>
        <w:rPr>
          <w:rFonts w:hint="eastAsia" w:ascii="宋体" w:hAnsi="宋体" w:cs="仿宋"/>
          <w:color w:val="auto"/>
          <w:sz w:val="22"/>
          <w:szCs w:val="22"/>
        </w:rPr>
      </w:pPr>
      <w:r>
        <w:rPr>
          <w:rFonts w:hint="eastAsia" w:ascii="宋体" w:hAnsi="宋体" w:cs="仿宋"/>
          <w:color w:val="auto"/>
          <w:sz w:val="22"/>
          <w:szCs w:val="22"/>
        </w:rPr>
        <w:t>以联合体形式参加政府采购活动，联合体各方均为中小企业的，联合体视同中小企业。其中，联合体各方均为小微企业的，联合体视同小微企业。</w:t>
      </w:r>
    </w:p>
    <w:p w14:paraId="6EFF9787">
      <w:pPr>
        <w:spacing w:line="440" w:lineRule="exact"/>
        <w:ind w:firstLine="440" w:firstLineChars="200"/>
        <w:rPr>
          <w:rFonts w:hint="eastAsia" w:ascii="宋体" w:hAnsi="宋体" w:cs="仿宋"/>
          <w:color w:val="auto"/>
          <w:sz w:val="22"/>
          <w:szCs w:val="22"/>
        </w:rPr>
      </w:pPr>
      <w:r>
        <w:rPr>
          <w:rFonts w:hint="eastAsia" w:ascii="宋体" w:hAnsi="宋体" w:cs="仿宋"/>
          <w:color w:val="auto"/>
          <w:sz w:val="22"/>
          <w:szCs w:val="22"/>
        </w:rPr>
        <w:t>4.3.3对于未预留份额专门面向中小企业的政府采购货物或服务项目，以及预留份额政府采购货物或服务项目中的非预留部分标项，对小型和微型企业的投标报价给予10-20%（工程项目为3%-5%）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4%-6%（工程项目为1%-2%）的扣除，用扣除后的价格参加评审。组成联合体或者接受分包的小微企业与联合体内其他企业、分包企业之间存在直接控股、管理关系的，不享受价格扣除优惠政策。</w:t>
      </w:r>
    </w:p>
    <w:p w14:paraId="31A64803">
      <w:pPr>
        <w:spacing w:line="440" w:lineRule="exact"/>
        <w:ind w:firstLine="440" w:firstLineChars="200"/>
        <w:rPr>
          <w:rFonts w:hint="eastAsia" w:ascii="宋体" w:hAnsi="宋体" w:cs="仿宋"/>
          <w:color w:val="auto"/>
          <w:sz w:val="22"/>
          <w:szCs w:val="22"/>
        </w:rPr>
      </w:pPr>
      <w:r>
        <w:rPr>
          <w:rFonts w:hint="eastAsia" w:ascii="宋体" w:hAnsi="宋体" w:cs="仿宋"/>
          <w:color w:val="auto"/>
          <w:sz w:val="22"/>
          <w:szCs w:val="22"/>
        </w:rPr>
        <w:t>4.3.4符合《关于促进残疾人就业政府采购政策的通知》（财库〔2017〕141号）规定的条件并提供《残疾人福利性单位声明函》（附件八）的残疾人福利性单位视同小型、微型企业；</w:t>
      </w:r>
    </w:p>
    <w:p w14:paraId="700766F4">
      <w:pPr>
        <w:spacing w:line="440" w:lineRule="exact"/>
        <w:ind w:firstLine="440" w:firstLineChars="200"/>
        <w:rPr>
          <w:rFonts w:hint="eastAsia" w:ascii="宋体" w:hAnsi="宋体" w:cs="仿宋"/>
          <w:color w:val="auto"/>
          <w:sz w:val="22"/>
          <w:szCs w:val="22"/>
        </w:rPr>
      </w:pPr>
      <w:r>
        <w:rPr>
          <w:rFonts w:hint="eastAsia" w:ascii="宋体" w:hAnsi="宋体" w:cs="仿宋"/>
          <w:color w:val="auto"/>
          <w:sz w:val="22"/>
          <w:szCs w:val="22"/>
        </w:rPr>
        <w:t>4.3.5符合《关于政府采购支持监狱企业发展有关问题的通知》（财库[2014]68号）规定的监狱企业并提供由省级以上监狱管理局、戒毒管理局（含新疆生产建设兵团）出具的属于监狱企业证明文件的，视同为小型、微型企业。</w:t>
      </w:r>
    </w:p>
    <w:p w14:paraId="344930D6">
      <w:pPr>
        <w:spacing w:line="440" w:lineRule="exact"/>
        <w:ind w:firstLine="440" w:firstLineChars="200"/>
        <w:rPr>
          <w:rFonts w:hint="eastAsia" w:ascii="宋体" w:hAnsi="宋体" w:cs="仿宋"/>
          <w:color w:val="auto"/>
          <w:sz w:val="22"/>
          <w:szCs w:val="22"/>
        </w:rPr>
      </w:pPr>
      <w:r>
        <w:rPr>
          <w:rFonts w:hint="eastAsia" w:ascii="宋体" w:hAnsi="宋体" w:cs="仿宋"/>
          <w:color w:val="auto"/>
          <w:sz w:val="22"/>
          <w:szCs w:val="22"/>
        </w:rPr>
        <w:t>4.3.6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7B4C2BDF">
      <w:pPr>
        <w:spacing w:line="440" w:lineRule="exact"/>
        <w:ind w:firstLine="440" w:firstLineChars="200"/>
        <w:rPr>
          <w:rFonts w:hint="eastAsia" w:ascii="宋体" w:hAnsi="宋体" w:cs="仿宋"/>
          <w:color w:val="auto"/>
          <w:sz w:val="22"/>
          <w:szCs w:val="22"/>
        </w:rPr>
      </w:pPr>
      <w:r>
        <w:rPr>
          <w:rFonts w:hint="eastAsia" w:ascii="宋体" w:hAnsi="宋体" w:cs="仿宋"/>
          <w:color w:val="auto"/>
          <w:sz w:val="22"/>
          <w:szCs w:val="22"/>
        </w:rPr>
        <w:t>4.3.7中小企业享受扶持政策获得政府采购合同的，小微企业不得将合同分包给大中型企业，中型企业不得将合同分包给大型企业。</w:t>
      </w:r>
    </w:p>
    <w:p w14:paraId="5AB17943">
      <w:pPr>
        <w:spacing w:line="440" w:lineRule="exact"/>
        <w:ind w:firstLine="440" w:firstLineChars="200"/>
        <w:rPr>
          <w:rFonts w:hint="eastAsia" w:ascii="宋体" w:hAnsi="宋体" w:cs="仿宋"/>
          <w:color w:val="auto"/>
          <w:sz w:val="22"/>
          <w:szCs w:val="22"/>
        </w:rPr>
      </w:pPr>
      <w:r>
        <w:rPr>
          <w:rFonts w:hint="eastAsia" w:ascii="宋体" w:hAnsi="宋体" w:cs="仿宋"/>
          <w:color w:val="auto"/>
          <w:sz w:val="22"/>
          <w:szCs w:val="22"/>
        </w:rPr>
        <w:t>4.4中小企业信用融资：为支持和促进中小企业发展，进一步发挥政府采购政策功能，温州市财政局出台了《温州市财政局关于温州市政府采购支持中小企业信用融资的通知》（温财采〔2020〕3号），供应商若有融资意向，可直接登录http://jinrong.zcygov.cn，查看信用融资政策文件及各相关银行服务方案，也可直接向各银行咨询相关业务。</w:t>
      </w:r>
    </w:p>
    <w:p w14:paraId="095AAC11">
      <w:pPr>
        <w:snapToGrid w:val="0"/>
        <w:spacing w:line="440" w:lineRule="exact"/>
        <w:ind w:firstLine="440" w:firstLineChars="200"/>
        <w:rPr>
          <w:rFonts w:hint="eastAsia" w:ascii="宋体" w:hAnsi="宋体" w:cs="仿宋"/>
          <w:color w:val="auto"/>
          <w:sz w:val="22"/>
          <w:szCs w:val="22"/>
        </w:rPr>
      </w:pPr>
      <w:r>
        <w:rPr>
          <w:rFonts w:hint="eastAsia" w:ascii="宋体" w:hAnsi="宋体" w:cs="仿宋"/>
          <w:snapToGrid w:val="0"/>
          <w:color w:val="auto"/>
          <w:kern w:val="28"/>
          <w:sz w:val="22"/>
          <w:szCs w:val="22"/>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p w14:paraId="18D31356">
      <w:pPr>
        <w:spacing w:line="440" w:lineRule="exact"/>
        <w:rPr>
          <w:rFonts w:hint="eastAsia" w:ascii="宋体" w:hAnsi="宋体" w:cs="仿宋"/>
          <w:b/>
          <w:color w:val="auto"/>
          <w:sz w:val="22"/>
          <w:szCs w:val="22"/>
        </w:rPr>
      </w:pPr>
      <w:r>
        <w:rPr>
          <w:rFonts w:hint="eastAsia" w:ascii="宋体" w:hAnsi="宋体" w:cs="仿宋"/>
          <w:b/>
          <w:color w:val="auto"/>
          <w:sz w:val="22"/>
          <w:szCs w:val="22"/>
        </w:rPr>
        <w:t>5.询问、质疑、投诉</w:t>
      </w:r>
    </w:p>
    <w:p w14:paraId="0F65F273">
      <w:pPr>
        <w:autoSpaceDE w:val="0"/>
        <w:autoSpaceDN w:val="0"/>
        <w:spacing w:line="440" w:lineRule="exact"/>
        <w:ind w:firstLine="220" w:firstLineChars="100"/>
        <w:jc w:val="left"/>
        <w:rPr>
          <w:rFonts w:hint="eastAsia" w:ascii="宋体" w:hAnsi="宋体" w:cs="仿宋"/>
          <w:color w:val="auto"/>
          <w:sz w:val="22"/>
          <w:szCs w:val="22"/>
          <w:lang w:val="zh-CN"/>
        </w:rPr>
      </w:pPr>
      <w:r>
        <w:rPr>
          <w:rFonts w:hint="eastAsia" w:ascii="宋体" w:hAnsi="宋体" w:cs="仿宋"/>
          <w:color w:val="auto"/>
          <w:sz w:val="22"/>
          <w:szCs w:val="22"/>
        </w:rPr>
        <w:t>5</w:t>
      </w:r>
      <w:r>
        <w:rPr>
          <w:rFonts w:hint="eastAsia" w:ascii="宋体" w:hAnsi="宋体" w:cs="仿宋"/>
          <w:color w:val="auto"/>
          <w:sz w:val="22"/>
          <w:szCs w:val="22"/>
          <w:lang w:val="zh-CN"/>
        </w:rPr>
        <w:t>.1供应商询问</w:t>
      </w:r>
    </w:p>
    <w:p w14:paraId="22A5446D">
      <w:pPr>
        <w:autoSpaceDE w:val="0"/>
        <w:autoSpaceDN w:val="0"/>
        <w:spacing w:line="440" w:lineRule="exact"/>
        <w:ind w:firstLine="440" w:firstLineChars="200"/>
        <w:jc w:val="left"/>
        <w:rPr>
          <w:rFonts w:hint="eastAsia" w:ascii="宋体" w:hAnsi="宋体" w:cs="仿宋"/>
          <w:color w:val="auto"/>
          <w:sz w:val="22"/>
          <w:szCs w:val="22"/>
          <w:lang w:val="zh-CN"/>
        </w:rPr>
      </w:pPr>
      <w:r>
        <w:rPr>
          <w:rFonts w:hint="eastAsia" w:ascii="宋体" w:hAnsi="宋体" w:cs="仿宋"/>
          <w:color w:val="auto"/>
          <w:sz w:val="22"/>
          <w:szCs w:val="22"/>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EAFB001">
      <w:pPr>
        <w:autoSpaceDE w:val="0"/>
        <w:autoSpaceDN w:val="0"/>
        <w:spacing w:line="440" w:lineRule="exact"/>
        <w:ind w:firstLine="220" w:firstLineChars="100"/>
        <w:jc w:val="left"/>
        <w:rPr>
          <w:rFonts w:hint="eastAsia" w:ascii="宋体" w:hAnsi="宋体" w:cs="仿宋"/>
          <w:color w:val="auto"/>
          <w:sz w:val="22"/>
          <w:szCs w:val="22"/>
          <w:lang w:val="zh-CN"/>
        </w:rPr>
      </w:pPr>
      <w:r>
        <w:rPr>
          <w:rFonts w:hint="eastAsia" w:ascii="宋体" w:hAnsi="宋体" w:cs="仿宋"/>
          <w:color w:val="auto"/>
          <w:sz w:val="22"/>
          <w:szCs w:val="22"/>
        </w:rPr>
        <w:t>5</w:t>
      </w:r>
      <w:r>
        <w:rPr>
          <w:rFonts w:hint="eastAsia" w:ascii="宋体" w:hAnsi="宋体" w:cs="仿宋"/>
          <w:color w:val="auto"/>
          <w:sz w:val="22"/>
          <w:szCs w:val="22"/>
          <w:lang w:val="zh-CN"/>
        </w:rPr>
        <w:t>.2供应商质疑</w:t>
      </w:r>
    </w:p>
    <w:p w14:paraId="2398A51F">
      <w:pPr>
        <w:pStyle w:val="24"/>
        <w:spacing w:line="440" w:lineRule="exact"/>
        <w:ind w:firstLine="440" w:firstLineChars="200"/>
        <w:rPr>
          <w:rFonts w:hint="eastAsia" w:hAnsi="宋体" w:cs="仿宋"/>
          <w:color w:val="auto"/>
          <w:sz w:val="22"/>
          <w:szCs w:val="22"/>
        </w:rPr>
      </w:pPr>
      <w:r>
        <w:rPr>
          <w:rFonts w:hint="eastAsia" w:hAnsi="宋体" w:cs="仿宋"/>
          <w:color w:val="auto"/>
          <w:sz w:val="22"/>
          <w:szCs w:val="22"/>
        </w:rPr>
        <w:t>5</w:t>
      </w:r>
      <w:r>
        <w:rPr>
          <w:rFonts w:hint="eastAsia" w:hAnsi="宋体" w:cs="仿宋"/>
          <w:color w:val="auto"/>
          <w:sz w:val="22"/>
          <w:szCs w:val="22"/>
          <w:lang w:val="zh-CN"/>
        </w:rPr>
        <w:t>.2</w:t>
      </w:r>
      <w:r>
        <w:rPr>
          <w:rFonts w:hint="eastAsia" w:hAnsi="宋体" w:cs="仿宋"/>
          <w:color w:val="auto"/>
          <w:sz w:val="22"/>
          <w:szCs w:val="22"/>
        </w:rPr>
        <w:t>.1提出质疑的供应商应当是参与所质疑项目采购活动的供应商。潜在供应商已依法获取其可质疑的招标文件的，可以对该文件提出质疑。</w:t>
      </w:r>
    </w:p>
    <w:p w14:paraId="2CB48594">
      <w:pPr>
        <w:pStyle w:val="24"/>
        <w:spacing w:line="440" w:lineRule="exact"/>
        <w:ind w:firstLine="440" w:firstLineChars="200"/>
        <w:rPr>
          <w:rFonts w:hint="eastAsia" w:hAnsi="宋体" w:cs="仿宋"/>
          <w:color w:val="auto"/>
          <w:sz w:val="22"/>
          <w:szCs w:val="22"/>
        </w:rPr>
      </w:pPr>
      <w:r>
        <w:rPr>
          <w:rFonts w:hint="eastAsia" w:hAnsi="宋体" w:cs="仿宋"/>
          <w:color w:val="auto"/>
          <w:sz w:val="22"/>
          <w:szCs w:val="22"/>
        </w:rPr>
        <w:t>5</w:t>
      </w:r>
      <w:r>
        <w:rPr>
          <w:rFonts w:hint="eastAsia" w:hAnsi="宋体" w:cs="仿宋"/>
          <w:color w:val="auto"/>
          <w:sz w:val="22"/>
          <w:szCs w:val="22"/>
          <w:lang w:val="zh-CN"/>
        </w:rPr>
        <w:t>.2</w:t>
      </w:r>
      <w:r>
        <w:rPr>
          <w:rFonts w:hint="eastAsia" w:hAnsi="宋体" w:cs="仿宋"/>
          <w:color w:val="auto"/>
          <w:sz w:val="22"/>
          <w:szCs w:val="22"/>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74C51DD4">
      <w:pPr>
        <w:pStyle w:val="13"/>
        <w:spacing w:line="440" w:lineRule="exact"/>
        <w:ind w:firstLine="440" w:firstLineChars="200"/>
        <w:rPr>
          <w:rFonts w:hint="eastAsia" w:ascii="宋体" w:hAnsi="宋体" w:cs="仿宋"/>
          <w:color w:val="auto"/>
          <w:sz w:val="22"/>
          <w:szCs w:val="22"/>
        </w:rPr>
      </w:pPr>
      <w:r>
        <w:rPr>
          <w:rFonts w:hint="eastAsia" w:ascii="宋体" w:hAnsi="宋体" w:cs="仿宋"/>
          <w:color w:val="auto"/>
          <w:sz w:val="22"/>
          <w:szCs w:val="22"/>
        </w:rPr>
        <w:t>5.2.2.1质疑提交形式：以书面形式向招标公告中载明的质疑联系人提交或登录政采云平台（https://www.zcygov.cn/）通过“询问质疑投诉”栏向采购机构内设的质疑联系人提交并上传书面质疑材料。</w:t>
      </w:r>
    </w:p>
    <w:p w14:paraId="421C3478">
      <w:pPr>
        <w:pStyle w:val="13"/>
        <w:spacing w:line="440" w:lineRule="exact"/>
        <w:ind w:firstLine="440" w:firstLineChars="200"/>
        <w:rPr>
          <w:rFonts w:hint="eastAsia" w:ascii="宋体" w:hAnsi="宋体" w:cs="仿宋"/>
          <w:color w:val="auto"/>
          <w:sz w:val="22"/>
          <w:szCs w:val="22"/>
        </w:rPr>
      </w:pPr>
      <w:r>
        <w:rPr>
          <w:rFonts w:hint="eastAsia" w:ascii="宋体" w:hAnsi="宋体" w:cs="仿宋"/>
          <w:color w:val="auto"/>
          <w:sz w:val="22"/>
          <w:szCs w:val="22"/>
        </w:rPr>
        <w:t>5.2.2.2对招标文件提出质疑的，质疑期限为供应商获得招标文件之日或者招标文件公告期限届满之日起计算（公告期限届满后获取采购文件的，以公告期限届满之日为准）。</w:t>
      </w:r>
    </w:p>
    <w:p w14:paraId="51AD570E">
      <w:pPr>
        <w:pStyle w:val="24"/>
        <w:spacing w:line="440" w:lineRule="exact"/>
        <w:ind w:firstLine="440" w:firstLineChars="200"/>
        <w:rPr>
          <w:rFonts w:hint="eastAsia" w:hAnsi="宋体" w:cs="仿宋"/>
          <w:color w:val="auto"/>
          <w:sz w:val="22"/>
          <w:szCs w:val="22"/>
        </w:rPr>
      </w:pPr>
      <w:r>
        <w:rPr>
          <w:rFonts w:hint="eastAsia" w:hAnsi="宋体" w:cs="仿宋"/>
          <w:color w:val="auto"/>
          <w:sz w:val="22"/>
          <w:szCs w:val="22"/>
        </w:rPr>
        <w:t>5.2.2.3</w:t>
      </w:r>
      <w:r>
        <w:rPr>
          <w:rFonts w:hint="eastAsia" w:hAnsi="宋体" w:cs="仿宋"/>
          <w:b/>
          <w:bCs/>
          <w:color w:val="auto"/>
          <w:sz w:val="22"/>
          <w:szCs w:val="22"/>
        </w:rPr>
        <w:t>对采购过程提出质疑的，质疑期限为各采购程序环节结束之日起计算。对同一采购程序环节的质疑，供应商须一次性提出。</w:t>
      </w:r>
    </w:p>
    <w:p w14:paraId="6B259315">
      <w:pPr>
        <w:pStyle w:val="24"/>
        <w:spacing w:line="440" w:lineRule="exact"/>
        <w:ind w:firstLine="440" w:firstLineChars="200"/>
        <w:rPr>
          <w:rFonts w:hint="eastAsia" w:hAnsi="宋体" w:cs="仿宋"/>
          <w:color w:val="auto"/>
          <w:sz w:val="22"/>
          <w:szCs w:val="22"/>
        </w:rPr>
      </w:pPr>
      <w:r>
        <w:rPr>
          <w:rFonts w:hint="eastAsia" w:hAnsi="宋体" w:cs="仿宋"/>
          <w:color w:val="auto"/>
          <w:sz w:val="22"/>
          <w:szCs w:val="22"/>
        </w:rPr>
        <w:t>5.2.2.4对采购结果提出质疑的，质疑期限自采购结果公告期限届满之日起计算。</w:t>
      </w:r>
    </w:p>
    <w:p w14:paraId="05082C65">
      <w:pPr>
        <w:pStyle w:val="24"/>
        <w:spacing w:line="440" w:lineRule="exact"/>
        <w:ind w:firstLine="440" w:firstLineChars="200"/>
        <w:rPr>
          <w:rFonts w:hint="eastAsia" w:hAnsi="宋体" w:cs="仿宋"/>
          <w:color w:val="auto"/>
          <w:sz w:val="22"/>
          <w:szCs w:val="22"/>
          <w:lang w:val="zh-CN"/>
        </w:rPr>
      </w:pPr>
      <w:r>
        <w:rPr>
          <w:rFonts w:hint="eastAsia" w:hAnsi="宋体" w:cs="仿宋"/>
          <w:color w:val="auto"/>
          <w:sz w:val="22"/>
          <w:szCs w:val="22"/>
        </w:rPr>
        <w:t>5</w:t>
      </w:r>
      <w:r>
        <w:rPr>
          <w:rFonts w:hint="eastAsia" w:hAnsi="宋体" w:cs="仿宋"/>
          <w:color w:val="auto"/>
          <w:sz w:val="22"/>
          <w:szCs w:val="22"/>
          <w:lang w:val="zh-CN"/>
        </w:rPr>
        <w:t>.2.3</w:t>
      </w:r>
      <w:r>
        <w:rPr>
          <w:rFonts w:hint="eastAsia" w:hAnsi="宋体" w:cs="仿宋"/>
          <w:color w:val="auto"/>
          <w:sz w:val="22"/>
          <w:szCs w:val="22"/>
        </w:rPr>
        <w:t>供应商提出质疑应当提交质疑函和必要的证明材料。质疑函应当包括下列内容：</w:t>
      </w:r>
    </w:p>
    <w:p w14:paraId="4D460421">
      <w:pPr>
        <w:pStyle w:val="24"/>
        <w:spacing w:line="440" w:lineRule="exact"/>
        <w:ind w:firstLine="440" w:firstLineChars="200"/>
        <w:rPr>
          <w:rFonts w:hint="eastAsia" w:hAnsi="宋体" w:cs="仿宋"/>
          <w:color w:val="auto"/>
          <w:sz w:val="22"/>
          <w:szCs w:val="22"/>
          <w:lang w:val="zh-CN"/>
        </w:rPr>
      </w:pPr>
      <w:r>
        <w:rPr>
          <w:rFonts w:hint="eastAsia" w:hAnsi="宋体" w:cs="仿宋"/>
          <w:color w:val="auto"/>
          <w:sz w:val="22"/>
          <w:szCs w:val="22"/>
        </w:rPr>
        <w:t>5</w:t>
      </w:r>
      <w:r>
        <w:rPr>
          <w:rFonts w:hint="eastAsia" w:hAnsi="宋体" w:cs="仿宋"/>
          <w:color w:val="auto"/>
          <w:sz w:val="22"/>
          <w:szCs w:val="22"/>
          <w:lang w:val="zh-CN"/>
        </w:rPr>
        <w:t>.2.3.1供应商的姓名或者名称、地址、邮编、联系人及联系电话；</w:t>
      </w:r>
    </w:p>
    <w:p w14:paraId="7336C66A">
      <w:pPr>
        <w:pStyle w:val="24"/>
        <w:spacing w:line="440" w:lineRule="exact"/>
        <w:ind w:firstLine="440" w:firstLineChars="200"/>
        <w:rPr>
          <w:rFonts w:hint="eastAsia" w:hAnsi="宋体" w:cs="仿宋"/>
          <w:color w:val="auto"/>
          <w:sz w:val="22"/>
          <w:szCs w:val="22"/>
          <w:lang w:val="zh-CN"/>
        </w:rPr>
      </w:pPr>
      <w:r>
        <w:rPr>
          <w:rFonts w:hint="eastAsia" w:hAnsi="宋体" w:cs="仿宋"/>
          <w:color w:val="auto"/>
          <w:sz w:val="22"/>
          <w:szCs w:val="22"/>
        </w:rPr>
        <w:t>5</w:t>
      </w:r>
      <w:r>
        <w:rPr>
          <w:rFonts w:hint="eastAsia" w:hAnsi="宋体" w:cs="仿宋"/>
          <w:color w:val="auto"/>
          <w:sz w:val="22"/>
          <w:szCs w:val="22"/>
          <w:lang w:val="zh-CN"/>
        </w:rPr>
        <w:t>.2.3.2质疑项目的名称、编号；</w:t>
      </w:r>
    </w:p>
    <w:p w14:paraId="1FD6CCAA">
      <w:pPr>
        <w:pStyle w:val="24"/>
        <w:spacing w:line="440" w:lineRule="exact"/>
        <w:ind w:firstLine="440" w:firstLineChars="200"/>
        <w:rPr>
          <w:rFonts w:hint="eastAsia" w:hAnsi="宋体" w:cs="仿宋"/>
          <w:color w:val="auto"/>
          <w:sz w:val="22"/>
          <w:szCs w:val="22"/>
          <w:lang w:val="zh-CN"/>
        </w:rPr>
      </w:pPr>
      <w:r>
        <w:rPr>
          <w:rFonts w:hint="eastAsia" w:hAnsi="宋体" w:cs="仿宋"/>
          <w:color w:val="auto"/>
          <w:sz w:val="22"/>
          <w:szCs w:val="22"/>
        </w:rPr>
        <w:t>5</w:t>
      </w:r>
      <w:r>
        <w:rPr>
          <w:rFonts w:hint="eastAsia" w:hAnsi="宋体" w:cs="仿宋"/>
          <w:color w:val="auto"/>
          <w:sz w:val="22"/>
          <w:szCs w:val="22"/>
          <w:lang w:val="zh-CN"/>
        </w:rPr>
        <w:t>.2.3.3具体、明确的质疑事项和与质疑事项相关的请求；</w:t>
      </w:r>
    </w:p>
    <w:p w14:paraId="2B50ACE9">
      <w:pPr>
        <w:pStyle w:val="24"/>
        <w:spacing w:line="440" w:lineRule="exact"/>
        <w:ind w:firstLine="440" w:firstLineChars="200"/>
        <w:rPr>
          <w:rFonts w:hint="eastAsia" w:hAnsi="宋体" w:cs="仿宋"/>
          <w:color w:val="auto"/>
          <w:sz w:val="22"/>
          <w:szCs w:val="22"/>
          <w:lang w:val="zh-CN"/>
        </w:rPr>
      </w:pPr>
      <w:r>
        <w:rPr>
          <w:rFonts w:hint="eastAsia" w:hAnsi="宋体" w:cs="仿宋"/>
          <w:color w:val="auto"/>
          <w:sz w:val="22"/>
          <w:szCs w:val="22"/>
        </w:rPr>
        <w:t>5</w:t>
      </w:r>
      <w:r>
        <w:rPr>
          <w:rFonts w:hint="eastAsia" w:hAnsi="宋体" w:cs="仿宋"/>
          <w:color w:val="auto"/>
          <w:sz w:val="22"/>
          <w:szCs w:val="22"/>
          <w:lang w:val="zh-CN"/>
        </w:rPr>
        <w:t>.2.3.4事实依据；</w:t>
      </w:r>
    </w:p>
    <w:p w14:paraId="5339B563">
      <w:pPr>
        <w:pStyle w:val="24"/>
        <w:spacing w:line="440" w:lineRule="exact"/>
        <w:ind w:firstLine="440" w:firstLineChars="200"/>
        <w:rPr>
          <w:rFonts w:hint="eastAsia" w:hAnsi="宋体" w:cs="仿宋"/>
          <w:color w:val="auto"/>
          <w:sz w:val="22"/>
          <w:szCs w:val="22"/>
          <w:lang w:val="zh-CN"/>
        </w:rPr>
      </w:pPr>
      <w:r>
        <w:rPr>
          <w:rFonts w:hint="eastAsia" w:hAnsi="宋体" w:cs="仿宋"/>
          <w:color w:val="auto"/>
          <w:sz w:val="22"/>
          <w:szCs w:val="22"/>
        </w:rPr>
        <w:t>5</w:t>
      </w:r>
      <w:r>
        <w:rPr>
          <w:rFonts w:hint="eastAsia" w:hAnsi="宋体" w:cs="仿宋"/>
          <w:color w:val="auto"/>
          <w:sz w:val="22"/>
          <w:szCs w:val="22"/>
          <w:lang w:val="zh-CN"/>
        </w:rPr>
        <w:t>.2.3.5必要的法律依据；</w:t>
      </w:r>
    </w:p>
    <w:p w14:paraId="6476476E">
      <w:pPr>
        <w:spacing w:line="440" w:lineRule="exact"/>
        <w:ind w:firstLine="440" w:firstLineChars="200"/>
        <w:rPr>
          <w:rFonts w:hint="eastAsia" w:ascii="宋体" w:hAnsi="宋体" w:cs="仿宋"/>
          <w:color w:val="auto"/>
          <w:sz w:val="22"/>
          <w:szCs w:val="22"/>
          <w:lang w:val="zh-CN"/>
        </w:rPr>
      </w:pPr>
      <w:r>
        <w:rPr>
          <w:rFonts w:hint="eastAsia" w:ascii="宋体" w:hAnsi="宋体" w:cs="仿宋"/>
          <w:color w:val="auto"/>
          <w:sz w:val="22"/>
          <w:szCs w:val="22"/>
        </w:rPr>
        <w:t>5</w:t>
      </w:r>
      <w:r>
        <w:rPr>
          <w:rFonts w:hint="eastAsia" w:ascii="宋体" w:hAnsi="宋体" w:cs="仿宋"/>
          <w:color w:val="auto"/>
          <w:sz w:val="22"/>
          <w:szCs w:val="22"/>
          <w:lang w:val="zh-CN"/>
        </w:rPr>
        <w:t>.2.3.6提出质疑的日期。</w:t>
      </w:r>
    </w:p>
    <w:p w14:paraId="762A8EEB">
      <w:pPr>
        <w:spacing w:line="440" w:lineRule="exact"/>
        <w:ind w:firstLine="440" w:firstLineChars="200"/>
        <w:rPr>
          <w:rFonts w:hint="eastAsia" w:ascii="宋体" w:hAnsi="宋体" w:cs="仿宋"/>
          <w:color w:val="auto"/>
          <w:sz w:val="22"/>
          <w:szCs w:val="22"/>
        </w:rPr>
      </w:pPr>
      <w:r>
        <w:rPr>
          <w:rFonts w:hint="eastAsia" w:ascii="宋体" w:hAnsi="宋体" w:cs="仿宋"/>
          <w:color w:val="auto"/>
          <w:sz w:val="22"/>
          <w:szCs w:val="22"/>
        </w:rPr>
        <w:t>供应商为自然人的，应当由本人签字；供应商为法人或者其他组织的，应当由法定代表人、主要负责人，或者其授权代表签字或者盖章，并加盖公章。</w:t>
      </w:r>
    </w:p>
    <w:p w14:paraId="6E296A0E">
      <w:pPr>
        <w:spacing w:line="440" w:lineRule="exact"/>
        <w:ind w:firstLine="440" w:firstLineChars="200"/>
        <w:rPr>
          <w:rFonts w:hint="eastAsia" w:ascii="宋体" w:hAnsi="宋体" w:cs="仿宋"/>
          <w:color w:val="auto"/>
          <w:sz w:val="22"/>
          <w:szCs w:val="22"/>
        </w:rPr>
      </w:pPr>
      <w:r>
        <w:rPr>
          <w:rFonts w:hint="eastAsia" w:ascii="宋体" w:hAnsi="宋体" w:cs="仿宋"/>
          <w:color w:val="auto"/>
          <w:sz w:val="22"/>
          <w:szCs w:val="22"/>
        </w:rPr>
        <w:t>质疑函范本及制作说明详见浙江政府采购网相关格式内容。</w:t>
      </w:r>
    </w:p>
    <w:p w14:paraId="2F386EE6">
      <w:pPr>
        <w:spacing w:line="440" w:lineRule="exact"/>
        <w:ind w:firstLine="440" w:firstLineChars="200"/>
        <w:rPr>
          <w:rFonts w:hint="eastAsia" w:ascii="宋体" w:hAnsi="宋体" w:cs="仿宋"/>
          <w:color w:val="auto"/>
          <w:sz w:val="22"/>
          <w:szCs w:val="22"/>
          <w:lang w:val="zh-CN"/>
        </w:rPr>
      </w:pPr>
      <w:r>
        <w:rPr>
          <w:rFonts w:hint="eastAsia" w:ascii="宋体" w:hAnsi="宋体" w:cs="仿宋"/>
          <w:color w:val="auto"/>
          <w:sz w:val="22"/>
          <w:szCs w:val="22"/>
        </w:rPr>
        <w:t>5</w:t>
      </w:r>
      <w:r>
        <w:rPr>
          <w:rFonts w:hint="eastAsia" w:ascii="宋体" w:hAnsi="宋体" w:cs="仿宋"/>
          <w:color w:val="auto"/>
          <w:sz w:val="22"/>
          <w:szCs w:val="22"/>
          <w:lang w:val="zh-CN"/>
        </w:rPr>
        <w:t>.2.4采购人或者采购代理机构应当在收到供应商的质疑后七个工作日内作出答复，并以书面形式通知质疑供应商和其他与质疑处理结果有利害关系的政府采购当事人，但答复的内容不得涉及商业秘密。根据《浙江省财政厅关于进一步促进政府采购公平竞争打造最优营商环境的通知》（浙财采监〔2021〕22号）,采购人或者采购代理机构在质疑回复后5个工作日内，在浙江政府采购网的“其他公告”栏目公开质疑答复，答复内容应当完整。质疑函作为附件上传。</w:t>
      </w:r>
    </w:p>
    <w:p w14:paraId="4C10B8AC">
      <w:pPr>
        <w:spacing w:line="440" w:lineRule="exact"/>
        <w:ind w:firstLine="440" w:firstLineChars="200"/>
        <w:rPr>
          <w:rFonts w:hint="eastAsia" w:ascii="宋体" w:hAnsi="宋体" w:cs="仿宋"/>
          <w:color w:val="auto"/>
          <w:sz w:val="22"/>
          <w:szCs w:val="22"/>
          <w:lang w:val="zh-CN"/>
        </w:rPr>
      </w:pPr>
      <w:r>
        <w:rPr>
          <w:rFonts w:hint="eastAsia" w:ascii="宋体" w:hAnsi="宋体" w:cs="仿宋"/>
          <w:color w:val="auto"/>
          <w:sz w:val="22"/>
          <w:szCs w:val="22"/>
        </w:rPr>
        <w:t>5</w:t>
      </w:r>
      <w:r>
        <w:rPr>
          <w:rFonts w:hint="eastAsia" w:ascii="宋体" w:hAnsi="宋体" w:cs="仿宋"/>
          <w:color w:val="auto"/>
          <w:sz w:val="22"/>
          <w:szCs w:val="22"/>
          <w:lang w:val="zh-CN"/>
        </w:rPr>
        <w:t>.2.5询问或者质疑事项可能影响采购结果的，采购人应当暂停签订合同，已经签订合同的，应当中止履行合同。</w:t>
      </w:r>
    </w:p>
    <w:p w14:paraId="5B80D1A0">
      <w:pPr>
        <w:spacing w:line="440" w:lineRule="exact"/>
        <w:ind w:firstLine="440" w:firstLineChars="200"/>
        <w:rPr>
          <w:rFonts w:hint="eastAsia" w:ascii="宋体" w:hAnsi="宋体" w:cs="仿宋"/>
          <w:color w:val="auto"/>
          <w:sz w:val="22"/>
          <w:szCs w:val="22"/>
          <w:lang w:val="zh-CN"/>
        </w:rPr>
      </w:pPr>
      <w:r>
        <w:rPr>
          <w:rFonts w:hint="eastAsia" w:ascii="宋体" w:hAnsi="宋体" w:cs="仿宋"/>
          <w:color w:val="auto"/>
          <w:sz w:val="22"/>
          <w:szCs w:val="22"/>
        </w:rPr>
        <w:t>5</w:t>
      </w:r>
      <w:r>
        <w:rPr>
          <w:rFonts w:hint="eastAsia" w:ascii="宋体" w:hAnsi="宋体" w:cs="仿宋"/>
          <w:color w:val="auto"/>
          <w:sz w:val="22"/>
          <w:szCs w:val="22"/>
          <w:lang w:val="zh-CN"/>
        </w:rPr>
        <w:t>.3供应商投诉</w:t>
      </w:r>
    </w:p>
    <w:p w14:paraId="4718E4E6">
      <w:pPr>
        <w:spacing w:line="440" w:lineRule="exact"/>
        <w:ind w:firstLine="440" w:firstLineChars="200"/>
        <w:rPr>
          <w:rFonts w:hint="eastAsia" w:ascii="宋体" w:hAnsi="宋体" w:cs="仿宋"/>
          <w:color w:val="auto"/>
          <w:sz w:val="22"/>
          <w:szCs w:val="22"/>
          <w:lang w:val="zh-CN"/>
        </w:rPr>
      </w:pPr>
      <w:r>
        <w:rPr>
          <w:rFonts w:hint="eastAsia" w:ascii="宋体" w:hAnsi="宋体" w:cs="仿宋"/>
          <w:color w:val="auto"/>
          <w:sz w:val="22"/>
          <w:szCs w:val="22"/>
          <w:lang w:val="zh-CN"/>
        </w:rPr>
        <w:t>5.3.1质疑供应商对采购人、采购代理机构的答复不满意或者采购人、采购代理机构未在规定的时间内作出答复的，可以在答复期满后十五个工作日内向同级政府采购监督管理部门提出投诉。</w:t>
      </w:r>
    </w:p>
    <w:p w14:paraId="4C687766">
      <w:pPr>
        <w:spacing w:line="440" w:lineRule="exact"/>
        <w:ind w:firstLine="440" w:firstLineChars="200"/>
        <w:rPr>
          <w:rFonts w:hint="eastAsia" w:ascii="宋体" w:hAnsi="宋体" w:cs="仿宋"/>
          <w:color w:val="auto"/>
          <w:sz w:val="22"/>
          <w:szCs w:val="22"/>
          <w:lang w:val="zh-CN"/>
        </w:rPr>
      </w:pPr>
      <w:r>
        <w:rPr>
          <w:rFonts w:hint="eastAsia" w:ascii="宋体" w:hAnsi="宋体" w:cs="仿宋"/>
          <w:color w:val="auto"/>
          <w:sz w:val="22"/>
          <w:szCs w:val="22"/>
          <w:lang w:val="zh-CN"/>
        </w:rPr>
        <w:t>5.3.2供应商投诉的事项不得超出已质疑事项的范围，基于质疑答复内容提出的投诉事项除外。</w:t>
      </w:r>
    </w:p>
    <w:p w14:paraId="23F0C400">
      <w:pPr>
        <w:spacing w:line="440" w:lineRule="exact"/>
        <w:ind w:firstLine="440" w:firstLineChars="200"/>
        <w:rPr>
          <w:rFonts w:hint="eastAsia" w:ascii="宋体" w:hAnsi="宋体" w:cs="仿宋"/>
          <w:color w:val="auto"/>
          <w:sz w:val="22"/>
          <w:szCs w:val="22"/>
          <w:lang w:val="zh-CN"/>
        </w:rPr>
      </w:pPr>
      <w:r>
        <w:rPr>
          <w:rFonts w:hint="eastAsia" w:ascii="宋体" w:hAnsi="宋体" w:cs="仿宋"/>
          <w:color w:val="auto"/>
          <w:sz w:val="22"/>
          <w:szCs w:val="22"/>
          <w:lang w:val="zh-CN"/>
        </w:rPr>
        <w:t>5.3.3供应商投诉应当有明确的请求和必要的证明材料。</w:t>
      </w:r>
    </w:p>
    <w:p w14:paraId="08182FFF">
      <w:pPr>
        <w:spacing w:line="440" w:lineRule="exact"/>
        <w:ind w:firstLine="440" w:firstLineChars="200"/>
        <w:rPr>
          <w:rFonts w:hint="eastAsia" w:ascii="宋体" w:hAnsi="宋体" w:cs="仿宋"/>
          <w:color w:val="auto"/>
          <w:sz w:val="22"/>
          <w:szCs w:val="22"/>
          <w:lang w:val="zh-CN"/>
        </w:rPr>
      </w:pPr>
      <w:r>
        <w:rPr>
          <w:rFonts w:hint="eastAsia" w:ascii="宋体" w:hAnsi="宋体" w:cs="仿宋"/>
          <w:color w:val="auto"/>
          <w:sz w:val="22"/>
          <w:szCs w:val="22"/>
          <w:lang w:val="zh-CN"/>
        </w:rPr>
        <w:t>5.3.</w:t>
      </w:r>
      <w:r>
        <w:rPr>
          <w:rFonts w:ascii="宋体" w:hAnsi="宋体" w:cs="仿宋"/>
          <w:color w:val="auto"/>
          <w:sz w:val="22"/>
          <w:szCs w:val="22"/>
          <w:lang w:val="zh-CN"/>
        </w:rPr>
        <w:t>4</w:t>
      </w:r>
      <w:r>
        <w:rPr>
          <w:rFonts w:hint="eastAsia" w:ascii="宋体" w:hAnsi="宋体" w:cs="仿宋"/>
          <w:color w:val="auto"/>
          <w:sz w:val="22"/>
          <w:szCs w:val="22"/>
          <w:lang w:val="zh-CN"/>
        </w:rPr>
        <w:t>以联合体形式参加政府采购活动的，其投诉应当由组成联合体的所有供应商共同提出。</w:t>
      </w:r>
    </w:p>
    <w:p w14:paraId="09350032">
      <w:pPr>
        <w:spacing w:line="440" w:lineRule="exact"/>
        <w:ind w:firstLine="440" w:firstLineChars="200"/>
        <w:rPr>
          <w:rFonts w:hint="eastAsia" w:ascii="宋体" w:hAnsi="宋体" w:cs="仿宋"/>
          <w:color w:val="auto"/>
          <w:sz w:val="22"/>
          <w:szCs w:val="22"/>
          <w:lang w:val="zh-CN"/>
        </w:rPr>
      </w:pPr>
      <w:r>
        <w:rPr>
          <w:rFonts w:hint="eastAsia" w:ascii="宋体" w:hAnsi="宋体" w:cs="仿宋"/>
          <w:color w:val="auto"/>
          <w:sz w:val="22"/>
          <w:szCs w:val="22"/>
          <w:lang w:val="zh-CN"/>
        </w:rPr>
        <w:t>投诉书范本及制作说明详见浙江政府采购网相关格式内容。</w:t>
      </w:r>
    </w:p>
    <w:p w14:paraId="6064219E">
      <w:pPr>
        <w:pStyle w:val="5"/>
        <w:spacing w:line="680" w:lineRule="exact"/>
        <w:jc w:val="center"/>
        <w:rPr>
          <w:rFonts w:hint="eastAsia" w:ascii="宋体" w:hAnsi="宋体" w:eastAsia="宋体" w:cs="宋体"/>
          <w:color w:val="auto"/>
          <w:sz w:val="28"/>
          <w:szCs w:val="28"/>
        </w:rPr>
      </w:pPr>
      <w:bookmarkStart w:id="33" w:name="_Toc30141"/>
      <w:r>
        <w:rPr>
          <w:rFonts w:hint="eastAsia" w:ascii="宋体" w:hAnsi="宋体" w:eastAsia="宋体" w:cs="宋体"/>
          <w:color w:val="auto"/>
          <w:sz w:val="28"/>
          <w:szCs w:val="28"/>
        </w:rPr>
        <w:t>二、 招标文件</w:t>
      </w:r>
      <w:bookmarkEnd w:id="29"/>
      <w:bookmarkEnd w:id="33"/>
    </w:p>
    <w:p w14:paraId="274AF3F2">
      <w:pPr>
        <w:spacing w:line="440" w:lineRule="exact"/>
        <w:rPr>
          <w:rFonts w:hint="eastAsia" w:ascii="宋体" w:hAnsi="宋体" w:cs="宋体"/>
          <w:color w:val="auto"/>
          <w:sz w:val="22"/>
          <w:szCs w:val="22"/>
        </w:rPr>
      </w:pPr>
      <w:r>
        <w:rPr>
          <w:rFonts w:hint="eastAsia" w:ascii="宋体" w:hAnsi="宋体" w:cs="宋体"/>
          <w:color w:val="auto"/>
          <w:sz w:val="22"/>
          <w:szCs w:val="22"/>
        </w:rPr>
        <w:t>1.   招标文件由招标文件目录所列内容及相关资料组成。</w:t>
      </w:r>
    </w:p>
    <w:p w14:paraId="3310765B">
      <w:pPr>
        <w:spacing w:line="440" w:lineRule="exact"/>
        <w:rPr>
          <w:rFonts w:hint="eastAsia" w:ascii="宋体" w:hAnsi="宋体" w:cs="宋体"/>
          <w:b/>
          <w:bCs/>
          <w:color w:val="auto"/>
          <w:sz w:val="22"/>
          <w:szCs w:val="22"/>
        </w:rPr>
      </w:pPr>
      <w:r>
        <w:rPr>
          <w:rFonts w:hint="eastAsia" w:ascii="宋体" w:hAnsi="宋体" w:cs="宋体"/>
          <w:bCs/>
          <w:color w:val="auto"/>
          <w:sz w:val="22"/>
          <w:szCs w:val="22"/>
        </w:rPr>
        <w:t xml:space="preserve">2.   </w:t>
      </w:r>
      <w:r>
        <w:rPr>
          <w:rFonts w:hint="eastAsia" w:ascii="宋体" w:hAnsi="宋体" w:cs="宋体"/>
          <w:b/>
          <w:bCs/>
          <w:color w:val="auto"/>
          <w:sz w:val="22"/>
          <w:szCs w:val="22"/>
        </w:rPr>
        <w:t>招标文件的澄清或者修改</w:t>
      </w:r>
    </w:p>
    <w:p w14:paraId="63642379">
      <w:pPr>
        <w:spacing w:line="440" w:lineRule="exact"/>
        <w:ind w:left="550" w:hanging="550" w:hangingChars="250"/>
        <w:rPr>
          <w:rFonts w:hint="eastAsia" w:ascii="宋体" w:hAnsi="宋体" w:cs="宋体"/>
          <w:color w:val="auto"/>
          <w:sz w:val="22"/>
          <w:szCs w:val="22"/>
        </w:rPr>
      </w:pPr>
      <w:r>
        <w:rPr>
          <w:rFonts w:hint="eastAsia" w:ascii="宋体" w:hAnsi="宋体" w:cs="宋体"/>
          <w:color w:val="auto"/>
          <w:sz w:val="22"/>
          <w:szCs w:val="22"/>
        </w:rPr>
        <w:t>2.1  采购人或者采购代理机构可以对已发出的招标文件进行必要的澄清或者修改。澄清或者修改应当在原公告发布媒体上发布澄清公告。澄清或者修改的内容为招标文件的组成部分。</w:t>
      </w:r>
    </w:p>
    <w:p w14:paraId="5CD59BF1">
      <w:pPr>
        <w:spacing w:line="440" w:lineRule="exact"/>
        <w:ind w:left="550" w:hanging="550" w:hangingChars="250"/>
        <w:rPr>
          <w:rFonts w:hint="eastAsia" w:ascii="宋体" w:hAnsi="宋体" w:cs="宋体"/>
          <w:color w:val="auto"/>
          <w:sz w:val="22"/>
          <w:szCs w:val="22"/>
        </w:rPr>
      </w:pPr>
      <w:r>
        <w:rPr>
          <w:rFonts w:hint="eastAsia" w:ascii="宋体" w:hAnsi="宋体" w:cs="宋体"/>
          <w:color w:val="auto"/>
          <w:sz w:val="22"/>
          <w:szCs w:val="22"/>
        </w:rPr>
        <w:t>2.2  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潜在投标人在收到该书面通知后，应立即书面回复确认已收到该通知。</w:t>
      </w:r>
    </w:p>
    <w:p w14:paraId="5D06CAEB">
      <w:pPr>
        <w:pStyle w:val="5"/>
        <w:spacing w:line="680" w:lineRule="exact"/>
        <w:ind w:firstLine="420"/>
        <w:jc w:val="center"/>
        <w:rPr>
          <w:rFonts w:hint="eastAsia" w:ascii="宋体" w:hAnsi="宋体" w:eastAsia="宋体" w:cs="宋体"/>
          <w:color w:val="auto"/>
          <w:sz w:val="28"/>
          <w:szCs w:val="28"/>
        </w:rPr>
      </w:pPr>
      <w:bookmarkStart w:id="34" w:name="_Toc230773777"/>
      <w:bookmarkStart w:id="35" w:name="_Toc31057"/>
      <w:r>
        <w:rPr>
          <w:rFonts w:hint="eastAsia" w:ascii="宋体" w:hAnsi="宋体" w:eastAsia="宋体" w:cs="宋体"/>
          <w:color w:val="auto"/>
          <w:sz w:val="28"/>
          <w:szCs w:val="28"/>
        </w:rPr>
        <w:t>三、 投标文件的编制</w:t>
      </w:r>
      <w:bookmarkEnd w:id="34"/>
      <w:bookmarkEnd w:id="35"/>
    </w:p>
    <w:p w14:paraId="66E1D652">
      <w:pPr>
        <w:spacing w:line="440" w:lineRule="exact"/>
        <w:ind w:left="550" w:hanging="550" w:hangingChars="250"/>
        <w:rPr>
          <w:rFonts w:hint="eastAsia" w:ascii="宋体" w:hAnsi="宋体" w:cs="宋体"/>
          <w:b/>
          <w:color w:val="auto"/>
          <w:sz w:val="22"/>
          <w:szCs w:val="22"/>
        </w:rPr>
      </w:pPr>
      <w:r>
        <w:rPr>
          <w:rFonts w:hint="eastAsia" w:ascii="宋体" w:hAnsi="宋体" w:cs="宋体"/>
          <w:color w:val="auto"/>
          <w:sz w:val="22"/>
          <w:szCs w:val="22"/>
        </w:rPr>
        <w:t>1.   投标人应认真阅读招标文件中所有事项、格式、条款和技术规范等。</w:t>
      </w:r>
      <w:r>
        <w:rPr>
          <w:rFonts w:hint="eastAsia" w:ascii="宋体" w:hAnsi="宋体" w:cs="宋体"/>
          <w:b/>
          <w:color w:val="auto"/>
          <w:sz w:val="22"/>
          <w:szCs w:val="22"/>
        </w:rPr>
        <w:t>投标人没有按照招标文件要求提交全部资料，或者没有对招标文件各个方面做出实质性响应，导致投标被拒绝的风险由投标人自行承担。</w:t>
      </w:r>
    </w:p>
    <w:p w14:paraId="3026603C">
      <w:pPr>
        <w:spacing w:line="440" w:lineRule="exact"/>
        <w:ind w:left="550" w:hanging="550" w:hangingChars="250"/>
        <w:rPr>
          <w:rFonts w:hint="eastAsia" w:ascii="宋体" w:hAnsi="宋体" w:cs="宋体"/>
          <w:b/>
          <w:color w:val="auto"/>
          <w:sz w:val="22"/>
          <w:szCs w:val="22"/>
        </w:rPr>
      </w:pPr>
      <w:r>
        <w:rPr>
          <w:rFonts w:hint="eastAsia" w:ascii="宋体" w:hAnsi="宋体" w:cs="宋体"/>
          <w:color w:val="auto"/>
          <w:sz w:val="22"/>
          <w:szCs w:val="22"/>
        </w:rPr>
        <w:t>2. ▲</w:t>
      </w:r>
      <w:r>
        <w:rPr>
          <w:rFonts w:hint="eastAsia" w:ascii="宋体" w:hAnsi="宋体" w:cs="宋体"/>
          <w:b/>
          <w:color w:val="auto"/>
          <w:sz w:val="22"/>
          <w:szCs w:val="22"/>
          <w:u w:val="single"/>
        </w:rPr>
        <w:t>投标人应保证所提供文件资料的真实性，所有文件资料必须是针对本次投标的。如发现投标人提供了虚假文件资料，其投标将被拒绝，并自行承担相应的法律责任</w:t>
      </w:r>
      <w:r>
        <w:rPr>
          <w:rFonts w:hint="eastAsia" w:ascii="宋体" w:hAnsi="宋体" w:cs="宋体"/>
          <w:b/>
          <w:color w:val="auto"/>
          <w:sz w:val="22"/>
          <w:szCs w:val="22"/>
        </w:rPr>
        <w:t>。</w:t>
      </w:r>
    </w:p>
    <w:p w14:paraId="1B35B51F">
      <w:pPr>
        <w:spacing w:line="440" w:lineRule="exact"/>
        <w:ind w:left="550" w:hanging="550" w:hangingChars="250"/>
        <w:rPr>
          <w:rFonts w:hint="eastAsia" w:ascii="宋体" w:hAnsi="宋体"/>
          <w:b/>
          <w:bCs/>
          <w:color w:val="auto"/>
          <w:sz w:val="22"/>
          <w:szCs w:val="22"/>
        </w:rPr>
      </w:pPr>
      <w:r>
        <w:rPr>
          <w:rFonts w:hint="eastAsia" w:ascii="宋体" w:hAnsi="宋体"/>
          <w:color w:val="auto"/>
          <w:sz w:val="22"/>
          <w:szCs w:val="22"/>
        </w:rPr>
        <w:t xml:space="preserve">3.   </w:t>
      </w:r>
      <w:r>
        <w:rPr>
          <w:rFonts w:hint="eastAsia" w:ascii="宋体" w:hAnsi="宋体"/>
          <w:b/>
          <w:bCs/>
          <w:color w:val="auto"/>
          <w:sz w:val="22"/>
          <w:szCs w:val="22"/>
        </w:rPr>
        <w:t>投标文件分为电子投标文件以及备份投标文件。</w:t>
      </w:r>
    </w:p>
    <w:p w14:paraId="778A8064">
      <w:pPr>
        <w:spacing w:line="440" w:lineRule="exact"/>
        <w:ind w:left="550" w:hanging="550" w:hangingChars="250"/>
        <w:rPr>
          <w:rFonts w:hint="eastAsia" w:ascii="宋体" w:hAnsi="宋体"/>
          <w:b/>
          <w:bCs/>
          <w:color w:val="auto"/>
          <w:sz w:val="22"/>
          <w:szCs w:val="22"/>
          <w:u w:val="single"/>
        </w:rPr>
      </w:pPr>
      <w:r>
        <w:rPr>
          <w:rFonts w:hint="eastAsia" w:ascii="宋体" w:hAnsi="宋体"/>
          <w:color w:val="auto"/>
          <w:sz w:val="22"/>
          <w:szCs w:val="22"/>
        </w:rPr>
        <w:t xml:space="preserve">3.1 </w:t>
      </w:r>
      <w:r>
        <w:rPr>
          <w:rFonts w:hint="eastAsia" w:ascii="宋体" w:hAnsi="宋体"/>
          <w:b/>
          <w:bCs/>
          <w:color w:val="auto"/>
          <w:sz w:val="22"/>
          <w:szCs w:val="22"/>
          <w:u w:val="single"/>
        </w:rPr>
        <w:t>电子投标文件：投标人根据“政采云供应商项目采购-电子招投标操作指南”及本招标文件规定的格式和顺序编制电子投标文件关联定位、加密并递交。</w:t>
      </w:r>
    </w:p>
    <w:p w14:paraId="10FA9F53">
      <w:pPr>
        <w:spacing w:line="440" w:lineRule="exact"/>
        <w:ind w:left="552" w:hanging="552" w:hangingChars="250"/>
        <w:rPr>
          <w:rFonts w:hint="eastAsia" w:ascii="宋体" w:hAnsi="宋体"/>
          <w:b/>
          <w:bCs/>
          <w:color w:val="auto"/>
          <w:sz w:val="22"/>
          <w:szCs w:val="22"/>
          <w:u w:val="single"/>
        </w:rPr>
      </w:pPr>
      <w:r>
        <w:rPr>
          <w:rFonts w:hint="eastAsia" w:ascii="宋体" w:hAnsi="宋体"/>
          <w:b/>
          <w:bCs/>
          <w:color w:val="auto"/>
          <w:sz w:val="22"/>
          <w:szCs w:val="22"/>
        </w:rPr>
        <w:t xml:space="preserve">3.2  </w:t>
      </w:r>
      <w:r>
        <w:rPr>
          <w:rFonts w:hint="eastAsia" w:ascii="宋体" w:hAnsi="宋体"/>
          <w:b/>
          <w:bCs/>
          <w:color w:val="auto"/>
          <w:sz w:val="22"/>
          <w:szCs w:val="22"/>
          <w:u w:val="single"/>
        </w:rPr>
        <w:t>备份投标文件：投标人</w:t>
      </w:r>
      <w:r>
        <w:rPr>
          <w:rFonts w:ascii="宋体" w:hAnsi="宋体"/>
          <w:b/>
          <w:bCs/>
          <w:color w:val="auto"/>
          <w:sz w:val="22"/>
          <w:szCs w:val="22"/>
          <w:u w:val="single"/>
        </w:rPr>
        <w:t>在</w:t>
      </w:r>
      <w:r>
        <w:rPr>
          <w:rFonts w:hint="eastAsia" w:ascii="宋体" w:hAnsi="宋体"/>
          <w:b/>
          <w:bCs/>
          <w:color w:val="auto"/>
          <w:sz w:val="22"/>
          <w:szCs w:val="22"/>
          <w:u w:val="single"/>
        </w:rPr>
        <w:t>政采云</w:t>
      </w:r>
      <w:r>
        <w:rPr>
          <w:rFonts w:ascii="宋体" w:hAnsi="宋体"/>
          <w:b/>
          <w:bCs/>
          <w:color w:val="auto"/>
          <w:sz w:val="22"/>
          <w:szCs w:val="22"/>
          <w:u w:val="single"/>
        </w:rPr>
        <w:t>平台传输递交投标文件后，还可以在投标截止时间前提交以介质存储的数据电文形式的备份投标文件。</w:t>
      </w:r>
      <w:r>
        <w:rPr>
          <w:rFonts w:hint="eastAsia" w:ascii="宋体" w:hAnsi="宋体"/>
          <w:b/>
          <w:bCs/>
          <w:color w:val="auto"/>
          <w:sz w:val="22"/>
          <w:szCs w:val="22"/>
          <w:u w:val="single"/>
        </w:rPr>
        <w:t>电子投标文件按“政采云平台项目采购-电子招投标操作指南”上传。</w:t>
      </w:r>
    </w:p>
    <w:p w14:paraId="064C8DE5">
      <w:pPr>
        <w:spacing w:line="440" w:lineRule="exact"/>
        <w:ind w:left="552" w:hanging="552" w:hangingChars="250"/>
        <w:rPr>
          <w:rFonts w:hint="eastAsia" w:ascii="宋体" w:hAnsi="宋体"/>
          <w:b/>
          <w:color w:val="auto"/>
          <w:sz w:val="22"/>
          <w:szCs w:val="22"/>
        </w:rPr>
      </w:pPr>
      <w:r>
        <w:rPr>
          <w:rFonts w:hint="eastAsia" w:ascii="宋体" w:hAnsi="宋体"/>
          <w:b/>
          <w:color w:val="auto"/>
          <w:sz w:val="22"/>
          <w:szCs w:val="22"/>
        </w:rPr>
        <w:t>4.   投标文件的效力</w:t>
      </w:r>
    </w:p>
    <w:p w14:paraId="166431D9">
      <w:pPr>
        <w:spacing w:line="440" w:lineRule="exact"/>
        <w:ind w:left="533" w:leftChars="254"/>
        <w:rPr>
          <w:rFonts w:hint="eastAsia" w:ascii="宋体" w:hAnsi="宋体"/>
          <w:color w:val="auto"/>
          <w:sz w:val="22"/>
          <w:szCs w:val="22"/>
        </w:rPr>
      </w:pPr>
      <w:r>
        <w:rPr>
          <w:rFonts w:hint="eastAsia" w:ascii="宋体" w:hAnsi="宋体"/>
          <w:color w:val="auto"/>
          <w:sz w:val="22"/>
          <w:szCs w:val="22"/>
        </w:rPr>
        <w:t>投标文件的启用，按先后顺位分别为电子投标文件和备份投标文件。在下一顺位的投标文件启用时，前一顺位的投标文件自动失效。</w:t>
      </w:r>
    </w:p>
    <w:p w14:paraId="5466A7FE">
      <w:pPr>
        <w:spacing w:line="440" w:lineRule="exact"/>
        <w:rPr>
          <w:rFonts w:hint="eastAsia" w:ascii="宋体" w:hAnsi="宋体" w:cs="宋体"/>
          <w:color w:val="auto"/>
          <w:sz w:val="22"/>
          <w:szCs w:val="22"/>
        </w:rPr>
      </w:pPr>
      <w:r>
        <w:rPr>
          <w:rFonts w:hint="eastAsia" w:ascii="宋体" w:hAnsi="宋体" w:cs="宋体"/>
          <w:color w:val="auto"/>
          <w:sz w:val="22"/>
          <w:szCs w:val="22"/>
        </w:rPr>
        <w:t xml:space="preserve">5.   </w:t>
      </w:r>
      <w:r>
        <w:rPr>
          <w:rFonts w:hint="eastAsia" w:ascii="宋体" w:hAnsi="宋体" w:cs="宋体"/>
          <w:b/>
          <w:bCs/>
          <w:color w:val="auto"/>
          <w:sz w:val="22"/>
          <w:szCs w:val="22"/>
        </w:rPr>
        <w:t>投标文件的组成：</w:t>
      </w:r>
    </w:p>
    <w:p w14:paraId="0F7189F0">
      <w:pPr>
        <w:spacing w:line="440" w:lineRule="exact"/>
        <w:rPr>
          <w:rFonts w:hint="eastAsia" w:ascii="宋体" w:hAnsi="宋体" w:cs="宋体"/>
          <w:color w:val="auto"/>
          <w:sz w:val="22"/>
          <w:szCs w:val="22"/>
        </w:rPr>
      </w:pPr>
      <w:r>
        <w:rPr>
          <w:rFonts w:hint="eastAsia" w:ascii="宋体" w:hAnsi="宋体" w:cs="宋体"/>
          <w:color w:val="auto"/>
          <w:sz w:val="22"/>
          <w:szCs w:val="22"/>
        </w:rPr>
        <w:t>5.1  投标文件由资格文件、商务技术文件、报价文件三部分组成：</w:t>
      </w:r>
    </w:p>
    <w:p w14:paraId="0E2CFAB5">
      <w:pPr>
        <w:spacing w:line="440" w:lineRule="exact"/>
        <w:rPr>
          <w:rFonts w:hint="eastAsia" w:ascii="宋体" w:hAnsi="宋体" w:cs="宋体"/>
          <w:b/>
          <w:color w:val="auto"/>
          <w:sz w:val="22"/>
          <w:szCs w:val="22"/>
        </w:rPr>
      </w:pPr>
      <w:r>
        <w:rPr>
          <w:rFonts w:hint="eastAsia" w:ascii="宋体" w:hAnsi="宋体" w:cs="宋体"/>
          <w:color w:val="auto"/>
          <w:sz w:val="22"/>
          <w:szCs w:val="22"/>
        </w:rPr>
        <w:t>5.1.1</w:t>
      </w:r>
      <w:r>
        <w:rPr>
          <w:rFonts w:hint="eastAsia" w:ascii="宋体" w:hAnsi="宋体" w:cs="宋体"/>
          <w:b/>
          <w:color w:val="auto"/>
          <w:sz w:val="22"/>
          <w:szCs w:val="22"/>
        </w:rPr>
        <w:t>资格文件</w:t>
      </w:r>
    </w:p>
    <w:tbl>
      <w:tblPr>
        <w:tblStyle w:val="3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7449"/>
        <w:gridCol w:w="1440"/>
      </w:tblGrid>
      <w:tr w14:paraId="6DB8C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37F31467">
            <w:pPr>
              <w:autoSpaceDE w:val="0"/>
              <w:autoSpaceDN w:val="0"/>
              <w:adjustRightInd w:val="0"/>
              <w:snapToGrid w:val="0"/>
              <w:spacing w:line="430" w:lineRule="atLeast"/>
              <w:rPr>
                <w:rFonts w:hint="eastAsia" w:ascii="宋体" w:hAnsi="宋体" w:cs="宋体"/>
                <w:b/>
                <w:color w:val="auto"/>
                <w:sz w:val="22"/>
                <w:lang w:val="zh-CN"/>
              </w:rPr>
            </w:pPr>
            <w:r>
              <w:rPr>
                <w:rFonts w:hint="eastAsia" w:ascii="宋体" w:hAnsi="宋体" w:cs="宋体"/>
                <w:b/>
                <w:color w:val="auto"/>
                <w:sz w:val="22"/>
                <w:lang w:val="zh-CN"/>
              </w:rPr>
              <w:t>序号</w:t>
            </w:r>
          </w:p>
        </w:tc>
        <w:tc>
          <w:tcPr>
            <w:tcW w:w="7449" w:type="dxa"/>
          </w:tcPr>
          <w:p w14:paraId="3FDE5C82">
            <w:pPr>
              <w:autoSpaceDE w:val="0"/>
              <w:autoSpaceDN w:val="0"/>
              <w:adjustRightInd w:val="0"/>
              <w:snapToGrid w:val="0"/>
              <w:spacing w:line="430" w:lineRule="atLeast"/>
              <w:jc w:val="center"/>
              <w:rPr>
                <w:rFonts w:hint="eastAsia" w:ascii="宋体" w:hAnsi="宋体" w:cs="宋体"/>
                <w:b/>
                <w:color w:val="auto"/>
                <w:sz w:val="22"/>
                <w:lang w:val="zh-CN"/>
              </w:rPr>
            </w:pPr>
            <w:r>
              <w:rPr>
                <w:rFonts w:hint="eastAsia" w:ascii="宋体" w:hAnsi="宋体" w:cs="宋体"/>
                <w:b/>
                <w:color w:val="auto"/>
                <w:sz w:val="22"/>
                <w:lang w:val="zh-CN"/>
              </w:rPr>
              <w:t>内容</w:t>
            </w:r>
          </w:p>
        </w:tc>
        <w:tc>
          <w:tcPr>
            <w:tcW w:w="1440" w:type="dxa"/>
          </w:tcPr>
          <w:p w14:paraId="7ED59DEC">
            <w:pPr>
              <w:autoSpaceDE w:val="0"/>
              <w:autoSpaceDN w:val="0"/>
              <w:adjustRightInd w:val="0"/>
              <w:snapToGrid w:val="0"/>
              <w:spacing w:line="430" w:lineRule="atLeast"/>
              <w:jc w:val="center"/>
              <w:rPr>
                <w:rFonts w:hint="eastAsia" w:ascii="宋体" w:hAnsi="宋体" w:cs="宋体"/>
                <w:b/>
                <w:color w:val="auto"/>
                <w:sz w:val="22"/>
                <w:lang w:val="zh-CN"/>
              </w:rPr>
            </w:pPr>
            <w:r>
              <w:rPr>
                <w:rFonts w:hint="eastAsia" w:ascii="宋体" w:hAnsi="宋体" w:cs="宋体"/>
                <w:b/>
                <w:color w:val="auto"/>
                <w:sz w:val="22"/>
                <w:lang w:val="zh-CN"/>
              </w:rPr>
              <w:t>说明</w:t>
            </w:r>
          </w:p>
        </w:tc>
      </w:tr>
      <w:tr w14:paraId="2B834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vAlign w:val="center"/>
          </w:tcPr>
          <w:p w14:paraId="59093A02">
            <w:pPr>
              <w:autoSpaceDE w:val="0"/>
              <w:autoSpaceDN w:val="0"/>
              <w:adjustRightInd w:val="0"/>
              <w:snapToGrid w:val="0"/>
              <w:spacing w:line="440" w:lineRule="exact"/>
              <w:jc w:val="center"/>
              <w:rPr>
                <w:rFonts w:hint="eastAsia" w:ascii="宋体" w:hAnsi="宋体" w:cs="宋体"/>
                <w:color w:val="auto"/>
                <w:sz w:val="22"/>
                <w:lang w:val="zh-CN"/>
              </w:rPr>
            </w:pPr>
            <w:r>
              <w:rPr>
                <w:rFonts w:ascii="宋体" w:hAnsi="宋体" w:cs="宋体"/>
                <w:color w:val="auto"/>
                <w:sz w:val="22"/>
                <w:lang w:val="zh-CN"/>
              </w:rPr>
              <w:t>1</w:t>
            </w:r>
          </w:p>
        </w:tc>
        <w:tc>
          <w:tcPr>
            <w:tcW w:w="7449" w:type="dxa"/>
          </w:tcPr>
          <w:p w14:paraId="32D31D36">
            <w:pPr>
              <w:autoSpaceDE w:val="0"/>
              <w:autoSpaceDN w:val="0"/>
              <w:adjustRightInd w:val="0"/>
              <w:snapToGrid w:val="0"/>
              <w:spacing w:line="440" w:lineRule="exact"/>
              <w:rPr>
                <w:rFonts w:hint="eastAsia" w:ascii="宋体" w:hAnsi="宋体" w:cs="宋体"/>
                <w:b/>
                <w:color w:val="auto"/>
                <w:sz w:val="22"/>
                <w:lang w:val="zh-CN"/>
              </w:rPr>
            </w:pPr>
            <w:r>
              <w:rPr>
                <w:rFonts w:hint="eastAsia" w:ascii="宋体" w:hAnsi="宋体" w:cs="宋体"/>
                <w:color w:val="auto"/>
                <w:sz w:val="22"/>
                <w:szCs w:val="22"/>
              </w:rPr>
              <w:t>资格证明文件</w:t>
            </w:r>
          </w:p>
        </w:tc>
        <w:tc>
          <w:tcPr>
            <w:tcW w:w="1440" w:type="dxa"/>
          </w:tcPr>
          <w:p w14:paraId="37390683">
            <w:pPr>
              <w:autoSpaceDE w:val="0"/>
              <w:autoSpaceDN w:val="0"/>
              <w:adjustRightInd w:val="0"/>
              <w:snapToGrid w:val="0"/>
              <w:spacing w:line="440" w:lineRule="exact"/>
              <w:jc w:val="center"/>
              <w:rPr>
                <w:rFonts w:hint="eastAsia" w:ascii="宋体" w:hAnsi="宋体" w:cs="宋体"/>
                <w:b/>
                <w:color w:val="auto"/>
                <w:sz w:val="22"/>
              </w:rPr>
            </w:pPr>
            <w:r>
              <w:rPr>
                <w:rFonts w:hint="eastAsia" w:ascii="宋体" w:hAnsi="宋体" w:cs="宋体"/>
                <w:color w:val="auto"/>
                <w:sz w:val="22"/>
                <w:szCs w:val="22"/>
              </w:rPr>
              <w:t>附件四</w:t>
            </w:r>
          </w:p>
        </w:tc>
      </w:tr>
      <w:tr w14:paraId="4702B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711A8F70">
            <w:pPr>
              <w:autoSpaceDE w:val="0"/>
              <w:autoSpaceDN w:val="0"/>
              <w:adjustRightInd w:val="0"/>
              <w:snapToGrid w:val="0"/>
              <w:spacing w:line="440" w:lineRule="exact"/>
              <w:jc w:val="center"/>
              <w:rPr>
                <w:rFonts w:hint="eastAsia" w:ascii="宋体" w:hAnsi="宋体" w:cs="宋体"/>
                <w:color w:val="auto"/>
                <w:sz w:val="22"/>
                <w:lang w:val="zh-CN"/>
              </w:rPr>
            </w:pPr>
            <w:r>
              <w:rPr>
                <w:rFonts w:hint="eastAsia" w:ascii="宋体" w:hAnsi="宋体" w:cs="宋体"/>
                <w:color w:val="auto"/>
                <w:sz w:val="22"/>
                <w:lang w:val="zh-CN"/>
              </w:rPr>
              <w:t>1.</w:t>
            </w:r>
            <w:r>
              <w:rPr>
                <w:rFonts w:ascii="宋体" w:hAnsi="宋体" w:cs="宋体"/>
                <w:color w:val="auto"/>
                <w:sz w:val="22"/>
                <w:lang w:val="zh-CN"/>
              </w:rPr>
              <w:t>1</w:t>
            </w:r>
          </w:p>
        </w:tc>
        <w:tc>
          <w:tcPr>
            <w:tcW w:w="7449" w:type="dxa"/>
            <w:vAlign w:val="center"/>
          </w:tcPr>
          <w:p w14:paraId="65CBF6B8">
            <w:pPr>
              <w:autoSpaceDE w:val="0"/>
              <w:autoSpaceDN w:val="0"/>
              <w:adjustRightInd w:val="0"/>
              <w:snapToGrid w:val="0"/>
              <w:spacing w:line="440" w:lineRule="exact"/>
              <w:rPr>
                <w:rFonts w:hint="eastAsia" w:ascii="宋体" w:hAnsi="宋体" w:cs="宋体"/>
                <w:color w:val="auto"/>
                <w:sz w:val="22"/>
                <w:szCs w:val="22"/>
              </w:rPr>
            </w:pPr>
            <w:r>
              <w:rPr>
                <w:rFonts w:hint="eastAsia" w:ascii="宋体" w:hAnsi="宋体" w:cs="宋体"/>
                <w:color w:val="auto"/>
                <w:sz w:val="22"/>
                <w:szCs w:val="22"/>
              </w:rPr>
              <w:t>法定代表人身份证明或法定代表人授权书</w:t>
            </w:r>
          </w:p>
        </w:tc>
        <w:tc>
          <w:tcPr>
            <w:tcW w:w="1440" w:type="dxa"/>
          </w:tcPr>
          <w:p w14:paraId="3D8CA440">
            <w:pPr>
              <w:autoSpaceDE w:val="0"/>
              <w:autoSpaceDN w:val="0"/>
              <w:adjustRightInd w:val="0"/>
              <w:snapToGrid w:val="0"/>
              <w:spacing w:line="440" w:lineRule="exact"/>
              <w:jc w:val="center"/>
              <w:rPr>
                <w:rFonts w:hint="eastAsia" w:ascii="宋体" w:hAnsi="宋体" w:cs="宋体"/>
                <w:color w:val="auto"/>
                <w:sz w:val="22"/>
                <w:szCs w:val="22"/>
              </w:rPr>
            </w:pPr>
            <w:r>
              <w:rPr>
                <w:rFonts w:hint="eastAsia" w:ascii="宋体" w:hAnsi="宋体" w:cs="宋体"/>
                <w:color w:val="auto"/>
                <w:sz w:val="22"/>
                <w:szCs w:val="22"/>
              </w:rPr>
              <w:t>附件四-1、2</w:t>
            </w:r>
          </w:p>
        </w:tc>
      </w:tr>
      <w:tr w14:paraId="25713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1D1226A5">
            <w:pPr>
              <w:autoSpaceDE w:val="0"/>
              <w:autoSpaceDN w:val="0"/>
              <w:adjustRightInd w:val="0"/>
              <w:snapToGrid w:val="0"/>
              <w:spacing w:line="440" w:lineRule="exact"/>
              <w:jc w:val="center"/>
              <w:rPr>
                <w:rFonts w:hint="eastAsia" w:ascii="宋体" w:hAnsi="宋体" w:cs="宋体"/>
                <w:color w:val="auto"/>
                <w:sz w:val="22"/>
                <w:lang w:val="zh-CN"/>
              </w:rPr>
            </w:pPr>
            <w:r>
              <w:rPr>
                <w:rFonts w:ascii="宋体" w:hAnsi="宋体" w:cs="宋体"/>
                <w:color w:val="auto"/>
                <w:sz w:val="22"/>
                <w:lang w:val="zh-CN"/>
              </w:rPr>
              <w:t>1</w:t>
            </w:r>
            <w:r>
              <w:rPr>
                <w:rFonts w:hint="eastAsia" w:ascii="宋体" w:hAnsi="宋体" w:cs="宋体"/>
                <w:color w:val="auto"/>
                <w:sz w:val="22"/>
                <w:lang w:val="zh-CN"/>
              </w:rPr>
              <w:t>.</w:t>
            </w:r>
            <w:r>
              <w:rPr>
                <w:rFonts w:ascii="宋体" w:hAnsi="宋体" w:cs="宋体"/>
                <w:color w:val="auto"/>
                <w:sz w:val="22"/>
                <w:lang w:val="zh-CN"/>
              </w:rPr>
              <w:t>2</w:t>
            </w:r>
          </w:p>
        </w:tc>
        <w:tc>
          <w:tcPr>
            <w:tcW w:w="7449" w:type="dxa"/>
            <w:vAlign w:val="center"/>
          </w:tcPr>
          <w:p w14:paraId="7F736066">
            <w:pPr>
              <w:autoSpaceDE w:val="0"/>
              <w:autoSpaceDN w:val="0"/>
              <w:adjustRightInd w:val="0"/>
              <w:snapToGrid w:val="0"/>
              <w:spacing w:line="360" w:lineRule="exact"/>
              <w:rPr>
                <w:rFonts w:hint="eastAsia" w:ascii="宋体" w:hAnsi="宋体" w:cs="宋体"/>
                <w:color w:val="auto"/>
                <w:sz w:val="22"/>
                <w:szCs w:val="22"/>
              </w:rPr>
            </w:pPr>
            <w:r>
              <w:rPr>
                <w:rFonts w:hint="eastAsia" w:ascii="宋体" w:hAnsi="宋体" w:cs="宋体"/>
                <w:color w:val="auto"/>
                <w:sz w:val="22"/>
                <w:szCs w:val="22"/>
              </w:rPr>
              <w:t>投标人企业法人有效营业执照（或事业法人登记证书或其它工商等登记证明材料，自然人提供身份证)复制件（如为联合体，则联合体各方均应提供）（五选一）</w:t>
            </w:r>
          </w:p>
          <w:p w14:paraId="5B4ACB34">
            <w:pPr>
              <w:autoSpaceDE w:val="0"/>
              <w:autoSpaceDN w:val="0"/>
              <w:adjustRightInd w:val="0"/>
              <w:snapToGrid w:val="0"/>
              <w:spacing w:line="360" w:lineRule="exact"/>
              <w:rPr>
                <w:rFonts w:hint="eastAsia" w:ascii="宋体" w:hAnsi="宋体" w:cs="宋体"/>
                <w:color w:val="auto"/>
                <w:sz w:val="22"/>
                <w:szCs w:val="22"/>
              </w:rPr>
            </w:pPr>
            <w:r>
              <w:rPr>
                <w:rFonts w:hint="eastAsia" w:ascii="宋体" w:hAnsi="宋体" w:cs="宋体"/>
                <w:color w:val="auto"/>
                <w:sz w:val="22"/>
                <w:szCs w:val="22"/>
              </w:rPr>
              <w:t>①如投标人是企业（包括合伙企业），提供在工商部门注册的有效“企业法人营业执照”或“营业执照”；</w:t>
            </w:r>
          </w:p>
          <w:p w14:paraId="77F960C8">
            <w:pPr>
              <w:autoSpaceDE w:val="0"/>
              <w:autoSpaceDN w:val="0"/>
              <w:adjustRightInd w:val="0"/>
              <w:snapToGrid w:val="0"/>
              <w:spacing w:line="360" w:lineRule="exact"/>
              <w:rPr>
                <w:rFonts w:hint="eastAsia" w:ascii="宋体" w:hAnsi="宋体" w:cs="宋体"/>
                <w:color w:val="auto"/>
                <w:sz w:val="22"/>
                <w:szCs w:val="22"/>
              </w:rPr>
            </w:pPr>
            <w:r>
              <w:rPr>
                <w:rFonts w:hint="eastAsia" w:ascii="宋体" w:hAnsi="宋体" w:cs="宋体"/>
                <w:color w:val="auto"/>
                <w:sz w:val="22"/>
                <w:szCs w:val="22"/>
              </w:rPr>
              <w:t>②如投标人是事业单位，提供有效的“事业单位法人证书”；</w:t>
            </w:r>
          </w:p>
          <w:p w14:paraId="42FD5BFA">
            <w:pPr>
              <w:autoSpaceDE w:val="0"/>
              <w:autoSpaceDN w:val="0"/>
              <w:adjustRightInd w:val="0"/>
              <w:snapToGrid w:val="0"/>
              <w:spacing w:line="360" w:lineRule="exact"/>
              <w:rPr>
                <w:rFonts w:hint="eastAsia" w:ascii="宋体" w:hAnsi="宋体" w:cs="宋体"/>
                <w:color w:val="auto"/>
                <w:sz w:val="22"/>
                <w:szCs w:val="22"/>
              </w:rPr>
            </w:pPr>
            <w:r>
              <w:rPr>
                <w:rFonts w:hint="eastAsia" w:ascii="宋体" w:hAnsi="宋体" w:cs="宋体"/>
                <w:color w:val="auto"/>
                <w:sz w:val="22"/>
                <w:szCs w:val="22"/>
              </w:rPr>
              <w:t>③如投标人是非企业专业服务机构的，提供执业许可证等证明文件；</w:t>
            </w:r>
          </w:p>
          <w:p w14:paraId="2D3EA2E1">
            <w:pPr>
              <w:autoSpaceDE w:val="0"/>
              <w:autoSpaceDN w:val="0"/>
              <w:adjustRightInd w:val="0"/>
              <w:snapToGrid w:val="0"/>
              <w:spacing w:line="360" w:lineRule="exact"/>
              <w:rPr>
                <w:rFonts w:hint="eastAsia" w:ascii="宋体" w:hAnsi="宋体" w:cs="宋体"/>
                <w:color w:val="auto"/>
                <w:sz w:val="22"/>
                <w:szCs w:val="22"/>
              </w:rPr>
            </w:pPr>
            <w:r>
              <w:rPr>
                <w:rFonts w:hint="eastAsia" w:ascii="宋体" w:hAnsi="宋体" w:cs="宋体"/>
                <w:color w:val="auto"/>
                <w:sz w:val="22"/>
                <w:szCs w:val="22"/>
              </w:rPr>
              <w:t>④如投标人是个体工商户，提供有效的“个体工商户营业执照”；</w:t>
            </w:r>
          </w:p>
          <w:p w14:paraId="4B53E57E">
            <w:pPr>
              <w:autoSpaceDE w:val="0"/>
              <w:autoSpaceDN w:val="0"/>
              <w:adjustRightInd w:val="0"/>
              <w:snapToGrid w:val="0"/>
              <w:spacing w:line="360" w:lineRule="exact"/>
              <w:rPr>
                <w:rFonts w:hint="eastAsia" w:ascii="宋体" w:hAnsi="宋体" w:cs="宋体"/>
                <w:color w:val="auto"/>
                <w:sz w:val="22"/>
                <w:szCs w:val="22"/>
              </w:rPr>
            </w:pPr>
            <w:r>
              <w:rPr>
                <w:rFonts w:hint="eastAsia" w:ascii="宋体" w:hAnsi="宋体" w:cs="宋体"/>
                <w:color w:val="auto"/>
                <w:sz w:val="22"/>
                <w:szCs w:val="22"/>
              </w:rPr>
              <w:t>⑤如投标人是自然人，提供有效的自然人身份证明（居民身份证正反面或公安机关出具的临时居民身份证正反面或港澳台胞证或护照）。</w:t>
            </w:r>
          </w:p>
          <w:p w14:paraId="107F2756">
            <w:pPr>
              <w:autoSpaceDE w:val="0"/>
              <w:autoSpaceDN w:val="0"/>
              <w:adjustRightInd w:val="0"/>
              <w:snapToGrid w:val="0"/>
              <w:spacing w:line="360" w:lineRule="exact"/>
              <w:rPr>
                <w:rFonts w:hint="eastAsia" w:ascii="宋体" w:hAnsi="宋体" w:cs="宋体"/>
                <w:color w:val="auto"/>
                <w:sz w:val="22"/>
                <w:szCs w:val="22"/>
              </w:rPr>
            </w:pPr>
            <w:r>
              <w:rPr>
                <w:rFonts w:hint="eastAsia" w:ascii="宋体" w:hAnsi="宋体" w:cs="宋体"/>
                <w:color w:val="auto"/>
                <w:sz w:val="22"/>
                <w:szCs w:val="22"/>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tc>
        <w:tc>
          <w:tcPr>
            <w:tcW w:w="1440" w:type="dxa"/>
          </w:tcPr>
          <w:p w14:paraId="2C000656">
            <w:pPr>
              <w:autoSpaceDE w:val="0"/>
              <w:autoSpaceDN w:val="0"/>
              <w:adjustRightInd w:val="0"/>
              <w:snapToGrid w:val="0"/>
              <w:spacing w:line="440" w:lineRule="exact"/>
              <w:jc w:val="center"/>
              <w:rPr>
                <w:rFonts w:hint="eastAsia" w:ascii="宋体" w:hAnsi="宋体" w:cs="宋体"/>
                <w:color w:val="auto"/>
                <w:sz w:val="22"/>
                <w:szCs w:val="22"/>
              </w:rPr>
            </w:pPr>
          </w:p>
        </w:tc>
      </w:tr>
      <w:tr w14:paraId="3A5F5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759642A9">
            <w:pPr>
              <w:autoSpaceDE w:val="0"/>
              <w:autoSpaceDN w:val="0"/>
              <w:adjustRightInd w:val="0"/>
              <w:snapToGrid w:val="0"/>
              <w:spacing w:line="440" w:lineRule="exact"/>
              <w:jc w:val="center"/>
              <w:rPr>
                <w:rFonts w:hint="eastAsia" w:ascii="宋体" w:hAnsi="宋体" w:cs="宋体"/>
                <w:color w:val="auto"/>
                <w:sz w:val="22"/>
                <w:lang w:val="zh-CN"/>
              </w:rPr>
            </w:pPr>
            <w:r>
              <w:rPr>
                <w:rFonts w:ascii="宋体" w:hAnsi="宋体" w:cs="宋体"/>
                <w:color w:val="auto"/>
                <w:sz w:val="22"/>
                <w:lang w:val="zh-CN"/>
              </w:rPr>
              <w:t>1</w:t>
            </w:r>
            <w:r>
              <w:rPr>
                <w:rFonts w:hint="eastAsia" w:ascii="宋体" w:hAnsi="宋体" w:cs="宋体"/>
                <w:color w:val="auto"/>
                <w:sz w:val="22"/>
                <w:lang w:val="zh-CN"/>
              </w:rPr>
              <w:t>.</w:t>
            </w:r>
            <w:r>
              <w:rPr>
                <w:rFonts w:ascii="宋体" w:hAnsi="宋体" w:cs="宋体"/>
                <w:color w:val="auto"/>
                <w:sz w:val="22"/>
                <w:lang w:val="zh-CN"/>
              </w:rPr>
              <w:t>3</w:t>
            </w:r>
          </w:p>
        </w:tc>
        <w:tc>
          <w:tcPr>
            <w:tcW w:w="7449" w:type="dxa"/>
            <w:vAlign w:val="center"/>
          </w:tcPr>
          <w:p w14:paraId="2536A7FA">
            <w:pPr>
              <w:autoSpaceDE w:val="0"/>
              <w:autoSpaceDN w:val="0"/>
              <w:adjustRightInd w:val="0"/>
              <w:snapToGrid w:val="0"/>
              <w:spacing w:line="440" w:lineRule="exact"/>
              <w:rPr>
                <w:rFonts w:hint="eastAsia" w:ascii="宋体" w:hAnsi="宋体" w:cs="宋体"/>
                <w:color w:val="auto"/>
                <w:sz w:val="22"/>
                <w:szCs w:val="22"/>
              </w:rPr>
            </w:pPr>
            <w:r>
              <w:rPr>
                <w:rFonts w:hint="eastAsia" w:ascii="宋体" w:hAnsi="宋体" w:cs="宋体"/>
                <w:color w:val="auto"/>
                <w:sz w:val="22"/>
                <w:szCs w:val="22"/>
              </w:rPr>
              <w:t>符合参加政府采购活动应当具备的一般条件的承诺函</w:t>
            </w:r>
          </w:p>
        </w:tc>
        <w:tc>
          <w:tcPr>
            <w:tcW w:w="1440" w:type="dxa"/>
          </w:tcPr>
          <w:p w14:paraId="70540904">
            <w:pPr>
              <w:autoSpaceDE w:val="0"/>
              <w:autoSpaceDN w:val="0"/>
              <w:adjustRightInd w:val="0"/>
              <w:snapToGrid w:val="0"/>
              <w:spacing w:line="440" w:lineRule="exact"/>
              <w:jc w:val="center"/>
              <w:rPr>
                <w:rFonts w:hint="eastAsia" w:ascii="宋体" w:hAnsi="宋体" w:cs="宋体"/>
                <w:color w:val="auto"/>
                <w:sz w:val="22"/>
                <w:szCs w:val="22"/>
              </w:rPr>
            </w:pPr>
            <w:r>
              <w:rPr>
                <w:rFonts w:hint="eastAsia" w:ascii="宋体" w:hAnsi="宋体" w:cs="宋体"/>
                <w:color w:val="auto"/>
                <w:sz w:val="22"/>
                <w:szCs w:val="22"/>
              </w:rPr>
              <w:t>附件四-</w:t>
            </w:r>
            <w:r>
              <w:rPr>
                <w:rFonts w:ascii="宋体" w:hAnsi="宋体" w:cs="宋体"/>
                <w:color w:val="auto"/>
                <w:sz w:val="22"/>
                <w:szCs w:val="22"/>
              </w:rPr>
              <w:t>3</w:t>
            </w:r>
          </w:p>
        </w:tc>
      </w:tr>
      <w:tr w14:paraId="07983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4264C4D4">
            <w:pPr>
              <w:autoSpaceDE w:val="0"/>
              <w:autoSpaceDN w:val="0"/>
              <w:adjustRightInd w:val="0"/>
              <w:snapToGrid w:val="0"/>
              <w:spacing w:line="440" w:lineRule="exact"/>
              <w:jc w:val="center"/>
              <w:rPr>
                <w:rFonts w:hint="eastAsia" w:ascii="宋体" w:hAnsi="宋体" w:cs="宋体"/>
                <w:color w:val="auto"/>
                <w:sz w:val="22"/>
                <w:lang w:val="zh-CN"/>
              </w:rPr>
            </w:pPr>
            <w:r>
              <w:rPr>
                <w:rFonts w:hint="eastAsia" w:ascii="宋体" w:hAnsi="宋体" w:cs="宋体"/>
                <w:color w:val="auto"/>
                <w:sz w:val="22"/>
                <w:lang w:val="zh-CN"/>
              </w:rPr>
              <w:t>1.</w:t>
            </w:r>
            <w:r>
              <w:rPr>
                <w:rFonts w:ascii="宋体" w:hAnsi="宋体" w:cs="宋体"/>
                <w:color w:val="auto"/>
                <w:sz w:val="22"/>
                <w:lang w:val="zh-CN"/>
              </w:rPr>
              <w:t>4</w:t>
            </w:r>
          </w:p>
        </w:tc>
        <w:tc>
          <w:tcPr>
            <w:tcW w:w="7449" w:type="dxa"/>
          </w:tcPr>
          <w:p w14:paraId="0CED0238">
            <w:pPr>
              <w:autoSpaceDE w:val="0"/>
              <w:autoSpaceDN w:val="0"/>
              <w:adjustRightInd w:val="0"/>
              <w:snapToGrid w:val="0"/>
              <w:spacing w:line="440" w:lineRule="exact"/>
              <w:rPr>
                <w:rFonts w:hint="eastAsia" w:ascii="宋体" w:hAnsi="宋体" w:cs="宋体"/>
                <w:color w:val="auto"/>
                <w:sz w:val="22"/>
                <w:szCs w:val="22"/>
              </w:rPr>
            </w:pPr>
            <w:r>
              <w:rPr>
                <w:rFonts w:hint="eastAsia" w:ascii="宋体" w:hAnsi="宋体" w:cs="宋体"/>
                <w:color w:val="auto"/>
                <w:sz w:val="22"/>
                <w:szCs w:val="22"/>
              </w:rPr>
              <w:t>中小企业声明函</w:t>
            </w:r>
          </w:p>
        </w:tc>
        <w:tc>
          <w:tcPr>
            <w:tcW w:w="1440" w:type="dxa"/>
          </w:tcPr>
          <w:p w14:paraId="35E05003">
            <w:pPr>
              <w:autoSpaceDE w:val="0"/>
              <w:autoSpaceDN w:val="0"/>
              <w:adjustRightInd w:val="0"/>
              <w:snapToGrid w:val="0"/>
              <w:spacing w:line="440" w:lineRule="exact"/>
              <w:jc w:val="center"/>
              <w:rPr>
                <w:rFonts w:hint="eastAsia" w:ascii="宋体" w:hAnsi="宋体" w:cs="宋体"/>
                <w:color w:val="auto"/>
                <w:sz w:val="22"/>
                <w:szCs w:val="22"/>
              </w:rPr>
            </w:pPr>
            <w:r>
              <w:rPr>
                <w:rFonts w:hint="eastAsia" w:ascii="宋体" w:hAnsi="宋体" w:cs="宋体"/>
                <w:color w:val="auto"/>
                <w:sz w:val="22"/>
                <w:szCs w:val="22"/>
              </w:rPr>
              <w:t>附件八-1</w:t>
            </w:r>
          </w:p>
        </w:tc>
      </w:tr>
      <w:tr w14:paraId="4987B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13A4B9C8">
            <w:pPr>
              <w:autoSpaceDE w:val="0"/>
              <w:autoSpaceDN w:val="0"/>
              <w:adjustRightInd w:val="0"/>
              <w:snapToGrid w:val="0"/>
              <w:spacing w:line="440" w:lineRule="exact"/>
              <w:jc w:val="center"/>
              <w:rPr>
                <w:rFonts w:hint="eastAsia" w:ascii="宋体" w:hAnsi="宋体" w:cs="宋体"/>
                <w:color w:val="auto"/>
                <w:sz w:val="22"/>
                <w:lang w:val="zh-CN"/>
              </w:rPr>
            </w:pPr>
            <w:r>
              <w:rPr>
                <w:rFonts w:hint="eastAsia" w:ascii="宋体" w:hAnsi="宋体" w:cs="宋体"/>
                <w:color w:val="auto"/>
                <w:sz w:val="22"/>
                <w:lang w:val="zh-CN"/>
              </w:rPr>
              <w:t>1.</w:t>
            </w:r>
            <w:r>
              <w:rPr>
                <w:rFonts w:ascii="宋体" w:hAnsi="宋体" w:cs="宋体"/>
                <w:color w:val="auto"/>
                <w:sz w:val="22"/>
                <w:lang w:val="zh-CN"/>
              </w:rPr>
              <w:t>5</w:t>
            </w:r>
          </w:p>
        </w:tc>
        <w:tc>
          <w:tcPr>
            <w:tcW w:w="7449" w:type="dxa"/>
          </w:tcPr>
          <w:p w14:paraId="517F530E">
            <w:pPr>
              <w:autoSpaceDE w:val="0"/>
              <w:autoSpaceDN w:val="0"/>
              <w:adjustRightInd w:val="0"/>
              <w:snapToGrid w:val="0"/>
              <w:spacing w:line="440" w:lineRule="exact"/>
              <w:rPr>
                <w:rFonts w:hint="eastAsia" w:ascii="宋体" w:hAnsi="宋体" w:cs="宋体"/>
                <w:color w:val="auto"/>
                <w:sz w:val="22"/>
                <w:szCs w:val="22"/>
              </w:rPr>
            </w:pPr>
            <w:r>
              <w:rPr>
                <w:rFonts w:hint="eastAsia" w:ascii="宋体" w:hAnsi="宋体" w:cs="宋体"/>
                <w:color w:val="auto"/>
                <w:sz w:val="22"/>
                <w:szCs w:val="22"/>
              </w:rPr>
              <w:t>残疾人福利性单位声明函（如为残疾人单位的请根据附件内容提供）</w:t>
            </w:r>
          </w:p>
        </w:tc>
        <w:tc>
          <w:tcPr>
            <w:tcW w:w="1440" w:type="dxa"/>
          </w:tcPr>
          <w:p w14:paraId="7353DE8C">
            <w:pPr>
              <w:autoSpaceDE w:val="0"/>
              <w:autoSpaceDN w:val="0"/>
              <w:adjustRightInd w:val="0"/>
              <w:snapToGrid w:val="0"/>
              <w:spacing w:line="440" w:lineRule="exact"/>
              <w:jc w:val="center"/>
              <w:rPr>
                <w:rFonts w:hint="eastAsia" w:ascii="宋体" w:hAnsi="宋体" w:cs="宋体"/>
                <w:color w:val="auto"/>
                <w:sz w:val="22"/>
                <w:szCs w:val="22"/>
              </w:rPr>
            </w:pPr>
            <w:r>
              <w:rPr>
                <w:rFonts w:hint="eastAsia" w:ascii="宋体" w:hAnsi="宋体" w:cs="宋体"/>
                <w:color w:val="auto"/>
                <w:sz w:val="22"/>
                <w:szCs w:val="22"/>
              </w:rPr>
              <w:t>附件八-1</w:t>
            </w:r>
          </w:p>
        </w:tc>
      </w:tr>
      <w:tr w14:paraId="1118E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24BFAE6D">
            <w:pPr>
              <w:autoSpaceDE w:val="0"/>
              <w:autoSpaceDN w:val="0"/>
              <w:adjustRightInd w:val="0"/>
              <w:snapToGrid w:val="0"/>
              <w:spacing w:line="440" w:lineRule="exact"/>
              <w:jc w:val="center"/>
              <w:rPr>
                <w:rFonts w:hint="eastAsia" w:ascii="宋体" w:hAnsi="宋体" w:cs="宋体"/>
                <w:color w:val="auto"/>
                <w:sz w:val="22"/>
                <w:lang w:val="zh-CN"/>
              </w:rPr>
            </w:pPr>
            <w:r>
              <w:rPr>
                <w:rFonts w:hint="eastAsia" w:ascii="宋体" w:hAnsi="宋体" w:cs="宋体"/>
                <w:color w:val="auto"/>
                <w:sz w:val="22"/>
                <w:lang w:val="zh-CN"/>
              </w:rPr>
              <w:t>1.</w:t>
            </w:r>
            <w:r>
              <w:rPr>
                <w:rFonts w:ascii="宋体" w:hAnsi="宋体" w:cs="宋体"/>
                <w:color w:val="auto"/>
                <w:sz w:val="22"/>
                <w:lang w:val="zh-CN"/>
              </w:rPr>
              <w:t>6</w:t>
            </w:r>
          </w:p>
        </w:tc>
        <w:tc>
          <w:tcPr>
            <w:tcW w:w="7449" w:type="dxa"/>
          </w:tcPr>
          <w:p w14:paraId="076729EF">
            <w:pPr>
              <w:autoSpaceDE w:val="0"/>
              <w:autoSpaceDN w:val="0"/>
              <w:adjustRightInd w:val="0"/>
              <w:snapToGrid w:val="0"/>
              <w:spacing w:line="440" w:lineRule="exact"/>
              <w:rPr>
                <w:rFonts w:hint="eastAsia" w:ascii="宋体" w:hAnsi="宋体" w:cs="宋体"/>
                <w:color w:val="auto"/>
                <w:sz w:val="22"/>
                <w:szCs w:val="22"/>
              </w:rPr>
            </w:pPr>
            <w:r>
              <w:rPr>
                <w:rFonts w:hint="eastAsia" w:ascii="宋体" w:hAnsi="宋体" w:cs="宋体"/>
                <w:color w:val="auto"/>
                <w:sz w:val="22"/>
                <w:szCs w:val="22"/>
              </w:rPr>
              <w:t>监狱企业提供的相关证明材料（如为监狱企业的请根据附件内容提供）</w:t>
            </w:r>
          </w:p>
        </w:tc>
        <w:tc>
          <w:tcPr>
            <w:tcW w:w="1440" w:type="dxa"/>
          </w:tcPr>
          <w:p w14:paraId="7B66AB7E">
            <w:pPr>
              <w:autoSpaceDE w:val="0"/>
              <w:autoSpaceDN w:val="0"/>
              <w:adjustRightInd w:val="0"/>
              <w:snapToGrid w:val="0"/>
              <w:spacing w:line="440" w:lineRule="exact"/>
              <w:jc w:val="center"/>
              <w:rPr>
                <w:rFonts w:hint="eastAsia" w:ascii="宋体" w:hAnsi="宋体" w:cs="宋体"/>
                <w:color w:val="auto"/>
                <w:sz w:val="22"/>
                <w:szCs w:val="22"/>
              </w:rPr>
            </w:pPr>
            <w:r>
              <w:rPr>
                <w:rFonts w:hint="eastAsia" w:ascii="宋体" w:hAnsi="宋体" w:cs="宋体"/>
                <w:color w:val="auto"/>
                <w:sz w:val="22"/>
                <w:szCs w:val="22"/>
              </w:rPr>
              <w:t>附件八-1</w:t>
            </w:r>
          </w:p>
        </w:tc>
      </w:tr>
      <w:tr w14:paraId="04E92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004CCBD3">
            <w:pPr>
              <w:autoSpaceDE w:val="0"/>
              <w:autoSpaceDN w:val="0"/>
              <w:adjustRightInd w:val="0"/>
              <w:snapToGrid w:val="0"/>
              <w:spacing w:line="440" w:lineRule="exact"/>
              <w:jc w:val="center"/>
              <w:rPr>
                <w:rFonts w:hint="eastAsia" w:ascii="宋体" w:hAnsi="宋体" w:cs="宋体"/>
                <w:color w:val="auto"/>
                <w:sz w:val="22"/>
                <w:lang w:val="zh-CN"/>
              </w:rPr>
            </w:pPr>
            <w:r>
              <w:rPr>
                <w:rFonts w:hint="eastAsia" w:ascii="宋体" w:hAnsi="宋体" w:cs="宋体"/>
                <w:color w:val="auto"/>
                <w:sz w:val="22"/>
              </w:rPr>
              <w:t>1.7</w:t>
            </w:r>
          </w:p>
        </w:tc>
        <w:tc>
          <w:tcPr>
            <w:tcW w:w="7449" w:type="dxa"/>
            <w:vAlign w:val="center"/>
          </w:tcPr>
          <w:p w14:paraId="447E9DC7">
            <w:pPr>
              <w:autoSpaceDE w:val="0"/>
              <w:autoSpaceDN w:val="0"/>
              <w:adjustRightInd w:val="0"/>
              <w:snapToGrid w:val="0"/>
              <w:spacing w:line="440" w:lineRule="exact"/>
              <w:rPr>
                <w:rFonts w:hint="eastAsia" w:ascii="宋体" w:hAnsi="宋体" w:cs="宋体"/>
                <w:color w:val="auto"/>
                <w:sz w:val="22"/>
                <w:szCs w:val="22"/>
              </w:rPr>
            </w:pPr>
            <w:r>
              <w:rPr>
                <w:rFonts w:hint="eastAsia" w:ascii="宋体" w:hAnsi="宋体" w:cs="宋体"/>
                <w:color w:val="auto"/>
                <w:sz w:val="22"/>
                <w:szCs w:val="22"/>
              </w:rPr>
              <w:t>联合体协议书（如为联合体投标，请根据格式提供）</w:t>
            </w:r>
          </w:p>
        </w:tc>
        <w:tc>
          <w:tcPr>
            <w:tcW w:w="1440" w:type="dxa"/>
          </w:tcPr>
          <w:p w14:paraId="68680F39">
            <w:pPr>
              <w:autoSpaceDE w:val="0"/>
              <w:autoSpaceDN w:val="0"/>
              <w:adjustRightInd w:val="0"/>
              <w:snapToGrid w:val="0"/>
              <w:spacing w:line="440" w:lineRule="exact"/>
              <w:jc w:val="center"/>
              <w:rPr>
                <w:rFonts w:hint="eastAsia" w:ascii="宋体" w:hAnsi="宋体" w:cs="宋体"/>
                <w:color w:val="auto"/>
                <w:sz w:val="22"/>
                <w:szCs w:val="22"/>
              </w:rPr>
            </w:pPr>
            <w:r>
              <w:rPr>
                <w:rFonts w:hint="eastAsia" w:ascii="宋体" w:hAnsi="宋体" w:cs="宋体"/>
                <w:color w:val="auto"/>
                <w:sz w:val="22"/>
                <w:szCs w:val="22"/>
              </w:rPr>
              <w:t>附件四-4</w:t>
            </w:r>
          </w:p>
        </w:tc>
      </w:tr>
      <w:tr w14:paraId="5127A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37783635">
            <w:pPr>
              <w:autoSpaceDE w:val="0"/>
              <w:autoSpaceDN w:val="0"/>
              <w:adjustRightInd w:val="0"/>
              <w:snapToGrid w:val="0"/>
              <w:spacing w:line="440" w:lineRule="exact"/>
              <w:jc w:val="center"/>
              <w:rPr>
                <w:rFonts w:hint="eastAsia" w:ascii="宋体" w:hAnsi="宋体" w:cs="宋体"/>
                <w:color w:val="auto"/>
                <w:sz w:val="22"/>
                <w:lang w:val="zh-CN"/>
              </w:rPr>
            </w:pPr>
            <w:r>
              <w:rPr>
                <w:rFonts w:hint="eastAsia" w:ascii="宋体" w:hAnsi="宋体" w:cs="宋体"/>
                <w:color w:val="auto"/>
                <w:sz w:val="22"/>
              </w:rPr>
              <w:t>1.8</w:t>
            </w:r>
          </w:p>
        </w:tc>
        <w:tc>
          <w:tcPr>
            <w:tcW w:w="7449" w:type="dxa"/>
            <w:vAlign w:val="center"/>
          </w:tcPr>
          <w:p w14:paraId="693E3FA7">
            <w:pPr>
              <w:autoSpaceDE w:val="0"/>
              <w:autoSpaceDN w:val="0"/>
              <w:adjustRightInd w:val="0"/>
              <w:snapToGrid w:val="0"/>
              <w:spacing w:line="440" w:lineRule="exact"/>
              <w:rPr>
                <w:rFonts w:hint="eastAsia" w:ascii="宋体" w:hAnsi="宋体" w:cs="宋体"/>
                <w:color w:val="auto"/>
                <w:sz w:val="22"/>
                <w:szCs w:val="22"/>
              </w:rPr>
            </w:pPr>
            <w:r>
              <w:rPr>
                <w:rFonts w:hint="eastAsia" w:ascii="宋体" w:hAnsi="宋体" w:cs="宋体"/>
                <w:color w:val="auto"/>
                <w:sz w:val="22"/>
                <w:szCs w:val="22"/>
              </w:rPr>
              <w:t>分包意向协议（如有分包，请根据格式提供）</w:t>
            </w:r>
          </w:p>
        </w:tc>
        <w:tc>
          <w:tcPr>
            <w:tcW w:w="1440" w:type="dxa"/>
          </w:tcPr>
          <w:p w14:paraId="4A94BF96">
            <w:pPr>
              <w:autoSpaceDE w:val="0"/>
              <w:autoSpaceDN w:val="0"/>
              <w:adjustRightInd w:val="0"/>
              <w:snapToGrid w:val="0"/>
              <w:spacing w:line="440" w:lineRule="exact"/>
              <w:jc w:val="center"/>
              <w:rPr>
                <w:rFonts w:hint="eastAsia" w:ascii="宋体" w:hAnsi="宋体" w:cs="宋体"/>
                <w:color w:val="auto"/>
                <w:sz w:val="22"/>
                <w:szCs w:val="22"/>
              </w:rPr>
            </w:pPr>
            <w:r>
              <w:rPr>
                <w:rFonts w:hint="eastAsia" w:ascii="宋体" w:hAnsi="宋体" w:cs="宋体"/>
                <w:color w:val="auto"/>
                <w:sz w:val="22"/>
                <w:szCs w:val="22"/>
              </w:rPr>
              <w:t>附件四-5</w:t>
            </w:r>
          </w:p>
        </w:tc>
      </w:tr>
      <w:tr w14:paraId="0802C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62" w:type="dxa"/>
            <w:gridSpan w:val="3"/>
            <w:vAlign w:val="center"/>
          </w:tcPr>
          <w:p w14:paraId="0DBE147D">
            <w:pPr>
              <w:autoSpaceDE w:val="0"/>
              <w:autoSpaceDN w:val="0"/>
              <w:adjustRightInd w:val="0"/>
              <w:snapToGrid w:val="0"/>
              <w:spacing w:line="440" w:lineRule="exact"/>
              <w:rPr>
                <w:rFonts w:hint="eastAsia" w:ascii="宋体" w:hAnsi="宋体" w:cs="宋体"/>
                <w:color w:val="auto"/>
                <w:sz w:val="22"/>
              </w:rPr>
            </w:pPr>
            <w:r>
              <w:rPr>
                <w:rFonts w:hint="eastAsia" w:ascii="宋体" w:hAnsi="宋体" w:cs="宋体"/>
                <w:color w:val="auto"/>
                <w:sz w:val="22"/>
              </w:rPr>
              <w:t>说明：</w:t>
            </w:r>
            <w:r>
              <w:rPr>
                <w:rFonts w:hint="eastAsia" w:ascii="宋体" w:hAnsi="宋体" w:cs="宋体"/>
                <w:color w:val="auto"/>
                <w:sz w:val="22"/>
                <w:szCs w:val="22"/>
              </w:rPr>
              <w:t>以上所需的各种实物照片、证书、证件、证明、执照若系复印件的，须在复印件上加盖投标人有效的单位公章。</w:t>
            </w:r>
          </w:p>
        </w:tc>
      </w:tr>
    </w:tbl>
    <w:p w14:paraId="44D33E03">
      <w:pPr>
        <w:spacing w:line="440" w:lineRule="exact"/>
        <w:rPr>
          <w:color w:val="auto"/>
        </w:rPr>
      </w:pPr>
      <w:r>
        <w:rPr>
          <w:rFonts w:hint="eastAsia" w:ascii="宋体" w:hAnsi="宋体" w:cs="宋体"/>
          <w:b/>
          <w:color w:val="auto"/>
          <w:sz w:val="22"/>
          <w:szCs w:val="22"/>
        </w:rPr>
        <w:t>5.1.</w:t>
      </w:r>
      <w:r>
        <w:rPr>
          <w:rFonts w:ascii="宋体" w:hAnsi="宋体" w:cs="宋体"/>
          <w:b/>
          <w:color w:val="auto"/>
          <w:sz w:val="22"/>
          <w:szCs w:val="22"/>
        </w:rPr>
        <w:t>2</w:t>
      </w:r>
      <w:r>
        <w:rPr>
          <w:rFonts w:hint="eastAsia" w:ascii="宋体" w:hAnsi="宋体" w:cs="宋体"/>
          <w:b/>
          <w:color w:val="auto"/>
          <w:sz w:val="22"/>
          <w:szCs w:val="22"/>
        </w:rPr>
        <w:t>商务技术文件</w:t>
      </w:r>
    </w:p>
    <w:tbl>
      <w:tblPr>
        <w:tblStyle w:val="3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7350"/>
        <w:gridCol w:w="1516"/>
      </w:tblGrid>
      <w:tr w14:paraId="5F6BF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086501FE">
            <w:pPr>
              <w:autoSpaceDE w:val="0"/>
              <w:autoSpaceDN w:val="0"/>
              <w:adjustRightInd w:val="0"/>
              <w:snapToGrid w:val="0"/>
              <w:spacing w:line="430" w:lineRule="atLeast"/>
              <w:rPr>
                <w:rFonts w:hint="eastAsia" w:ascii="宋体" w:hAnsi="宋体" w:cs="宋体"/>
                <w:b/>
                <w:color w:val="auto"/>
                <w:sz w:val="22"/>
                <w:lang w:val="zh-CN"/>
              </w:rPr>
            </w:pPr>
            <w:r>
              <w:rPr>
                <w:rFonts w:hint="eastAsia" w:ascii="宋体" w:hAnsi="宋体" w:cs="宋体"/>
                <w:b/>
                <w:color w:val="auto"/>
                <w:sz w:val="22"/>
                <w:lang w:val="zh-CN"/>
              </w:rPr>
              <w:t>序号</w:t>
            </w:r>
          </w:p>
        </w:tc>
        <w:tc>
          <w:tcPr>
            <w:tcW w:w="7350" w:type="dxa"/>
          </w:tcPr>
          <w:p w14:paraId="5AD6F967">
            <w:pPr>
              <w:autoSpaceDE w:val="0"/>
              <w:autoSpaceDN w:val="0"/>
              <w:adjustRightInd w:val="0"/>
              <w:snapToGrid w:val="0"/>
              <w:spacing w:line="430" w:lineRule="atLeast"/>
              <w:jc w:val="center"/>
              <w:rPr>
                <w:rFonts w:hint="eastAsia" w:ascii="宋体" w:hAnsi="宋体" w:cs="宋体"/>
                <w:b/>
                <w:color w:val="auto"/>
                <w:sz w:val="22"/>
                <w:lang w:val="zh-CN"/>
              </w:rPr>
            </w:pPr>
            <w:r>
              <w:rPr>
                <w:rFonts w:hint="eastAsia" w:ascii="宋体" w:hAnsi="宋体" w:cs="宋体"/>
                <w:b/>
                <w:color w:val="auto"/>
                <w:sz w:val="22"/>
                <w:lang w:val="zh-CN"/>
              </w:rPr>
              <w:t>内容</w:t>
            </w:r>
          </w:p>
        </w:tc>
        <w:tc>
          <w:tcPr>
            <w:tcW w:w="1516" w:type="dxa"/>
          </w:tcPr>
          <w:p w14:paraId="452C07C0">
            <w:pPr>
              <w:autoSpaceDE w:val="0"/>
              <w:autoSpaceDN w:val="0"/>
              <w:adjustRightInd w:val="0"/>
              <w:snapToGrid w:val="0"/>
              <w:spacing w:line="430" w:lineRule="atLeast"/>
              <w:jc w:val="center"/>
              <w:rPr>
                <w:rFonts w:hint="eastAsia" w:ascii="宋体" w:hAnsi="宋体" w:cs="宋体"/>
                <w:b/>
                <w:color w:val="auto"/>
                <w:sz w:val="22"/>
                <w:lang w:val="zh-CN"/>
              </w:rPr>
            </w:pPr>
            <w:r>
              <w:rPr>
                <w:rFonts w:hint="eastAsia" w:ascii="宋体" w:hAnsi="宋体" w:cs="宋体"/>
                <w:b/>
                <w:color w:val="auto"/>
                <w:sz w:val="22"/>
                <w:lang w:val="zh-CN"/>
              </w:rPr>
              <w:t>说明</w:t>
            </w:r>
          </w:p>
        </w:tc>
      </w:tr>
      <w:tr w14:paraId="12D51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3" w:type="dxa"/>
          </w:tcPr>
          <w:p w14:paraId="7855CA6C">
            <w:pPr>
              <w:autoSpaceDE w:val="0"/>
              <w:autoSpaceDN w:val="0"/>
              <w:adjustRightInd w:val="0"/>
              <w:snapToGrid w:val="0"/>
              <w:spacing w:line="430" w:lineRule="atLeast"/>
              <w:jc w:val="center"/>
              <w:rPr>
                <w:rFonts w:hint="eastAsia" w:ascii="宋体" w:hAnsi="宋体" w:cs="宋体"/>
                <w:bCs/>
                <w:color w:val="auto"/>
                <w:sz w:val="22"/>
              </w:rPr>
            </w:pPr>
            <w:r>
              <w:rPr>
                <w:rFonts w:hint="eastAsia" w:ascii="宋体" w:hAnsi="宋体" w:cs="宋体"/>
                <w:bCs/>
                <w:color w:val="auto"/>
                <w:sz w:val="22"/>
              </w:rPr>
              <w:t>1</w:t>
            </w:r>
          </w:p>
        </w:tc>
        <w:tc>
          <w:tcPr>
            <w:tcW w:w="7350" w:type="dxa"/>
          </w:tcPr>
          <w:p w14:paraId="3666EB81">
            <w:pPr>
              <w:autoSpaceDE w:val="0"/>
              <w:autoSpaceDN w:val="0"/>
              <w:adjustRightInd w:val="0"/>
              <w:snapToGrid w:val="0"/>
              <w:spacing w:line="430" w:lineRule="atLeast"/>
              <w:rPr>
                <w:rFonts w:hint="eastAsia" w:ascii="宋体" w:hAnsi="宋体" w:cs="宋体"/>
                <w:bCs/>
                <w:color w:val="auto"/>
                <w:sz w:val="22"/>
              </w:rPr>
            </w:pPr>
            <w:r>
              <w:rPr>
                <w:rFonts w:hint="eastAsia" w:ascii="宋体" w:hAnsi="宋体" w:cs="宋体"/>
                <w:bCs/>
                <w:color w:val="auto"/>
                <w:sz w:val="22"/>
              </w:rPr>
              <w:t>投标函</w:t>
            </w:r>
          </w:p>
        </w:tc>
        <w:tc>
          <w:tcPr>
            <w:tcW w:w="1516" w:type="dxa"/>
          </w:tcPr>
          <w:p w14:paraId="30B0159F">
            <w:pPr>
              <w:autoSpaceDE w:val="0"/>
              <w:autoSpaceDN w:val="0"/>
              <w:adjustRightInd w:val="0"/>
              <w:snapToGrid w:val="0"/>
              <w:spacing w:line="430" w:lineRule="atLeast"/>
              <w:jc w:val="center"/>
              <w:rPr>
                <w:rFonts w:hint="eastAsia" w:ascii="宋体" w:hAnsi="宋体" w:cs="宋体"/>
                <w:bCs/>
                <w:color w:val="auto"/>
                <w:sz w:val="22"/>
              </w:rPr>
            </w:pPr>
            <w:r>
              <w:rPr>
                <w:rFonts w:hint="eastAsia" w:ascii="宋体" w:hAnsi="宋体" w:cs="宋体"/>
                <w:bCs/>
                <w:color w:val="auto"/>
                <w:sz w:val="22"/>
              </w:rPr>
              <w:t>附件一</w:t>
            </w:r>
          </w:p>
        </w:tc>
      </w:tr>
      <w:tr w14:paraId="74771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1515FC27">
            <w:pPr>
              <w:autoSpaceDE w:val="0"/>
              <w:autoSpaceDN w:val="0"/>
              <w:adjustRightInd w:val="0"/>
              <w:snapToGrid w:val="0"/>
              <w:spacing w:line="440" w:lineRule="exact"/>
              <w:jc w:val="center"/>
              <w:rPr>
                <w:rFonts w:hint="eastAsia" w:ascii="宋体" w:hAnsi="宋体" w:cs="宋体"/>
                <w:color w:val="auto"/>
                <w:sz w:val="22"/>
              </w:rPr>
            </w:pPr>
            <w:r>
              <w:rPr>
                <w:rFonts w:hint="eastAsia" w:ascii="宋体" w:hAnsi="宋体" w:cs="宋体"/>
                <w:color w:val="auto"/>
                <w:sz w:val="22"/>
              </w:rPr>
              <w:t>2</w:t>
            </w:r>
          </w:p>
        </w:tc>
        <w:tc>
          <w:tcPr>
            <w:tcW w:w="7350" w:type="dxa"/>
          </w:tcPr>
          <w:p w14:paraId="4FEBD1A0">
            <w:pPr>
              <w:autoSpaceDE w:val="0"/>
              <w:autoSpaceDN w:val="0"/>
              <w:adjustRightInd w:val="0"/>
              <w:snapToGrid w:val="0"/>
              <w:spacing w:line="440" w:lineRule="exact"/>
              <w:rPr>
                <w:rFonts w:hint="eastAsia" w:ascii="宋体" w:hAnsi="宋体" w:cs="宋体"/>
                <w:color w:val="auto"/>
                <w:sz w:val="22"/>
                <w:szCs w:val="22"/>
              </w:rPr>
            </w:pPr>
            <w:r>
              <w:rPr>
                <w:rFonts w:hint="eastAsia" w:ascii="宋体" w:hAnsi="宋体" w:cs="宋体"/>
                <w:color w:val="auto"/>
                <w:sz w:val="22"/>
                <w:szCs w:val="22"/>
              </w:rPr>
              <w:t>商务条款、技术规格偏离表</w:t>
            </w:r>
          </w:p>
        </w:tc>
        <w:tc>
          <w:tcPr>
            <w:tcW w:w="1516" w:type="dxa"/>
          </w:tcPr>
          <w:p w14:paraId="08862610">
            <w:pPr>
              <w:autoSpaceDE w:val="0"/>
              <w:autoSpaceDN w:val="0"/>
              <w:adjustRightInd w:val="0"/>
              <w:snapToGrid w:val="0"/>
              <w:spacing w:line="440" w:lineRule="exact"/>
              <w:jc w:val="center"/>
              <w:rPr>
                <w:rFonts w:hint="eastAsia" w:ascii="宋体" w:hAnsi="宋体" w:cs="宋体"/>
                <w:color w:val="auto"/>
                <w:sz w:val="22"/>
                <w:szCs w:val="22"/>
              </w:rPr>
            </w:pPr>
            <w:r>
              <w:rPr>
                <w:rFonts w:hint="eastAsia" w:ascii="宋体" w:hAnsi="宋体" w:cs="宋体"/>
                <w:color w:val="auto"/>
                <w:sz w:val="22"/>
                <w:szCs w:val="22"/>
              </w:rPr>
              <w:t>附件五</w:t>
            </w:r>
          </w:p>
        </w:tc>
      </w:tr>
      <w:tr w14:paraId="44F52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34B40831">
            <w:pPr>
              <w:autoSpaceDE w:val="0"/>
              <w:autoSpaceDN w:val="0"/>
              <w:adjustRightInd w:val="0"/>
              <w:snapToGrid w:val="0"/>
              <w:spacing w:line="440" w:lineRule="exact"/>
              <w:jc w:val="center"/>
              <w:rPr>
                <w:rFonts w:hint="eastAsia" w:ascii="宋体" w:hAnsi="宋体" w:cs="宋体"/>
                <w:color w:val="auto"/>
                <w:sz w:val="22"/>
              </w:rPr>
            </w:pPr>
            <w:r>
              <w:rPr>
                <w:rFonts w:hint="eastAsia" w:ascii="宋体" w:hAnsi="宋体" w:cs="宋体"/>
                <w:color w:val="auto"/>
                <w:sz w:val="22"/>
              </w:rPr>
              <w:t>3</w:t>
            </w:r>
          </w:p>
        </w:tc>
        <w:tc>
          <w:tcPr>
            <w:tcW w:w="7350" w:type="dxa"/>
          </w:tcPr>
          <w:p w14:paraId="3E189B7B">
            <w:pPr>
              <w:autoSpaceDE w:val="0"/>
              <w:autoSpaceDN w:val="0"/>
              <w:adjustRightInd w:val="0"/>
              <w:snapToGrid w:val="0"/>
              <w:spacing w:line="440" w:lineRule="exact"/>
              <w:rPr>
                <w:rFonts w:ascii="宋体" w:cs="宋体"/>
                <w:color w:val="auto"/>
                <w:sz w:val="22"/>
              </w:rPr>
            </w:pPr>
            <w:r>
              <w:rPr>
                <w:rFonts w:hint="eastAsia" w:ascii="宋体" w:hAnsi="宋体"/>
                <w:color w:val="auto"/>
                <w:sz w:val="22"/>
                <w:szCs w:val="22"/>
              </w:rPr>
              <w:t>货物成套供货清单</w:t>
            </w:r>
          </w:p>
        </w:tc>
        <w:tc>
          <w:tcPr>
            <w:tcW w:w="1516" w:type="dxa"/>
          </w:tcPr>
          <w:p w14:paraId="4028EE40">
            <w:pPr>
              <w:autoSpaceDE w:val="0"/>
              <w:autoSpaceDN w:val="0"/>
              <w:adjustRightInd w:val="0"/>
              <w:snapToGrid w:val="0"/>
              <w:spacing w:line="440" w:lineRule="exact"/>
              <w:jc w:val="center"/>
              <w:rPr>
                <w:rFonts w:hint="eastAsia" w:ascii="宋体" w:hAnsi="宋体" w:cs="宋体"/>
                <w:color w:val="auto"/>
                <w:sz w:val="22"/>
                <w:szCs w:val="22"/>
              </w:rPr>
            </w:pPr>
            <w:r>
              <w:rPr>
                <w:rFonts w:hint="eastAsia" w:ascii="宋体" w:hAnsi="宋体" w:cs="宋体"/>
                <w:color w:val="auto"/>
                <w:sz w:val="22"/>
                <w:szCs w:val="22"/>
              </w:rPr>
              <w:t>附件六</w:t>
            </w:r>
          </w:p>
        </w:tc>
      </w:tr>
      <w:tr w14:paraId="4F162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3C516738">
            <w:pPr>
              <w:autoSpaceDE w:val="0"/>
              <w:autoSpaceDN w:val="0"/>
              <w:adjustRightInd w:val="0"/>
              <w:snapToGrid w:val="0"/>
              <w:spacing w:line="440" w:lineRule="exact"/>
              <w:jc w:val="center"/>
              <w:rPr>
                <w:rFonts w:hint="eastAsia" w:ascii="宋体" w:hAnsi="宋体" w:cs="宋体"/>
                <w:color w:val="auto"/>
                <w:sz w:val="22"/>
              </w:rPr>
            </w:pPr>
            <w:r>
              <w:rPr>
                <w:rFonts w:hint="eastAsia" w:ascii="宋体" w:hAnsi="宋体" w:cs="宋体"/>
                <w:color w:val="auto"/>
                <w:sz w:val="22"/>
              </w:rPr>
              <w:t>4</w:t>
            </w:r>
          </w:p>
        </w:tc>
        <w:tc>
          <w:tcPr>
            <w:tcW w:w="7350" w:type="dxa"/>
          </w:tcPr>
          <w:p w14:paraId="49EB682D">
            <w:pPr>
              <w:autoSpaceDE w:val="0"/>
              <w:autoSpaceDN w:val="0"/>
              <w:adjustRightInd w:val="0"/>
              <w:snapToGrid w:val="0"/>
              <w:spacing w:line="440" w:lineRule="exact"/>
              <w:rPr>
                <w:rFonts w:ascii="宋体" w:cs="宋体"/>
                <w:color w:val="auto"/>
                <w:sz w:val="22"/>
              </w:rPr>
            </w:pPr>
            <w:r>
              <w:rPr>
                <w:rFonts w:hint="eastAsia" w:ascii="宋体" w:hAnsi="宋体"/>
                <w:bCs/>
                <w:color w:val="auto"/>
                <w:sz w:val="22"/>
                <w:szCs w:val="22"/>
              </w:rPr>
              <w:t>随机备品备件、易损易耗件、耗材和专用工具清单</w:t>
            </w:r>
          </w:p>
        </w:tc>
        <w:tc>
          <w:tcPr>
            <w:tcW w:w="1516" w:type="dxa"/>
          </w:tcPr>
          <w:p w14:paraId="5E262D19">
            <w:pPr>
              <w:autoSpaceDE w:val="0"/>
              <w:autoSpaceDN w:val="0"/>
              <w:adjustRightInd w:val="0"/>
              <w:snapToGrid w:val="0"/>
              <w:spacing w:line="440" w:lineRule="exact"/>
              <w:jc w:val="center"/>
              <w:rPr>
                <w:rFonts w:hint="eastAsia" w:ascii="宋体" w:hAnsi="宋体" w:cs="宋体"/>
                <w:color w:val="auto"/>
                <w:sz w:val="22"/>
                <w:szCs w:val="22"/>
              </w:rPr>
            </w:pPr>
          </w:p>
        </w:tc>
      </w:tr>
      <w:tr w14:paraId="74A4A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4E36F020">
            <w:pPr>
              <w:autoSpaceDE w:val="0"/>
              <w:autoSpaceDN w:val="0"/>
              <w:adjustRightInd w:val="0"/>
              <w:snapToGrid w:val="0"/>
              <w:spacing w:line="440" w:lineRule="exact"/>
              <w:jc w:val="center"/>
              <w:rPr>
                <w:rFonts w:hint="eastAsia" w:ascii="宋体" w:hAnsi="宋体" w:cs="宋体"/>
                <w:color w:val="auto"/>
                <w:sz w:val="22"/>
                <w:lang w:val="zh-CN"/>
              </w:rPr>
            </w:pPr>
            <w:r>
              <w:rPr>
                <w:rFonts w:hint="eastAsia" w:ascii="宋体" w:hAnsi="宋体" w:cs="宋体"/>
                <w:color w:val="auto"/>
                <w:sz w:val="22"/>
              </w:rPr>
              <w:t>5</w:t>
            </w:r>
          </w:p>
        </w:tc>
        <w:tc>
          <w:tcPr>
            <w:tcW w:w="7350" w:type="dxa"/>
          </w:tcPr>
          <w:p w14:paraId="4C9FF861">
            <w:pPr>
              <w:autoSpaceDE w:val="0"/>
              <w:autoSpaceDN w:val="0"/>
              <w:adjustRightInd w:val="0"/>
              <w:snapToGrid w:val="0"/>
              <w:spacing w:line="440" w:lineRule="exact"/>
              <w:rPr>
                <w:rFonts w:hint="eastAsia" w:ascii="宋体" w:hAnsi="宋体" w:cs="宋体"/>
                <w:color w:val="auto"/>
                <w:sz w:val="22"/>
                <w:szCs w:val="22"/>
              </w:rPr>
            </w:pPr>
            <w:r>
              <w:rPr>
                <w:rFonts w:hint="eastAsia" w:hAnsi="宋体"/>
                <w:color w:val="auto"/>
                <w:sz w:val="22"/>
                <w:szCs w:val="22"/>
              </w:rPr>
              <w:t>同类项目业绩一览表</w:t>
            </w:r>
          </w:p>
        </w:tc>
        <w:tc>
          <w:tcPr>
            <w:tcW w:w="1516" w:type="dxa"/>
            <w:vAlign w:val="center"/>
          </w:tcPr>
          <w:p w14:paraId="354E39CC">
            <w:pPr>
              <w:autoSpaceDE w:val="0"/>
              <w:autoSpaceDN w:val="0"/>
              <w:adjustRightInd w:val="0"/>
              <w:snapToGrid w:val="0"/>
              <w:spacing w:line="440" w:lineRule="exact"/>
              <w:jc w:val="center"/>
              <w:rPr>
                <w:rFonts w:hint="eastAsia" w:ascii="宋体" w:hAnsi="宋体" w:cs="宋体"/>
                <w:color w:val="auto"/>
                <w:sz w:val="22"/>
                <w:szCs w:val="22"/>
              </w:rPr>
            </w:pPr>
            <w:r>
              <w:rPr>
                <w:rFonts w:hint="eastAsia" w:ascii="宋体" w:hAnsi="宋体" w:cs="宋体"/>
                <w:color w:val="auto"/>
                <w:sz w:val="22"/>
                <w:szCs w:val="22"/>
              </w:rPr>
              <w:t>附件七</w:t>
            </w:r>
          </w:p>
        </w:tc>
      </w:tr>
      <w:tr w14:paraId="179CC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77EE04C4">
            <w:pPr>
              <w:autoSpaceDE w:val="0"/>
              <w:autoSpaceDN w:val="0"/>
              <w:adjustRightInd w:val="0"/>
              <w:snapToGrid w:val="0"/>
              <w:spacing w:line="440" w:lineRule="exact"/>
              <w:jc w:val="center"/>
              <w:rPr>
                <w:rFonts w:hint="eastAsia" w:ascii="宋体" w:hAnsi="宋体" w:cs="宋体"/>
                <w:color w:val="auto"/>
                <w:sz w:val="22"/>
              </w:rPr>
            </w:pPr>
            <w:r>
              <w:rPr>
                <w:rFonts w:hint="eastAsia" w:ascii="宋体" w:hAnsi="宋体" w:cs="宋体"/>
                <w:color w:val="auto"/>
                <w:sz w:val="22"/>
              </w:rPr>
              <w:t>6</w:t>
            </w:r>
          </w:p>
        </w:tc>
        <w:tc>
          <w:tcPr>
            <w:tcW w:w="7350" w:type="dxa"/>
          </w:tcPr>
          <w:p w14:paraId="3BD2A4F8">
            <w:pPr>
              <w:autoSpaceDE w:val="0"/>
              <w:autoSpaceDN w:val="0"/>
              <w:adjustRightInd w:val="0"/>
              <w:snapToGrid w:val="0"/>
              <w:spacing w:line="440" w:lineRule="exact"/>
              <w:rPr>
                <w:rFonts w:hint="eastAsia" w:ascii="宋体" w:hAnsi="宋体" w:cs="宋体"/>
                <w:color w:val="auto"/>
                <w:sz w:val="22"/>
                <w:szCs w:val="22"/>
              </w:rPr>
            </w:pPr>
            <w:r>
              <w:rPr>
                <w:rFonts w:hint="eastAsia" w:ascii="宋体" w:hAnsi="宋体" w:cs="宋体"/>
                <w:color w:val="auto"/>
                <w:sz w:val="22"/>
                <w:szCs w:val="22"/>
              </w:rPr>
              <w:t>投标人所投产品节能环保水平相关证明材料</w:t>
            </w:r>
          </w:p>
        </w:tc>
        <w:tc>
          <w:tcPr>
            <w:tcW w:w="1516" w:type="dxa"/>
          </w:tcPr>
          <w:p w14:paraId="6063BAC4">
            <w:pPr>
              <w:autoSpaceDE w:val="0"/>
              <w:autoSpaceDN w:val="0"/>
              <w:adjustRightInd w:val="0"/>
              <w:snapToGrid w:val="0"/>
              <w:spacing w:line="440" w:lineRule="exact"/>
              <w:jc w:val="center"/>
              <w:rPr>
                <w:rFonts w:hint="eastAsia" w:ascii="宋体" w:hAnsi="宋体" w:cs="宋体"/>
                <w:color w:val="auto"/>
                <w:sz w:val="22"/>
                <w:szCs w:val="22"/>
              </w:rPr>
            </w:pPr>
            <w:r>
              <w:rPr>
                <w:rFonts w:hint="eastAsia" w:ascii="宋体" w:hAnsi="宋体" w:cs="宋体"/>
                <w:color w:val="auto"/>
                <w:sz w:val="22"/>
                <w:szCs w:val="22"/>
              </w:rPr>
              <w:t>附件八-2</w:t>
            </w:r>
          </w:p>
        </w:tc>
      </w:tr>
      <w:tr w14:paraId="4551D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3" w:type="dxa"/>
            <w:vAlign w:val="center"/>
          </w:tcPr>
          <w:p w14:paraId="632DC6EA">
            <w:pPr>
              <w:autoSpaceDE w:val="0"/>
              <w:autoSpaceDN w:val="0"/>
              <w:adjustRightInd w:val="0"/>
              <w:snapToGrid w:val="0"/>
              <w:spacing w:line="440" w:lineRule="exact"/>
              <w:jc w:val="center"/>
              <w:rPr>
                <w:rFonts w:hint="eastAsia" w:ascii="宋体" w:hAnsi="宋体" w:cs="宋体"/>
                <w:color w:val="auto"/>
                <w:sz w:val="22"/>
              </w:rPr>
            </w:pPr>
            <w:r>
              <w:rPr>
                <w:rFonts w:hint="eastAsia" w:ascii="宋体" w:hAnsi="宋体" w:cs="宋体"/>
                <w:color w:val="auto"/>
                <w:sz w:val="22"/>
              </w:rPr>
              <w:t>7</w:t>
            </w:r>
          </w:p>
        </w:tc>
        <w:tc>
          <w:tcPr>
            <w:tcW w:w="7350" w:type="dxa"/>
            <w:vAlign w:val="center"/>
          </w:tcPr>
          <w:p w14:paraId="716CF9F2">
            <w:pPr>
              <w:autoSpaceDE w:val="0"/>
              <w:autoSpaceDN w:val="0"/>
              <w:adjustRightInd w:val="0"/>
              <w:snapToGrid w:val="0"/>
              <w:spacing w:line="440" w:lineRule="exact"/>
              <w:rPr>
                <w:rFonts w:hint="eastAsia" w:hAnsi="宋体"/>
                <w:color w:val="auto"/>
                <w:sz w:val="22"/>
                <w:szCs w:val="22"/>
              </w:rPr>
            </w:pPr>
            <w:r>
              <w:rPr>
                <w:rFonts w:hint="eastAsia" w:ascii="宋体"/>
                <w:color w:val="auto"/>
                <w:sz w:val="22"/>
                <w:szCs w:val="22"/>
              </w:rPr>
              <w:t>根据招标文件中的采购内容与技术要求、评标细则，需要提供的其它文件和资料。</w:t>
            </w:r>
          </w:p>
        </w:tc>
        <w:tc>
          <w:tcPr>
            <w:tcW w:w="1516" w:type="dxa"/>
          </w:tcPr>
          <w:p w14:paraId="12F3D84C">
            <w:pPr>
              <w:autoSpaceDE w:val="0"/>
              <w:autoSpaceDN w:val="0"/>
              <w:adjustRightInd w:val="0"/>
              <w:snapToGrid w:val="0"/>
              <w:spacing w:line="440" w:lineRule="exact"/>
              <w:jc w:val="center"/>
              <w:rPr>
                <w:rFonts w:hint="eastAsia" w:ascii="宋体" w:hAnsi="宋体" w:cs="宋体"/>
                <w:color w:val="auto"/>
                <w:sz w:val="22"/>
                <w:szCs w:val="22"/>
              </w:rPr>
            </w:pPr>
          </w:p>
        </w:tc>
      </w:tr>
      <w:tr w14:paraId="17985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39" w:type="dxa"/>
            <w:gridSpan w:val="3"/>
            <w:vAlign w:val="center"/>
          </w:tcPr>
          <w:p w14:paraId="1A1BF798">
            <w:pPr>
              <w:autoSpaceDE w:val="0"/>
              <w:autoSpaceDN w:val="0"/>
              <w:adjustRightInd w:val="0"/>
              <w:snapToGrid w:val="0"/>
              <w:spacing w:line="430" w:lineRule="atLeast"/>
              <w:rPr>
                <w:rFonts w:hint="eastAsia" w:ascii="宋体" w:hAnsi="宋体" w:cs="宋体"/>
                <w:color w:val="auto"/>
                <w:sz w:val="22"/>
              </w:rPr>
            </w:pPr>
            <w:r>
              <w:rPr>
                <w:rFonts w:hint="eastAsia" w:ascii="宋体" w:hAnsi="宋体" w:cs="宋体"/>
                <w:color w:val="auto"/>
                <w:sz w:val="22"/>
              </w:rPr>
              <w:t>说明：</w:t>
            </w:r>
            <w:r>
              <w:rPr>
                <w:rFonts w:hint="eastAsia" w:ascii="宋体" w:hAnsi="宋体" w:cs="宋体"/>
                <w:color w:val="auto"/>
                <w:sz w:val="22"/>
                <w:szCs w:val="22"/>
              </w:rPr>
              <w:t>以上所需的各种检测报告、实物照片、证书、证件、证明、执照若系复印件的，须在复印件上加盖投标人有效的单位公章。</w:t>
            </w:r>
          </w:p>
        </w:tc>
      </w:tr>
    </w:tbl>
    <w:p w14:paraId="25B21A93">
      <w:pPr>
        <w:spacing w:line="440" w:lineRule="exact"/>
        <w:rPr>
          <w:rFonts w:hint="eastAsia" w:ascii="宋体" w:hAnsi="宋体" w:cs="宋体"/>
          <w:color w:val="auto"/>
          <w:sz w:val="22"/>
          <w:szCs w:val="22"/>
        </w:rPr>
      </w:pPr>
      <w:r>
        <w:rPr>
          <w:rFonts w:hint="eastAsia" w:ascii="宋体" w:hAnsi="宋体" w:cs="宋体"/>
          <w:color w:val="auto"/>
          <w:sz w:val="22"/>
          <w:szCs w:val="22"/>
        </w:rPr>
        <w:t>5.1.3</w:t>
      </w:r>
      <w:r>
        <w:rPr>
          <w:rFonts w:hint="eastAsia" w:ascii="宋体" w:hAnsi="宋体" w:cs="宋体"/>
          <w:b/>
          <w:bCs/>
          <w:color w:val="auto"/>
          <w:sz w:val="22"/>
          <w:szCs w:val="22"/>
        </w:rPr>
        <w:t>报价文件</w:t>
      </w:r>
    </w:p>
    <w:tbl>
      <w:tblPr>
        <w:tblStyle w:val="3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7305"/>
        <w:gridCol w:w="1550"/>
      </w:tblGrid>
      <w:tr w14:paraId="74E6B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14:paraId="5B4DFBC1">
            <w:pPr>
              <w:autoSpaceDE w:val="0"/>
              <w:autoSpaceDN w:val="0"/>
              <w:adjustRightInd w:val="0"/>
              <w:snapToGrid w:val="0"/>
              <w:spacing w:line="430" w:lineRule="atLeast"/>
              <w:jc w:val="center"/>
              <w:rPr>
                <w:rFonts w:hint="eastAsia" w:ascii="宋体" w:hAnsi="宋体" w:cs="宋体"/>
                <w:b/>
                <w:color w:val="auto"/>
                <w:sz w:val="22"/>
                <w:lang w:val="zh-CN"/>
              </w:rPr>
            </w:pPr>
            <w:r>
              <w:rPr>
                <w:rFonts w:hint="eastAsia" w:ascii="宋体" w:hAnsi="宋体" w:cs="宋体"/>
                <w:b/>
                <w:color w:val="auto"/>
                <w:sz w:val="22"/>
                <w:lang w:val="zh-CN"/>
              </w:rPr>
              <w:t>序号</w:t>
            </w:r>
          </w:p>
        </w:tc>
        <w:tc>
          <w:tcPr>
            <w:tcW w:w="7305" w:type="dxa"/>
          </w:tcPr>
          <w:p w14:paraId="64BE9830">
            <w:pPr>
              <w:autoSpaceDE w:val="0"/>
              <w:autoSpaceDN w:val="0"/>
              <w:adjustRightInd w:val="0"/>
              <w:snapToGrid w:val="0"/>
              <w:spacing w:line="430" w:lineRule="atLeast"/>
              <w:jc w:val="center"/>
              <w:rPr>
                <w:rFonts w:hint="eastAsia" w:ascii="宋体" w:hAnsi="宋体" w:cs="宋体"/>
                <w:b/>
                <w:color w:val="auto"/>
                <w:sz w:val="22"/>
                <w:lang w:val="zh-CN"/>
              </w:rPr>
            </w:pPr>
            <w:r>
              <w:rPr>
                <w:rFonts w:hint="eastAsia" w:ascii="宋体" w:hAnsi="宋体" w:cs="宋体"/>
                <w:b/>
                <w:color w:val="auto"/>
                <w:sz w:val="22"/>
                <w:lang w:val="zh-CN"/>
              </w:rPr>
              <w:t>内容</w:t>
            </w:r>
          </w:p>
        </w:tc>
        <w:tc>
          <w:tcPr>
            <w:tcW w:w="1550" w:type="dxa"/>
          </w:tcPr>
          <w:p w14:paraId="20F34B5E">
            <w:pPr>
              <w:autoSpaceDE w:val="0"/>
              <w:autoSpaceDN w:val="0"/>
              <w:adjustRightInd w:val="0"/>
              <w:snapToGrid w:val="0"/>
              <w:spacing w:line="430" w:lineRule="atLeast"/>
              <w:jc w:val="center"/>
              <w:rPr>
                <w:rFonts w:hint="eastAsia" w:ascii="宋体" w:hAnsi="宋体" w:cs="宋体"/>
                <w:b/>
                <w:color w:val="auto"/>
                <w:sz w:val="22"/>
                <w:lang w:val="zh-CN"/>
              </w:rPr>
            </w:pPr>
            <w:r>
              <w:rPr>
                <w:rFonts w:hint="eastAsia" w:ascii="宋体" w:hAnsi="宋体" w:cs="宋体"/>
                <w:b/>
                <w:color w:val="auto"/>
                <w:sz w:val="22"/>
                <w:lang w:val="zh-CN"/>
              </w:rPr>
              <w:t>说明</w:t>
            </w:r>
          </w:p>
        </w:tc>
      </w:tr>
      <w:tr w14:paraId="6AA09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14:paraId="0F8502ED">
            <w:pPr>
              <w:autoSpaceDE w:val="0"/>
              <w:autoSpaceDN w:val="0"/>
              <w:adjustRightInd w:val="0"/>
              <w:snapToGrid w:val="0"/>
              <w:spacing w:line="430" w:lineRule="atLeast"/>
              <w:jc w:val="center"/>
              <w:rPr>
                <w:rFonts w:hint="eastAsia" w:ascii="宋体" w:hAnsi="宋体" w:cs="宋体"/>
                <w:bCs/>
                <w:color w:val="auto"/>
                <w:sz w:val="22"/>
                <w:lang w:val="zh-CN"/>
              </w:rPr>
            </w:pPr>
            <w:r>
              <w:rPr>
                <w:rFonts w:hint="eastAsia" w:ascii="宋体" w:hAnsi="宋体" w:cs="宋体"/>
                <w:bCs/>
                <w:color w:val="auto"/>
                <w:sz w:val="22"/>
                <w:lang w:val="zh-CN"/>
              </w:rPr>
              <w:t>1</w:t>
            </w:r>
          </w:p>
        </w:tc>
        <w:tc>
          <w:tcPr>
            <w:tcW w:w="7305" w:type="dxa"/>
          </w:tcPr>
          <w:p w14:paraId="43140C13">
            <w:pPr>
              <w:autoSpaceDE w:val="0"/>
              <w:autoSpaceDN w:val="0"/>
              <w:adjustRightInd w:val="0"/>
              <w:spacing w:line="430" w:lineRule="atLeast"/>
              <w:textAlignment w:val="bottom"/>
              <w:rPr>
                <w:rFonts w:hint="eastAsia" w:ascii="宋体" w:hAnsi="宋体" w:cs="宋体"/>
                <w:bCs/>
                <w:color w:val="auto"/>
                <w:sz w:val="22"/>
              </w:rPr>
            </w:pPr>
            <w:r>
              <w:rPr>
                <w:rFonts w:hint="eastAsia" w:ascii="宋体" w:hAnsi="宋体" w:cs="宋体"/>
                <w:bCs/>
                <w:color w:val="auto"/>
                <w:sz w:val="22"/>
              </w:rPr>
              <w:t>投标报价一览表</w:t>
            </w:r>
          </w:p>
        </w:tc>
        <w:tc>
          <w:tcPr>
            <w:tcW w:w="1550" w:type="dxa"/>
          </w:tcPr>
          <w:p w14:paraId="72EF4EC1">
            <w:pPr>
              <w:autoSpaceDE w:val="0"/>
              <w:autoSpaceDN w:val="0"/>
              <w:adjustRightInd w:val="0"/>
              <w:spacing w:line="430" w:lineRule="atLeast"/>
              <w:jc w:val="center"/>
              <w:textAlignment w:val="bottom"/>
              <w:rPr>
                <w:rFonts w:hint="eastAsia" w:ascii="宋体" w:hAnsi="宋体" w:cs="宋体"/>
                <w:bCs/>
                <w:color w:val="auto"/>
                <w:sz w:val="22"/>
              </w:rPr>
            </w:pPr>
            <w:r>
              <w:rPr>
                <w:rFonts w:hint="eastAsia" w:ascii="宋体" w:hAnsi="宋体" w:cs="宋体"/>
                <w:bCs/>
                <w:color w:val="auto"/>
                <w:sz w:val="22"/>
              </w:rPr>
              <w:t>附件二</w:t>
            </w:r>
          </w:p>
        </w:tc>
      </w:tr>
      <w:tr w14:paraId="19B1E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vAlign w:val="center"/>
          </w:tcPr>
          <w:p w14:paraId="36DF4CDC">
            <w:pPr>
              <w:autoSpaceDE w:val="0"/>
              <w:autoSpaceDN w:val="0"/>
              <w:adjustRightInd w:val="0"/>
              <w:snapToGrid w:val="0"/>
              <w:spacing w:line="430" w:lineRule="atLeast"/>
              <w:jc w:val="center"/>
              <w:rPr>
                <w:rFonts w:hint="eastAsia" w:ascii="宋体" w:hAnsi="宋体" w:cs="宋体"/>
                <w:bCs/>
                <w:color w:val="auto"/>
                <w:sz w:val="22"/>
                <w:lang w:val="zh-CN"/>
              </w:rPr>
            </w:pPr>
            <w:r>
              <w:rPr>
                <w:rFonts w:hint="eastAsia" w:ascii="宋体" w:hAnsi="宋体" w:cs="宋体"/>
                <w:bCs/>
                <w:color w:val="auto"/>
                <w:sz w:val="22"/>
                <w:lang w:val="zh-CN"/>
              </w:rPr>
              <w:t>2</w:t>
            </w:r>
          </w:p>
        </w:tc>
        <w:tc>
          <w:tcPr>
            <w:tcW w:w="7305" w:type="dxa"/>
          </w:tcPr>
          <w:p w14:paraId="6495A52F">
            <w:pPr>
              <w:autoSpaceDE w:val="0"/>
              <w:autoSpaceDN w:val="0"/>
              <w:adjustRightInd w:val="0"/>
              <w:spacing w:line="430" w:lineRule="atLeast"/>
              <w:textAlignment w:val="bottom"/>
              <w:rPr>
                <w:rFonts w:hint="eastAsia" w:ascii="宋体" w:hAnsi="宋体" w:cs="宋体"/>
                <w:bCs/>
                <w:color w:val="auto"/>
                <w:sz w:val="22"/>
              </w:rPr>
            </w:pPr>
            <w:r>
              <w:rPr>
                <w:rFonts w:hint="eastAsia" w:ascii="宋体" w:hAnsi="宋体" w:cs="宋体"/>
                <w:bCs/>
                <w:color w:val="auto"/>
                <w:sz w:val="22"/>
              </w:rPr>
              <w:t>投标分项报价表</w:t>
            </w:r>
          </w:p>
        </w:tc>
        <w:tc>
          <w:tcPr>
            <w:tcW w:w="1550" w:type="dxa"/>
          </w:tcPr>
          <w:p w14:paraId="02D83E2E">
            <w:pPr>
              <w:autoSpaceDE w:val="0"/>
              <w:autoSpaceDN w:val="0"/>
              <w:adjustRightInd w:val="0"/>
              <w:spacing w:line="430" w:lineRule="atLeast"/>
              <w:jc w:val="center"/>
              <w:textAlignment w:val="bottom"/>
              <w:rPr>
                <w:rFonts w:hint="eastAsia" w:ascii="宋体" w:hAnsi="宋体" w:cs="宋体"/>
                <w:bCs/>
                <w:color w:val="auto"/>
                <w:sz w:val="22"/>
              </w:rPr>
            </w:pPr>
            <w:r>
              <w:rPr>
                <w:rFonts w:hint="eastAsia" w:ascii="宋体" w:hAnsi="宋体" w:cs="宋体"/>
                <w:bCs/>
                <w:color w:val="auto"/>
                <w:sz w:val="22"/>
              </w:rPr>
              <w:t>附件三</w:t>
            </w:r>
          </w:p>
        </w:tc>
      </w:tr>
    </w:tbl>
    <w:p w14:paraId="60DC3D31">
      <w:pPr>
        <w:spacing w:line="440" w:lineRule="exact"/>
        <w:rPr>
          <w:rFonts w:hint="eastAsia" w:ascii="宋体" w:hAnsi="宋体" w:cs="宋体"/>
          <w:color w:val="auto"/>
          <w:sz w:val="22"/>
          <w:szCs w:val="22"/>
        </w:rPr>
      </w:pPr>
      <w:r>
        <w:rPr>
          <w:rFonts w:hint="eastAsia" w:ascii="宋体" w:hAnsi="宋体" w:cs="宋体"/>
          <w:color w:val="auto"/>
          <w:sz w:val="22"/>
          <w:szCs w:val="22"/>
        </w:rPr>
        <w:t>5.2  投标文件格式</w:t>
      </w:r>
    </w:p>
    <w:p w14:paraId="58F055B8">
      <w:pPr>
        <w:spacing w:line="440" w:lineRule="exact"/>
        <w:ind w:left="525" w:leftChars="250"/>
        <w:rPr>
          <w:rFonts w:hint="eastAsia" w:ascii="宋体" w:hAnsi="宋体" w:cs="宋体"/>
          <w:color w:val="auto"/>
          <w:sz w:val="22"/>
          <w:szCs w:val="22"/>
        </w:rPr>
      </w:pPr>
      <w:r>
        <w:rPr>
          <w:rFonts w:hint="eastAsia" w:ascii="宋体" w:hAnsi="宋体" w:cs="宋体"/>
          <w:color w:val="auto"/>
          <w:sz w:val="22"/>
          <w:szCs w:val="22"/>
        </w:rPr>
        <w:t>投标人应根据招标文件中所提供的格式，内容按顺序填写，编写目录和页码，分别写入资格文件、商务技术文件和</w:t>
      </w:r>
      <w:r>
        <w:rPr>
          <w:rFonts w:hint="eastAsia" w:ascii="宋体" w:hAnsi="宋体"/>
          <w:color w:val="auto"/>
          <w:sz w:val="22"/>
          <w:szCs w:val="22"/>
        </w:rPr>
        <w:t>报价文件中</w:t>
      </w:r>
      <w:r>
        <w:rPr>
          <w:rFonts w:hint="eastAsia" w:ascii="宋体" w:hAnsi="宋体" w:cs="宋体"/>
          <w:color w:val="auto"/>
          <w:sz w:val="22"/>
          <w:szCs w:val="22"/>
        </w:rPr>
        <w:t>。</w:t>
      </w:r>
    </w:p>
    <w:p w14:paraId="4BF6BA09">
      <w:pPr>
        <w:tabs>
          <w:tab w:val="left" w:pos="-180"/>
          <w:tab w:val="left" w:pos="180"/>
          <w:tab w:val="left" w:pos="360"/>
        </w:tabs>
        <w:spacing w:line="440" w:lineRule="exact"/>
        <w:rPr>
          <w:rFonts w:hint="eastAsia" w:ascii="宋体" w:hAnsi="宋体" w:cs="宋体"/>
          <w:b/>
          <w:bCs/>
          <w:color w:val="auto"/>
          <w:sz w:val="22"/>
          <w:szCs w:val="22"/>
          <w:u w:val="single"/>
        </w:rPr>
      </w:pPr>
      <w:r>
        <w:rPr>
          <w:rFonts w:hint="eastAsia" w:ascii="宋体" w:hAnsi="宋体" w:cs="宋体"/>
          <w:bCs/>
          <w:color w:val="auto"/>
          <w:sz w:val="22"/>
          <w:szCs w:val="22"/>
        </w:rPr>
        <w:t xml:space="preserve">6. </w:t>
      </w:r>
      <w:r>
        <w:rPr>
          <w:rFonts w:hint="eastAsia" w:ascii="宋体" w:hAnsi="宋体" w:cs="宋体"/>
          <w:b/>
          <w:color w:val="auto"/>
          <w:sz w:val="22"/>
          <w:szCs w:val="22"/>
        </w:rPr>
        <w:t>▲</w:t>
      </w:r>
      <w:r>
        <w:rPr>
          <w:rFonts w:hint="eastAsia" w:ascii="宋体" w:hAnsi="宋体" w:cs="宋体"/>
          <w:b/>
          <w:bCs/>
          <w:color w:val="auto"/>
          <w:sz w:val="22"/>
          <w:szCs w:val="22"/>
          <w:u w:val="single"/>
        </w:rPr>
        <w:t>投标报价</w:t>
      </w:r>
    </w:p>
    <w:p w14:paraId="69A3D3B2">
      <w:pPr>
        <w:tabs>
          <w:tab w:val="left" w:pos="-180"/>
          <w:tab w:val="left" w:pos="180"/>
          <w:tab w:val="left" w:pos="360"/>
        </w:tabs>
        <w:spacing w:line="440" w:lineRule="exact"/>
        <w:ind w:left="550" w:hanging="550" w:hangingChars="250"/>
        <w:rPr>
          <w:rFonts w:hint="eastAsia" w:hAnsi="宋体" w:cs="宋体"/>
          <w:color w:val="auto"/>
          <w:sz w:val="22"/>
          <w:szCs w:val="22"/>
        </w:rPr>
      </w:pPr>
      <w:r>
        <w:rPr>
          <w:rFonts w:hint="eastAsia" w:ascii="宋体" w:hAnsi="宋体" w:cs="宋体"/>
          <w:color w:val="auto"/>
          <w:sz w:val="22"/>
          <w:szCs w:val="22"/>
        </w:rPr>
        <w:t xml:space="preserve">6.1 </w:t>
      </w:r>
      <w:r>
        <w:rPr>
          <w:rFonts w:hint="eastAsia" w:ascii="宋体" w:hAnsi="宋体" w:cs="宋体"/>
          <w:color w:val="auto"/>
          <w:sz w:val="22"/>
          <w:szCs w:val="22"/>
          <w:lang w:val="en-US" w:eastAsia="zh-CN"/>
        </w:rPr>
        <w:t xml:space="preserve"> </w:t>
      </w:r>
      <w:r>
        <w:rPr>
          <w:rFonts w:hint="eastAsia" w:ascii="宋体" w:hAnsi="宋体"/>
          <w:b/>
          <w:color w:val="auto"/>
          <w:sz w:val="22"/>
          <w:szCs w:val="22"/>
        </w:rPr>
        <w:t>投标报价包括：</w:t>
      </w:r>
      <w:r>
        <w:rPr>
          <w:rFonts w:hint="eastAsia" w:ascii="宋体" w:hAnsi="宋体" w:cs="宋体"/>
          <w:b/>
          <w:color w:val="auto"/>
          <w:sz w:val="22"/>
          <w:szCs w:val="22"/>
        </w:rPr>
        <w:t>完成本项目所需的所有费用，包括货物款、专用工具、税金、包装、运输、保险、装卸就位、安装调试、验收（含第三方验收）、技术服务、售后服务、材料、质保期保障、采购代理服务费等全部费用，实行固定费用总包干</w:t>
      </w:r>
      <w:r>
        <w:rPr>
          <w:rFonts w:hint="eastAsia" w:ascii="宋体" w:hAnsi="宋体"/>
          <w:b/>
          <w:color w:val="auto"/>
          <w:sz w:val="22"/>
          <w:szCs w:val="22"/>
        </w:rPr>
        <w:t>。</w:t>
      </w:r>
      <w:r>
        <w:rPr>
          <w:rFonts w:hint="eastAsia" w:hAnsi="宋体" w:cs="宋体"/>
          <w:color w:val="auto"/>
          <w:sz w:val="22"/>
          <w:szCs w:val="22"/>
        </w:rPr>
        <w:t>投标人应根据上述因素自行考虑含入投标总价。</w:t>
      </w:r>
    </w:p>
    <w:p w14:paraId="49FB7198">
      <w:pPr>
        <w:widowControl/>
        <w:tabs>
          <w:tab w:val="left" w:pos="0"/>
          <w:tab w:val="left" w:pos="540"/>
        </w:tabs>
        <w:overflowPunct w:val="0"/>
        <w:autoSpaceDE w:val="0"/>
        <w:autoSpaceDN w:val="0"/>
        <w:adjustRightInd w:val="0"/>
        <w:spacing w:line="440" w:lineRule="exact"/>
        <w:ind w:left="550" w:hanging="550" w:hangingChars="250"/>
        <w:jc w:val="left"/>
        <w:textAlignment w:val="baseline"/>
        <w:rPr>
          <w:rFonts w:hint="eastAsia" w:ascii="宋体" w:hAnsi="宋体" w:cs="宋体"/>
          <w:color w:val="auto"/>
          <w:sz w:val="22"/>
          <w:szCs w:val="22"/>
        </w:rPr>
      </w:pPr>
      <w:r>
        <w:rPr>
          <w:rFonts w:hint="eastAsia" w:ascii="宋体" w:hAnsi="宋体" w:cs="宋体"/>
          <w:color w:val="auto"/>
          <w:sz w:val="22"/>
          <w:szCs w:val="22"/>
        </w:rPr>
        <w:t>6.2  投标人必须按附件中的投标报价一览表、投标分项报价表（均统一格式）内容填写单价、合价和总价，并由法定代表人或投标人代表签署。</w:t>
      </w:r>
    </w:p>
    <w:p w14:paraId="3CA91E4F">
      <w:pPr>
        <w:tabs>
          <w:tab w:val="left" w:pos="-180"/>
          <w:tab w:val="left" w:pos="180"/>
          <w:tab w:val="left" w:pos="360"/>
        </w:tabs>
        <w:spacing w:line="440" w:lineRule="exact"/>
        <w:ind w:left="442" w:hanging="442" w:hangingChars="200"/>
        <w:rPr>
          <w:rFonts w:hint="eastAsia" w:ascii="宋体" w:hAnsi="宋体" w:cs="宋体"/>
          <w:color w:val="auto"/>
          <w:sz w:val="22"/>
          <w:szCs w:val="22"/>
        </w:rPr>
      </w:pPr>
      <w:r>
        <w:rPr>
          <w:rFonts w:hint="eastAsia" w:ascii="宋体" w:hAnsi="宋体" w:cs="宋体"/>
          <w:b/>
          <w:color w:val="auto"/>
          <w:sz w:val="22"/>
          <w:szCs w:val="22"/>
        </w:rPr>
        <w:t>6.3▲</w:t>
      </w:r>
      <w:r>
        <w:rPr>
          <w:rFonts w:hint="eastAsia" w:ascii="宋体" w:hAnsi="宋体" w:cs="宋体"/>
          <w:color w:val="auto"/>
          <w:sz w:val="22"/>
          <w:szCs w:val="22"/>
          <w:u w:val="single"/>
        </w:rPr>
        <w:t>本次投标均以人民币报价，不接受其他货币的报价，投标人如需外汇购入某些货物，须折合成人民币计入投标报价中</w:t>
      </w:r>
      <w:r>
        <w:rPr>
          <w:rFonts w:hint="eastAsia" w:ascii="宋体" w:hAnsi="宋体" w:cs="宋体"/>
          <w:color w:val="auto"/>
          <w:sz w:val="22"/>
          <w:szCs w:val="22"/>
        </w:rPr>
        <w:t>。</w:t>
      </w:r>
    </w:p>
    <w:p w14:paraId="26636AD2">
      <w:pPr>
        <w:tabs>
          <w:tab w:val="left" w:pos="-180"/>
          <w:tab w:val="left" w:pos="180"/>
          <w:tab w:val="left" w:pos="360"/>
        </w:tabs>
        <w:spacing w:line="440" w:lineRule="exact"/>
        <w:rPr>
          <w:rFonts w:hint="eastAsia" w:ascii="宋体" w:hAnsi="宋体" w:cs="宋体"/>
          <w:color w:val="auto"/>
          <w:sz w:val="22"/>
          <w:szCs w:val="22"/>
        </w:rPr>
      </w:pPr>
      <w:r>
        <w:rPr>
          <w:rFonts w:hint="eastAsia" w:ascii="宋体" w:hAnsi="宋体" w:cs="宋体"/>
          <w:color w:val="auto"/>
          <w:sz w:val="22"/>
          <w:szCs w:val="22"/>
        </w:rPr>
        <w:t>6.4</w:t>
      </w:r>
      <w:r>
        <w:rPr>
          <w:rFonts w:hint="eastAsia" w:ascii="宋体" w:hAnsi="宋体" w:cs="宋体"/>
          <w:b/>
          <w:color w:val="auto"/>
          <w:sz w:val="22"/>
          <w:szCs w:val="22"/>
        </w:rPr>
        <w:t>▲</w:t>
      </w:r>
      <w:r>
        <w:rPr>
          <w:rFonts w:hint="eastAsia" w:ascii="宋体" w:hAnsi="宋体" w:cs="宋体"/>
          <w:color w:val="auto"/>
          <w:sz w:val="22"/>
          <w:szCs w:val="22"/>
          <w:u w:val="single"/>
        </w:rPr>
        <w:t>招标采购单位不接受任何选择报价，对任何货物或服务只允许一个报价</w:t>
      </w:r>
      <w:r>
        <w:rPr>
          <w:rFonts w:hint="eastAsia" w:ascii="宋体" w:hAnsi="宋体" w:cs="宋体"/>
          <w:color w:val="auto"/>
          <w:sz w:val="22"/>
          <w:szCs w:val="22"/>
        </w:rPr>
        <w:t>。</w:t>
      </w:r>
    </w:p>
    <w:p w14:paraId="4AA615CF">
      <w:pPr>
        <w:tabs>
          <w:tab w:val="left" w:pos="-180"/>
          <w:tab w:val="left" w:pos="180"/>
          <w:tab w:val="left" w:pos="360"/>
        </w:tabs>
        <w:spacing w:line="440" w:lineRule="exact"/>
        <w:ind w:left="550" w:hanging="550" w:hangingChars="250"/>
        <w:rPr>
          <w:rFonts w:hint="eastAsia" w:ascii="宋体" w:hAnsi="宋体" w:cs="宋体"/>
          <w:color w:val="auto"/>
          <w:sz w:val="22"/>
          <w:szCs w:val="22"/>
        </w:rPr>
      </w:pPr>
      <w:r>
        <w:rPr>
          <w:rFonts w:hint="eastAsia" w:ascii="宋体" w:hAnsi="宋体" w:cs="宋体"/>
          <w:color w:val="auto"/>
          <w:sz w:val="22"/>
          <w:szCs w:val="22"/>
        </w:rPr>
        <w:t>6.5  招标采购单位要求分类报价是为了方便评标，但在任何情况下不限制采购人以其认为最合适的条款、条件签订合同的权利。</w:t>
      </w:r>
    </w:p>
    <w:p w14:paraId="61942696">
      <w:pPr>
        <w:tabs>
          <w:tab w:val="left" w:pos="-180"/>
          <w:tab w:val="left" w:pos="180"/>
          <w:tab w:val="left" w:pos="360"/>
        </w:tabs>
        <w:spacing w:line="440" w:lineRule="exact"/>
        <w:ind w:left="550" w:hanging="550" w:hangingChars="250"/>
        <w:rPr>
          <w:rFonts w:hint="eastAsia" w:ascii="宋体" w:hAnsi="宋体" w:cs="宋体"/>
          <w:color w:val="auto"/>
          <w:sz w:val="22"/>
          <w:szCs w:val="22"/>
        </w:rPr>
      </w:pPr>
      <w:r>
        <w:rPr>
          <w:rFonts w:hint="eastAsia" w:ascii="宋体" w:hAnsi="宋体" w:cs="宋体"/>
          <w:color w:val="auto"/>
          <w:sz w:val="22"/>
          <w:szCs w:val="22"/>
        </w:rPr>
        <w:t>6.6</w:t>
      </w:r>
      <w:r>
        <w:rPr>
          <w:rFonts w:hint="eastAsia" w:ascii="宋体" w:hAnsi="宋体" w:cs="宋体"/>
          <w:b/>
          <w:color w:val="auto"/>
          <w:sz w:val="22"/>
          <w:szCs w:val="22"/>
        </w:rPr>
        <w:t>▲</w:t>
      </w:r>
      <w:r>
        <w:rPr>
          <w:rFonts w:hint="eastAsia" w:ascii="宋体" w:hAnsi="宋体" w:cs="宋体"/>
          <w:color w:val="auto"/>
          <w:sz w:val="22"/>
          <w:szCs w:val="22"/>
          <w:u w:val="single"/>
        </w:rPr>
        <w:t>投标报价报出后，投标人不得以任何理由予以变更，任何包含价格调整的要求，将被认为是非实质性响应投标而予以拒绝</w:t>
      </w:r>
      <w:r>
        <w:rPr>
          <w:rFonts w:hint="eastAsia" w:ascii="宋体" w:hAnsi="宋体" w:cs="宋体"/>
          <w:color w:val="auto"/>
          <w:sz w:val="22"/>
          <w:szCs w:val="22"/>
        </w:rPr>
        <w:t>。</w:t>
      </w:r>
    </w:p>
    <w:p w14:paraId="194266A3">
      <w:pPr>
        <w:spacing w:line="440" w:lineRule="exact"/>
        <w:rPr>
          <w:rFonts w:hint="eastAsia" w:ascii="宋体" w:hAnsi="宋体" w:cs="宋体"/>
          <w:color w:val="auto"/>
          <w:sz w:val="22"/>
          <w:szCs w:val="22"/>
        </w:rPr>
      </w:pPr>
      <w:bookmarkStart w:id="36" w:name="_Toc230773778"/>
      <w:r>
        <w:rPr>
          <w:rFonts w:hint="eastAsia" w:ascii="宋体" w:hAnsi="宋体" w:cs="宋体"/>
          <w:bCs/>
          <w:color w:val="auto"/>
          <w:sz w:val="22"/>
          <w:szCs w:val="22"/>
        </w:rPr>
        <w:t xml:space="preserve">7.   </w:t>
      </w:r>
      <w:r>
        <w:rPr>
          <w:rFonts w:hint="eastAsia" w:ascii="宋体" w:hAnsi="宋体" w:cs="宋体"/>
          <w:b/>
          <w:bCs/>
          <w:color w:val="auto"/>
          <w:sz w:val="22"/>
          <w:szCs w:val="22"/>
          <w:u w:val="single"/>
        </w:rPr>
        <w:t>投标有效期</w:t>
      </w:r>
    </w:p>
    <w:p w14:paraId="3F581C8B">
      <w:pPr>
        <w:spacing w:line="440" w:lineRule="exact"/>
        <w:rPr>
          <w:rFonts w:hint="eastAsia" w:ascii="宋体" w:hAnsi="宋体" w:cs="宋体"/>
          <w:b/>
          <w:color w:val="auto"/>
          <w:sz w:val="22"/>
          <w:szCs w:val="22"/>
        </w:rPr>
      </w:pPr>
      <w:r>
        <w:rPr>
          <w:rFonts w:hint="eastAsia" w:ascii="宋体" w:hAnsi="宋体" w:cs="宋体"/>
          <w:color w:val="auto"/>
          <w:sz w:val="22"/>
          <w:szCs w:val="22"/>
        </w:rPr>
        <w:t>7.1</w:t>
      </w:r>
      <w:r>
        <w:rPr>
          <w:rFonts w:hint="eastAsia" w:ascii="宋体" w:hAnsi="宋体" w:cs="宋体"/>
          <w:b/>
          <w:color w:val="auto"/>
          <w:sz w:val="22"/>
          <w:szCs w:val="22"/>
        </w:rPr>
        <w:t>▲</w:t>
      </w:r>
      <w:r>
        <w:rPr>
          <w:rFonts w:hint="eastAsia" w:ascii="宋体" w:hAnsi="宋体" w:cs="宋体"/>
          <w:b/>
          <w:color w:val="auto"/>
          <w:sz w:val="22"/>
          <w:szCs w:val="22"/>
          <w:u w:val="single"/>
        </w:rPr>
        <w:t>自开标之日起</w:t>
      </w:r>
      <w:r>
        <w:rPr>
          <w:rFonts w:hint="eastAsia" w:ascii="宋体" w:hAnsi="宋体" w:cs="宋体"/>
          <w:b/>
          <w:bCs/>
          <w:color w:val="auto"/>
          <w:sz w:val="22"/>
          <w:szCs w:val="22"/>
          <w:u w:val="single"/>
        </w:rPr>
        <w:t>90</w:t>
      </w:r>
      <w:r>
        <w:rPr>
          <w:rFonts w:hint="eastAsia" w:ascii="宋体" w:hAnsi="宋体" w:cs="宋体"/>
          <w:b/>
          <w:color w:val="auto"/>
          <w:sz w:val="22"/>
          <w:szCs w:val="22"/>
          <w:u w:val="single"/>
        </w:rPr>
        <w:t>天内投标应保持投标有效</w:t>
      </w:r>
      <w:r>
        <w:rPr>
          <w:rFonts w:hint="eastAsia" w:ascii="宋体" w:hAnsi="宋体" w:cs="宋体"/>
          <w:b/>
          <w:color w:val="auto"/>
          <w:sz w:val="22"/>
          <w:szCs w:val="22"/>
        </w:rPr>
        <w:t>。</w:t>
      </w:r>
    </w:p>
    <w:p w14:paraId="4B8371F8">
      <w:pPr>
        <w:spacing w:line="440" w:lineRule="exact"/>
        <w:ind w:left="550" w:hanging="550" w:hangingChars="250"/>
        <w:rPr>
          <w:rFonts w:hint="eastAsia" w:ascii="宋体" w:hAnsi="宋体" w:cs="宋体"/>
          <w:color w:val="auto"/>
          <w:sz w:val="22"/>
          <w:szCs w:val="22"/>
        </w:rPr>
      </w:pPr>
      <w:r>
        <w:rPr>
          <w:rFonts w:hint="eastAsia" w:ascii="宋体" w:hAnsi="宋体" w:cs="宋体"/>
          <w:color w:val="auto"/>
          <w:sz w:val="22"/>
          <w:szCs w:val="22"/>
        </w:rPr>
        <w:t>7.2  特殊情况下，在原投标有效期截止前，采购人可与投标人协商延长投标有效期，这种要求和答复均以书面形式进行。投标人可拒绝接受延期要求，也可以接受延期要求。同意延长投标有效期的投标人不得修改投标文件。</w:t>
      </w:r>
    </w:p>
    <w:p w14:paraId="706E858B">
      <w:pPr>
        <w:spacing w:line="440" w:lineRule="exact"/>
        <w:rPr>
          <w:rFonts w:hint="eastAsia" w:ascii="宋体" w:hAnsi="宋体"/>
          <w:b/>
          <w:bCs/>
          <w:color w:val="auto"/>
          <w:sz w:val="22"/>
          <w:szCs w:val="22"/>
        </w:rPr>
      </w:pPr>
      <w:r>
        <w:rPr>
          <w:rFonts w:hint="eastAsia" w:ascii="宋体" w:hAnsi="宋体"/>
          <w:bCs/>
          <w:color w:val="auto"/>
          <w:sz w:val="22"/>
          <w:szCs w:val="22"/>
        </w:rPr>
        <w:t xml:space="preserve">8.   </w:t>
      </w:r>
      <w:r>
        <w:rPr>
          <w:rFonts w:hint="eastAsia" w:ascii="宋体" w:hAnsi="宋体"/>
          <w:b/>
          <w:bCs/>
          <w:color w:val="auto"/>
          <w:sz w:val="22"/>
          <w:szCs w:val="22"/>
        </w:rPr>
        <w:t>投标文件的签署和规定</w:t>
      </w:r>
    </w:p>
    <w:p w14:paraId="0C86EC6E">
      <w:pPr>
        <w:spacing w:line="440" w:lineRule="exact"/>
        <w:ind w:left="550" w:hanging="550" w:hangingChars="250"/>
        <w:rPr>
          <w:color w:val="auto"/>
        </w:rPr>
      </w:pPr>
      <w:r>
        <w:rPr>
          <w:rFonts w:hint="eastAsia" w:ascii="宋体" w:hAnsi="宋体"/>
          <w:color w:val="auto"/>
          <w:sz w:val="22"/>
          <w:szCs w:val="22"/>
        </w:rPr>
        <w:t xml:space="preserve">8.1  </w:t>
      </w:r>
      <w:r>
        <w:rPr>
          <w:rFonts w:hint="eastAsia" w:ascii="宋体" w:hAnsi="宋体"/>
          <w:b/>
          <w:color w:val="auto"/>
          <w:sz w:val="22"/>
          <w:szCs w:val="22"/>
          <w:u w:val="single"/>
        </w:rPr>
        <w:t>投标人应根据招标文件的规定对投标文件进行电子盖章及签署</w:t>
      </w:r>
      <w:r>
        <w:rPr>
          <w:rFonts w:hint="eastAsia" w:ascii="宋体" w:hAnsi="宋体"/>
          <w:color w:val="auto"/>
          <w:sz w:val="22"/>
          <w:szCs w:val="22"/>
        </w:rPr>
        <w:t>。</w:t>
      </w:r>
    </w:p>
    <w:p w14:paraId="3A27C3CE">
      <w:pPr>
        <w:pStyle w:val="5"/>
        <w:spacing w:line="680" w:lineRule="exact"/>
        <w:jc w:val="center"/>
        <w:rPr>
          <w:rFonts w:hint="eastAsia" w:ascii="宋体" w:hAnsi="宋体" w:eastAsia="宋体" w:cs="宋体"/>
          <w:color w:val="auto"/>
          <w:sz w:val="28"/>
          <w:szCs w:val="28"/>
        </w:rPr>
      </w:pPr>
      <w:bookmarkStart w:id="37" w:name="_Toc2447"/>
      <w:r>
        <w:rPr>
          <w:rFonts w:hint="eastAsia" w:ascii="宋体" w:hAnsi="宋体" w:eastAsia="宋体" w:cs="宋体"/>
          <w:color w:val="auto"/>
          <w:sz w:val="28"/>
          <w:szCs w:val="28"/>
        </w:rPr>
        <w:t>四、 投标文件的递交</w:t>
      </w:r>
      <w:bookmarkEnd w:id="36"/>
      <w:bookmarkEnd w:id="37"/>
    </w:p>
    <w:p w14:paraId="311776F6">
      <w:pPr>
        <w:spacing w:line="440" w:lineRule="exact"/>
        <w:rPr>
          <w:rFonts w:hint="eastAsia" w:ascii="宋体" w:hAnsi="宋体" w:cs="宋体"/>
          <w:b/>
          <w:bCs/>
          <w:color w:val="auto"/>
          <w:sz w:val="22"/>
          <w:szCs w:val="22"/>
        </w:rPr>
      </w:pPr>
      <w:bookmarkStart w:id="38" w:name="_Toc230773779"/>
      <w:r>
        <w:rPr>
          <w:rFonts w:hint="eastAsia" w:ascii="宋体" w:hAnsi="宋体" w:cs="宋体"/>
          <w:bCs/>
          <w:color w:val="auto"/>
          <w:sz w:val="22"/>
          <w:szCs w:val="22"/>
        </w:rPr>
        <w:t xml:space="preserve">1.   </w:t>
      </w:r>
      <w:r>
        <w:rPr>
          <w:rFonts w:hint="eastAsia" w:ascii="宋体" w:hAnsi="宋体" w:cs="宋体"/>
          <w:b/>
          <w:bCs/>
          <w:color w:val="auto"/>
          <w:sz w:val="22"/>
          <w:szCs w:val="22"/>
        </w:rPr>
        <w:t>投标文件的递交</w:t>
      </w:r>
    </w:p>
    <w:p w14:paraId="5C8C8690">
      <w:pPr>
        <w:spacing w:line="440" w:lineRule="exact"/>
        <w:ind w:firstLine="552" w:firstLineChars="250"/>
        <w:rPr>
          <w:rFonts w:hint="eastAsia" w:ascii="宋体" w:hAnsi="宋体" w:cs="宋体"/>
          <w:b/>
          <w:bCs/>
          <w:color w:val="auto"/>
          <w:sz w:val="22"/>
          <w:szCs w:val="22"/>
          <w:u w:val="single"/>
        </w:rPr>
      </w:pPr>
      <w:r>
        <w:rPr>
          <w:rFonts w:hint="eastAsia" w:ascii="宋体" w:hAnsi="宋体" w:cs="宋体"/>
          <w:b/>
          <w:bCs/>
          <w:color w:val="auto"/>
          <w:sz w:val="22"/>
          <w:szCs w:val="22"/>
          <w:u w:val="single"/>
        </w:rPr>
        <w:t>投标文件必须在招标文件规定的投标文件截止时间前完成电子投标文件的传输递交。投标截止</w:t>
      </w:r>
    </w:p>
    <w:p w14:paraId="313288DB">
      <w:pPr>
        <w:spacing w:line="440" w:lineRule="exact"/>
        <w:ind w:firstLine="552" w:firstLineChars="250"/>
        <w:rPr>
          <w:rFonts w:hint="eastAsia" w:ascii="宋体" w:hAnsi="宋体" w:cs="宋体"/>
          <w:b/>
          <w:bCs/>
          <w:color w:val="auto"/>
          <w:sz w:val="22"/>
          <w:szCs w:val="22"/>
          <w:u w:val="single"/>
        </w:rPr>
      </w:pPr>
      <w:r>
        <w:rPr>
          <w:rFonts w:hint="eastAsia" w:ascii="宋体" w:hAnsi="宋体" w:cs="宋体"/>
          <w:b/>
          <w:bCs/>
          <w:color w:val="auto"/>
          <w:sz w:val="22"/>
          <w:szCs w:val="22"/>
          <w:u w:val="single"/>
        </w:rPr>
        <w:t>时间前未完成传输的，视为撤回投标文件。投标截止时间后送达的投标文件，将被政采云平台</w:t>
      </w:r>
    </w:p>
    <w:p w14:paraId="2A9E9F1F">
      <w:pPr>
        <w:spacing w:line="440" w:lineRule="exact"/>
        <w:ind w:firstLine="552" w:firstLineChars="250"/>
        <w:rPr>
          <w:rFonts w:hint="eastAsia" w:ascii="宋体" w:hAnsi="宋体" w:cs="宋体"/>
          <w:b/>
          <w:bCs/>
          <w:color w:val="auto"/>
          <w:sz w:val="22"/>
          <w:szCs w:val="22"/>
          <w:u w:val="single"/>
        </w:rPr>
      </w:pPr>
      <w:r>
        <w:rPr>
          <w:rFonts w:hint="eastAsia" w:ascii="宋体" w:hAnsi="宋体" w:cs="宋体"/>
          <w:b/>
          <w:bCs/>
          <w:color w:val="auto"/>
          <w:sz w:val="22"/>
          <w:szCs w:val="22"/>
          <w:u w:val="single"/>
        </w:rPr>
        <w:t>拒收。</w:t>
      </w:r>
    </w:p>
    <w:p w14:paraId="2D78F539">
      <w:pPr>
        <w:spacing w:line="440" w:lineRule="exact"/>
        <w:ind w:left="550" w:hanging="550" w:hangingChars="250"/>
        <w:rPr>
          <w:rFonts w:hint="eastAsia" w:ascii="宋体" w:hAnsi="宋体" w:cs="宋体"/>
          <w:b/>
          <w:bCs/>
          <w:color w:val="auto"/>
          <w:sz w:val="22"/>
          <w:szCs w:val="22"/>
        </w:rPr>
      </w:pPr>
      <w:r>
        <w:rPr>
          <w:rFonts w:ascii="宋体" w:hAnsi="宋体" w:cs="宋体"/>
          <w:bCs/>
          <w:color w:val="auto"/>
          <w:sz w:val="22"/>
          <w:szCs w:val="22"/>
        </w:rPr>
        <w:t>2</w:t>
      </w:r>
      <w:r>
        <w:rPr>
          <w:rFonts w:hint="eastAsia" w:ascii="宋体" w:hAnsi="宋体" w:cs="宋体"/>
          <w:bCs/>
          <w:color w:val="auto"/>
          <w:sz w:val="22"/>
          <w:szCs w:val="22"/>
        </w:rPr>
        <w:t xml:space="preserve">.   </w:t>
      </w:r>
      <w:r>
        <w:rPr>
          <w:rFonts w:hint="eastAsia" w:ascii="宋体" w:hAnsi="宋体" w:cs="宋体"/>
          <w:b/>
          <w:bCs/>
          <w:color w:val="auto"/>
          <w:sz w:val="22"/>
          <w:szCs w:val="22"/>
        </w:rPr>
        <w:t>投标文件的补充、修改和撤回</w:t>
      </w:r>
    </w:p>
    <w:p w14:paraId="6948ED33">
      <w:pPr>
        <w:spacing w:line="440" w:lineRule="exact"/>
        <w:ind w:firstLine="552" w:firstLineChars="250"/>
        <w:rPr>
          <w:rFonts w:hint="eastAsia" w:ascii="宋体" w:hAnsi="宋体" w:cs="宋体"/>
          <w:b/>
          <w:bCs/>
          <w:color w:val="auto"/>
          <w:sz w:val="22"/>
          <w:szCs w:val="22"/>
          <w:u w:val="single"/>
        </w:rPr>
      </w:pPr>
      <w:r>
        <w:rPr>
          <w:rFonts w:hint="eastAsia" w:ascii="宋体" w:hAnsi="宋体" w:cs="宋体"/>
          <w:b/>
          <w:bCs/>
          <w:color w:val="auto"/>
          <w:sz w:val="22"/>
          <w:szCs w:val="22"/>
          <w:u w:val="single"/>
        </w:rPr>
        <w:t>投标人在投标截止时间前，可以补充、修改或者撤回电子投标文件。补充或者修改电子投标文</w:t>
      </w:r>
    </w:p>
    <w:p w14:paraId="63601EAF">
      <w:pPr>
        <w:spacing w:line="440" w:lineRule="exact"/>
        <w:ind w:firstLine="552" w:firstLineChars="250"/>
        <w:rPr>
          <w:color w:val="auto"/>
        </w:rPr>
      </w:pPr>
      <w:r>
        <w:rPr>
          <w:rFonts w:hint="eastAsia" w:ascii="宋体" w:hAnsi="宋体" w:cs="宋体"/>
          <w:b/>
          <w:bCs/>
          <w:color w:val="auto"/>
          <w:sz w:val="22"/>
          <w:szCs w:val="22"/>
          <w:u w:val="single"/>
        </w:rPr>
        <w:t>件的，应当先行撤回原文件，补充、修改后重新传输递交。</w:t>
      </w:r>
    </w:p>
    <w:p w14:paraId="3E84FB60">
      <w:pPr>
        <w:pStyle w:val="5"/>
        <w:spacing w:line="680" w:lineRule="exact"/>
        <w:jc w:val="center"/>
        <w:rPr>
          <w:rFonts w:hint="eastAsia" w:ascii="宋体" w:hAnsi="宋体" w:eastAsia="宋体" w:cs="宋体"/>
          <w:color w:val="auto"/>
          <w:sz w:val="28"/>
          <w:szCs w:val="28"/>
        </w:rPr>
      </w:pPr>
      <w:bookmarkStart w:id="39" w:name="_Toc6611"/>
      <w:r>
        <w:rPr>
          <w:rFonts w:hint="eastAsia" w:ascii="宋体" w:hAnsi="宋体" w:eastAsia="宋体" w:cs="宋体"/>
          <w:color w:val="auto"/>
          <w:sz w:val="28"/>
          <w:szCs w:val="28"/>
        </w:rPr>
        <w:t>五、 开标和评标</w:t>
      </w:r>
      <w:bookmarkEnd w:id="38"/>
      <w:bookmarkEnd w:id="39"/>
    </w:p>
    <w:p w14:paraId="4C160550">
      <w:pPr>
        <w:spacing w:line="440" w:lineRule="exact"/>
        <w:rPr>
          <w:rFonts w:hint="eastAsia" w:ascii="宋体" w:hAnsi="宋体" w:cs="宋体"/>
          <w:b/>
          <w:bCs/>
          <w:color w:val="auto"/>
          <w:sz w:val="22"/>
          <w:szCs w:val="22"/>
        </w:rPr>
      </w:pPr>
      <w:r>
        <w:rPr>
          <w:rFonts w:hint="eastAsia" w:ascii="宋体" w:hAnsi="宋体" w:cs="宋体"/>
          <w:bCs/>
          <w:color w:val="auto"/>
          <w:sz w:val="22"/>
          <w:szCs w:val="22"/>
        </w:rPr>
        <w:t xml:space="preserve">1.   </w:t>
      </w:r>
      <w:r>
        <w:rPr>
          <w:rFonts w:hint="eastAsia" w:ascii="宋体" w:hAnsi="宋体" w:cs="宋体"/>
          <w:b/>
          <w:bCs/>
          <w:color w:val="auto"/>
          <w:sz w:val="22"/>
          <w:szCs w:val="22"/>
        </w:rPr>
        <w:t>评标委员会</w:t>
      </w:r>
    </w:p>
    <w:p w14:paraId="7A8C3416">
      <w:pPr>
        <w:spacing w:line="440" w:lineRule="exact"/>
        <w:ind w:left="550" w:hanging="550" w:hangingChars="250"/>
        <w:rPr>
          <w:rFonts w:hint="eastAsia" w:ascii="宋体" w:hAnsi="宋体" w:cs="宋体"/>
          <w:bCs/>
          <w:color w:val="auto"/>
          <w:sz w:val="22"/>
          <w:szCs w:val="22"/>
        </w:rPr>
      </w:pPr>
      <w:r>
        <w:rPr>
          <w:rFonts w:hint="eastAsia" w:ascii="宋体" w:hAnsi="宋体" w:cs="宋体"/>
          <w:bCs/>
          <w:color w:val="auto"/>
          <w:sz w:val="22"/>
          <w:szCs w:val="22"/>
        </w:rPr>
        <w:t>1.1  采购人和采购代理机构依法组建评标委员会，评标委员会的成员在评标过程中必须严格遵守《</w:t>
      </w:r>
      <w:r>
        <w:rPr>
          <w:rFonts w:hint="eastAsia" w:ascii="宋体" w:hAnsi="宋体" w:cs="宋体"/>
          <w:color w:val="auto"/>
          <w:sz w:val="22"/>
          <w:szCs w:val="22"/>
        </w:rPr>
        <w:t>中华人民共和国政府采购法</w:t>
      </w:r>
      <w:r>
        <w:rPr>
          <w:rFonts w:hint="eastAsia" w:ascii="宋体" w:hAnsi="宋体" w:cs="宋体"/>
          <w:bCs/>
          <w:color w:val="auto"/>
          <w:sz w:val="22"/>
          <w:szCs w:val="22"/>
        </w:rPr>
        <w:t>》等有关法律、法规的规定。</w:t>
      </w:r>
    </w:p>
    <w:p w14:paraId="43C3B9F7">
      <w:pPr>
        <w:spacing w:line="440" w:lineRule="exact"/>
        <w:ind w:left="550" w:hanging="550" w:hangingChars="250"/>
        <w:rPr>
          <w:rFonts w:hint="eastAsia" w:ascii="宋体" w:hAnsi="宋体" w:cs="宋体"/>
          <w:bCs/>
          <w:color w:val="auto"/>
          <w:sz w:val="22"/>
          <w:szCs w:val="22"/>
        </w:rPr>
      </w:pPr>
      <w:r>
        <w:rPr>
          <w:rFonts w:hint="eastAsia" w:ascii="宋体" w:hAnsi="宋体" w:cs="宋体"/>
          <w:bCs/>
          <w:color w:val="auto"/>
          <w:sz w:val="22"/>
          <w:szCs w:val="22"/>
        </w:rPr>
        <w:t xml:space="preserve">2.   </w:t>
      </w:r>
      <w:r>
        <w:rPr>
          <w:rFonts w:hint="eastAsia" w:ascii="宋体" w:hAnsi="宋体" w:cs="宋体"/>
          <w:b/>
          <w:bCs/>
          <w:color w:val="auto"/>
          <w:sz w:val="22"/>
          <w:szCs w:val="22"/>
        </w:rPr>
        <w:t>评标过程的保密性</w:t>
      </w:r>
    </w:p>
    <w:p w14:paraId="1AC198E2">
      <w:pPr>
        <w:spacing w:line="440" w:lineRule="exact"/>
        <w:ind w:left="558" w:leftChars="4" w:hanging="550" w:hangingChars="250"/>
        <w:rPr>
          <w:rFonts w:hint="eastAsia" w:ascii="宋体" w:hAnsi="宋体" w:cs="宋体"/>
          <w:b/>
          <w:bCs/>
          <w:color w:val="auto"/>
          <w:sz w:val="22"/>
          <w:szCs w:val="22"/>
        </w:rPr>
      </w:pPr>
      <w:r>
        <w:rPr>
          <w:rFonts w:hint="eastAsia" w:ascii="宋体" w:hAnsi="宋体" w:cs="宋体"/>
          <w:bCs/>
          <w:color w:val="auto"/>
          <w:sz w:val="22"/>
          <w:szCs w:val="22"/>
        </w:rPr>
        <w:t>2.1  开标后直至向中标人授予合同时止，凡与评审有关的资料均不得向投标人及与评标无关人员透露，如果投标人在评标过程中试图向采购人或采购代理机构施加影响，其投标将被拒绝。</w:t>
      </w:r>
    </w:p>
    <w:p w14:paraId="7285FF1F">
      <w:pPr>
        <w:spacing w:line="440" w:lineRule="exact"/>
        <w:ind w:left="560" w:leftChars="4" w:hanging="552" w:hangingChars="250"/>
        <w:rPr>
          <w:rFonts w:hint="eastAsia" w:ascii="宋体" w:hAnsi="宋体" w:cs="宋体"/>
          <w:b/>
          <w:bCs/>
          <w:color w:val="auto"/>
          <w:sz w:val="22"/>
          <w:szCs w:val="22"/>
        </w:rPr>
      </w:pPr>
      <w:r>
        <w:rPr>
          <w:rFonts w:hint="eastAsia" w:ascii="宋体" w:hAnsi="宋体" w:cs="宋体"/>
          <w:b/>
          <w:bCs/>
          <w:color w:val="auto"/>
          <w:sz w:val="22"/>
          <w:szCs w:val="22"/>
        </w:rPr>
        <w:t>3.   评标前准备</w:t>
      </w:r>
    </w:p>
    <w:p w14:paraId="7007C463">
      <w:pPr>
        <w:spacing w:line="440" w:lineRule="exact"/>
        <w:ind w:left="558" w:leftChars="4" w:hanging="550" w:hangingChars="250"/>
        <w:rPr>
          <w:rFonts w:hint="eastAsia" w:ascii="宋体" w:hAnsi="宋体" w:cs="宋体"/>
          <w:bCs/>
          <w:color w:val="auto"/>
          <w:sz w:val="22"/>
          <w:szCs w:val="22"/>
        </w:rPr>
      </w:pPr>
      <w:r>
        <w:rPr>
          <w:rFonts w:ascii="宋体" w:hAnsi="宋体" w:cs="宋体"/>
          <w:bCs/>
          <w:color w:val="auto"/>
          <w:sz w:val="22"/>
          <w:szCs w:val="22"/>
        </w:rPr>
        <w:t xml:space="preserve">3.1  </w:t>
      </w:r>
      <w:r>
        <w:rPr>
          <w:rFonts w:hint="eastAsia" w:ascii="宋体" w:hAnsi="宋体" w:cs="宋体"/>
          <w:bCs/>
          <w:color w:val="auto"/>
          <w:sz w:val="22"/>
          <w:szCs w:val="22"/>
        </w:rPr>
        <w:t>投标文件签收及解密：由采购代理机构开始签收并开始解密投标文件。</w:t>
      </w:r>
    </w:p>
    <w:p w14:paraId="522EF799">
      <w:pPr>
        <w:spacing w:line="440" w:lineRule="exact"/>
        <w:ind w:left="558" w:leftChars="4" w:hanging="550" w:hangingChars="250"/>
        <w:rPr>
          <w:rFonts w:hint="eastAsia" w:ascii="宋体" w:hAnsi="宋体" w:cs="宋体"/>
          <w:bCs/>
          <w:color w:val="auto"/>
          <w:sz w:val="22"/>
          <w:szCs w:val="22"/>
        </w:rPr>
      </w:pPr>
      <w:r>
        <w:rPr>
          <w:rFonts w:hint="eastAsia" w:ascii="宋体" w:hAnsi="宋体" w:cs="宋体"/>
          <w:bCs/>
          <w:color w:val="auto"/>
          <w:sz w:val="22"/>
          <w:szCs w:val="22"/>
        </w:rPr>
        <w:t>3</w:t>
      </w:r>
      <w:r>
        <w:rPr>
          <w:rFonts w:ascii="宋体" w:hAnsi="宋体" w:cs="宋体"/>
          <w:bCs/>
          <w:color w:val="auto"/>
          <w:sz w:val="22"/>
          <w:szCs w:val="22"/>
        </w:rPr>
        <w:t xml:space="preserve">.2  </w:t>
      </w:r>
      <w:r>
        <w:rPr>
          <w:rFonts w:hint="eastAsia" w:ascii="宋体" w:hAnsi="宋体" w:cs="宋体"/>
          <w:bCs/>
          <w:color w:val="auto"/>
          <w:sz w:val="22"/>
          <w:szCs w:val="22"/>
        </w:rPr>
        <w:t>投标文件解密：投标文件递交截止时间后，投标人登录政采云平台，用“项目采购-开标评标”功能对电子投标文件进行在线解密。在线解密电子投标文件时间为开标时间起半个小时内。</w:t>
      </w:r>
      <w:r>
        <w:rPr>
          <w:rFonts w:ascii="宋体" w:hAnsi="宋体" w:cs="宋体"/>
          <w:bCs/>
          <w:color w:val="auto"/>
          <w:sz w:val="22"/>
          <w:szCs w:val="22"/>
        </w:rPr>
        <w:t>投标文件未按时解密，</w:t>
      </w:r>
      <w:r>
        <w:rPr>
          <w:rFonts w:hint="eastAsia" w:ascii="宋体" w:hAnsi="宋体" w:cs="宋体"/>
          <w:bCs/>
          <w:color w:val="auto"/>
          <w:sz w:val="22"/>
          <w:szCs w:val="22"/>
        </w:rPr>
        <w:t>投标人</w:t>
      </w:r>
      <w:r>
        <w:rPr>
          <w:rFonts w:ascii="宋体" w:hAnsi="宋体" w:cs="宋体"/>
          <w:bCs/>
          <w:color w:val="auto"/>
          <w:sz w:val="22"/>
          <w:szCs w:val="22"/>
        </w:rPr>
        <w:t>提供了备份投标文件的，以备份投标文件作为依据，否则视为投标文件撤回。投标文件已按时解密的，备份投标文件自动失效。</w:t>
      </w:r>
    </w:p>
    <w:p w14:paraId="32A42368">
      <w:pPr>
        <w:spacing w:line="440" w:lineRule="exact"/>
        <w:ind w:left="558" w:leftChars="4" w:hanging="550" w:hangingChars="250"/>
        <w:rPr>
          <w:rFonts w:hint="eastAsia" w:ascii="宋体" w:hAnsi="宋体" w:cs="宋体"/>
          <w:bCs/>
          <w:color w:val="auto"/>
          <w:sz w:val="22"/>
          <w:szCs w:val="22"/>
        </w:rPr>
      </w:pPr>
      <w:r>
        <w:rPr>
          <w:rFonts w:hint="eastAsia" w:ascii="宋体" w:hAnsi="宋体" w:cs="宋体"/>
          <w:bCs/>
          <w:color w:val="auto"/>
          <w:sz w:val="22"/>
          <w:szCs w:val="22"/>
        </w:rPr>
        <w:t>3</w:t>
      </w:r>
      <w:r>
        <w:rPr>
          <w:rFonts w:ascii="宋体" w:hAnsi="宋体" w:cs="宋体"/>
          <w:bCs/>
          <w:color w:val="auto"/>
          <w:sz w:val="22"/>
          <w:szCs w:val="22"/>
        </w:rPr>
        <w:t xml:space="preserve">.3  </w:t>
      </w:r>
      <w:r>
        <w:rPr>
          <w:rFonts w:hint="eastAsia" w:ascii="宋体" w:hAnsi="宋体" w:cs="宋体"/>
          <w:bCs/>
          <w:color w:val="auto"/>
          <w:sz w:val="22"/>
          <w:szCs w:val="22"/>
        </w:rPr>
        <w:t>投标文件解密结束。投标人在线解密投标文件完毕后，由采购代理机构结束解密投标文件。</w:t>
      </w:r>
    </w:p>
    <w:p w14:paraId="26CCFBAB">
      <w:pPr>
        <w:spacing w:line="440" w:lineRule="exact"/>
        <w:ind w:left="560" w:leftChars="4" w:hanging="552" w:hangingChars="250"/>
        <w:rPr>
          <w:rFonts w:hint="eastAsia" w:ascii="宋体" w:hAnsi="宋体" w:cs="宋体"/>
          <w:b/>
          <w:color w:val="auto"/>
          <w:sz w:val="22"/>
          <w:szCs w:val="22"/>
        </w:rPr>
      </w:pPr>
      <w:r>
        <w:rPr>
          <w:rFonts w:ascii="宋体" w:hAnsi="宋体" w:cs="宋体"/>
          <w:b/>
          <w:color w:val="auto"/>
          <w:sz w:val="22"/>
          <w:szCs w:val="22"/>
        </w:rPr>
        <w:t xml:space="preserve">4.   </w:t>
      </w:r>
      <w:r>
        <w:rPr>
          <w:rFonts w:hint="eastAsia" w:ascii="宋体" w:hAnsi="宋体" w:cs="宋体"/>
          <w:b/>
          <w:color w:val="auto"/>
          <w:sz w:val="22"/>
          <w:szCs w:val="22"/>
        </w:rPr>
        <w:t>开标评标</w:t>
      </w:r>
    </w:p>
    <w:p w14:paraId="4D664B11">
      <w:pPr>
        <w:spacing w:line="440" w:lineRule="exact"/>
        <w:ind w:left="558" w:leftChars="4" w:hanging="550" w:hangingChars="250"/>
        <w:rPr>
          <w:rFonts w:hint="eastAsia" w:ascii="宋体" w:hAnsi="宋体" w:cs="宋体"/>
          <w:bCs/>
          <w:color w:val="auto"/>
          <w:sz w:val="22"/>
          <w:szCs w:val="22"/>
        </w:rPr>
      </w:pPr>
      <w:r>
        <w:rPr>
          <w:rFonts w:ascii="宋体" w:hAnsi="宋体" w:cs="宋体"/>
          <w:bCs/>
          <w:color w:val="auto"/>
          <w:sz w:val="22"/>
          <w:szCs w:val="22"/>
        </w:rPr>
        <w:t>4.1</w:t>
      </w:r>
      <w:r>
        <w:rPr>
          <w:rFonts w:hint="eastAsia" w:ascii="宋体" w:hAnsi="宋体" w:cs="宋体"/>
          <w:bCs/>
          <w:color w:val="auto"/>
          <w:sz w:val="22"/>
          <w:szCs w:val="22"/>
        </w:rPr>
        <w:t xml:space="preserve">  资格性审查</w:t>
      </w:r>
    </w:p>
    <w:p w14:paraId="167A5429">
      <w:pPr>
        <w:spacing w:line="440" w:lineRule="exact"/>
        <w:ind w:left="533" w:leftChars="254"/>
        <w:rPr>
          <w:rFonts w:hint="eastAsia" w:ascii="宋体" w:hAnsi="宋体" w:cs="宋体"/>
          <w:bCs/>
          <w:color w:val="auto"/>
          <w:sz w:val="22"/>
          <w:szCs w:val="22"/>
        </w:rPr>
      </w:pPr>
      <w:r>
        <w:rPr>
          <w:rFonts w:hint="eastAsia" w:ascii="宋体" w:hAnsi="宋体" w:cs="宋体"/>
          <w:bCs/>
          <w:color w:val="auto"/>
          <w:sz w:val="22"/>
          <w:szCs w:val="22"/>
        </w:rPr>
        <w:t>采购人或采购代理机构依据法律、法规和招标文件的规定，对各投标文件中的资格证明在线进行审查，以确定是否具备投标资格。</w:t>
      </w:r>
      <w:r>
        <w:rPr>
          <w:rFonts w:hint="eastAsia" w:ascii="宋体" w:hAnsi="宋体" w:cs="宋体"/>
          <w:b/>
          <w:color w:val="auto"/>
          <w:sz w:val="22"/>
          <w:szCs w:val="22"/>
        </w:rPr>
        <w:t>▲</w:t>
      </w:r>
      <w:r>
        <w:rPr>
          <w:rFonts w:hint="eastAsia" w:ascii="宋体" w:hAnsi="宋体" w:cs="宋体"/>
          <w:b/>
          <w:color w:val="auto"/>
          <w:sz w:val="22"/>
          <w:szCs w:val="22"/>
          <w:u w:val="single"/>
        </w:rPr>
        <w:t>只要有一项审查不合格，则该投标人的资格审查不合格，审查不合格的投标文件将不予评审。</w:t>
      </w:r>
    </w:p>
    <w:p w14:paraId="78222499">
      <w:pPr>
        <w:spacing w:line="440" w:lineRule="exact"/>
        <w:ind w:left="558" w:leftChars="4" w:hanging="550" w:hangingChars="250"/>
        <w:rPr>
          <w:rFonts w:hint="eastAsia" w:ascii="宋体" w:hAnsi="宋体" w:cs="宋体"/>
          <w:bCs/>
          <w:color w:val="auto"/>
          <w:sz w:val="22"/>
          <w:szCs w:val="22"/>
        </w:rPr>
      </w:pPr>
      <w:r>
        <w:rPr>
          <w:rFonts w:ascii="宋体" w:hAnsi="宋体" w:cs="宋体"/>
          <w:bCs/>
          <w:color w:val="auto"/>
          <w:sz w:val="22"/>
          <w:szCs w:val="22"/>
        </w:rPr>
        <w:t>4.2</w:t>
      </w:r>
      <w:r>
        <w:rPr>
          <w:rFonts w:hint="eastAsia" w:ascii="宋体" w:hAnsi="宋体" w:cs="宋体"/>
          <w:bCs/>
          <w:color w:val="auto"/>
          <w:sz w:val="22"/>
          <w:szCs w:val="22"/>
        </w:rPr>
        <w:t xml:space="preserve">  符合性审查</w:t>
      </w:r>
    </w:p>
    <w:p w14:paraId="1286E33D">
      <w:pPr>
        <w:spacing w:line="440" w:lineRule="exact"/>
        <w:ind w:left="525" w:leftChars="250"/>
        <w:rPr>
          <w:rFonts w:hint="eastAsia" w:ascii="宋体" w:hAnsi="宋体" w:cs="宋体"/>
          <w:bCs/>
          <w:color w:val="auto"/>
          <w:sz w:val="22"/>
          <w:szCs w:val="22"/>
        </w:rPr>
      </w:pPr>
      <w:r>
        <w:rPr>
          <w:rFonts w:hint="eastAsia" w:ascii="宋体" w:hAnsi="宋体" w:cs="宋体"/>
          <w:bCs/>
          <w:color w:val="auto"/>
          <w:sz w:val="22"/>
          <w:szCs w:val="22"/>
        </w:rPr>
        <w:t>评标委员会依据法律、法规和招标文件的规定，对投标文件的有效性、完整性和对招标文件的响应程度进行审查，以确定是否符合招标文件的商务、技术等实质性要求。</w:t>
      </w:r>
      <w:r>
        <w:rPr>
          <w:rFonts w:hint="eastAsia" w:ascii="宋体" w:hAnsi="宋体" w:cs="宋体"/>
          <w:b/>
          <w:color w:val="auto"/>
          <w:sz w:val="22"/>
          <w:szCs w:val="22"/>
          <w:u w:val="single"/>
        </w:rPr>
        <w:t>评标委员会决定投标的响应性只根据投标文件本身的内容，而不寻求外部的证据。</w:t>
      </w:r>
    </w:p>
    <w:p w14:paraId="161B4EAC">
      <w:pPr>
        <w:spacing w:line="440" w:lineRule="exact"/>
        <w:ind w:left="539" w:hanging="539" w:hangingChars="245"/>
        <w:rPr>
          <w:rFonts w:hint="eastAsia" w:ascii="宋体" w:hAnsi="宋体" w:cs="宋体"/>
          <w:bCs/>
          <w:color w:val="auto"/>
          <w:sz w:val="22"/>
          <w:szCs w:val="22"/>
        </w:rPr>
      </w:pPr>
      <w:r>
        <w:rPr>
          <w:rFonts w:hint="eastAsia" w:ascii="宋体" w:hAnsi="宋体" w:cs="宋体"/>
          <w:bCs/>
          <w:color w:val="auto"/>
          <w:sz w:val="22"/>
          <w:szCs w:val="22"/>
        </w:rPr>
        <w:t>4</w:t>
      </w:r>
      <w:r>
        <w:rPr>
          <w:rFonts w:ascii="宋体" w:hAnsi="宋体" w:cs="宋体"/>
          <w:bCs/>
          <w:color w:val="auto"/>
          <w:sz w:val="22"/>
          <w:szCs w:val="22"/>
        </w:rPr>
        <w:t xml:space="preserve">.3  </w:t>
      </w:r>
      <w:r>
        <w:rPr>
          <w:rFonts w:hint="eastAsia" w:ascii="宋体" w:hAnsi="宋体" w:cs="宋体"/>
          <w:bCs/>
          <w:color w:val="auto"/>
          <w:sz w:val="22"/>
          <w:szCs w:val="22"/>
        </w:rPr>
        <w:t>投标文件评审</w:t>
      </w:r>
    </w:p>
    <w:p w14:paraId="44F6DAE0">
      <w:pPr>
        <w:spacing w:line="440" w:lineRule="exact"/>
        <w:ind w:left="550" w:hanging="550" w:hangingChars="250"/>
        <w:rPr>
          <w:rFonts w:hint="eastAsia" w:ascii="宋体" w:hAnsi="宋体" w:cs="宋体"/>
          <w:bCs/>
          <w:color w:val="auto"/>
          <w:sz w:val="22"/>
          <w:szCs w:val="22"/>
        </w:rPr>
      </w:pPr>
      <w:r>
        <w:rPr>
          <w:rFonts w:hint="eastAsia" w:ascii="宋体" w:hAnsi="宋体" w:cs="宋体"/>
          <w:bCs/>
          <w:color w:val="auto"/>
          <w:sz w:val="22"/>
          <w:szCs w:val="22"/>
        </w:rPr>
        <w:t xml:space="preserve">     评标委员会根据招标文件中规定的评标方法和标准，对符合性审查合格的投标文件进行商务、技术和价格评估，综合比较与评价，并</w:t>
      </w:r>
      <w:r>
        <w:rPr>
          <w:rFonts w:hint="eastAsia" w:ascii="宋体" w:hAnsi="宋体" w:cs="宋体"/>
          <w:color w:val="auto"/>
          <w:sz w:val="22"/>
          <w:szCs w:val="22"/>
        </w:rPr>
        <w:t>按照招标文件中制订的评标方法进行综合评定打分，并提交评审报告。</w:t>
      </w:r>
    </w:p>
    <w:p w14:paraId="1E85BC36">
      <w:pPr>
        <w:tabs>
          <w:tab w:val="left" w:pos="1365"/>
        </w:tabs>
        <w:spacing w:line="440" w:lineRule="exact"/>
        <w:ind w:left="552" w:hanging="552" w:hangingChars="250"/>
        <w:rPr>
          <w:rFonts w:hint="eastAsia" w:ascii="宋体" w:hAnsi="宋体" w:cs="宋体"/>
          <w:b/>
          <w:color w:val="auto"/>
          <w:sz w:val="22"/>
          <w:szCs w:val="22"/>
        </w:rPr>
      </w:pPr>
      <w:r>
        <w:rPr>
          <w:rFonts w:ascii="宋体" w:hAnsi="宋体" w:cs="宋体"/>
          <w:b/>
          <w:color w:val="auto"/>
          <w:sz w:val="22"/>
          <w:szCs w:val="22"/>
        </w:rPr>
        <w:t>5</w:t>
      </w:r>
      <w:r>
        <w:rPr>
          <w:rFonts w:hint="eastAsia" w:ascii="宋体" w:hAnsi="宋体" w:cs="宋体"/>
          <w:b/>
          <w:color w:val="auto"/>
          <w:sz w:val="22"/>
          <w:szCs w:val="22"/>
        </w:rPr>
        <w:t>.   投标文件的澄清</w:t>
      </w:r>
    </w:p>
    <w:p w14:paraId="2223AB93">
      <w:pPr>
        <w:tabs>
          <w:tab w:val="left" w:pos="1365"/>
        </w:tabs>
        <w:spacing w:line="440" w:lineRule="exact"/>
        <w:ind w:left="550" w:hanging="550" w:hangingChars="250"/>
        <w:rPr>
          <w:rFonts w:hint="eastAsia" w:ascii="宋体" w:hAnsi="宋体" w:cs="宋体"/>
          <w:color w:val="auto"/>
          <w:sz w:val="22"/>
          <w:szCs w:val="22"/>
        </w:rPr>
      </w:pPr>
      <w:r>
        <w:rPr>
          <w:rFonts w:ascii="宋体" w:hAnsi="宋体" w:cs="宋体"/>
          <w:color w:val="auto"/>
          <w:sz w:val="22"/>
          <w:szCs w:val="22"/>
        </w:rPr>
        <w:t>5</w:t>
      </w:r>
      <w:r>
        <w:rPr>
          <w:rFonts w:hint="eastAsia" w:ascii="宋体" w:hAnsi="宋体" w:cs="宋体"/>
          <w:color w:val="auto"/>
          <w:sz w:val="22"/>
          <w:szCs w:val="22"/>
        </w:rPr>
        <w:t>.1  对于投标文件中含义不明确、同类问题表述不一致或者有明显文字和计算错误的内容，评标委员会应当以书面形式要求投标人作出必要的澄清、说明或者补正。</w:t>
      </w:r>
    </w:p>
    <w:p w14:paraId="046F9A0C">
      <w:pPr>
        <w:tabs>
          <w:tab w:val="left" w:pos="1365"/>
        </w:tabs>
        <w:spacing w:line="440" w:lineRule="exact"/>
        <w:ind w:left="550" w:hanging="550" w:hangingChars="250"/>
        <w:rPr>
          <w:rFonts w:hint="eastAsia" w:ascii="宋体" w:hAnsi="宋体" w:cs="宋体"/>
          <w:color w:val="auto"/>
          <w:sz w:val="22"/>
          <w:szCs w:val="22"/>
        </w:rPr>
      </w:pPr>
      <w:r>
        <w:rPr>
          <w:rFonts w:ascii="宋体" w:hAnsi="宋体" w:cs="宋体"/>
          <w:color w:val="auto"/>
          <w:sz w:val="22"/>
          <w:szCs w:val="22"/>
        </w:rPr>
        <w:t>5</w:t>
      </w:r>
      <w:r>
        <w:rPr>
          <w:rFonts w:hint="eastAsia" w:ascii="宋体" w:hAnsi="宋体" w:cs="宋体"/>
          <w:color w:val="auto"/>
          <w:sz w:val="22"/>
          <w:szCs w:val="22"/>
        </w:rPr>
        <w:t>.2  投标人的澄清、说明或者补正应当采用电子传输形式。</w:t>
      </w:r>
      <w:r>
        <w:rPr>
          <w:rFonts w:hint="eastAsia" w:ascii="宋体" w:hAnsi="宋体" w:cs="宋体"/>
          <w:b/>
          <w:color w:val="auto"/>
          <w:sz w:val="22"/>
          <w:szCs w:val="22"/>
          <w:u w:val="single"/>
        </w:rPr>
        <w:t>投标人的澄清、说明或者补正不得超出投标文件的范围或者改变投标文件的实质性内容。</w:t>
      </w:r>
    </w:p>
    <w:p w14:paraId="270F0F4D">
      <w:pPr>
        <w:spacing w:line="440" w:lineRule="exact"/>
        <w:ind w:left="552" w:hanging="552" w:hangingChars="250"/>
        <w:rPr>
          <w:rFonts w:hint="eastAsia" w:ascii="宋体" w:hAnsi="宋体" w:cs="宋体"/>
          <w:b/>
          <w:bCs/>
          <w:color w:val="auto"/>
          <w:sz w:val="22"/>
          <w:szCs w:val="22"/>
        </w:rPr>
      </w:pPr>
      <w:r>
        <w:rPr>
          <w:rFonts w:hint="eastAsia" w:ascii="宋体" w:hAnsi="宋体" w:cs="宋体"/>
          <w:b/>
          <w:bCs/>
          <w:color w:val="auto"/>
          <w:sz w:val="22"/>
          <w:szCs w:val="22"/>
        </w:rPr>
        <w:t>6.   投标价格修正</w:t>
      </w:r>
    </w:p>
    <w:p w14:paraId="34C9AC27">
      <w:pPr>
        <w:spacing w:line="440" w:lineRule="exact"/>
        <w:ind w:left="571" w:leftChars="10" w:hanging="550" w:hangingChars="250"/>
        <w:rPr>
          <w:rFonts w:hint="eastAsia" w:ascii="宋体" w:hAnsi="宋体" w:cs="宋体"/>
          <w:bCs/>
          <w:color w:val="auto"/>
          <w:sz w:val="22"/>
          <w:szCs w:val="22"/>
        </w:rPr>
      </w:pPr>
      <w:r>
        <w:rPr>
          <w:rFonts w:hint="eastAsia" w:ascii="宋体" w:hAnsi="宋体" w:cs="宋体"/>
          <w:bCs/>
          <w:color w:val="auto"/>
          <w:sz w:val="22"/>
          <w:szCs w:val="22"/>
        </w:rPr>
        <w:t xml:space="preserve">     评标委员会对各投标人的投标报价进行核查，核查时发现投标报价内容不清楚可要求投标人书面澄清，投标文件报价出现前后不一致的，按照下列规定修正：</w:t>
      </w:r>
    </w:p>
    <w:p w14:paraId="67E25765">
      <w:pPr>
        <w:spacing w:line="440" w:lineRule="exact"/>
        <w:ind w:left="571" w:leftChars="10" w:hanging="550" w:hangingChars="250"/>
        <w:rPr>
          <w:rFonts w:hint="eastAsia" w:ascii="宋体" w:hAnsi="宋体" w:cs="宋体"/>
          <w:bCs/>
          <w:color w:val="auto"/>
          <w:sz w:val="22"/>
          <w:szCs w:val="22"/>
        </w:rPr>
      </w:pPr>
      <w:r>
        <w:rPr>
          <w:rFonts w:hint="eastAsia" w:ascii="宋体" w:hAnsi="宋体" w:cs="宋体"/>
          <w:bCs/>
          <w:color w:val="auto"/>
          <w:sz w:val="22"/>
          <w:szCs w:val="22"/>
        </w:rPr>
        <w:t>（1）投标文件中投标报价一览表内容与投标分项报价表不一致的，以投标报价一览表为准；</w:t>
      </w:r>
    </w:p>
    <w:p w14:paraId="2FCC4DA1">
      <w:pPr>
        <w:spacing w:line="440" w:lineRule="exact"/>
        <w:ind w:left="567" w:leftChars="8" w:hanging="550" w:hangingChars="250"/>
        <w:rPr>
          <w:rFonts w:hint="eastAsia" w:ascii="宋体" w:hAnsi="宋体" w:cs="宋体"/>
          <w:bCs/>
          <w:color w:val="auto"/>
          <w:sz w:val="22"/>
          <w:szCs w:val="22"/>
        </w:rPr>
      </w:pPr>
      <w:r>
        <w:rPr>
          <w:rFonts w:hint="eastAsia" w:ascii="宋体" w:hAnsi="宋体" w:cs="宋体"/>
          <w:bCs/>
          <w:color w:val="auto"/>
          <w:sz w:val="22"/>
          <w:szCs w:val="22"/>
        </w:rPr>
        <w:t>（2）大写金额与小写金额不一致的，以大写金额为准；</w:t>
      </w:r>
    </w:p>
    <w:p w14:paraId="7CE8361D">
      <w:pPr>
        <w:spacing w:line="440" w:lineRule="exact"/>
        <w:ind w:left="567" w:leftChars="8" w:hanging="550" w:hangingChars="250"/>
        <w:rPr>
          <w:rFonts w:hint="eastAsia" w:ascii="宋体" w:hAnsi="宋体" w:cs="宋体"/>
          <w:bCs/>
          <w:color w:val="auto"/>
          <w:sz w:val="22"/>
          <w:szCs w:val="22"/>
        </w:rPr>
      </w:pPr>
      <w:r>
        <w:rPr>
          <w:rFonts w:hint="eastAsia" w:ascii="宋体" w:hAnsi="宋体" w:cs="宋体"/>
          <w:bCs/>
          <w:color w:val="auto"/>
          <w:sz w:val="22"/>
          <w:szCs w:val="22"/>
        </w:rPr>
        <w:t>（3）单价金额小数点或者百分比有明显错位的，以投标报价一览表的总价为准，并修改单价；</w:t>
      </w:r>
    </w:p>
    <w:p w14:paraId="11DC30AE">
      <w:pPr>
        <w:spacing w:line="440" w:lineRule="exact"/>
        <w:ind w:left="567" w:leftChars="8" w:hanging="550" w:hangingChars="250"/>
        <w:rPr>
          <w:rFonts w:hint="eastAsia" w:ascii="宋体" w:hAnsi="宋体" w:cs="宋体"/>
          <w:bCs/>
          <w:color w:val="auto"/>
          <w:sz w:val="22"/>
          <w:szCs w:val="22"/>
        </w:rPr>
      </w:pPr>
      <w:r>
        <w:rPr>
          <w:rFonts w:hint="eastAsia" w:ascii="宋体" w:hAnsi="宋体" w:cs="宋体"/>
          <w:bCs/>
          <w:color w:val="auto"/>
          <w:sz w:val="22"/>
          <w:szCs w:val="22"/>
        </w:rPr>
        <w:t>（4）总价金额与按单价汇总金额不一致的，以单价金额计算结果为准。</w:t>
      </w:r>
    </w:p>
    <w:p w14:paraId="6A5CD321">
      <w:pPr>
        <w:spacing w:line="440" w:lineRule="exact"/>
        <w:ind w:left="571" w:leftChars="10" w:hanging="550" w:hangingChars="250"/>
        <w:rPr>
          <w:rFonts w:hint="eastAsia" w:ascii="宋体" w:hAnsi="宋体" w:cs="宋体"/>
          <w:b/>
          <w:bCs/>
          <w:color w:val="auto"/>
          <w:sz w:val="22"/>
          <w:szCs w:val="22"/>
          <w:u w:val="single"/>
        </w:rPr>
      </w:pPr>
      <w:r>
        <w:rPr>
          <w:rFonts w:hint="eastAsia" w:ascii="宋体" w:hAnsi="宋体" w:cs="宋体"/>
          <w:bCs/>
          <w:color w:val="auto"/>
          <w:sz w:val="22"/>
          <w:szCs w:val="22"/>
        </w:rPr>
        <w:t>（5）</w:t>
      </w:r>
      <w:r>
        <w:rPr>
          <w:rFonts w:hint="eastAsia" w:ascii="宋体" w:hAnsi="宋体" w:cs="宋体"/>
          <w:b/>
          <w:color w:val="auto"/>
          <w:sz w:val="22"/>
          <w:szCs w:val="22"/>
        </w:rPr>
        <w:t>▲</w:t>
      </w:r>
      <w:r>
        <w:rPr>
          <w:rFonts w:hint="eastAsia" w:ascii="宋体" w:hAnsi="宋体" w:cs="宋体"/>
          <w:b/>
          <w:bCs/>
          <w:color w:val="auto"/>
          <w:sz w:val="22"/>
          <w:szCs w:val="22"/>
          <w:u w:val="single"/>
        </w:rPr>
        <w:t>同时出现两种以上不一致的，按照前款规定的顺序修正。修正后的报价按照第</w:t>
      </w:r>
      <w:r>
        <w:rPr>
          <w:rFonts w:ascii="宋体" w:hAnsi="宋体" w:cs="宋体"/>
          <w:b/>
          <w:bCs/>
          <w:color w:val="auto"/>
          <w:sz w:val="22"/>
          <w:szCs w:val="22"/>
          <w:u w:val="single"/>
        </w:rPr>
        <w:t>5</w:t>
      </w:r>
      <w:r>
        <w:rPr>
          <w:rFonts w:hint="eastAsia" w:ascii="宋体" w:hAnsi="宋体" w:cs="宋体"/>
          <w:b/>
          <w:bCs/>
          <w:color w:val="auto"/>
          <w:sz w:val="22"/>
          <w:szCs w:val="22"/>
          <w:u w:val="single"/>
        </w:rPr>
        <w:t>点的规定经投标人确认后产生约束力，投标人不确认的，其投标无效</w:t>
      </w:r>
      <w:r>
        <w:rPr>
          <w:rFonts w:hint="eastAsia" w:ascii="宋体" w:hAnsi="宋体" w:cs="宋体"/>
          <w:bCs/>
          <w:color w:val="auto"/>
          <w:sz w:val="22"/>
          <w:szCs w:val="22"/>
        </w:rPr>
        <w:t>。</w:t>
      </w:r>
    </w:p>
    <w:p w14:paraId="63D93F7E">
      <w:pPr>
        <w:spacing w:line="440" w:lineRule="exact"/>
        <w:ind w:left="541" w:hanging="541" w:hangingChars="245"/>
        <w:rPr>
          <w:rFonts w:hint="eastAsia" w:ascii="宋体" w:hAnsi="宋体" w:cs="宋体"/>
          <w:bCs/>
          <w:color w:val="auto"/>
          <w:sz w:val="22"/>
          <w:szCs w:val="22"/>
        </w:rPr>
      </w:pPr>
      <w:r>
        <w:rPr>
          <w:rFonts w:hint="eastAsia" w:ascii="宋体" w:hAnsi="宋体" w:cs="宋体"/>
          <w:b/>
          <w:color w:val="auto"/>
          <w:sz w:val="22"/>
          <w:szCs w:val="22"/>
        </w:rPr>
        <w:t>7. ▲</w:t>
      </w:r>
      <w:r>
        <w:rPr>
          <w:rFonts w:hint="eastAsia" w:ascii="宋体" w:hAnsi="宋体" w:cs="宋体"/>
          <w:b/>
          <w:bCs/>
          <w:color w:val="auto"/>
          <w:sz w:val="22"/>
          <w:szCs w:val="22"/>
          <w:u w:val="single"/>
        </w:rPr>
        <w:t>评标委员会认定投标人存在下列情况之一的，投标无效</w:t>
      </w:r>
      <w:r>
        <w:rPr>
          <w:rFonts w:hint="eastAsia" w:ascii="宋体" w:hAnsi="宋体" w:cs="宋体"/>
          <w:b/>
          <w:bCs/>
          <w:color w:val="auto"/>
          <w:sz w:val="22"/>
          <w:szCs w:val="22"/>
        </w:rPr>
        <w:t>：</w:t>
      </w:r>
    </w:p>
    <w:p w14:paraId="51EFD1F5">
      <w:pPr>
        <w:spacing w:line="440" w:lineRule="exact"/>
        <w:ind w:left="567" w:leftChars="8" w:hanging="550" w:hangingChars="250"/>
        <w:rPr>
          <w:rFonts w:hint="eastAsia" w:ascii="宋体" w:hAnsi="宋体" w:cs="宋体"/>
          <w:bCs/>
          <w:color w:val="auto"/>
          <w:sz w:val="22"/>
          <w:szCs w:val="22"/>
        </w:rPr>
      </w:pPr>
      <w:r>
        <w:rPr>
          <w:rFonts w:hint="eastAsia" w:ascii="宋体" w:hAnsi="宋体" w:cs="宋体"/>
          <w:bCs/>
          <w:color w:val="auto"/>
          <w:sz w:val="22"/>
          <w:szCs w:val="22"/>
        </w:rPr>
        <w:t>（</w:t>
      </w:r>
      <w:r>
        <w:rPr>
          <w:rFonts w:ascii="宋体" w:hAnsi="宋体" w:cs="宋体"/>
          <w:bCs/>
          <w:color w:val="auto"/>
          <w:sz w:val="22"/>
          <w:szCs w:val="22"/>
        </w:rPr>
        <w:t>1</w:t>
      </w:r>
      <w:r>
        <w:rPr>
          <w:rFonts w:hint="eastAsia" w:ascii="宋体" w:hAnsi="宋体" w:cs="宋体"/>
          <w:bCs/>
          <w:color w:val="auto"/>
          <w:sz w:val="22"/>
          <w:szCs w:val="22"/>
        </w:rPr>
        <w:t>）</w:t>
      </w:r>
      <w:r>
        <w:rPr>
          <w:rFonts w:hint="eastAsia" w:ascii="宋体" w:hAnsi="宋体" w:cs="宋体"/>
          <w:bCs/>
          <w:color w:val="auto"/>
          <w:sz w:val="22"/>
          <w:szCs w:val="22"/>
          <w:u w:val="single"/>
        </w:rPr>
        <w:t>投标文件未按招标文件要求签署、盖章的</w:t>
      </w:r>
      <w:r>
        <w:rPr>
          <w:rFonts w:hint="eastAsia" w:ascii="宋体" w:hAnsi="宋体" w:cs="宋体"/>
          <w:bCs/>
          <w:color w:val="auto"/>
          <w:sz w:val="22"/>
          <w:szCs w:val="22"/>
        </w:rPr>
        <w:t>；</w:t>
      </w:r>
    </w:p>
    <w:p w14:paraId="19FE4369">
      <w:pPr>
        <w:spacing w:line="440" w:lineRule="exact"/>
        <w:rPr>
          <w:rFonts w:hint="eastAsia" w:ascii="宋体" w:hAnsi="宋体" w:cs="宋体"/>
          <w:bCs/>
          <w:color w:val="auto"/>
          <w:sz w:val="22"/>
          <w:szCs w:val="22"/>
        </w:rPr>
      </w:pPr>
      <w:r>
        <w:rPr>
          <w:rFonts w:hint="eastAsia" w:ascii="宋体" w:hAnsi="宋体" w:cs="宋体"/>
          <w:bCs/>
          <w:color w:val="auto"/>
          <w:sz w:val="22"/>
          <w:szCs w:val="22"/>
        </w:rPr>
        <w:t>（</w:t>
      </w:r>
      <w:r>
        <w:rPr>
          <w:rFonts w:ascii="宋体" w:hAnsi="宋体" w:cs="宋体"/>
          <w:bCs/>
          <w:color w:val="auto"/>
          <w:sz w:val="22"/>
          <w:szCs w:val="22"/>
        </w:rPr>
        <w:t>2</w:t>
      </w:r>
      <w:r>
        <w:rPr>
          <w:rFonts w:hint="eastAsia" w:ascii="宋体" w:hAnsi="宋体" w:cs="宋体"/>
          <w:bCs/>
          <w:color w:val="auto"/>
          <w:sz w:val="22"/>
          <w:szCs w:val="22"/>
        </w:rPr>
        <w:t>）</w:t>
      </w:r>
      <w:r>
        <w:rPr>
          <w:rFonts w:hint="eastAsia" w:ascii="宋体" w:hAnsi="宋体" w:cs="宋体"/>
          <w:color w:val="auto"/>
          <w:sz w:val="22"/>
          <w:u w:val="single"/>
        </w:rPr>
        <w:t>明显不符合招标文件规定的技术规格、技术标准要求或不满足主要技术参数的</w:t>
      </w:r>
      <w:r>
        <w:rPr>
          <w:rFonts w:hint="eastAsia" w:ascii="宋体" w:hAnsi="宋体" w:cs="宋体"/>
          <w:color w:val="auto"/>
          <w:sz w:val="22"/>
        </w:rPr>
        <w:t>；</w:t>
      </w:r>
    </w:p>
    <w:p w14:paraId="08DFACCC">
      <w:pPr>
        <w:spacing w:line="440" w:lineRule="exact"/>
        <w:rPr>
          <w:rFonts w:hint="eastAsia" w:ascii="宋体" w:hAnsi="宋体" w:cs="宋体"/>
          <w:bCs/>
          <w:color w:val="auto"/>
          <w:sz w:val="22"/>
          <w:szCs w:val="22"/>
        </w:rPr>
      </w:pPr>
      <w:r>
        <w:rPr>
          <w:rFonts w:hint="eastAsia" w:ascii="宋体" w:hAnsi="宋体" w:cs="宋体"/>
          <w:bCs/>
          <w:color w:val="auto"/>
          <w:sz w:val="22"/>
          <w:szCs w:val="22"/>
        </w:rPr>
        <w:t>（</w:t>
      </w:r>
      <w:r>
        <w:rPr>
          <w:rFonts w:ascii="宋体" w:hAnsi="宋体" w:cs="宋体"/>
          <w:bCs/>
          <w:color w:val="auto"/>
          <w:sz w:val="22"/>
          <w:szCs w:val="22"/>
        </w:rPr>
        <w:t>3</w:t>
      </w:r>
      <w:r>
        <w:rPr>
          <w:rFonts w:hint="eastAsia" w:ascii="宋体" w:hAnsi="宋体" w:cs="宋体"/>
          <w:bCs/>
          <w:color w:val="auto"/>
          <w:sz w:val="22"/>
          <w:szCs w:val="22"/>
        </w:rPr>
        <w:t>）</w:t>
      </w:r>
      <w:r>
        <w:rPr>
          <w:rFonts w:hint="eastAsia" w:ascii="宋体" w:hAnsi="宋体" w:cs="宋体"/>
          <w:color w:val="auto"/>
          <w:sz w:val="22"/>
          <w:u w:val="single"/>
        </w:rPr>
        <w:t>投标文件含有采购人不能接受的附加条件的</w:t>
      </w:r>
      <w:r>
        <w:rPr>
          <w:rFonts w:hint="eastAsia" w:ascii="宋体" w:hAnsi="宋体" w:cs="宋体"/>
          <w:color w:val="auto"/>
          <w:sz w:val="22"/>
        </w:rPr>
        <w:t>；</w:t>
      </w:r>
    </w:p>
    <w:p w14:paraId="290A2D86">
      <w:pPr>
        <w:spacing w:line="440" w:lineRule="exact"/>
        <w:rPr>
          <w:rFonts w:hint="eastAsia" w:ascii="宋体" w:hAnsi="宋体" w:cs="宋体"/>
          <w:color w:val="auto"/>
          <w:sz w:val="22"/>
        </w:rPr>
      </w:pPr>
      <w:r>
        <w:rPr>
          <w:rFonts w:hint="eastAsia" w:ascii="宋体" w:hAnsi="宋体" w:cs="宋体"/>
          <w:color w:val="auto"/>
          <w:sz w:val="22"/>
        </w:rPr>
        <w:t>（</w:t>
      </w:r>
      <w:r>
        <w:rPr>
          <w:rFonts w:ascii="宋体" w:hAnsi="宋体" w:cs="宋体"/>
          <w:color w:val="auto"/>
          <w:sz w:val="22"/>
        </w:rPr>
        <w:t>4</w:t>
      </w:r>
      <w:r>
        <w:rPr>
          <w:rFonts w:hint="eastAsia" w:ascii="宋体" w:hAnsi="宋体" w:cs="宋体"/>
          <w:color w:val="auto"/>
          <w:sz w:val="22"/>
        </w:rPr>
        <w:t>）</w:t>
      </w:r>
      <w:r>
        <w:rPr>
          <w:rFonts w:hint="eastAsia" w:ascii="宋体" w:hAnsi="宋体" w:cs="宋体"/>
          <w:color w:val="auto"/>
          <w:sz w:val="22"/>
          <w:u w:val="single"/>
        </w:rPr>
        <w:t>投标报价超过招标文件中规定的预算金额或者最高限价的</w:t>
      </w:r>
      <w:r>
        <w:rPr>
          <w:rFonts w:hint="eastAsia" w:ascii="宋体" w:hAnsi="宋体" w:cs="宋体"/>
          <w:color w:val="auto"/>
          <w:sz w:val="22"/>
        </w:rPr>
        <w:t>；</w:t>
      </w:r>
    </w:p>
    <w:p w14:paraId="31C02055">
      <w:pPr>
        <w:spacing w:line="440" w:lineRule="exact"/>
        <w:rPr>
          <w:rFonts w:hint="eastAsia" w:ascii="宋体" w:hAnsi="宋体" w:cs="宋体"/>
          <w:bCs/>
          <w:color w:val="auto"/>
          <w:sz w:val="22"/>
          <w:szCs w:val="22"/>
        </w:rPr>
      </w:pPr>
      <w:r>
        <w:rPr>
          <w:rFonts w:hint="eastAsia" w:ascii="宋体" w:hAnsi="宋体" w:cs="宋体"/>
          <w:color w:val="auto"/>
          <w:sz w:val="22"/>
        </w:rPr>
        <w:t>（</w:t>
      </w:r>
      <w:r>
        <w:rPr>
          <w:rFonts w:ascii="宋体" w:hAnsi="宋体" w:cs="宋体"/>
          <w:color w:val="auto"/>
          <w:sz w:val="22"/>
        </w:rPr>
        <w:t>5</w:t>
      </w:r>
      <w:r>
        <w:rPr>
          <w:rFonts w:hint="eastAsia" w:ascii="宋体" w:hAnsi="宋体" w:cs="宋体"/>
          <w:color w:val="auto"/>
          <w:sz w:val="22"/>
        </w:rPr>
        <w:t>）</w:t>
      </w:r>
      <w:r>
        <w:rPr>
          <w:rFonts w:hint="eastAsia" w:ascii="宋体" w:hAnsi="宋体" w:cs="宋体"/>
          <w:color w:val="auto"/>
          <w:sz w:val="22"/>
          <w:u w:val="single"/>
        </w:rPr>
        <w:t>资格文件或商务技术文件中出现投标报价的</w:t>
      </w:r>
      <w:r>
        <w:rPr>
          <w:rFonts w:hint="eastAsia" w:ascii="宋体" w:hAnsi="宋体" w:cs="宋体"/>
          <w:color w:val="auto"/>
          <w:sz w:val="22"/>
        </w:rPr>
        <w:t>；</w:t>
      </w:r>
    </w:p>
    <w:p w14:paraId="1E2A2D5D">
      <w:pPr>
        <w:spacing w:line="440" w:lineRule="exact"/>
        <w:rPr>
          <w:rFonts w:hint="eastAsia" w:ascii="宋体" w:hAnsi="宋体" w:cs="宋体"/>
          <w:color w:val="auto"/>
          <w:sz w:val="22"/>
        </w:rPr>
      </w:pPr>
      <w:r>
        <w:rPr>
          <w:rFonts w:hint="eastAsia" w:ascii="宋体" w:hAnsi="宋体" w:cs="宋体"/>
          <w:bCs/>
          <w:color w:val="auto"/>
          <w:sz w:val="22"/>
          <w:szCs w:val="22"/>
        </w:rPr>
        <w:t>（</w:t>
      </w:r>
      <w:r>
        <w:rPr>
          <w:rFonts w:ascii="宋体" w:hAnsi="宋体" w:cs="宋体"/>
          <w:bCs/>
          <w:color w:val="auto"/>
          <w:sz w:val="22"/>
          <w:szCs w:val="22"/>
        </w:rPr>
        <w:t>6</w:t>
      </w:r>
      <w:r>
        <w:rPr>
          <w:rFonts w:hint="eastAsia" w:ascii="宋体" w:hAnsi="宋体" w:cs="宋体"/>
          <w:bCs/>
          <w:color w:val="auto"/>
          <w:sz w:val="22"/>
          <w:szCs w:val="22"/>
        </w:rPr>
        <w:t>）</w:t>
      </w:r>
      <w:r>
        <w:rPr>
          <w:rFonts w:hint="eastAsia" w:ascii="宋体" w:hAnsi="宋体" w:cs="宋体"/>
          <w:bCs/>
          <w:color w:val="auto"/>
          <w:sz w:val="22"/>
          <w:szCs w:val="22"/>
          <w:u w:val="single"/>
        </w:rPr>
        <w:t>投标文件</w:t>
      </w:r>
      <w:r>
        <w:rPr>
          <w:rFonts w:hint="eastAsia" w:ascii="宋体" w:hAnsi="宋体" w:cs="宋体"/>
          <w:color w:val="auto"/>
          <w:sz w:val="22"/>
          <w:u w:val="single"/>
        </w:rPr>
        <w:t>内容不全或关键字迹模糊无法辨认或未做好节点关联导致关键内容缺失的</w:t>
      </w:r>
      <w:r>
        <w:rPr>
          <w:rFonts w:hint="eastAsia" w:ascii="宋体" w:hAnsi="宋体" w:cs="宋体"/>
          <w:color w:val="auto"/>
          <w:sz w:val="22"/>
        </w:rPr>
        <w:t>；</w:t>
      </w:r>
    </w:p>
    <w:p w14:paraId="51EDEE28">
      <w:pPr>
        <w:spacing w:line="440" w:lineRule="exact"/>
        <w:rPr>
          <w:rFonts w:hint="eastAsia" w:ascii="宋体" w:hAnsi="宋体" w:cs="宋体"/>
          <w:color w:val="auto"/>
          <w:sz w:val="22"/>
          <w:u w:val="single"/>
        </w:rPr>
      </w:pPr>
      <w:r>
        <w:rPr>
          <w:rFonts w:hint="eastAsia" w:ascii="宋体" w:hAnsi="宋体" w:cs="宋体"/>
          <w:color w:val="auto"/>
          <w:sz w:val="22"/>
        </w:rPr>
        <w:t>（7）</w:t>
      </w:r>
      <w:r>
        <w:rPr>
          <w:rFonts w:hint="eastAsia" w:ascii="宋体" w:hAnsi="宋体" w:cs="宋体"/>
          <w:color w:val="auto"/>
          <w:sz w:val="22"/>
          <w:u w:val="single"/>
        </w:rPr>
        <w:t>仅提交备份投标文件的；</w:t>
      </w:r>
    </w:p>
    <w:p w14:paraId="32D6CD0D">
      <w:pPr>
        <w:spacing w:line="440" w:lineRule="exact"/>
        <w:rPr>
          <w:rFonts w:hint="eastAsia" w:ascii="宋体" w:hAnsi="宋体" w:cs="宋体"/>
          <w:color w:val="auto"/>
          <w:sz w:val="22"/>
        </w:rPr>
      </w:pPr>
      <w:r>
        <w:rPr>
          <w:rFonts w:hint="eastAsia" w:ascii="宋体" w:hAnsi="宋体" w:cs="宋体"/>
          <w:bCs/>
          <w:color w:val="auto"/>
          <w:sz w:val="22"/>
          <w:szCs w:val="22"/>
        </w:rPr>
        <w:t>（</w:t>
      </w:r>
      <w:r>
        <w:rPr>
          <w:rFonts w:ascii="宋体" w:hAnsi="宋体" w:cs="宋体"/>
          <w:bCs/>
          <w:color w:val="auto"/>
          <w:sz w:val="22"/>
          <w:szCs w:val="22"/>
        </w:rPr>
        <w:t>8</w:t>
      </w:r>
      <w:r>
        <w:rPr>
          <w:rFonts w:hint="eastAsia" w:ascii="宋体" w:hAnsi="宋体" w:cs="宋体"/>
          <w:bCs/>
          <w:color w:val="auto"/>
          <w:sz w:val="22"/>
          <w:szCs w:val="22"/>
        </w:rPr>
        <w:t>）</w:t>
      </w:r>
      <w:r>
        <w:rPr>
          <w:rFonts w:hint="eastAsia" w:ascii="宋体" w:hAnsi="宋体" w:cs="宋体"/>
          <w:color w:val="auto"/>
          <w:sz w:val="22"/>
          <w:u w:val="single"/>
        </w:rPr>
        <w:t>法律、法规和招标文件中规定的其它无效情形</w:t>
      </w:r>
      <w:r>
        <w:rPr>
          <w:rFonts w:hint="eastAsia" w:ascii="宋体" w:hAnsi="宋体" w:cs="宋体"/>
          <w:color w:val="auto"/>
          <w:sz w:val="22"/>
        </w:rPr>
        <w:t>。</w:t>
      </w:r>
    </w:p>
    <w:p w14:paraId="543DA4C9">
      <w:pPr>
        <w:tabs>
          <w:tab w:val="left" w:pos="1365"/>
        </w:tabs>
        <w:spacing w:line="440" w:lineRule="exact"/>
        <w:ind w:left="550" w:hanging="550" w:hangingChars="250"/>
        <w:rPr>
          <w:rFonts w:hint="eastAsia" w:ascii="宋体" w:hAnsi="宋体" w:cs="宋体"/>
          <w:color w:val="auto"/>
          <w:sz w:val="22"/>
          <w:szCs w:val="22"/>
        </w:rPr>
      </w:pPr>
      <w:r>
        <w:rPr>
          <w:rFonts w:hint="eastAsia" w:ascii="宋体" w:hAnsi="宋体" w:cs="宋体"/>
          <w:color w:val="auto"/>
          <w:sz w:val="22"/>
          <w:szCs w:val="22"/>
        </w:rPr>
        <w:t>8.   评标过程中遇到特殊情况，由评标委员会遵循公开、公正原则，采取投票方式按照少数服从多数原则决定。</w:t>
      </w:r>
    </w:p>
    <w:p w14:paraId="7F321052">
      <w:pPr>
        <w:tabs>
          <w:tab w:val="left" w:pos="1365"/>
        </w:tabs>
        <w:spacing w:line="440" w:lineRule="exact"/>
        <w:ind w:left="558" w:leftChars="4" w:hanging="550" w:hangingChars="250"/>
        <w:rPr>
          <w:rFonts w:hint="eastAsia" w:ascii="宋体" w:hAnsi="宋体" w:cs="宋体"/>
          <w:color w:val="auto"/>
          <w:sz w:val="22"/>
          <w:szCs w:val="22"/>
        </w:rPr>
      </w:pPr>
      <w:r>
        <w:rPr>
          <w:rFonts w:hint="eastAsia" w:ascii="宋体" w:hAnsi="宋体" w:cs="宋体"/>
          <w:color w:val="auto"/>
          <w:sz w:val="22"/>
          <w:szCs w:val="22"/>
        </w:rPr>
        <w:t>9.   优化评审管理</w:t>
      </w:r>
    </w:p>
    <w:p w14:paraId="4C991C43">
      <w:pPr>
        <w:tabs>
          <w:tab w:val="left" w:pos="1365"/>
        </w:tabs>
        <w:spacing w:line="440" w:lineRule="exact"/>
        <w:ind w:left="8" w:leftChars="4" w:firstLine="550" w:firstLineChars="250"/>
        <w:rPr>
          <w:rFonts w:hint="eastAsia" w:ascii="宋体" w:hAnsi="宋体" w:cs="宋体"/>
          <w:color w:val="auto"/>
          <w:sz w:val="22"/>
          <w:szCs w:val="22"/>
        </w:rPr>
      </w:pPr>
      <w:r>
        <w:rPr>
          <w:rFonts w:hint="eastAsia" w:ascii="宋体" w:hAnsi="宋体" w:cs="宋体"/>
          <w:color w:val="auto"/>
          <w:sz w:val="22"/>
          <w:szCs w:val="22"/>
        </w:rPr>
        <w:t>根据浙财采监〔2022〕</w:t>
      </w:r>
      <w:r>
        <w:rPr>
          <w:rFonts w:ascii="宋体" w:hAnsi="宋体" w:cs="宋体"/>
          <w:color w:val="auto"/>
          <w:sz w:val="22"/>
          <w:szCs w:val="22"/>
        </w:rPr>
        <w:t>8</w:t>
      </w:r>
      <w:r>
        <w:rPr>
          <w:rFonts w:hint="eastAsia" w:ascii="宋体" w:hAnsi="宋体" w:cs="宋体"/>
          <w:color w:val="auto"/>
          <w:sz w:val="22"/>
          <w:szCs w:val="22"/>
        </w:rPr>
        <w:t>号文相关的规定，</w:t>
      </w:r>
      <w:r>
        <w:rPr>
          <w:rFonts w:ascii="宋体" w:hAnsi="宋体" w:cs="宋体"/>
          <w:color w:val="auto"/>
          <w:sz w:val="22"/>
          <w:szCs w:val="22"/>
        </w:rPr>
        <w:t>评审小组成员个人主观打分偏离所有评审小组成员主</w:t>
      </w:r>
    </w:p>
    <w:p w14:paraId="38BF4DB6">
      <w:pPr>
        <w:tabs>
          <w:tab w:val="left" w:pos="1365"/>
        </w:tabs>
        <w:spacing w:line="440" w:lineRule="exact"/>
        <w:ind w:left="8" w:leftChars="4" w:firstLine="550" w:firstLineChars="250"/>
        <w:rPr>
          <w:rFonts w:hint="eastAsia" w:ascii="宋体" w:hAnsi="宋体"/>
          <w:b/>
          <w:color w:val="auto"/>
          <w:sz w:val="22"/>
        </w:rPr>
      </w:pPr>
      <w:r>
        <w:rPr>
          <w:rFonts w:ascii="宋体" w:hAnsi="宋体" w:cs="宋体"/>
          <w:color w:val="auto"/>
          <w:sz w:val="22"/>
          <w:szCs w:val="22"/>
        </w:rPr>
        <w:t>观打分平均值30%以上的，由评审委员会启动评分畸高、畸低行为认定程序。</w:t>
      </w:r>
    </w:p>
    <w:p w14:paraId="011472F5">
      <w:pPr>
        <w:tabs>
          <w:tab w:val="left" w:pos="1365"/>
        </w:tabs>
        <w:spacing w:line="440" w:lineRule="exact"/>
        <w:rPr>
          <w:rFonts w:hint="eastAsia" w:ascii="宋体" w:hAnsi="宋体" w:cs="宋体"/>
          <w:color w:val="auto"/>
          <w:sz w:val="22"/>
          <w:szCs w:val="22"/>
        </w:rPr>
      </w:pPr>
      <w:r>
        <w:rPr>
          <w:rFonts w:hint="eastAsia" w:ascii="宋体" w:hAnsi="宋体" w:cs="宋体"/>
          <w:color w:val="auto"/>
          <w:sz w:val="22"/>
          <w:szCs w:val="22"/>
        </w:rPr>
        <w:t>10． 推荐中标候选人</w:t>
      </w:r>
    </w:p>
    <w:p w14:paraId="0BF10B42">
      <w:pPr>
        <w:tabs>
          <w:tab w:val="left" w:pos="1365"/>
        </w:tabs>
        <w:spacing w:line="440" w:lineRule="exact"/>
        <w:ind w:left="440" w:hanging="440" w:hangingChars="200"/>
        <w:rPr>
          <w:rFonts w:hint="eastAsia" w:ascii="宋体" w:hAnsi="宋体" w:cs="宋体"/>
          <w:color w:val="auto"/>
          <w:sz w:val="22"/>
          <w:szCs w:val="22"/>
        </w:rPr>
      </w:pPr>
      <w:r>
        <w:rPr>
          <w:rFonts w:hint="eastAsia" w:ascii="宋体" w:hAnsi="宋体" w:cs="宋体"/>
          <w:color w:val="auto"/>
          <w:sz w:val="22"/>
          <w:szCs w:val="22"/>
        </w:rPr>
        <w:t>10.1 本次招标由评标委员会推2名中标候选人。</w:t>
      </w:r>
    </w:p>
    <w:p w14:paraId="2D032FDC">
      <w:pPr>
        <w:tabs>
          <w:tab w:val="left" w:pos="1365"/>
        </w:tabs>
        <w:spacing w:line="440" w:lineRule="exact"/>
        <w:ind w:left="550" w:hanging="550" w:hangingChars="250"/>
        <w:rPr>
          <w:rFonts w:hint="eastAsia" w:ascii="宋体" w:hAnsi="宋体" w:cs="宋体"/>
          <w:color w:val="auto"/>
          <w:sz w:val="22"/>
          <w:szCs w:val="22"/>
        </w:rPr>
      </w:pPr>
      <w:r>
        <w:rPr>
          <w:rFonts w:hint="eastAsia" w:ascii="宋体" w:hAnsi="宋体" w:cs="宋体"/>
          <w:color w:val="auto"/>
          <w:sz w:val="22"/>
          <w:szCs w:val="22"/>
        </w:rPr>
        <w:t>10.2 评标委员会依据投标文件满足招标文件全部实质性要求，且按照评审因素的量化指标评审得分（即商务技术分与价格分之和）由高到低顺序排序，得分前二名的投标人推荐为该项目的第一和第二中标候选人（得分相同的，按投标报价由低到高排序；得分且投标报价相同的并列）。</w:t>
      </w:r>
    </w:p>
    <w:p w14:paraId="480E465A">
      <w:pPr>
        <w:spacing w:line="440" w:lineRule="exact"/>
        <w:ind w:left="550" w:hanging="550" w:hangingChars="250"/>
        <w:rPr>
          <w:rFonts w:hint="eastAsia" w:ascii="宋体" w:hAnsi="宋体" w:cs="宋体"/>
          <w:color w:val="auto"/>
          <w:sz w:val="22"/>
          <w:szCs w:val="22"/>
        </w:rPr>
      </w:pPr>
      <w:r>
        <w:rPr>
          <w:rFonts w:hint="eastAsia" w:ascii="宋体" w:hAnsi="宋体" w:cs="宋体"/>
          <w:color w:val="auto"/>
          <w:sz w:val="22"/>
          <w:szCs w:val="22"/>
        </w:rPr>
        <w:t>11.  投标截止时间止及评审期间，如出现有效投标人＜3家时，本项目废标，并重新组织招标。</w:t>
      </w:r>
    </w:p>
    <w:p w14:paraId="180BAC06">
      <w:pPr>
        <w:spacing w:line="440" w:lineRule="exact"/>
        <w:rPr>
          <w:rFonts w:hint="eastAsia" w:ascii="宋体" w:hAnsi="宋体" w:cs="宋体"/>
          <w:b/>
          <w:color w:val="auto"/>
          <w:sz w:val="22"/>
          <w:szCs w:val="22"/>
        </w:rPr>
      </w:pPr>
      <w:r>
        <w:rPr>
          <w:rFonts w:hint="eastAsia" w:ascii="宋体" w:hAnsi="宋体" w:cs="宋体"/>
          <w:b/>
          <w:color w:val="auto"/>
          <w:sz w:val="22"/>
          <w:szCs w:val="22"/>
        </w:rPr>
        <w:t>12.  评标细则详见第六部分“评标原则及方法”。</w:t>
      </w:r>
    </w:p>
    <w:p w14:paraId="3CFFD5C8">
      <w:pPr>
        <w:spacing w:line="440" w:lineRule="exact"/>
        <w:rPr>
          <w:rFonts w:hint="eastAsia" w:ascii="宋体" w:hAnsi="宋体" w:cs="宋体"/>
          <w:b/>
          <w:color w:val="auto"/>
          <w:sz w:val="22"/>
          <w:szCs w:val="22"/>
        </w:rPr>
      </w:pPr>
      <w:r>
        <w:rPr>
          <w:rFonts w:hint="eastAsia" w:ascii="宋体" w:hAnsi="宋体" w:cs="宋体"/>
          <w:b/>
          <w:color w:val="auto"/>
          <w:sz w:val="22"/>
          <w:szCs w:val="22"/>
        </w:rPr>
        <w:t>13.  未尽事宜遵循相关法律法规及规范性文件执行。</w:t>
      </w:r>
    </w:p>
    <w:p w14:paraId="43FBCD55">
      <w:pPr>
        <w:pStyle w:val="5"/>
        <w:spacing w:line="680" w:lineRule="exact"/>
        <w:jc w:val="center"/>
        <w:rPr>
          <w:rFonts w:hint="eastAsia" w:ascii="宋体" w:hAnsi="宋体" w:eastAsia="宋体" w:cs="宋体"/>
          <w:color w:val="auto"/>
          <w:sz w:val="28"/>
          <w:szCs w:val="28"/>
        </w:rPr>
      </w:pPr>
      <w:bookmarkStart w:id="40" w:name="_Toc230773780"/>
      <w:bookmarkStart w:id="41" w:name="_Toc12353"/>
      <w:r>
        <w:rPr>
          <w:rFonts w:hint="eastAsia" w:ascii="宋体" w:hAnsi="宋体" w:eastAsia="宋体" w:cs="宋体"/>
          <w:color w:val="auto"/>
          <w:sz w:val="28"/>
          <w:szCs w:val="28"/>
        </w:rPr>
        <w:t>六、 中标和合同</w:t>
      </w:r>
      <w:bookmarkEnd w:id="40"/>
      <w:bookmarkEnd w:id="41"/>
    </w:p>
    <w:p w14:paraId="26186BDE">
      <w:pPr>
        <w:tabs>
          <w:tab w:val="left" w:pos="1365"/>
        </w:tabs>
        <w:spacing w:line="440" w:lineRule="exact"/>
        <w:ind w:left="552" w:hanging="552" w:hangingChars="250"/>
        <w:rPr>
          <w:rFonts w:hint="eastAsia" w:ascii="宋体" w:hAnsi="宋体" w:cs="宋体"/>
          <w:b/>
          <w:color w:val="auto"/>
          <w:sz w:val="22"/>
          <w:szCs w:val="22"/>
        </w:rPr>
      </w:pPr>
      <w:r>
        <w:rPr>
          <w:rFonts w:hint="eastAsia" w:ascii="宋体" w:hAnsi="宋体" w:cs="宋体"/>
          <w:b/>
          <w:color w:val="auto"/>
          <w:sz w:val="22"/>
          <w:szCs w:val="22"/>
        </w:rPr>
        <w:t>1.   确定中标人</w:t>
      </w:r>
    </w:p>
    <w:p w14:paraId="67C7FC74">
      <w:pPr>
        <w:tabs>
          <w:tab w:val="left" w:pos="1365"/>
        </w:tabs>
        <w:spacing w:line="440" w:lineRule="exact"/>
        <w:ind w:left="550" w:hanging="550" w:hangingChars="250"/>
        <w:rPr>
          <w:rFonts w:hint="eastAsia" w:ascii="宋体" w:hAnsi="宋体" w:cs="宋体"/>
          <w:color w:val="auto"/>
          <w:sz w:val="22"/>
          <w:szCs w:val="22"/>
        </w:rPr>
      </w:pPr>
      <w:r>
        <w:rPr>
          <w:rFonts w:hint="eastAsia" w:ascii="宋体" w:hAnsi="宋体" w:cs="宋体"/>
          <w:color w:val="auto"/>
          <w:sz w:val="22"/>
          <w:szCs w:val="22"/>
        </w:rPr>
        <w:t>1.1  采购代理机构应当在评标结束后2个工作日内将评标报告送采购人。</w:t>
      </w:r>
    </w:p>
    <w:p w14:paraId="1A24F262">
      <w:pPr>
        <w:tabs>
          <w:tab w:val="left" w:pos="1365"/>
        </w:tabs>
        <w:spacing w:line="440" w:lineRule="exact"/>
        <w:ind w:left="550" w:hanging="550" w:hangingChars="250"/>
        <w:rPr>
          <w:rFonts w:hint="eastAsia" w:ascii="宋体" w:hAnsi="宋体" w:cs="宋体"/>
          <w:color w:val="auto"/>
          <w:sz w:val="22"/>
          <w:szCs w:val="22"/>
        </w:rPr>
      </w:pPr>
      <w:r>
        <w:rPr>
          <w:rFonts w:hint="eastAsia" w:ascii="宋体" w:hAnsi="宋体" w:cs="宋体"/>
          <w:color w:val="auto"/>
          <w:sz w:val="22"/>
          <w:szCs w:val="22"/>
        </w:rPr>
        <w:t>1.2  采购人应当自收到评标报告之日起5个工作日内，在评标报告确定的中标候选人名单中按顺序确定中标人。中标候选人并列的，由采购人采取随机抽取的方式确定。</w:t>
      </w:r>
    </w:p>
    <w:p w14:paraId="189225D5">
      <w:pPr>
        <w:tabs>
          <w:tab w:val="left" w:pos="1365"/>
        </w:tabs>
        <w:spacing w:line="440" w:lineRule="exact"/>
        <w:ind w:left="550" w:hanging="550" w:hangingChars="250"/>
        <w:rPr>
          <w:rFonts w:hint="eastAsia" w:ascii="宋体" w:hAnsi="宋体" w:cs="宋体"/>
          <w:color w:val="auto"/>
          <w:sz w:val="22"/>
          <w:szCs w:val="22"/>
        </w:rPr>
      </w:pPr>
      <w:r>
        <w:rPr>
          <w:rFonts w:hint="eastAsia" w:ascii="宋体" w:hAnsi="宋体" w:cs="宋体"/>
          <w:color w:val="auto"/>
          <w:sz w:val="22"/>
          <w:szCs w:val="22"/>
        </w:rPr>
        <w:t>1.3  采购人在收到评标报告5个工作日内未按评标报告推荐的中标候选人顺序确定中标人，又不能说明合法理由的，视同按评标报告推荐的顺序确定排名第一的中标候选人为中标人。</w:t>
      </w:r>
    </w:p>
    <w:p w14:paraId="053CEE5C">
      <w:pPr>
        <w:spacing w:line="440" w:lineRule="exact"/>
        <w:rPr>
          <w:rFonts w:hint="eastAsia" w:ascii="宋体" w:hAnsi="宋体" w:cs="宋体"/>
          <w:b/>
          <w:bCs/>
          <w:color w:val="auto"/>
          <w:sz w:val="22"/>
          <w:szCs w:val="22"/>
        </w:rPr>
      </w:pPr>
      <w:r>
        <w:rPr>
          <w:rFonts w:hint="eastAsia" w:ascii="宋体" w:hAnsi="宋体" w:cs="宋体"/>
          <w:bCs/>
          <w:color w:val="auto"/>
          <w:sz w:val="22"/>
          <w:szCs w:val="22"/>
        </w:rPr>
        <w:t xml:space="preserve">2.   </w:t>
      </w:r>
      <w:r>
        <w:rPr>
          <w:rFonts w:hint="eastAsia" w:ascii="宋体" w:hAnsi="宋体" w:cs="宋体"/>
          <w:b/>
          <w:bCs/>
          <w:color w:val="auto"/>
          <w:sz w:val="22"/>
          <w:szCs w:val="22"/>
        </w:rPr>
        <w:t>中标公告</w:t>
      </w:r>
    </w:p>
    <w:p w14:paraId="1D64E14D">
      <w:pPr>
        <w:spacing w:line="440" w:lineRule="exact"/>
        <w:ind w:left="550" w:hanging="550" w:hangingChars="250"/>
        <w:rPr>
          <w:rFonts w:hint="eastAsia" w:ascii="宋体" w:hAnsi="宋体" w:cs="宋体"/>
          <w:b/>
          <w:bCs/>
          <w:color w:val="auto"/>
          <w:sz w:val="22"/>
          <w:szCs w:val="22"/>
        </w:rPr>
      </w:pPr>
      <w:r>
        <w:rPr>
          <w:rFonts w:hint="eastAsia" w:ascii="宋体" w:hAnsi="宋体" w:cs="宋体"/>
          <w:bCs/>
          <w:color w:val="auto"/>
          <w:sz w:val="22"/>
          <w:szCs w:val="22"/>
        </w:rPr>
        <w:t>2.1  采购人或者采购代理机构应当自中标人确定之日起2个工作日内，在省级以上财政部门指定的媒体上公告中标结果，招标文件应当随中标结果同时公告。</w:t>
      </w:r>
    </w:p>
    <w:p w14:paraId="25225CFC">
      <w:pPr>
        <w:spacing w:line="440" w:lineRule="exact"/>
        <w:ind w:left="440" w:hanging="440" w:hangingChars="200"/>
        <w:rPr>
          <w:rFonts w:hint="eastAsia" w:ascii="宋体" w:hAnsi="宋体" w:cs="宋体"/>
          <w:bCs/>
          <w:color w:val="auto"/>
          <w:sz w:val="22"/>
          <w:szCs w:val="22"/>
        </w:rPr>
      </w:pPr>
      <w:r>
        <w:rPr>
          <w:rFonts w:hint="eastAsia" w:ascii="宋体" w:hAnsi="宋体" w:cs="宋体"/>
          <w:bCs/>
          <w:color w:val="auto"/>
          <w:sz w:val="22"/>
          <w:szCs w:val="22"/>
        </w:rPr>
        <w:t xml:space="preserve">3.   </w:t>
      </w:r>
      <w:r>
        <w:rPr>
          <w:rFonts w:hint="eastAsia" w:ascii="宋体" w:hAnsi="宋体" w:cs="宋体"/>
          <w:b/>
          <w:bCs/>
          <w:color w:val="auto"/>
          <w:sz w:val="22"/>
          <w:szCs w:val="22"/>
        </w:rPr>
        <w:t>中标通知书</w:t>
      </w:r>
    </w:p>
    <w:p w14:paraId="7D304002">
      <w:pPr>
        <w:spacing w:line="440" w:lineRule="exact"/>
        <w:ind w:left="440" w:hanging="440" w:hangingChars="200"/>
        <w:rPr>
          <w:rFonts w:hint="eastAsia" w:ascii="宋体" w:hAnsi="宋体" w:cs="宋体"/>
          <w:bCs/>
          <w:color w:val="auto"/>
          <w:sz w:val="22"/>
          <w:szCs w:val="22"/>
        </w:rPr>
      </w:pPr>
      <w:r>
        <w:rPr>
          <w:rFonts w:hint="eastAsia" w:ascii="宋体" w:hAnsi="宋体" w:cs="宋体"/>
          <w:bCs/>
          <w:color w:val="auto"/>
          <w:sz w:val="22"/>
          <w:szCs w:val="22"/>
        </w:rPr>
        <w:t>3.1  在公告中标结果的同时</w:t>
      </w:r>
      <w:r>
        <w:rPr>
          <w:rFonts w:hint="eastAsia" w:ascii="宋体" w:hAnsi="宋体" w:cs="宋体"/>
          <w:color w:val="auto"/>
          <w:sz w:val="22"/>
          <w:szCs w:val="22"/>
        </w:rPr>
        <w:t>，采购人或采购代理机构向中标人发出中标通知书。</w:t>
      </w:r>
    </w:p>
    <w:p w14:paraId="3F9E4F00">
      <w:pPr>
        <w:spacing w:line="440" w:lineRule="exact"/>
        <w:ind w:left="440" w:hanging="440" w:hangingChars="200"/>
        <w:rPr>
          <w:rFonts w:hint="eastAsia" w:ascii="宋体" w:hAnsi="宋体" w:cs="宋体"/>
          <w:bCs/>
          <w:color w:val="auto"/>
          <w:sz w:val="22"/>
          <w:szCs w:val="22"/>
        </w:rPr>
      </w:pPr>
      <w:r>
        <w:rPr>
          <w:rFonts w:hint="eastAsia" w:ascii="宋体" w:hAnsi="宋体" w:cs="宋体"/>
          <w:bCs/>
          <w:color w:val="auto"/>
          <w:sz w:val="22"/>
          <w:szCs w:val="22"/>
        </w:rPr>
        <w:t xml:space="preserve">3.2  </w:t>
      </w:r>
      <w:r>
        <w:rPr>
          <w:rFonts w:hint="eastAsia" w:ascii="宋体" w:hAnsi="宋体" w:cs="宋体"/>
          <w:color w:val="auto"/>
          <w:sz w:val="22"/>
          <w:szCs w:val="22"/>
        </w:rPr>
        <w:t>中标通知书是合同的一个组成部分,对采购人和中标人均具有同等法律效力。</w:t>
      </w:r>
    </w:p>
    <w:p w14:paraId="4145259E">
      <w:pPr>
        <w:spacing w:line="440" w:lineRule="exact"/>
        <w:ind w:left="440" w:hanging="440" w:hangingChars="200"/>
        <w:rPr>
          <w:rFonts w:hint="eastAsia" w:ascii="宋体" w:hAnsi="宋体" w:cs="宋体"/>
          <w:bCs/>
          <w:color w:val="auto"/>
          <w:sz w:val="22"/>
          <w:szCs w:val="22"/>
        </w:rPr>
      </w:pPr>
      <w:r>
        <w:rPr>
          <w:rFonts w:hint="eastAsia" w:ascii="宋体" w:hAnsi="宋体" w:cs="宋体"/>
          <w:bCs/>
          <w:color w:val="auto"/>
          <w:sz w:val="22"/>
          <w:szCs w:val="22"/>
        </w:rPr>
        <w:t xml:space="preserve">4.   </w:t>
      </w:r>
      <w:r>
        <w:rPr>
          <w:rFonts w:hint="eastAsia" w:ascii="宋体" w:hAnsi="宋体" w:cs="宋体"/>
          <w:b/>
          <w:bCs/>
          <w:color w:val="auto"/>
          <w:sz w:val="22"/>
          <w:szCs w:val="22"/>
        </w:rPr>
        <w:t>签订合同</w:t>
      </w:r>
    </w:p>
    <w:p w14:paraId="0CDFEFEE">
      <w:pPr>
        <w:spacing w:line="440" w:lineRule="exact"/>
        <w:ind w:left="550" w:hanging="550" w:hangingChars="250"/>
        <w:rPr>
          <w:rFonts w:hint="eastAsia" w:ascii="宋体" w:hAnsi="宋体" w:cs="宋体"/>
          <w:bCs/>
          <w:color w:val="auto"/>
          <w:sz w:val="22"/>
          <w:szCs w:val="22"/>
        </w:rPr>
      </w:pPr>
      <w:r>
        <w:rPr>
          <w:rFonts w:hint="eastAsia" w:ascii="宋体" w:hAnsi="宋体" w:cs="宋体"/>
          <w:bCs/>
          <w:color w:val="auto"/>
          <w:sz w:val="22"/>
          <w:szCs w:val="22"/>
        </w:rPr>
        <w:t>4.1  采购人应当自中标通知书发出之日起</w:t>
      </w:r>
      <w:r>
        <w:rPr>
          <w:rFonts w:ascii="宋体" w:hAnsi="宋体" w:cs="宋体"/>
          <w:bCs/>
          <w:color w:val="auto"/>
          <w:sz w:val="22"/>
          <w:szCs w:val="22"/>
        </w:rPr>
        <w:t>30</w:t>
      </w:r>
      <w:r>
        <w:rPr>
          <w:rFonts w:hint="eastAsia" w:ascii="宋体" w:hAnsi="宋体" w:cs="宋体"/>
          <w:bCs/>
          <w:color w:val="auto"/>
          <w:sz w:val="22"/>
          <w:szCs w:val="22"/>
        </w:rPr>
        <w:t>日内，按照招标文件和中标人投标文件的规定，与中标人签订书面合同。所签订的合同不得对招标文件确定的事项和中标人投标文件作实质性修改。</w:t>
      </w:r>
    </w:p>
    <w:p w14:paraId="59B5C858">
      <w:pPr>
        <w:spacing w:line="440" w:lineRule="exact"/>
        <w:ind w:left="550" w:hanging="550" w:hangingChars="250"/>
        <w:rPr>
          <w:rFonts w:hint="eastAsia" w:ascii="宋体" w:hAnsi="宋体" w:cs="宋体"/>
          <w:bCs/>
          <w:color w:val="auto"/>
          <w:sz w:val="22"/>
          <w:szCs w:val="22"/>
        </w:rPr>
      </w:pPr>
      <w:r>
        <w:rPr>
          <w:rFonts w:hint="eastAsia" w:ascii="宋体" w:hAnsi="宋体" w:cs="宋体"/>
          <w:color w:val="auto"/>
          <w:sz w:val="22"/>
          <w:szCs w:val="22"/>
        </w:rPr>
        <w:t xml:space="preserve">4.2  </w:t>
      </w:r>
      <w:r>
        <w:rPr>
          <w:rFonts w:hint="eastAsia" w:ascii="宋体" w:hAnsi="宋体" w:cs="宋体"/>
          <w:color w:val="auto"/>
          <w:spacing w:val="6"/>
          <w:sz w:val="22"/>
          <w:szCs w:val="22"/>
        </w:rPr>
        <w:t>在签订合同前，采购人有权在中标总价不变的前提下要求中标人对商务报价中的不平衡报价和缺漏项进行调整，如果中标人无合理理由拒绝调整，其中标资格将被取消，且将导致其它进一步的赔偿和处罚。</w:t>
      </w:r>
    </w:p>
    <w:p w14:paraId="5AD9BF30">
      <w:pPr>
        <w:spacing w:line="440" w:lineRule="exact"/>
        <w:ind w:left="550" w:hanging="550" w:hangingChars="250"/>
        <w:rPr>
          <w:rFonts w:hint="eastAsia" w:ascii="宋体" w:hAnsi="宋体" w:cs="宋体"/>
          <w:color w:val="auto"/>
          <w:sz w:val="22"/>
          <w:szCs w:val="22"/>
        </w:rPr>
      </w:pPr>
      <w:r>
        <w:rPr>
          <w:rFonts w:hint="eastAsia" w:ascii="宋体" w:hAnsi="宋体" w:cs="宋体"/>
          <w:color w:val="auto"/>
          <w:sz w:val="22"/>
          <w:szCs w:val="22"/>
        </w:rPr>
        <w:t>4.3  招标文件、中标人的投标文件、投标修改文件、评标过程中有关澄清文件及经投标人和评委双方签字的询标纪要和中标通知书均作为合同附件。</w:t>
      </w:r>
    </w:p>
    <w:p w14:paraId="07464DDF">
      <w:pPr>
        <w:spacing w:line="440" w:lineRule="exact"/>
        <w:ind w:left="440" w:hanging="440" w:hangingChars="200"/>
        <w:rPr>
          <w:rFonts w:hint="eastAsia" w:ascii="宋体" w:hAnsi="宋体" w:cs="宋体"/>
          <w:bCs/>
          <w:color w:val="auto"/>
          <w:sz w:val="22"/>
          <w:szCs w:val="22"/>
        </w:rPr>
      </w:pPr>
      <w:r>
        <w:rPr>
          <w:rFonts w:hint="eastAsia" w:ascii="宋体" w:hAnsi="宋体" w:cs="宋体"/>
          <w:bCs/>
          <w:color w:val="auto"/>
          <w:sz w:val="22"/>
          <w:szCs w:val="22"/>
        </w:rPr>
        <w:t>4.4  采购人不得向中标人提出任何不合理的要求作为签订合同的条件。</w:t>
      </w:r>
    </w:p>
    <w:p w14:paraId="5D5468A0">
      <w:pPr>
        <w:spacing w:line="440" w:lineRule="exact"/>
        <w:ind w:left="440" w:hanging="440" w:hangingChars="200"/>
        <w:rPr>
          <w:rFonts w:hint="eastAsia" w:ascii="宋体" w:hAnsi="宋体" w:cs="宋体"/>
          <w:bCs/>
          <w:color w:val="auto"/>
          <w:sz w:val="22"/>
          <w:szCs w:val="22"/>
        </w:rPr>
      </w:pPr>
      <w:r>
        <w:rPr>
          <w:rFonts w:hint="eastAsia" w:ascii="宋体" w:hAnsi="宋体" w:cs="宋体"/>
          <w:color w:val="auto"/>
          <w:sz w:val="22"/>
          <w:szCs w:val="22"/>
        </w:rPr>
        <w:t>4.5  拒签合同的违约责任</w:t>
      </w:r>
    </w:p>
    <w:p w14:paraId="1EBAC87E">
      <w:pPr>
        <w:spacing w:line="440" w:lineRule="exact"/>
        <w:ind w:left="565" w:leftChars="269"/>
        <w:rPr>
          <w:rFonts w:hint="eastAsia" w:ascii="宋体" w:hAnsi="宋体" w:cs="宋体"/>
          <w:color w:val="auto"/>
          <w:spacing w:val="6"/>
          <w:sz w:val="22"/>
          <w:szCs w:val="22"/>
        </w:rPr>
      </w:pPr>
      <w:r>
        <w:rPr>
          <w:rFonts w:hint="eastAsia" w:ascii="宋体" w:hAnsi="宋体" w:cs="宋体"/>
          <w:color w:val="auto"/>
          <w:spacing w:val="6"/>
          <w:sz w:val="22"/>
          <w:szCs w:val="22"/>
        </w:rPr>
        <w:t>中标人接到中标通知书后，在规定时间内借故否认已经承诺的条件而拒签合同的，以违约处理。</w:t>
      </w:r>
    </w:p>
    <w:p w14:paraId="31BEDF81">
      <w:pPr>
        <w:spacing w:line="440" w:lineRule="exact"/>
        <w:ind w:left="571" w:hanging="571" w:hangingChars="245"/>
        <w:rPr>
          <w:rFonts w:hint="eastAsia" w:ascii="宋体" w:hAnsi="宋体" w:cs="宋体"/>
          <w:b/>
          <w:color w:val="auto"/>
          <w:spacing w:val="6"/>
          <w:sz w:val="22"/>
          <w:szCs w:val="22"/>
          <w:shd w:val="pct10" w:color="auto" w:fill="FFFFFF"/>
        </w:rPr>
      </w:pPr>
      <w:r>
        <w:rPr>
          <w:rFonts w:hint="eastAsia" w:ascii="宋体" w:hAnsi="宋体" w:cs="宋体"/>
          <w:b/>
          <w:color w:val="auto"/>
          <w:spacing w:val="6"/>
          <w:sz w:val="22"/>
          <w:szCs w:val="22"/>
        </w:rPr>
        <w:t>4.6  合同一式五份，其中采购人二份，中标人二份，采购代理机构备案一份。中标人在采购合同签订后应及时提交壹份交采购代理机构备案。</w:t>
      </w:r>
      <w:r>
        <w:rPr>
          <w:rFonts w:hint="eastAsia" w:ascii="宋体" w:hAnsi="宋体" w:cs="宋体"/>
          <w:b/>
          <w:color w:val="auto"/>
          <w:spacing w:val="6"/>
          <w:sz w:val="22"/>
          <w:szCs w:val="22"/>
          <w:shd w:val="pct10" w:color="auto" w:fill="FFFFFF"/>
        </w:rPr>
        <w:t>同时提交一份投标文件正式版的扫描件（PDF格式）供采购人备案用。</w:t>
      </w:r>
    </w:p>
    <w:p w14:paraId="38304998">
      <w:pPr>
        <w:spacing w:line="440" w:lineRule="exact"/>
        <w:rPr>
          <w:rFonts w:hint="eastAsia" w:ascii="宋体" w:hAnsi="宋体" w:cs="宋体"/>
          <w:b/>
          <w:color w:val="auto"/>
          <w:spacing w:val="6"/>
          <w:sz w:val="22"/>
          <w:szCs w:val="22"/>
        </w:rPr>
      </w:pPr>
      <w:r>
        <w:rPr>
          <w:rFonts w:hint="eastAsia" w:ascii="宋体" w:hAnsi="宋体" w:cs="宋体"/>
          <w:color w:val="auto"/>
          <w:spacing w:val="6"/>
          <w:sz w:val="22"/>
          <w:szCs w:val="22"/>
        </w:rPr>
        <w:t xml:space="preserve">5.   </w:t>
      </w:r>
      <w:r>
        <w:rPr>
          <w:rFonts w:hint="eastAsia" w:ascii="宋体" w:hAnsi="宋体" w:cs="宋体"/>
          <w:b/>
          <w:color w:val="auto"/>
          <w:spacing w:val="6"/>
          <w:sz w:val="22"/>
          <w:szCs w:val="22"/>
          <w:u w:val="single"/>
        </w:rPr>
        <w:t>履约保证金</w:t>
      </w:r>
    </w:p>
    <w:p w14:paraId="694B36AA">
      <w:pPr>
        <w:spacing w:line="440" w:lineRule="exact"/>
        <w:ind w:left="580" w:hanging="580" w:hangingChars="250"/>
        <w:rPr>
          <w:rFonts w:hint="eastAsia" w:ascii="宋体" w:hAnsi="宋体" w:cs="宋体"/>
          <w:color w:val="auto"/>
          <w:spacing w:val="6"/>
          <w:sz w:val="22"/>
          <w:szCs w:val="22"/>
        </w:rPr>
      </w:pPr>
      <w:r>
        <w:rPr>
          <w:rFonts w:hint="eastAsia" w:ascii="宋体" w:hAnsi="宋体" w:cs="宋体"/>
          <w:color w:val="auto"/>
          <w:spacing w:val="6"/>
          <w:sz w:val="22"/>
          <w:szCs w:val="22"/>
        </w:rPr>
        <w:t xml:space="preserve">5.1  </w:t>
      </w:r>
      <w:r>
        <w:rPr>
          <w:rFonts w:hint="eastAsia" w:ascii="宋体" w:hAnsi="宋体" w:cs="宋体"/>
          <w:color w:val="auto"/>
          <w:sz w:val="22"/>
          <w:szCs w:val="22"/>
        </w:rPr>
        <w:t>中标人在收到中标通知书后，签订合同后7个工作日内，中标人须向采购人提交履约保证。</w:t>
      </w:r>
    </w:p>
    <w:p w14:paraId="04EBF039">
      <w:pPr>
        <w:spacing w:line="440" w:lineRule="exact"/>
        <w:ind w:left="464" w:hanging="464" w:hangingChars="200"/>
        <w:rPr>
          <w:rFonts w:hint="eastAsia" w:ascii="宋体" w:hAnsi="宋体" w:cs="宋体"/>
          <w:color w:val="auto"/>
          <w:spacing w:val="6"/>
          <w:sz w:val="22"/>
          <w:szCs w:val="22"/>
        </w:rPr>
      </w:pPr>
      <w:r>
        <w:rPr>
          <w:rFonts w:hint="eastAsia" w:ascii="宋体" w:hAnsi="宋体" w:cs="宋体"/>
          <w:color w:val="auto"/>
          <w:spacing w:val="6"/>
          <w:sz w:val="22"/>
          <w:szCs w:val="22"/>
        </w:rPr>
        <w:t>5.2  履约保证金用于补偿采购人因中标人不能履行其合同义务而蒙受的损失。</w:t>
      </w:r>
    </w:p>
    <w:p w14:paraId="41AEF53D">
      <w:pPr>
        <w:spacing w:line="440" w:lineRule="exact"/>
        <w:ind w:left="580" w:hanging="580" w:hangingChars="250"/>
        <w:rPr>
          <w:rFonts w:hint="eastAsia" w:ascii="宋体" w:hAnsi="宋体" w:cs="宋体"/>
          <w:color w:val="auto"/>
          <w:spacing w:val="6"/>
          <w:sz w:val="22"/>
          <w:szCs w:val="22"/>
        </w:rPr>
      </w:pPr>
      <w:r>
        <w:rPr>
          <w:rFonts w:hint="eastAsia" w:ascii="宋体" w:hAnsi="宋体" w:cs="宋体"/>
          <w:color w:val="auto"/>
          <w:spacing w:val="6"/>
          <w:sz w:val="22"/>
          <w:szCs w:val="22"/>
        </w:rPr>
        <w:t xml:space="preserve">5.3  </w:t>
      </w:r>
      <w:r>
        <w:rPr>
          <w:rFonts w:hint="eastAsia" w:ascii="宋体" w:hAnsi="宋体" w:cs="宋体"/>
          <w:color w:val="auto"/>
          <w:sz w:val="22"/>
        </w:rPr>
        <w:t>履约保证金自合同签订之日起至项目验收合格之日起有效。项目验收结束后，采购人5个工作日内将履约保证金无息退还给中标人。</w:t>
      </w:r>
    </w:p>
    <w:p w14:paraId="57DC79E3">
      <w:pPr>
        <w:spacing w:line="440" w:lineRule="exact"/>
        <w:ind w:left="442" w:hanging="442" w:hangingChars="200"/>
        <w:rPr>
          <w:rFonts w:hint="eastAsia" w:ascii="宋体" w:hAnsi="宋体" w:cs="宋体"/>
          <w:b/>
          <w:bCs/>
          <w:color w:val="auto"/>
          <w:sz w:val="22"/>
          <w:szCs w:val="22"/>
        </w:rPr>
      </w:pPr>
      <w:r>
        <w:rPr>
          <w:rFonts w:hint="eastAsia" w:ascii="宋体" w:hAnsi="宋体" w:cs="宋体"/>
          <w:b/>
          <w:bCs/>
          <w:color w:val="auto"/>
          <w:sz w:val="22"/>
          <w:szCs w:val="22"/>
        </w:rPr>
        <w:t>6.   合同履行时更改采购数量的权利</w:t>
      </w:r>
    </w:p>
    <w:p w14:paraId="15848430">
      <w:pPr>
        <w:tabs>
          <w:tab w:val="left" w:pos="1365"/>
        </w:tabs>
        <w:spacing w:line="440" w:lineRule="exact"/>
        <w:ind w:left="550" w:hanging="550" w:hangingChars="250"/>
        <w:rPr>
          <w:rFonts w:hint="eastAsia" w:ascii="宋体" w:hAnsi="宋体" w:cs="宋体"/>
          <w:color w:val="auto"/>
          <w:sz w:val="22"/>
          <w:szCs w:val="22"/>
        </w:rPr>
      </w:pPr>
      <w:r>
        <w:rPr>
          <w:rFonts w:hint="eastAsia" w:ascii="宋体" w:hAnsi="宋体" w:cs="宋体"/>
          <w:color w:val="auto"/>
          <w:sz w:val="22"/>
          <w:szCs w:val="22"/>
        </w:rPr>
        <w:t xml:space="preserve">     合同履行中，采购人需追加与合同标的相同的货物、工程或者服务的，在不改变合同其他条款的前提下，可以与中标人协商签订补充合同，但所有补充合同的采购金额不得超过原合同采购金额的百分之十。</w:t>
      </w:r>
    </w:p>
    <w:p w14:paraId="65ED73E4">
      <w:pPr>
        <w:pStyle w:val="5"/>
        <w:spacing w:line="680" w:lineRule="exact"/>
        <w:jc w:val="center"/>
        <w:rPr>
          <w:rFonts w:hint="eastAsia" w:ascii="宋体" w:hAnsi="宋体" w:eastAsia="宋体" w:cs="宋体"/>
          <w:b w:val="0"/>
          <w:color w:val="auto"/>
        </w:rPr>
      </w:pPr>
      <w:bookmarkStart w:id="42" w:name="_Toc89248785"/>
      <w:bookmarkStart w:id="43" w:name="_Toc77410345"/>
      <w:bookmarkStart w:id="44" w:name="_Toc77407760"/>
      <w:bookmarkStart w:id="45" w:name="_Toc14522"/>
      <w:bookmarkStart w:id="46" w:name="_Toc230773781"/>
      <w:bookmarkStart w:id="47" w:name="_Toc185326503"/>
      <w:bookmarkStart w:id="48" w:name="_Toc208045865"/>
      <w:r>
        <w:rPr>
          <w:rFonts w:hint="eastAsia" w:ascii="宋体" w:hAnsi="宋体" w:eastAsia="宋体" w:cs="宋体"/>
          <w:color w:val="auto"/>
          <w:sz w:val="28"/>
          <w:szCs w:val="28"/>
        </w:rPr>
        <w:t>七、 可中止电子交易活动的情形</w:t>
      </w:r>
      <w:bookmarkEnd w:id="42"/>
      <w:bookmarkEnd w:id="43"/>
      <w:bookmarkEnd w:id="44"/>
      <w:bookmarkEnd w:id="45"/>
    </w:p>
    <w:p w14:paraId="7F4384D7">
      <w:pPr>
        <w:tabs>
          <w:tab w:val="left" w:pos="1365"/>
        </w:tabs>
        <w:spacing w:line="440" w:lineRule="exact"/>
        <w:ind w:firstLine="440" w:firstLineChars="200"/>
        <w:rPr>
          <w:rFonts w:hint="eastAsia" w:ascii="宋体" w:hAnsi="宋体" w:cs="宋体"/>
          <w:color w:val="auto"/>
          <w:sz w:val="22"/>
          <w:szCs w:val="22"/>
        </w:rPr>
      </w:pPr>
      <w:r>
        <w:rPr>
          <w:rFonts w:hint="eastAsia" w:ascii="宋体" w:hAnsi="宋体" w:cs="宋体"/>
          <w:color w:val="auto"/>
          <w:sz w:val="22"/>
          <w:szCs w:val="22"/>
        </w:rPr>
        <w:t>采购过程中出现以下情形，导致电子交易平台无法正常运行，或者无法保证电子交易的公平、公正和安全时，采购代理机构可中止电子交易活动：</w:t>
      </w:r>
    </w:p>
    <w:p w14:paraId="1FA67E92">
      <w:pPr>
        <w:tabs>
          <w:tab w:val="left" w:pos="1365"/>
        </w:tabs>
        <w:spacing w:line="440" w:lineRule="exact"/>
        <w:ind w:left="550" w:hanging="550" w:hangingChars="250"/>
        <w:rPr>
          <w:rFonts w:hint="eastAsia" w:ascii="宋体" w:hAnsi="宋体" w:cs="宋体"/>
          <w:color w:val="auto"/>
          <w:sz w:val="22"/>
          <w:szCs w:val="22"/>
        </w:rPr>
      </w:pPr>
      <w:r>
        <w:rPr>
          <w:rFonts w:ascii="宋体" w:hAnsi="宋体" w:cs="宋体"/>
          <w:color w:val="auto"/>
          <w:sz w:val="22"/>
          <w:szCs w:val="22"/>
        </w:rPr>
        <w:t xml:space="preserve">1.   </w:t>
      </w:r>
      <w:r>
        <w:rPr>
          <w:rFonts w:hint="eastAsia" w:ascii="宋体" w:hAnsi="宋体" w:cs="宋体"/>
          <w:color w:val="auto"/>
          <w:sz w:val="22"/>
          <w:szCs w:val="22"/>
        </w:rPr>
        <w:t>电子交易平台发生故障而无法登录访问的；</w:t>
      </w:r>
    </w:p>
    <w:p w14:paraId="2C0F8CA2">
      <w:pPr>
        <w:tabs>
          <w:tab w:val="left" w:pos="1365"/>
        </w:tabs>
        <w:spacing w:line="440" w:lineRule="exact"/>
        <w:ind w:left="550" w:hanging="550" w:hangingChars="250"/>
        <w:rPr>
          <w:rFonts w:hint="eastAsia" w:ascii="宋体" w:hAnsi="宋体" w:cs="宋体"/>
          <w:color w:val="auto"/>
          <w:sz w:val="22"/>
          <w:szCs w:val="22"/>
        </w:rPr>
      </w:pPr>
      <w:r>
        <w:rPr>
          <w:rFonts w:ascii="宋体" w:hAnsi="宋体" w:cs="宋体"/>
          <w:color w:val="auto"/>
          <w:sz w:val="22"/>
          <w:szCs w:val="22"/>
        </w:rPr>
        <w:t xml:space="preserve">2.   </w:t>
      </w:r>
      <w:r>
        <w:rPr>
          <w:rFonts w:hint="eastAsia" w:ascii="宋体" w:hAnsi="宋体" w:cs="宋体"/>
          <w:color w:val="auto"/>
          <w:sz w:val="22"/>
          <w:szCs w:val="22"/>
        </w:rPr>
        <w:t>电子交易平台应用或数据库出现错误，不能进行正常操作的；</w:t>
      </w:r>
    </w:p>
    <w:p w14:paraId="69EA54A1">
      <w:pPr>
        <w:tabs>
          <w:tab w:val="left" w:pos="1365"/>
        </w:tabs>
        <w:spacing w:line="440" w:lineRule="exact"/>
        <w:ind w:left="550" w:hanging="550" w:hangingChars="250"/>
        <w:rPr>
          <w:rFonts w:hint="eastAsia" w:ascii="宋体" w:hAnsi="宋体" w:cs="宋体"/>
          <w:color w:val="auto"/>
          <w:sz w:val="22"/>
          <w:szCs w:val="22"/>
        </w:rPr>
      </w:pPr>
      <w:r>
        <w:rPr>
          <w:rFonts w:ascii="宋体" w:hAnsi="宋体" w:cs="宋体"/>
          <w:color w:val="auto"/>
          <w:sz w:val="22"/>
          <w:szCs w:val="22"/>
        </w:rPr>
        <w:t xml:space="preserve">3.   </w:t>
      </w:r>
      <w:r>
        <w:rPr>
          <w:rFonts w:hint="eastAsia" w:ascii="宋体" w:hAnsi="宋体" w:cs="宋体"/>
          <w:color w:val="auto"/>
          <w:sz w:val="22"/>
          <w:szCs w:val="22"/>
        </w:rPr>
        <w:t>电子交易平台发现严重安全漏洞，有潜在泄密危险的；</w:t>
      </w:r>
    </w:p>
    <w:p w14:paraId="15913AC3">
      <w:pPr>
        <w:tabs>
          <w:tab w:val="left" w:pos="1365"/>
        </w:tabs>
        <w:spacing w:line="440" w:lineRule="exact"/>
        <w:ind w:left="550" w:hanging="550" w:hangingChars="250"/>
        <w:rPr>
          <w:rFonts w:hint="eastAsia" w:ascii="宋体" w:hAnsi="宋体" w:cs="宋体"/>
          <w:color w:val="auto"/>
          <w:sz w:val="22"/>
          <w:szCs w:val="22"/>
        </w:rPr>
      </w:pPr>
      <w:r>
        <w:rPr>
          <w:rFonts w:ascii="宋体" w:hAnsi="宋体" w:cs="宋体"/>
          <w:color w:val="auto"/>
          <w:sz w:val="22"/>
          <w:szCs w:val="22"/>
        </w:rPr>
        <w:t xml:space="preserve">4.   </w:t>
      </w:r>
      <w:r>
        <w:rPr>
          <w:rFonts w:hint="eastAsia" w:ascii="宋体" w:hAnsi="宋体" w:cs="宋体"/>
          <w:color w:val="auto"/>
          <w:sz w:val="22"/>
          <w:szCs w:val="22"/>
        </w:rPr>
        <w:t>病毒发作导致不能进行正常操作的；</w:t>
      </w:r>
    </w:p>
    <w:p w14:paraId="48545DC7">
      <w:pPr>
        <w:tabs>
          <w:tab w:val="left" w:pos="1365"/>
        </w:tabs>
        <w:spacing w:line="440" w:lineRule="exact"/>
        <w:ind w:left="550" w:hanging="550" w:hangingChars="250"/>
        <w:rPr>
          <w:rFonts w:hint="eastAsia" w:ascii="宋体" w:hAnsi="宋体" w:cs="宋体"/>
          <w:color w:val="auto"/>
          <w:sz w:val="22"/>
          <w:szCs w:val="22"/>
        </w:rPr>
      </w:pPr>
      <w:r>
        <w:rPr>
          <w:rFonts w:ascii="宋体" w:hAnsi="宋体" w:cs="宋体"/>
          <w:color w:val="auto"/>
          <w:sz w:val="22"/>
          <w:szCs w:val="22"/>
        </w:rPr>
        <w:t xml:space="preserve">5.   </w:t>
      </w:r>
      <w:r>
        <w:rPr>
          <w:rFonts w:hint="eastAsia" w:ascii="宋体" w:hAnsi="宋体" w:cs="宋体"/>
          <w:color w:val="auto"/>
          <w:sz w:val="22"/>
          <w:szCs w:val="22"/>
        </w:rPr>
        <w:t>其他无法保证电子交易的公平、公正和安全的情况。</w:t>
      </w:r>
    </w:p>
    <w:p w14:paraId="1A581997">
      <w:pPr>
        <w:tabs>
          <w:tab w:val="left" w:pos="1365"/>
        </w:tabs>
        <w:spacing w:line="440" w:lineRule="exact"/>
        <w:ind w:left="420" w:leftChars="200" w:firstLine="110" w:firstLineChars="50"/>
        <w:rPr>
          <w:rFonts w:hint="eastAsia" w:ascii="宋体" w:hAnsi="宋体" w:cs="宋体"/>
          <w:color w:val="auto"/>
          <w:sz w:val="22"/>
          <w:szCs w:val="22"/>
        </w:rPr>
      </w:pPr>
      <w:r>
        <w:rPr>
          <w:rFonts w:hint="eastAsia" w:ascii="宋体" w:hAnsi="宋体" w:cs="宋体"/>
          <w:color w:val="auto"/>
          <w:sz w:val="22"/>
          <w:szCs w:val="22"/>
        </w:rPr>
        <w:t>出现前款规定情形，不影响采购公平、公正性的，采购代理机构可以待上述情形消除后继续组织电子交易活动；影响或可能影响采购公平、公正性的，应当重新采购。</w:t>
      </w:r>
    </w:p>
    <w:p w14:paraId="610EDB2E">
      <w:pPr>
        <w:pStyle w:val="5"/>
        <w:numPr>
          <w:ilvl w:val="0"/>
          <w:numId w:val="1"/>
        </w:numPr>
        <w:spacing w:line="680" w:lineRule="exact"/>
        <w:jc w:val="center"/>
        <w:rPr>
          <w:rFonts w:hint="eastAsia" w:ascii="宋体" w:hAnsi="宋体" w:eastAsia="宋体" w:cs="宋体"/>
          <w:color w:val="auto"/>
          <w:sz w:val="28"/>
          <w:szCs w:val="28"/>
        </w:rPr>
      </w:pPr>
      <w:bookmarkStart w:id="49" w:name="_Toc9368"/>
      <w:bookmarkStart w:id="50" w:name="_Toc24950"/>
      <w:r>
        <w:rPr>
          <w:rFonts w:hint="eastAsia" w:ascii="宋体" w:hAnsi="宋体" w:eastAsia="宋体" w:cs="宋体"/>
          <w:color w:val="auto"/>
          <w:sz w:val="28"/>
          <w:szCs w:val="28"/>
        </w:rPr>
        <w:t xml:space="preserve"> </w:t>
      </w:r>
      <w:bookmarkStart w:id="51" w:name="_Toc6068"/>
      <w:r>
        <w:rPr>
          <w:rFonts w:hint="eastAsia" w:ascii="宋体" w:hAnsi="宋体" w:eastAsia="宋体" w:cs="宋体"/>
          <w:color w:val="auto"/>
          <w:sz w:val="28"/>
          <w:szCs w:val="28"/>
        </w:rPr>
        <w:t>验  收</w:t>
      </w:r>
      <w:bookmarkEnd w:id="49"/>
      <w:bookmarkEnd w:id="50"/>
      <w:bookmarkEnd w:id="51"/>
    </w:p>
    <w:p w14:paraId="69429A7D">
      <w:pPr>
        <w:tabs>
          <w:tab w:val="left" w:pos="1365"/>
        </w:tabs>
        <w:spacing w:line="440" w:lineRule="exact"/>
        <w:ind w:left="550" w:hanging="550" w:hangingChars="250"/>
        <w:rPr>
          <w:rFonts w:hint="eastAsia" w:ascii="宋体" w:hAnsi="宋体" w:cs="宋体"/>
          <w:color w:val="auto"/>
          <w:kern w:val="2"/>
          <w:sz w:val="22"/>
          <w:szCs w:val="22"/>
        </w:rPr>
      </w:pPr>
      <w:r>
        <w:rPr>
          <w:rFonts w:hint="eastAsia" w:ascii="宋体" w:hAnsi="宋体" w:cs="宋体"/>
          <w:color w:val="auto"/>
          <w:sz w:val="22"/>
          <w:szCs w:val="22"/>
        </w:rPr>
        <w:t xml:space="preserve">1.   </w:t>
      </w:r>
      <w:r>
        <w:rPr>
          <w:rFonts w:hint="eastAsia" w:ascii="宋体" w:hAnsi="宋体" w:cs="宋体"/>
          <w:color w:val="auto"/>
          <w:kern w:val="2"/>
          <w:sz w:val="22"/>
          <w:szCs w:val="22"/>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6E33699">
      <w:pPr>
        <w:tabs>
          <w:tab w:val="left" w:pos="1365"/>
        </w:tabs>
        <w:spacing w:line="440" w:lineRule="exact"/>
        <w:ind w:left="550" w:hanging="550" w:hangingChars="250"/>
        <w:rPr>
          <w:rFonts w:hint="eastAsia" w:ascii="宋体" w:hAnsi="宋体" w:cs="宋体"/>
          <w:color w:val="auto"/>
          <w:kern w:val="2"/>
          <w:sz w:val="22"/>
          <w:szCs w:val="22"/>
        </w:rPr>
      </w:pPr>
      <w:r>
        <w:rPr>
          <w:rFonts w:hint="eastAsia" w:ascii="宋体" w:hAnsi="宋体" w:cs="宋体"/>
          <w:color w:val="auto"/>
          <w:kern w:val="2"/>
          <w:sz w:val="22"/>
          <w:szCs w:val="22"/>
        </w:rPr>
        <w:t>2.   采购人可以邀请参加本项目的其他供应商或者第三方机构参与验收。参与验收的供应商或者第三方机构的意见作为验收书的参考资料一并存档。</w:t>
      </w:r>
    </w:p>
    <w:p w14:paraId="4BAA45EC">
      <w:pPr>
        <w:tabs>
          <w:tab w:val="left" w:pos="1365"/>
        </w:tabs>
        <w:spacing w:line="440" w:lineRule="exact"/>
        <w:ind w:left="550" w:hanging="550" w:hangingChars="250"/>
        <w:rPr>
          <w:rFonts w:hint="eastAsia" w:ascii="宋体" w:hAnsi="宋体" w:cs="宋体"/>
          <w:color w:val="auto"/>
          <w:kern w:val="2"/>
          <w:sz w:val="22"/>
          <w:szCs w:val="22"/>
        </w:rPr>
      </w:pPr>
      <w:r>
        <w:rPr>
          <w:rFonts w:hint="eastAsia" w:ascii="宋体" w:hAnsi="宋体" w:cs="宋体"/>
          <w:color w:val="auto"/>
          <w:kern w:val="2"/>
          <w:sz w:val="22"/>
          <w:szCs w:val="22"/>
        </w:rPr>
        <w:t>3.   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5BCBCE2">
      <w:pPr>
        <w:tabs>
          <w:tab w:val="left" w:pos="1365"/>
        </w:tabs>
        <w:spacing w:line="440" w:lineRule="exact"/>
        <w:ind w:left="550" w:hanging="550" w:hangingChars="250"/>
        <w:rPr>
          <w:rFonts w:hint="eastAsia" w:ascii="宋体" w:hAnsi="宋体" w:cs="宋体"/>
          <w:color w:val="auto"/>
          <w:sz w:val="22"/>
          <w:szCs w:val="22"/>
        </w:rPr>
      </w:pPr>
      <w:r>
        <w:rPr>
          <w:rFonts w:hint="eastAsia" w:ascii="宋体" w:hAnsi="宋体" w:cs="宋体"/>
          <w:color w:val="auto"/>
          <w:kern w:val="2"/>
          <w:sz w:val="22"/>
          <w:szCs w:val="22"/>
        </w:rPr>
        <w:t>4.   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4FBD3ACA">
      <w:pPr>
        <w:pStyle w:val="4"/>
        <w:tabs>
          <w:tab w:val="clear" w:pos="840"/>
        </w:tabs>
        <w:adjustRightInd/>
        <w:snapToGrid/>
        <w:spacing w:before="340" w:after="330" w:line="600" w:lineRule="exact"/>
        <w:jc w:val="center"/>
        <w:rPr>
          <w:rFonts w:hint="eastAsia" w:ascii="黑体" w:hAnsi="黑体" w:eastAsia="黑体"/>
          <w:bCs/>
          <w:color w:val="auto"/>
          <w:sz w:val="36"/>
          <w:szCs w:val="36"/>
        </w:rPr>
        <w:sectPr>
          <w:footerReference r:id="rId7" w:type="first"/>
          <w:footerReference r:id="rId6" w:type="default"/>
          <w:pgSz w:w="11906" w:h="16838"/>
          <w:pgMar w:top="1134" w:right="1134" w:bottom="1134" w:left="1134" w:header="851" w:footer="992" w:gutter="0"/>
          <w:pgNumType w:start="1"/>
          <w:cols w:space="720" w:num="1"/>
          <w:titlePg/>
          <w:docGrid w:linePitch="312" w:charSpace="0"/>
        </w:sectPr>
      </w:pPr>
    </w:p>
    <w:bookmarkEnd w:id="46"/>
    <w:bookmarkEnd w:id="47"/>
    <w:bookmarkEnd w:id="48"/>
    <w:p w14:paraId="6719A238">
      <w:pPr>
        <w:pStyle w:val="4"/>
        <w:tabs>
          <w:tab w:val="clear" w:pos="840"/>
        </w:tabs>
        <w:adjustRightInd/>
        <w:snapToGrid/>
        <w:spacing w:before="340" w:after="330" w:line="600" w:lineRule="exact"/>
        <w:jc w:val="center"/>
        <w:rPr>
          <w:rFonts w:hint="eastAsia" w:ascii="黑体" w:hAnsi="黑体" w:eastAsia="黑体"/>
          <w:bCs/>
          <w:color w:val="auto"/>
          <w:sz w:val="36"/>
          <w:szCs w:val="36"/>
        </w:rPr>
      </w:pPr>
      <w:bookmarkStart w:id="52" w:name="_Toc8176"/>
      <w:bookmarkStart w:id="53" w:name="_Toc16003"/>
      <w:bookmarkStart w:id="54" w:name="_Toc230773782"/>
      <w:r>
        <w:rPr>
          <w:rFonts w:hint="eastAsia" w:ascii="黑体" w:hAnsi="黑体" w:eastAsia="黑体"/>
          <w:bCs/>
          <w:color w:val="auto"/>
          <w:sz w:val="36"/>
          <w:szCs w:val="36"/>
        </w:rPr>
        <w:t>第三部分</w:t>
      </w:r>
      <w:bookmarkEnd w:id="52"/>
      <w:r>
        <w:rPr>
          <w:rFonts w:hint="eastAsia" w:ascii="黑体" w:hAnsi="黑体" w:eastAsia="黑体"/>
          <w:bCs/>
          <w:color w:val="auto"/>
          <w:sz w:val="36"/>
          <w:szCs w:val="36"/>
        </w:rPr>
        <w:t xml:space="preserve"> </w:t>
      </w:r>
      <w:r>
        <w:rPr>
          <w:rFonts w:ascii="黑体" w:hAnsi="黑体" w:eastAsia="黑体"/>
          <w:bCs/>
          <w:color w:val="auto"/>
          <w:sz w:val="36"/>
          <w:szCs w:val="36"/>
        </w:rPr>
        <w:t xml:space="preserve"> </w:t>
      </w:r>
      <w:r>
        <w:rPr>
          <w:rFonts w:hint="eastAsia" w:ascii="黑体" w:hAnsi="黑体" w:eastAsia="黑体"/>
          <w:color w:val="auto"/>
          <w:sz w:val="36"/>
          <w:szCs w:val="36"/>
        </w:rPr>
        <w:t>主要合同条款</w:t>
      </w:r>
      <w:bookmarkEnd w:id="53"/>
    </w:p>
    <w:bookmarkEnd w:id="54"/>
    <w:p w14:paraId="124BBBE0">
      <w:pPr>
        <w:autoSpaceDE w:val="0"/>
        <w:autoSpaceDN w:val="0"/>
        <w:spacing w:line="720" w:lineRule="exact"/>
        <w:ind w:firstLine="715"/>
        <w:jc w:val="center"/>
        <w:rPr>
          <w:rFonts w:hint="eastAsia" w:ascii="方正小标宋_GBK" w:hAnsi="方正小标宋_GBK" w:eastAsia="方正小标宋_GBK" w:cs="方正小标宋_GBK"/>
          <w:color w:val="auto"/>
          <w:sz w:val="44"/>
          <w:szCs w:val="44"/>
        </w:rPr>
      </w:pPr>
      <w:bookmarkStart w:id="55" w:name="_Toc2505009"/>
      <w:bookmarkStart w:id="56" w:name="_Toc230773783"/>
      <w:r>
        <w:rPr>
          <w:rFonts w:hint="eastAsia" w:ascii="方正小标宋_GBK" w:hAnsi="方正小标宋_GBK" w:eastAsia="方正小标宋_GBK" w:cs="方正小标宋_GBK"/>
          <w:color w:val="auto"/>
          <w:sz w:val="44"/>
          <w:szCs w:val="44"/>
        </w:rPr>
        <w:t xml:space="preserve">浙 江 安 防 职 业 技 术 学 院 </w:t>
      </w:r>
    </w:p>
    <w:p w14:paraId="72B87A0C">
      <w:pPr>
        <w:autoSpaceDE w:val="0"/>
        <w:autoSpaceDN w:val="0"/>
        <w:spacing w:line="720" w:lineRule="exact"/>
        <w:ind w:firstLine="715"/>
        <w:jc w:val="center"/>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货物（设 备） 采 购 合 同</w:t>
      </w:r>
    </w:p>
    <w:p w14:paraId="7317AC13">
      <w:pPr>
        <w:spacing w:line="440" w:lineRule="exact"/>
        <w:ind w:firstLine="472"/>
        <w:rPr>
          <w:rFonts w:hint="eastAsia" w:ascii="宋体" w:hAnsi="宋体" w:cs="宋体"/>
          <w:color w:val="auto"/>
          <w:sz w:val="22"/>
          <w:szCs w:val="22"/>
          <w:u w:val="single"/>
        </w:rPr>
      </w:pPr>
      <w:r>
        <w:rPr>
          <w:rFonts w:hint="eastAsia" w:ascii="宋体" w:hAnsi="宋体" w:cs="宋体"/>
          <w:color w:val="auto"/>
          <w:sz w:val="22"/>
          <w:szCs w:val="22"/>
        </w:rPr>
        <w:t>采购编号：</w:t>
      </w:r>
      <w:r>
        <w:rPr>
          <w:rFonts w:hint="eastAsia" w:ascii="宋体" w:hAnsi="宋体" w:cs="宋体"/>
          <w:color w:val="auto"/>
          <w:sz w:val="22"/>
          <w:szCs w:val="22"/>
          <w:u w:val="single"/>
        </w:rPr>
        <w:t xml:space="preserve">                 </w:t>
      </w:r>
      <w:r>
        <w:rPr>
          <w:rFonts w:hint="eastAsia" w:ascii="宋体" w:hAnsi="宋体" w:cs="宋体"/>
          <w:color w:val="auto"/>
          <w:sz w:val="22"/>
          <w:szCs w:val="22"/>
        </w:rPr>
        <w:t xml:space="preserve">             合同编号： _______________</w:t>
      </w:r>
    </w:p>
    <w:p w14:paraId="35DD31DD">
      <w:pPr>
        <w:spacing w:line="440" w:lineRule="exact"/>
        <w:ind w:firstLine="472"/>
        <w:rPr>
          <w:rFonts w:hint="eastAsia" w:ascii="宋体" w:hAnsi="宋体" w:cs="宋体"/>
          <w:color w:val="auto"/>
          <w:sz w:val="22"/>
          <w:szCs w:val="22"/>
          <w:u w:val="single"/>
        </w:rPr>
      </w:pPr>
      <w:r>
        <w:rPr>
          <w:rFonts w:hint="eastAsia" w:ascii="宋体" w:hAnsi="宋体" w:cs="宋体"/>
          <w:color w:val="auto"/>
          <w:sz w:val="22"/>
          <w:szCs w:val="22"/>
        </w:rPr>
        <w:t>甲方：</w:t>
      </w:r>
      <w:r>
        <w:rPr>
          <w:rFonts w:hint="eastAsia" w:ascii="宋体" w:hAnsi="宋体" w:cs="宋体"/>
          <w:color w:val="auto"/>
          <w:sz w:val="22"/>
          <w:szCs w:val="22"/>
          <w:u w:val="single"/>
        </w:rPr>
        <w:t>浙江安防职业技术学院</w:t>
      </w:r>
      <w:r>
        <w:rPr>
          <w:rFonts w:hint="eastAsia" w:ascii="宋体" w:hAnsi="宋体" w:cs="宋体"/>
          <w:color w:val="auto"/>
          <w:sz w:val="22"/>
          <w:szCs w:val="22"/>
        </w:rPr>
        <w:t xml:space="preserve">              乙方：</w:t>
      </w:r>
      <w:r>
        <w:rPr>
          <w:rFonts w:hint="eastAsia" w:ascii="宋体" w:hAnsi="宋体" w:cs="宋体"/>
          <w:color w:val="auto"/>
          <w:sz w:val="22"/>
          <w:szCs w:val="22"/>
          <w:u w:val="single"/>
        </w:rPr>
        <w:t xml:space="preserve">                            </w:t>
      </w:r>
    </w:p>
    <w:p w14:paraId="1630CC92">
      <w:pPr>
        <w:spacing w:line="440" w:lineRule="exact"/>
        <w:ind w:firstLine="472"/>
        <w:rPr>
          <w:rFonts w:hint="eastAsia" w:ascii="宋体" w:hAnsi="宋体" w:cs="宋体"/>
          <w:color w:val="auto"/>
          <w:sz w:val="22"/>
          <w:szCs w:val="22"/>
        </w:rPr>
      </w:pPr>
      <w:bookmarkStart w:id="57" w:name="_Hlk143419645"/>
      <w:r>
        <w:rPr>
          <w:rFonts w:hint="eastAsia" w:ascii="宋体" w:hAnsi="宋体" w:cs="宋体"/>
          <w:color w:val="auto"/>
          <w:sz w:val="22"/>
          <w:szCs w:val="22"/>
          <w:u w:val="single"/>
        </w:rPr>
        <w:t xml:space="preserve">     </w:t>
      </w:r>
      <w:r>
        <w:rPr>
          <w:rFonts w:hint="eastAsia" w:ascii="宋体" w:hAnsi="宋体" w:cs="宋体"/>
          <w:color w:val="auto"/>
          <w:sz w:val="22"/>
          <w:szCs w:val="22"/>
        </w:rPr>
        <w:t>年</w:t>
      </w:r>
      <w:r>
        <w:rPr>
          <w:rFonts w:hint="eastAsia" w:ascii="宋体" w:hAnsi="宋体" w:cs="宋体"/>
          <w:color w:val="auto"/>
          <w:sz w:val="22"/>
          <w:szCs w:val="22"/>
          <w:u w:val="single"/>
        </w:rPr>
        <w:t xml:space="preserve">   </w:t>
      </w:r>
      <w:r>
        <w:rPr>
          <w:rFonts w:hint="eastAsia" w:ascii="宋体" w:hAnsi="宋体" w:cs="宋体"/>
          <w:color w:val="auto"/>
          <w:sz w:val="22"/>
          <w:szCs w:val="22"/>
        </w:rPr>
        <w:t>月</w:t>
      </w:r>
      <w:r>
        <w:rPr>
          <w:rFonts w:hint="eastAsia" w:ascii="宋体" w:hAnsi="宋体" w:cs="宋体"/>
          <w:color w:val="auto"/>
          <w:sz w:val="22"/>
          <w:szCs w:val="22"/>
          <w:u w:val="single"/>
        </w:rPr>
        <w:t xml:space="preserve">   </w:t>
      </w:r>
      <w:r>
        <w:rPr>
          <w:rFonts w:hint="eastAsia" w:ascii="宋体" w:hAnsi="宋体" w:cs="宋体"/>
          <w:color w:val="auto"/>
          <w:sz w:val="22"/>
          <w:szCs w:val="22"/>
        </w:rPr>
        <w:t>日在浙江安防职业技术学院的</w:t>
      </w:r>
      <w:r>
        <w:rPr>
          <w:rFonts w:hint="eastAsia" w:ascii="宋体" w:hAnsi="宋体" w:cs="宋体"/>
          <w:color w:val="auto"/>
          <w:sz w:val="22"/>
          <w:szCs w:val="22"/>
          <w:u w:val="single"/>
        </w:rPr>
        <w:t xml:space="preserve">             </w:t>
      </w:r>
      <w:r>
        <w:rPr>
          <w:rFonts w:hint="eastAsia" w:ascii="宋体" w:hAnsi="宋体" w:cs="宋体"/>
          <w:color w:val="auto"/>
          <w:sz w:val="22"/>
          <w:szCs w:val="22"/>
        </w:rPr>
        <w:t>设备采购中，甲乙双方根据《中华人民共和国民法典》、《中华人民共和国政府采购法》等法规和本合同的采购文件、响应文件及其采购过程中的承诺，经双方协商签订本合同，共同遵守。</w:t>
      </w:r>
    </w:p>
    <w:bookmarkEnd w:id="57"/>
    <w:p w14:paraId="1F11A798">
      <w:pPr>
        <w:spacing w:line="440" w:lineRule="exact"/>
        <w:ind w:firstLine="474"/>
        <w:jc w:val="left"/>
        <w:rPr>
          <w:rFonts w:hint="eastAsia" w:ascii="宋体" w:hAnsi="宋体" w:cs="宋体"/>
          <w:b/>
          <w:bCs/>
          <w:color w:val="auto"/>
          <w:sz w:val="22"/>
          <w:szCs w:val="22"/>
          <w:u w:val="single"/>
        </w:rPr>
      </w:pPr>
      <w:r>
        <w:rPr>
          <w:rFonts w:hint="eastAsia" w:ascii="宋体" w:hAnsi="宋体" w:cs="宋体"/>
          <w:b/>
          <w:bCs/>
          <w:color w:val="auto"/>
          <w:sz w:val="22"/>
          <w:szCs w:val="22"/>
        </w:rPr>
        <w:t>1、采购内容及价格</w:t>
      </w:r>
      <w:r>
        <w:rPr>
          <w:rFonts w:hint="eastAsia" w:ascii="宋体" w:hAnsi="宋体" w:cs="宋体"/>
          <w:color w:val="auto"/>
          <w:sz w:val="22"/>
          <w:szCs w:val="22"/>
        </w:rPr>
        <w:t xml:space="preserve"> （详细清单可附后）  </w:t>
      </w:r>
      <w:r>
        <w:rPr>
          <w:rFonts w:hint="eastAsia" w:ascii="宋体" w:hAnsi="宋体" w:cs="宋体"/>
          <w:b/>
          <w:bCs/>
          <w:color w:val="auto"/>
          <w:sz w:val="22"/>
          <w:szCs w:val="22"/>
        </w:rPr>
        <w:t xml:space="preserve">                     </w:t>
      </w:r>
      <w:r>
        <w:rPr>
          <w:rFonts w:hint="eastAsia" w:ascii="宋体" w:hAnsi="宋体" w:cs="宋体"/>
          <w:color w:val="auto"/>
          <w:sz w:val="22"/>
          <w:szCs w:val="22"/>
        </w:rPr>
        <w:t xml:space="preserve">    单位：元 </w:t>
      </w:r>
      <w:r>
        <w:rPr>
          <w:rFonts w:hint="eastAsia" w:ascii="宋体" w:hAnsi="宋体" w:cs="宋体"/>
          <w:b/>
          <w:bCs/>
          <w:color w:val="auto"/>
          <w:sz w:val="22"/>
          <w:szCs w:val="22"/>
          <w:u w:val="single"/>
        </w:rPr>
        <w:t xml:space="preserve"> </w:t>
      </w:r>
    </w:p>
    <w:tbl>
      <w:tblPr>
        <w:tblStyle w:val="37"/>
        <w:tblW w:w="9288"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560"/>
        <w:gridCol w:w="1133"/>
        <w:gridCol w:w="2410"/>
        <w:gridCol w:w="850"/>
        <w:gridCol w:w="1157"/>
        <w:gridCol w:w="1366"/>
      </w:tblGrid>
      <w:tr w14:paraId="14FD7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Align w:val="center"/>
          </w:tcPr>
          <w:p w14:paraId="3F5FAD61">
            <w:pPr>
              <w:spacing w:line="440" w:lineRule="exact"/>
              <w:rPr>
                <w:rFonts w:hint="eastAsia" w:ascii="宋体" w:hAnsi="宋体" w:cs="宋体"/>
                <w:color w:val="auto"/>
                <w:sz w:val="22"/>
                <w:szCs w:val="22"/>
              </w:rPr>
            </w:pPr>
            <w:r>
              <w:rPr>
                <w:rFonts w:hint="eastAsia" w:ascii="宋体" w:hAnsi="宋体" w:cs="宋体"/>
                <w:color w:val="auto"/>
                <w:sz w:val="22"/>
                <w:szCs w:val="22"/>
              </w:rPr>
              <w:t>序号</w:t>
            </w:r>
          </w:p>
        </w:tc>
        <w:tc>
          <w:tcPr>
            <w:tcW w:w="1560" w:type="dxa"/>
            <w:vAlign w:val="center"/>
          </w:tcPr>
          <w:p w14:paraId="5B4537E5">
            <w:pPr>
              <w:spacing w:line="440" w:lineRule="exact"/>
              <w:rPr>
                <w:rFonts w:hint="eastAsia" w:ascii="宋体" w:hAnsi="宋体" w:cs="宋体"/>
                <w:color w:val="auto"/>
                <w:sz w:val="22"/>
                <w:szCs w:val="22"/>
              </w:rPr>
            </w:pPr>
            <w:r>
              <w:rPr>
                <w:rFonts w:hint="eastAsia" w:ascii="宋体" w:hAnsi="宋体" w:cs="宋体"/>
                <w:color w:val="auto"/>
                <w:sz w:val="22"/>
                <w:szCs w:val="22"/>
              </w:rPr>
              <w:t>采购名称</w:t>
            </w:r>
          </w:p>
        </w:tc>
        <w:tc>
          <w:tcPr>
            <w:tcW w:w="1133" w:type="dxa"/>
            <w:vAlign w:val="center"/>
          </w:tcPr>
          <w:p w14:paraId="6945AC5C">
            <w:pPr>
              <w:spacing w:line="440" w:lineRule="exact"/>
              <w:rPr>
                <w:rFonts w:hint="eastAsia" w:ascii="宋体" w:hAnsi="宋体" w:cs="宋体"/>
                <w:color w:val="auto"/>
                <w:sz w:val="22"/>
                <w:szCs w:val="22"/>
              </w:rPr>
            </w:pPr>
            <w:r>
              <w:rPr>
                <w:rFonts w:hint="eastAsia" w:ascii="宋体" w:hAnsi="宋体" w:cs="宋体"/>
                <w:color w:val="auto"/>
                <w:sz w:val="22"/>
                <w:szCs w:val="22"/>
              </w:rPr>
              <w:t>品牌</w:t>
            </w:r>
          </w:p>
        </w:tc>
        <w:tc>
          <w:tcPr>
            <w:tcW w:w="2410" w:type="dxa"/>
            <w:vAlign w:val="center"/>
          </w:tcPr>
          <w:p w14:paraId="29E6E4CF">
            <w:pPr>
              <w:spacing w:line="440" w:lineRule="exact"/>
              <w:rPr>
                <w:rFonts w:hint="eastAsia" w:ascii="宋体" w:hAnsi="宋体" w:cs="宋体"/>
                <w:color w:val="auto"/>
                <w:sz w:val="22"/>
                <w:szCs w:val="22"/>
              </w:rPr>
            </w:pPr>
            <w:r>
              <w:rPr>
                <w:rFonts w:hint="eastAsia" w:ascii="宋体" w:hAnsi="宋体" w:cs="宋体"/>
                <w:color w:val="auto"/>
                <w:sz w:val="22"/>
                <w:szCs w:val="22"/>
              </w:rPr>
              <w:t>型号规格和主要配置</w:t>
            </w:r>
          </w:p>
        </w:tc>
        <w:tc>
          <w:tcPr>
            <w:tcW w:w="850" w:type="dxa"/>
            <w:vAlign w:val="center"/>
          </w:tcPr>
          <w:p w14:paraId="4D8E1D13">
            <w:pPr>
              <w:spacing w:line="440" w:lineRule="exact"/>
              <w:rPr>
                <w:rFonts w:hint="eastAsia" w:ascii="宋体" w:hAnsi="宋体" w:cs="宋体"/>
                <w:color w:val="auto"/>
                <w:sz w:val="22"/>
                <w:szCs w:val="22"/>
              </w:rPr>
            </w:pPr>
            <w:r>
              <w:rPr>
                <w:rFonts w:hint="eastAsia" w:ascii="宋体" w:hAnsi="宋体" w:cs="宋体"/>
                <w:color w:val="auto"/>
                <w:sz w:val="22"/>
                <w:szCs w:val="22"/>
              </w:rPr>
              <w:t>数量</w:t>
            </w:r>
          </w:p>
        </w:tc>
        <w:tc>
          <w:tcPr>
            <w:tcW w:w="1157" w:type="dxa"/>
            <w:vAlign w:val="center"/>
          </w:tcPr>
          <w:p w14:paraId="76854CFD">
            <w:pPr>
              <w:spacing w:line="440" w:lineRule="exact"/>
              <w:rPr>
                <w:rFonts w:hint="eastAsia" w:ascii="宋体" w:hAnsi="宋体" w:cs="宋体"/>
                <w:color w:val="auto"/>
                <w:sz w:val="22"/>
                <w:szCs w:val="22"/>
              </w:rPr>
            </w:pPr>
            <w:r>
              <w:rPr>
                <w:rFonts w:hint="eastAsia" w:ascii="宋体" w:hAnsi="宋体" w:cs="宋体"/>
                <w:color w:val="auto"/>
                <w:sz w:val="22"/>
                <w:szCs w:val="22"/>
              </w:rPr>
              <w:t>单价</w:t>
            </w:r>
          </w:p>
        </w:tc>
        <w:tc>
          <w:tcPr>
            <w:tcW w:w="1366" w:type="dxa"/>
            <w:vAlign w:val="center"/>
          </w:tcPr>
          <w:p w14:paraId="380A60CC">
            <w:pPr>
              <w:spacing w:line="440" w:lineRule="exact"/>
              <w:ind w:firstLine="472"/>
              <w:rPr>
                <w:rFonts w:hint="eastAsia" w:ascii="宋体" w:hAnsi="宋体" w:cs="宋体"/>
                <w:color w:val="auto"/>
                <w:sz w:val="22"/>
                <w:szCs w:val="22"/>
              </w:rPr>
            </w:pPr>
            <w:r>
              <w:rPr>
                <w:rFonts w:hint="eastAsia" w:ascii="宋体" w:hAnsi="宋体" w:cs="宋体"/>
                <w:color w:val="auto"/>
                <w:sz w:val="22"/>
                <w:szCs w:val="22"/>
              </w:rPr>
              <w:t>总价</w:t>
            </w:r>
          </w:p>
        </w:tc>
      </w:tr>
      <w:tr w14:paraId="7217A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Align w:val="center"/>
          </w:tcPr>
          <w:p w14:paraId="59A31F27">
            <w:pPr>
              <w:spacing w:line="440" w:lineRule="exact"/>
              <w:ind w:right="960" w:firstLine="472"/>
              <w:jc w:val="center"/>
              <w:rPr>
                <w:rFonts w:hint="eastAsia" w:ascii="宋体" w:hAnsi="宋体" w:cs="宋体"/>
                <w:color w:val="auto"/>
                <w:sz w:val="22"/>
                <w:szCs w:val="22"/>
              </w:rPr>
            </w:pPr>
            <w:r>
              <w:rPr>
                <w:rFonts w:hint="eastAsia" w:ascii="宋体" w:hAnsi="宋体" w:cs="宋体"/>
                <w:color w:val="auto"/>
                <w:sz w:val="22"/>
                <w:szCs w:val="22"/>
              </w:rPr>
              <w:t>1</w:t>
            </w:r>
          </w:p>
        </w:tc>
        <w:tc>
          <w:tcPr>
            <w:tcW w:w="1560" w:type="dxa"/>
            <w:vAlign w:val="center"/>
          </w:tcPr>
          <w:p w14:paraId="742FDD33">
            <w:pPr>
              <w:spacing w:line="440" w:lineRule="exact"/>
              <w:ind w:firstLine="472"/>
              <w:jc w:val="center"/>
              <w:rPr>
                <w:rFonts w:hint="eastAsia" w:ascii="宋体" w:hAnsi="宋体" w:cs="宋体"/>
                <w:color w:val="auto"/>
                <w:sz w:val="22"/>
                <w:szCs w:val="22"/>
              </w:rPr>
            </w:pPr>
            <w:r>
              <w:rPr>
                <w:rFonts w:hint="eastAsia" w:ascii="宋体" w:hAnsi="宋体" w:cs="宋体"/>
                <w:color w:val="auto"/>
                <w:sz w:val="22"/>
                <w:szCs w:val="22"/>
              </w:rPr>
              <w:t xml:space="preserve"> </w:t>
            </w:r>
          </w:p>
        </w:tc>
        <w:tc>
          <w:tcPr>
            <w:tcW w:w="1133" w:type="dxa"/>
            <w:vAlign w:val="center"/>
          </w:tcPr>
          <w:p w14:paraId="085A0CEF">
            <w:pPr>
              <w:spacing w:line="440" w:lineRule="exact"/>
              <w:ind w:firstLine="472"/>
              <w:jc w:val="center"/>
              <w:rPr>
                <w:rFonts w:hint="eastAsia" w:ascii="宋体" w:hAnsi="宋体" w:cs="宋体"/>
                <w:color w:val="auto"/>
                <w:sz w:val="22"/>
                <w:szCs w:val="22"/>
              </w:rPr>
            </w:pPr>
            <w:r>
              <w:rPr>
                <w:rFonts w:hint="eastAsia" w:ascii="宋体" w:hAnsi="宋体" w:cs="宋体"/>
                <w:color w:val="auto"/>
                <w:sz w:val="22"/>
                <w:szCs w:val="22"/>
              </w:rPr>
              <w:t xml:space="preserve"> </w:t>
            </w:r>
          </w:p>
        </w:tc>
        <w:tc>
          <w:tcPr>
            <w:tcW w:w="2410" w:type="dxa"/>
            <w:vAlign w:val="center"/>
          </w:tcPr>
          <w:p w14:paraId="4AD5A499">
            <w:pPr>
              <w:spacing w:line="440" w:lineRule="exact"/>
              <w:ind w:firstLine="472"/>
              <w:jc w:val="center"/>
              <w:rPr>
                <w:rFonts w:hint="eastAsia" w:ascii="宋体" w:hAnsi="宋体" w:cs="宋体"/>
                <w:color w:val="auto"/>
                <w:sz w:val="22"/>
                <w:szCs w:val="22"/>
              </w:rPr>
            </w:pPr>
            <w:r>
              <w:rPr>
                <w:rFonts w:hint="eastAsia" w:ascii="宋体" w:hAnsi="宋体" w:cs="宋体"/>
                <w:color w:val="auto"/>
                <w:sz w:val="22"/>
                <w:szCs w:val="22"/>
              </w:rPr>
              <w:t xml:space="preserve"> </w:t>
            </w:r>
          </w:p>
        </w:tc>
        <w:tc>
          <w:tcPr>
            <w:tcW w:w="850" w:type="dxa"/>
            <w:vAlign w:val="center"/>
          </w:tcPr>
          <w:p w14:paraId="35FCA7BC">
            <w:pPr>
              <w:spacing w:line="440" w:lineRule="exact"/>
              <w:ind w:firstLine="472"/>
              <w:jc w:val="center"/>
              <w:rPr>
                <w:rFonts w:hint="eastAsia" w:ascii="宋体" w:hAnsi="宋体" w:cs="宋体"/>
                <w:color w:val="auto"/>
                <w:sz w:val="22"/>
                <w:szCs w:val="22"/>
              </w:rPr>
            </w:pPr>
            <w:r>
              <w:rPr>
                <w:rFonts w:hint="eastAsia" w:ascii="宋体" w:hAnsi="宋体" w:cs="宋体"/>
                <w:color w:val="auto"/>
                <w:sz w:val="22"/>
                <w:szCs w:val="22"/>
              </w:rPr>
              <w:t xml:space="preserve"> </w:t>
            </w:r>
          </w:p>
        </w:tc>
        <w:tc>
          <w:tcPr>
            <w:tcW w:w="1157" w:type="dxa"/>
            <w:vAlign w:val="center"/>
          </w:tcPr>
          <w:p w14:paraId="6CDFD73C">
            <w:pPr>
              <w:spacing w:line="440" w:lineRule="exact"/>
              <w:ind w:firstLine="472"/>
              <w:jc w:val="center"/>
              <w:rPr>
                <w:rFonts w:hint="eastAsia" w:ascii="宋体" w:hAnsi="宋体" w:cs="宋体"/>
                <w:color w:val="auto"/>
                <w:sz w:val="22"/>
                <w:szCs w:val="22"/>
              </w:rPr>
            </w:pPr>
            <w:r>
              <w:rPr>
                <w:rFonts w:hint="eastAsia" w:ascii="宋体" w:hAnsi="宋体" w:cs="宋体"/>
                <w:color w:val="auto"/>
                <w:sz w:val="22"/>
                <w:szCs w:val="22"/>
              </w:rPr>
              <w:t xml:space="preserve"> </w:t>
            </w:r>
          </w:p>
        </w:tc>
        <w:tc>
          <w:tcPr>
            <w:tcW w:w="1366" w:type="dxa"/>
            <w:vAlign w:val="center"/>
          </w:tcPr>
          <w:p w14:paraId="1F57780D">
            <w:pPr>
              <w:spacing w:line="440" w:lineRule="exact"/>
              <w:ind w:firstLine="472"/>
              <w:jc w:val="center"/>
              <w:rPr>
                <w:rFonts w:hint="eastAsia" w:ascii="宋体" w:hAnsi="宋体" w:cs="宋体"/>
                <w:color w:val="auto"/>
                <w:sz w:val="22"/>
                <w:szCs w:val="22"/>
              </w:rPr>
            </w:pPr>
            <w:r>
              <w:rPr>
                <w:rFonts w:hint="eastAsia" w:ascii="宋体" w:hAnsi="宋体" w:cs="宋体"/>
                <w:color w:val="auto"/>
                <w:sz w:val="22"/>
                <w:szCs w:val="22"/>
              </w:rPr>
              <w:t xml:space="preserve"> </w:t>
            </w:r>
          </w:p>
        </w:tc>
      </w:tr>
      <w:tr w14:paraId="09EB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 w:type="dxa"/>
            <w:vAlign w:val="center"/>
          </w:tcPr>
          <w:p w14:paraId="7949B5C1">
            <w:pPr>
              <w:spacing w:line="440" w:lineRule="exact"/>
              <w:ind w:right="960" w:firstLine="472"/>
              <w:jc w:val="center"/>
              <w:rPr>
                <w:rFonts w:hint="eastAsia" w:ascii="宋体" w:hAnsi="宋体" w:cs="宋体"/>
                <w:color w:val="auto"/>
                <w:sz w:val="22"/>
                <w:szCs w:val="22"/>
              </w:rPr>
            </w:pPr>
            <w:r>
              <w:rPr>
                <w:rFonts w:hint="eastAsia" w:ascii="宋体" w:hAnsi="宋体" w:cs="宋体"/>
                <w:color w:val="auto"/>
                <w:sz w:val="22"/>
                <w:szCs w:val="22"/>
              </w:rPr>
              <w:t>2</w:t>
            </w:r>
          </w:p>
        </w:tc>
        <w:tc>
          <w:tcPr>
            <w:tcW w:w="1560" w:type="dxa"/>
            <w:vAlign w:val="center"/>
          </w:tcPr>
          <w:p w14:paraId="3B120EA4">
            <w:pPr>
              <w:spacing w:line="440" w:lineRule="exact"/>
              <w:ind w:firstLine="472"/>
              <w:jc w:val="center"/>
              <w:rPr>
                <w:rFonts w:hint="eastAsia" w:ascii="宋体" w:hAnsi="宋体" w:cs="宋体"/>
                <w:color w:val="auto"/>
                <w:sz w:val="22"/>
                <w:szCs w:val="22"/>
              </w:rPr>
            </w:pPr>
          </w:p>
        </w:tc>
        <w:tc>
          <w:tcPr>
            <w:tcW w:w="1133" w:type="dxa"/>
            <w:vAlign w:val="center"/>
          </w:tcPr>
          <w:p w14:paraId="3C2A2AB5">
            <w:pPr>
              <w:spacing w:line="440" w:lineRule="exact"/>
              <w:ind w:firstLine="472"/>
              <w:jc w:val="center"/>
              <w:rPr>
                <w:rFonts w:hint="eastAsia" w:ascii="宋体" w:hAnsi="宋体" w:cs="宋体"/>
                <w:color w:val="auto"/>
                <w:sz w:val="22"/>
                <w:szCs w:val="22"/>
              </w:rPr>
            </w:pPr>
          </w:p>
        </w:tc>
        <w:tc>
          <w:tcPr>
            <w:tcW w:w="2410" w:type="dxa"/>
            <w:vAlign w:val="center"/>
          </w:tcPr>
          <w:p w14:paraId="07E2094D">
            <w:pPr>
              <w:spacing w:line="440" w:lineRule="exact"/>
              <w:ind w:firstLine="472"/>
              <w:jc w:val="center"/>
              <w:rPr>
                <w:rFonts w:hint="eastAsia" w:ascii="宋体" w:hAnsi="宋体" w:cs="宋体"/>
                <w:color w:val="auto"/>
                <w:sz w:val="22"/>
                <w:szCs w:val="22"/>
              </w:rPr>
            </w:pPr>
          </w:p>
        </w:tc>
        <w:tc>
          <w:tcPr>
            <w:tcW w:w="850" w:type="dxa"/>
            <w:vAlign w:val="center"/>
          </w:tcPr>
          <w:p w14:paraId="62C40D52">
            <w:pPr>
              <w:spacing w:line="440" w:lineRule="exact"/>
              <w:ind w:firstLine="472"/>
              <w:jc w:val="center"/>
              <w:rPr>
                <w:rFonts w:hint="eastAsia" w:ascii="宋体" w:hAnsi="宋体" w:cs="宋体"/>
                <w:color w:val="auto"/>
                <w:sz w:val="22"/>
                <w:szCs w:val="22"/>
              </w:rPr>
            </w:pPr>
          </w:p>
        </w:tc>
        <w:tc>
          <w:tcPr>
            <w:tcW w:w="1157" w:type="dxa"/>
            <w:vAlign w:val="center"/>
          </w:tcPr>
          <w:p w14:paraId="7D2061CE">
            <w:pPr>
              <w:spacing w:line="440" w:lineRule="exact"/>
              <w:ind w:firstLine="472"/>
              <w:jc w:val="center"/>
              <w:rPr>
                <w:rFonts w:hint="eastAsia" w:ascii="宋体" w:hAnsi="宋体" w:cs="宋体"/>
                <w:color w:val="auto"/>
                <w:sz w:val="22"/>
                <w:szCs w:val="22"/>
              </w:rPr>
            </w:pPr>
          </w:p>
        </w:tc>
        <w:tc>
          <w:tcPr>
            <w:tcW w:w="1366" w:type="dxa"/>
            <w:vAlign w:val="center"/>
          </w:tcPr>
          <w:p w14:paraId="03355092">
            <w:pPr>
              <w:spacing w:line="440" w:lineRule="exact"/>
              <w:ind w:firstLine="472"/>
              <w:jc w:val="center"/>
              <w:rPr>
                <w:rFonts w:hint="eastAsia" w:ascii="宋体" w:hAnsi="宋体" w:cs="宋体"/>
                <w:color w:val="auto"/>
                <w:sz w:val="22"/>
                <w:szCs w:val="22"/>
              </w:rPr>
            </w:pPr>
          </w:p>
        </w:tc>
      </w:tr>
      <w:tr w14:paraId="1B123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288" w:type="dxa"/>
            <w:gridSpan w:val="7"/>
          </w:tcPr>
          <w:p w14:paraId="51E690A3">
            <w:pPr>
              <w:spacing w:line="440" w:lineRule="exact"/>
              <w:ind w:firstLine="472"/>
              <w:rPr>
                <w:rFonts w:hint="eastAsia" w:ascii="宋体" w:hAnsi="宋体" w:cs="宋体"/>
                <w:color w:val="auto"/>
                <w:sz w:val="22"/>
                <w:szCs w:val="22"/>
              </w:rPr>
            </w:pPr>
            <w:r>
              <w:rPr>
                <w:rFonts w:hint="eastAsia" w:ascii="宋体" w:hAnsi="宋体" w:cs="宋体"/>
                <w:color w:val="auto"/>
                <w:sz w:val="22"/>
                <w:szCs w:val="22"/>
              </w:rPr>
              <w:t xml:space="preserve">合计：（大写）                                     小写：￥          </w:t>
            </w:r>
          </w:p>
        </w:tc>
      </w:tr>
    </w:tbl>
    <w:p w14:paraId="2B08D7A5">
      <w:pPr>
        <w:spacing w:line="440" w:lineRule="exact"/>
        <w:ind w:firstLine="474"/>
        <w:rPr>
          <w:rFonts w:hint="eastAsia" w:ascii="宋体" w:hAnsi="宋体" w:cs="宋体"/>
          <w:b/>
          <w:bCs/>
          <w:color w:val="auto"/>
          <w:sz w:val="22"/>
          <w:szCs w:val="22"/>
        </w:rPr>
      </w:pPr>
      <w:r>
        <w:rPr>
          <w:rFonts w:hint="eastAsia" w:ascii="宋体" w:hAnsi="宋体" w:cs="宋体"/>
          <w:b/>
          <w:bCs/>
          <w:color w:val="auto"/>
          <w:sz w:val="22"/>
          <w:szCs w:val="22"/>
        </w:rPr>
        <w:t>2、合同价格</w:t>
      </w:r>
    </w:p>
    <w:p w14:paraId="4BA05FBB">
      <w:pPr>
        <w:spacing w:line="440" w:lineRule="exact"/>
        <w:ind w:firstLine="440" w:firstLineChars="200"/>
        <w:rPr>
          <w:rFonts w:hint="eastAsia" w:ascii="宋体" w:hAnsi="宋体" w:cs="宋体"/>
          <w:color w:val="auto"/>
          <w:sz w:val="22"/>
          <w:szCs w:val="22"/>
        </w:rPr>
      </w:pPr>
      <w:r>
        <w:rPr>
          <w:rFonts w:hint="eastAsia" w:ascii="宋体" w:hAnsi="宋体" w:cs="宋体"/>
          <w:color w:val="auto"/>
          <w:sz w:val="22"/>
          <w:szCs w:val="22"/>
        </w:rPr>
        <w:t>2.1本合同总价为合同履行全过程所需的全部费用，包括但不限于供货、运输、保险、装卸、安装调试及验收（含第三方验收）、设备使用培训、售后服务、税费等，即“交钥匙工程”，实行固定总价包干。</w:t>
      </w:r>
    </w:p>
    <w:p w14:paraId="7536EAE4">
      <w:pPr>
        <w:spacing w:line="440" w:lineRule="exact"/>
        <w:ind w:firstLine="440" w:firstLineChars="200"/>
        <w:rPr>
          <w:rFonts w:hint="eastAsia" w:ascii="宋体" w:hAnsi="宋体" w:cs="宋体"/>
          <w:color w:val="auto"/>
          <w:sz w:val="22"/>
          <w:szCs w:val="22"/>
        </w:rPr>
      </w:pPr>
      <w:r>
        <w:rPr>
          <w:rFonts w:hint="eastAsia" w:ascii="宋体" w:hAnsi="宋体" w:cs="宋体"/>
          <w:color w:val="auto"/>
          <w:sz w:val="22"/>
          <w:szCs w:val="22"/>
        </w:rPr>
        <w:t>2.2在执行合同过程中如发现任何漏项和短缺，在合同或附件清单并未列入，但该部分漏项或短缺是满足合同设备性能所必须的，则均应由乙方负责免费将所漏项或短缺的设备及技术服务等在交付使用前补齐。未补齐的，按逾期交货承担违约责任。</w:t>
      </w:r>
    </w:p>
    <w:p w14:paraId="64A460D6">
      <w:pPr>
        <w:spacing w:line="440" w:lineRule="exact"/>
        <w:ind w:firstLine="440" w:firstLineChars="200"/>
        <w:rPr>
          <w:rFonts w:hint="eastAsia" w:ascii="宋体" w:hAnsi="宋体" w:cs="宋体"/>
          <w:color w:val="auto"/>
          <w:sz w:val="22"/>
          <w:szCs w:val="22"/>
        </w:rPr>
      </w:pPr>
      <w:r>
        <w:rPr>
          <w:rFonts w:hint="eastAsia" w:ascii="宋体" w:hAnsi="宋体" w:cs="宋体"/>
          <w:color w:val="auto"/>
          <w:sz w:val="22"/>
          <w:szCs w:val="22"/>
        </w:rPr>
        <w:t>2.3 乙方因成交产品型号停产，生产厂家出具替代型号与停产证明的，经甲方同意可以签订补充协议，但不得增加合同约定成交价格。</w:t>
      </w:r>
    </w:p>
    <w:p w14:paraId="6907D22D">
      <w:pPr>
        <w:spacing w:line="440" w:lineRule="exact"/>
        <w:ind w:firstLine="440" w:firstLineChars="200"/>
        <w:rPr>
          <w:rFonts w:hint="eastAsia" w:ascii="宋体" w:hAnsi="宋体" w:cs="宋体"/>
          <w:color w:val="auto"/>
          <w:sz w:val="22"/>
          <w:szCs w:val="22"/>
        </w:rPr>
      </w:pPr>
      <w:r>
        <w:rPr>
          <w:rFonts w:hint="eastAsia" w:ascii="宋体" w:hAnsi="宋体" w:cs="宋体"/>
          <w:color w:val="auto"/>
          <w:sz w:val="22"/>
          <w:szCs w:val="22"/>
        </w:rPr>
        <w:t>2.4因甲方原因提出设备数量变更的，经甲乙双方同意可以签订补充协议，增加或减少合同价格。</w:t>
      </w:r>
    </w:p>
    <w:p w14:paraId="010AB72E">
      <w:pPr>
        <w:spacing w:line="440" w:lineRule="exact"/>
        <w:ind w:firstLine="474"/>
        <w:rPr>
          <w:rFonts w:hint="eastAsia" w:ascii="宋体" w:hAnsi="宋体" w:cs="宋体"/>
          <w:b/>
          <w:bCs/>
          <w:color w:val="auto"/>
          <w:sz w:val="22"/>
          <w:szCs w:val="22"/>
        </w:rPr>
      </w:pPr>
      <w:r>
        <w:rPr>
          <w:rFonts w:hint="eastAsia" w:ascii="宋体" w:hAnsi="宋体" w:cs="宋体"/>
          <w:b/>
          <w:bCs/>
          <w:color w:val="auto"/>
          <w:sz w:val="22"/>
          <w:szCs w:val="22"/>
        </w:rPr>
        <w:t>3、设备、材料供应</w:t>
      </w:r>
    </w:p>
    <w:p w14:paraId="243B0655">
      <w:pPr>
        <w:spacing w:line="440" w:lineRule="exact"/>
        <w:ind w:firstLine="472"/>
        <w:rPr>
          <w:rFonts w:hint="eastAsia" w:ascii="宋体" w:hAnsi="宋体" w:cs="宋体"/>
          <w:color w:val="auto"/>
          <w:sz w:val="22"/>
          <w:szCs w:val="22"/>
        </w:rPr>
      </w:pPr>
      <w:r>
        <w:rPr>
          <w:rFonts w:hint="eastAsia" w:ascii="宋体" w:hAnsi="宋体" w:cs="宋体"/>
          <w:color w:val="auto"/>
          <w:sz w:val="22"/>
          <w:szCs w:val="22"/>
        </w:rPr>
        <w:t>本合同范围所需的设备、材料均由乙方提供并均须提供档案资料，包括：设备的数量、型号、规格以及产品检测证书、出厂检验报告、合格证书、质保书、产品说明书等相关资料。</w:t>
      </w:r>
    </w:p>
    <w:p w14:paraId="1C029214">
      <w:pPr>
        <w:spacing w:line="440" w:lineRule="exact"/>
        <w:ind w:firstLine="474"/>
        <w:rPr>
          <w:rFonts w:hint="eastAsia" w:ascii="宋体" w:hAnsi="宋体" w:cs="宋体"/>
          <w:b/>
          <w:bCs/>
          <w:color w:val="auto"/>
          <w:sz w:val="22"/>
          <w:szCs w:val="22"/>
        </w:rPr>
      </w:pPr>
      <w:r>
        <w:rPr>
          <w:rFonts w:hint="eastAsia" w:ascii="宋体" w:hAnsi="宋体" w:cs="宋体"/>
          <w:b/>
          <w:bCs/>
          <w:color w:val="auto"/>
          <w:sz w:val="22"/>
          <w:szCs w:val="22"/>
        </w:rPr>
        <w:t>4、产品包装</w:t>
      </w:r>
    </w:p>
    <w:p w14:paraId="6D573BD0">
      <w:pPr>
        <w:spacing w:line="440" w:lineRule="exact"/>
        <w:ind w:firstLine="440" w:firstLineChars="200"/>
        <w:rPr>
          <w:rFonts w:hint="eastAsia" w:ascii="宋体" w:hAnsi="宋体" w:cs="宋体"/>
          <w:color w:val="auto"/>
          <w:sz w:val="22"/>
          <w:szCs w:val="22"/>
        </w:rPr>
      </w:pPr>
      <w:r>
        <w:rPr>
          <w:rFonts w:hint="eastAsia" w:ascii="宋体" w:hAnsi="宋体" w:cs="宋体"/>
          <w:color w:val="auto"/>
          <w:sz w:val="22"/>
          <w:szCs w:val="22"/>
        </w:rPr>
        <w:t>4.1为了保证设备在长途运输和装卸过程中的安全，产品包装应符合国家或行业（部）标准规定。由于包装不善导致设备锈蚀、缺失或损坏，由乙方承担一切责任。</w:t>
      </w:r>
    </w:p>
    <w:p w14:paraId="3C72AC71">
      <w:pPr>
        <w:spacing w:line="440" w:lineRule="exact"/>
        <w:ind w:firstLine="440" w:firstLineChars="200"/>
        <w:rPr>
          <w:rFonts w:hint="eastAsia" w:ascii="宋体" w:hAnsi="宋体" w:cs="宋体"/>
          <w:color w:val="auto"/>
          <w:sz w:val="22"/>
          <w:szCs w:val="22"/>
        </w:rPr>
      </w:pPr>
      <w:r>
        <w:rPr>
          <w:rFonts w:hint="eastAsia" w:ascii="宋体" w:hAnsi="宋体" w:cs="宋体"/>
          <w:color w:val="auto"/>
          <w:sz w:val="22"/>
          <w:szCs w:val="22"/>
        </w:rPr>
        <w:t>4.2每一包装箱内必须附有装箱清单。</w:t>
      </w:r>
    </w:p>
    <w:p w14:paraId="2C0B885C">
      <w:pPr>
        <w:spacing w:line="440" w:lineRule="exact"/>
        <w:ind w:firstLine="474"/>
        <w:rPr>
          <w:rFonts w:hint="eastAsia" w:ascii="宋体" w:hAnsi="宋体" w:cs="宋体"/>
          <w:b/>
          <w:bCs/>
          <w:color w:val="auto"/>
          <w:sz w:val="22"/>
          <w:szCs w:val="22"/>
        </w:rPr>
      </w:pPr>
      <w:r>
        <w:rPr>
          <w:rFonts w:hint="eastAsia" w:ascii="宋体" w:hAnsi="宋体" w:cs="宋体"/>
          <w:b/>
          <w:bCs/>
          <w:color w:val="auto"/>
          <w:sz w:val="22"/>
          <w:szCs w:val="22"/>
        </w:rPr>
        <w:t>5、交付、安装、验收</w:t>
      </w:r>
    </w:p>
    <w:p w14:paraId="262D85CC">
      <w:pPr>
        <w:autoSpaceDE w:val="0"/>
        <w:autoSpaceDN w:val="0"/>
        <w:spacing w:line="440" w:lineRule="exact"/>
        <w:ind w:firstLine="440" w:firstLineChars="200"/>
        <w:rPr>
          <w:rFonts w:hint="eastAsia" w:ascii="宋体" w:hAnsi="宋体" w:cs="宋体"/>
          <w:color w:val="auto"/>
          <w:sz w:val="22"/>
          <w:szCs w:val="22"/>
        </w:rPr>
      </w:pPr>
      <w:r>
        <w:rPr>
          <w:rFonts w:hint="eastAsia" w:ascii="宋体" w:hAnsi="宋体" w:cs="宋体"/>
          <w:color w:val="auto"/>
          <w:sz w:val="22"/>
          <w:szCs w:val="22"/>
        </w:rPr>
        <w:t>5.1交付使用时间：</w:t>
      </w:r>
      <w:r>
        <w:rPr>
          <w:rFonts w:hint="eastAsia" w:ascii="宋体" w:hAnsi="宋体" w:cs="宋体"/>
          <w:color w:val="auto"/>
          <w:sz w:val="22"/>
          <w:szCs w:val="22"/>
          <w:u w:val="single"/>
        </w:rPr>
        <w:t xml:space="preserve">              </w:t>
      </w:r>
      <w:r>
        <w:rPr>
          <w:rFonts w:hint="eastAsia" w:ascii="宋体" w:hAnsi="宋体" w:cs="宋体"/>
          <w:color w:val="auto"/>
          <w:sz w:val="22"/>
          <w:szCs w:val="22"/>
        </w:rPr>
        <w:t>，交付地点：</w:t>
      </w:r>
      <w:r>
        <w:rPr>
          <w:rFonts w:hint="eastAsia" w:ascii="宋体" w:hAnsi="宋体" w:cs="宋体"/>
          <w:color w:val="auto"/>
          <w:sz w:val="22"/>
          <w:szCs w:val="22"/>
          <w:u w:val="single"/>
        </w:rPr>
        <w:t>浙江安防职业技术学院指定地点</w:t>
      </w:r>
      <w:r>
        <w:rPr>
          <w:rFonts w:hint="eastAsia" w:ascii="宋体" w:hAnsi="宋体" w:cs="宋体"/>
          <w:color w:val="auto"/>
          <w:sz w:val="22"/>
          <w:szCs w:val="22"/>
        </w:rPr>
        <w:t>（联系人：</w:t>
      </w:r>
      <w:r>
        <w:rPr>
          <w:rFonts w:hint="eastAsia" w:ascii="宋体" w:hAnsi="宋体" w:cs="宋体"/>
          <w:color w:val="auto"/>
          <w:sz w:val="22"/>
          <w:szCs w:val="22"/>
          <w:u w:val="single"/>
        </w:rPr>
        <w:t xml:space="preserve">         </w:t>
      </w:r>
      <w:r>
        <w:rPr>
          <w:rFonts w:hint="eastAsia" w:ascii="宋体" w:hAnsi="宋体" w:cs="宋体"/>
          <w:color w:val="auto"/>
          <w:sz w:val="22"/>
          <w:szCs w:val="22"/>
        </w:rPr>
        <w:t>，联系电话：</w:t>
      </w:r>
      <w:r>
        <w:rPr>
          <w:rFonts w:hint="eastAsia" w:ascii="宋体" w:hAnsi="宋体" w:cs="宋体"/>
          <w:color w:val="auto"/>
          <w:sz w:val="22"/>
          <w:szCs w:val="22"/>
          <w:u w:val="single"/>
        </w:rPr>
        <w:t xml:space="preserve">           </w:t>
      </w:r>
      <w:r>
        <w:rPr>
          <w:rFonts w:hint="eastAsia" w:ascii="宋体" w:hAnsi="宋体" w:cs="宋体"/>
          <w:color w:val="auto"/>
          <w:sz w:val="22"/>
          <w:szCs w:val="22"/>
        </w:rPr>
        <w:t>）。设备经乙方安装、调试并甲方操作人员培训完成（如需要）后视为交付使用。</w:t>
      </w:r>
    </w:p>
    <w:p w14:paraId="1C8EC53D">
      <w:pPr>
        <w:spacing w:line="440" w:lineRule="exact"/>
        <w:ind w:firstLine="440" w:firstLineChars="200"/>
        <w:rPr>
          <w:rFonts w:hint="eastAsia" w:ascii="宋体" w:hAnsi="宋体" w:cs="宋体"/>
          <w:color w:val="auto"/>
          <w:sz w:val="22"/>
          <w:szCs w:val="22"/>
        </w:rPr>
      </w:pPr>
      <w:r>
        <w:rPr>
          <w:rFonts w:hint="eastAsia" w:ascii="宋体" w:hAnsi="宋体" w:cs="宋体"/>
          <w:color w:val="auto"/>
          <w:sz w:val="22"/>
          <w:szCs w:val="22"/>
        </w:rPr>
        <w:t>5.2到货签收：设备运抵甲方指定地点后，甲方应依据本合同、采购文件及响应文件上的数量、规格签收。如发生所供设备与合同约定不符，甲方有权退货或要求乙方进行更换、补齐。因此造成逾期交货的，按逾期交货承担违约责任。</w:t>
      </w:r>
    </w:p>
    <w:p w14:paraId="37649157">
      <w:pPr>
        <w:spacing w:line="440" w:lineRule="exact"/>
        <w:ind w:firstLine="440" w:firstLineChars="200"/>
        <w:rPr>
          <w:rFonts w:hint="eastAsia" w:ascii="宋体" w:hAnsi="宋体" w:cs="宋体"/>
          <w:color w:val="auto"/>
          <w:sz w:val="22"/>
          <w:szCs w:val="22"/>
        </w:rPr>
      </w:pPr>
      <w:r>
        <w:rPr>
          <w:rFonts w:hint="eastAsia" w:ascii="宋体" w:hAnsi="宋体" w:cs="宋体"/>
          <w:color w:val="auto"/>
          <w:sz w:val="22"/>
          <w:szCs w:val="22"/>
        </w:rPr>
        <w:t>5.3安装调试：乙方需在交付使用时间内负责设备安装、调试及培训甲方设备操作人员，直至符合技术要求并甲方操作人员能进行日常规范操作。安装调试所需的专用工具、备品备件以及合同规定的其他事项由乙方提供。</w:t>
      </w:r>
    </w:p>
    <w:p w14:paraId="77A4CD22">
      <w:pPr>
        <w:spacing w:line="440" w:lineRule="exact"/>
        <w:ind w:firstLine="440" w:firstLineChars="200"/>
        <w:rPr>
          <w:rFonts w:hint="eastAsia" w:ascii="宋体" w:hAnsi="宋体" w:cs="宋体"/>
          <w:color w:val="auto"/>
          <w:sz w:val="22"/>
          <w:szCs w:val="22"/>
        </w:rPr>
      </w:pPr>
      <w:r>
        <w:rPr>
          <w:rFonts w:hint="eastAsia" w:ascii="宋体" w:hAnsi="宋体" w:cs="宋体"/>
          <w:color w:val="auto"/>
          <w:sz w:val="22"/>
          <w:szCs w:val="22"/>
        </w:rPr>
        <w:t>5.4安装调试过程中，乙方应采取安全保障措施，保证人员安全。如因乙方原因造成人员伤亡和财产损失的，乙方应承担全部赔偿责任。</w:t>
      </w:r>
    </w:p>
    <w:p w14:paraId="183E6A3E">
      <w:pPr>
        <w:widowControl/>
        <w:spacing w:line="440" w:lineRule="exact"/>
        <w:ind w:firstLine="440" w:firstLineChars="200"/>
        <w:jc w:val="left"/>
        <w:rPr>
          <w:rFonts w:hint="eastAsia" w:ascii="宋体" w:hAnsi="宋体" w:cs="宋体"/>
          <w:color w:val="auto"/>
          <w:sz w:val="22"/>
          <w:szCs w:val="22"/>
        </w:rPr>
      </w:pPr>
      <w:r>
        <w:rPr>
          <w:rFonts w:hint="eastAsia" w:ascii="宋体" w:hAnsi="宋体" w:cs="宋体"/>
          <w:color w:val="auto"/>
          <w:sz w:val="22"/>
          <w:szCs w:val="22"/>
        </w:rPr>
        <w:t xml:space="preserve">5.5设备验收：参照《温州市政府采购履约验收办法》(温财采[2020]6号)相关规定。乙方在设备交付使用后向甲方书面发起验收申请。甲方或者其委托的采购代理机构在收到乙方验收申请后五个工作日内启动项目验收。甲方按照采购合同、响应文件、采购文件等约定的质量、数量、技术指标或者服务要求设验收指标和标准进行验收。合同未约定验收标准的，应符合生产厂家的出厂标准和现行国家、行业各项标准。出厂标准与国家、行业标准要求不一致时，以要求较高者为准。 </w:t>
      </w:r>
    </w:p>
    <w:p w14:paraId="1B514418">
      <w:pPr>
        <w:spacing w:line="440" w:lineRule="exact"/>
        <w:ind w:firstLine="440" w:firstLineChars="200"/>
        <w:rPr>
          <w:rFonts w:hint="eastAsia" w:ascii="宋体" w:hAnsi="宋体" w:cs="宋体"/>
          <w:color w:val="auto"/>
          <w:sz w:val="22"/>
          <w:szCs w:val="22"/>
        </w:rPr>
      </w:pPr>
      <w:r>
        <w:rPr>
          <w:rFonts w:hint="eastAsia" w:ascii="宋体" w:hAnsi="宋体" w:cs="宋体"/>
          <w:color w:val="auto"/>
          <w:sz w:val="22"/>
          <w:szCs w:val="22"/>
        </w:rPr>
        <w:t>5.6对技术复杂的设备，甲方可请国家认可的专业检测机构参与验收，并由其出具质量检测报告，检测费用由乙方承担。</w:t>
      </w:r>
    </w:p>
    <w:p w14:paraId="448E8D40">
      <w:pPr>
        <w:spacing w:line="440" w:lineRule="exact"/>
        <w:ind w:firstLine="474"/>
        <w:rPr>
          <w:rFonts w:hint="eastAsia" w:ascii="宋体" w:hAnsi="宋体" w:cs="宋体"/>
          <w:b/>
          <w:bCs/>
          <w:color w:val="auto"/>
          <w:sz w:val="22"/>
          <w:szCs w:val="22"/>
        </w:rPr>
      </w:pPr>
      <w:r>
        <w:rPr>
          <w:rFonts w:hint="eastAsia" w:ascii="宋体" w:hAnsi="宋体" w:cs="宋体"/>
          <w:b/>
          <w:bCs/>
          <w:color w:val="auto"/>
          <w:sz w:val="22"/>
          <w:szCs w:val="22"/>
        </w:rPr>
        <w:t>6、售后、维修</w:t>
      </w:r>
    </w:p>
    <w:p w14:paraId="0E3C031A">
      <w:pPr>
        <w:pStyle w:val="21"/>
        <w:spacing w:after="0" w:line="440" w:lineRule="exact"/>
        <w:ind w:left="0" w:right="-252" w:firstLine="440" w:firstLineChars="200"/>
        <w:rPr>
          <w:rFonts w:hint="eastAsia" w:cs="宋体"/>
          <w:color w:val="auto"/>
          <w:sz w:val="22"/>
          <w:szCs w:val="22"/>
        </w:rPr>
      </w:pPr>
      <w:r>
        <w:rPr>
          <w:rFonts w:hint="eastAsia" w:cs="宋体"/>
          <w:color w:val="auto"/>
          <w:sz w:val="22"/>
          <w:szCs w:val="22"/>
        </w:rPr>
        <w:t>6.1本合同设备质保期为</w:t>
      </w:r>
      <w:r>
        <w:rPr>
          <w:rFonts w:hint="eastAsia" w:cs="宋体"/>
          <w:color w:val="auto"/>
          <w:sz w:val="22"/>
          <w:szCs w:val="22"/>
          <w:u w:val="single"/>
        </w:rPr>
        <w:t xml:space="preserve">      </w:t>
      </w:r>
      <w:r>
        <w:rPr>
          <w:rFonts w:hint="eastAsia" w:cs="宋体"/>
          <w:color w:val="auto"/>
          <w:sz w:val="22"/>
          <w:szCs w:val="22"/>
        </w:rPr>
        <w:t>年，从设备验收合格之日起计算。在质保期内，乙方对由于产品设计、工艺、材料、配套件的缺陷而造成的任何质量问题或故障负责。</w:t>
      </w:r>
    </w:p>
    <w:p w14:paraId="02197708">
      <w:pPr>
        <w:spacing w:line="440" w:lineRule="exact"/>
        <w:ind w:firstLine="440" w:firstLineChars="200"/>
        <w:rPr>
          <w:rFonts w:hint="eastAsia" w:ascii="宋体" w:hAnsi="宋体" w:cs="宋体"/>
          <w:color w:val="auto"/>
          <w:sz w:val="22"/>
          <w:szCs w:val="22"/>
        </w:rPr>
      </w:pPr>
      <w:r>
        <w:rPr>
          <w:rFonts w:hint="eastAsia" w:ascii="宋体" w:hAnsi="宋体" w:cs="宋体"/>
          <w:color w:val="auto"/>
          <w:sz w:val="22"/>
          <w:szCs w:val="22"/>
        </w:rPr>
        <w:t>6.2 由于甲方保管不善或使用不当造成设备短缺、故障或损坏的，由甲方负责。但乙方保证及时给予补齐和修复。</w:t>
      </w:r>
    </w:p>
    <w:p w14:paraId="79CFCC2A">
      <w:pPr>
        <w:pStyle w:val="21"/>
        <w:spacing w:after="0" w:line="440" w:lineRule="exact"/>
        <w:ind w:left="0" w:right="-252" w:firstLine="440" w:firstLineChars="200"/>
        <w:rPr>
          <w:rFonts w:hint="eastAsia" w:cs="宋体"/>
          <w:color w:val="auto"/>
          <w:sz w:val="22"/>
          <w:szCs w:val="22"/>
        </w:rPr>
      </w:pPr>
      <w:r>
        <w:rPr>
          <w:rFonts w:hint="eastAsia" w:cs="宋体"/>
          <w:color w:val="auto"/>
          <w:sz w:val="22"/>
          <w:szCs w:val="22"/>
        </w:rPr>
        <w:t>6.3 乙方终生提供24小时售后服务。设备出现故障后，乙方接到甲方通知应在2小时内做出响应，若线上远程无法解决的，乙方工作人员应于4小时（外地24小时）内赴现场实施维修，处理设备质量问题，提供不间断的服务直到修复为止。</w:t>
      </w:r>
    </w:p>
    <w:p w14:paraId="6B3FA700">
      <w:pPr>
        <w:spacing w:line="440" w:lineRule="exact"/>
        <w:ind w:firstLine="474"/>
        <w:rPr>
          <w:rFonts w:hint="eastAsia" w:ascii="宋体" w:hAnsi="宋体" w:cs="宋体"/>
          <w:b/>
          <w:bCs/>
          <w:color w:val="auto"/>
          <w:sz w:val="22"/>
          <w:szCs w:val="22"/>
        </w:rPr>
      </w:pPr>
      <w:r>
        <w:rPr>
          <w:rFonts w:hint="eastAsia" w:ascii="宋体" w:hAnsi="宋体" w:cs="宋体"/>
          <w:b/>
          <w:bCs/>
          <w:color w:val="auto"/>
          <w:sz w:val="22"/>
          <w:szCs w:val="22"/>
        </w:rPr>
        <w:t>7、付款方式与结算</w:t>
      </w:r>
    </w:p>
    <w:p w14:paraId="4157F8F6">
      <w:pPr>
        <w:spacing w:line="440" w:lineRule="exact"/>
        <w:ind w:firstLine="440" w:firstLineChars="200"/>
        <w:rPr>
          <w:rFonts w:hint="eastAsia" w:ascii="宋体" w:hAnsi="宋体" w:cs="宋体"/>
          <w:color w:val="auto"/>
          <w:sz w:val="22"/>
          <w:szCs w:val="22"/>
        </w:rPr>
      </w:pPr>
      <w:bookmarkStart w:id="58" w:name="_Hlk144210472"/>
      <w:r>
        <w:rPr>
          <w:rFonts w:hint="eastAsia" w:ascii="宋体" w:hAnsi="宋体" w:cs="宋体"/>
          <w:color w:val="auto"/>
          <w:sz w:val="22"/>
          <w:szCs w:val="22"/>
        </w:rPr>
        <w:t xml:space="preserve">7.1履约保证金 </w:t>
      </w:r>
    </w:p>
    <w:p w14:paraId="2A292495">
      <w:pPr>
        <w:spacing w:line="440" w:lineRule="exact"/>
        <w:ind w:firstLine="440" w:firstLineChars="200"/>
        <w:rPr>
          <w:rFonts w:hint="eastAsia" w:ascii="宋体" w:hAnsi="宋体" w:eastAsia="宋体" w:cs="宋体"/>
          <w:color w:val="auto"/>
          <w:sz w:val="22"/>
          <w:szCs w:val="22"/>
        </w:rPr>
      </w:pPr>
      <w:r>
        <w:rPr>
          <w:rFonts w:hint="eastAsia" w:ascii="宋体" w:hAnsi="宋体" w:cs="宋体"/>
          <w:color w:val="auto"/>
          <w:sz w:val="22"/>
          <w:szCs w:val="22"/>
        </w:rPr>
        <w:t>乙方在合同签订后7个工作日内，支付给甲方合同金额1 %作为履约保证金（接受支票、汇票、本票、履约保函等多种非现金形式）。</w:t>
      </w:r>
      <w:bookmarkStart w:id="59" w:name="_Hlk144210598"/>
      <w:r>
        <w:rPr>
          <w:rFonts w:hint="eastAsia" w:ascii="宋体" w:hAnsi="宋体" w:cs="宋体"/>
          <w:color w:val="auto"/>
          <w:sz w:val="22"/>
          <w:szCs w:val="22"/>
        </w:rPr>
        <w:t>在合同履行期内乙方违约的，在履约保证金内先扣除乙方应承担的违约金。乙方没有违约或扣除违约金后有剩余的，履约保证金在乙方履约验收合格后5个工作日</w:t>
      </w:r>
      <w:r>
        <w:rPr>
          <w:rFonts w:hint="eastAsia" w:ascii="宋体" w:hAnsi="宋体" w:eastAsia="宋体" w:cs="宋体"/>
          <w:color w:val="auto"/>
          <w:sz w:val="22"/>
          <w:szCs w:val="22"/>
        </w:rPr>
        <w:t>内无息返还。</w:t>
      </w:r>
    </w:p>
    <w:bookmarkEnd w:id="59"/>
    <w:p w14:paraId="42EEADF8">
      <w:pPr>
        <w:spacing w:line="440" w:lineRule="exact"/>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7.2合同价款支付方式</w:t>
      </w:r>
    </w:p>
    <w:bookmarkEnd w:id="58"/>
    <w:p w14:paraId="506683D0">
      <w:pPr>
        <w:spacing w:line="440" w:lineRule="exact"/>
        <w:ind w:firstLine="440" w:firstLineChars="200"/>
        <w:rPr>
          <w:rFonts w:hint="eastAsia" w:ascii="宋体" w:hAnsi="宋体" w:eastAsia="宋体" w:cs="宋体"/>
          <w:color w:val="auto"/>
          <w:sz w:val="22"/>
          <w:szCs w:val="22"/>
        </w:rPr>
      </w:pPr>
      <w:r>
        <w:rPr>
          <w:rFonts w:hint="eastAsia" w:ascii="宋体" w:hAnsi="宋体" w:eastAsia="宋体" w:cs="宋体"/>
          <w:color w:val="auto"/>
          <w:sz w:val="22"/>
          <w:szCs w:val="22"/>
        </w:rPr>
        <w:t>合同签订后7个工作日内，甲方向乙方支付合同总价的40%作为预付款；全部</w:t>
      </w:r>
      <w:r>
        <w:rPr>
          <w:rFonts w:hint="eastAsia" w:ascii="宋体" w:hAnsi="宋体" w:eastAsia="宋体" w:cs="宋体"/>
          <w:color w:val="auto"/>
          <w:sz w:val="22"/>
          <w:szCs w:val="22"/>
          <w:lang w:val="en-US" w:eastAsia="zh-CN"/>
        </w:rPr>
        <w:t>货物</w:t>
      </w:r>
      <w:r>
        <w:rPr>
          <w:rFonts w:hint="eastAsia" w:ascii="宋体" w:hAnsi="宋体" w:eastAsia="宋体" w:cs="宋体"/>
          <w:color w:val="auto"/>
          <w:sz w:val="22"/>
          <w:szCs w:val="22"/>
        </w:rPr>
        <w:t>交付使用后7个工作日内，甲方向乙方支付合同总价的50%；全部</w:t>
      </w:r>
      <w:r>
        <w:rPr>
          <w:rFonts w:hint="eastAsia" w:ascii="宋体" w:hAnsi="宋体" w:eastAsia="宋体" w:cs="宋体"/>
          <w:color w:val="auto"/>
          <w:sz w:val="22"/>
          <w:szCs w:val="22"/>
          <w:lang w:val="en-US" w:eastAsia="zh-CN"/>
        </w:rPr>
        <w:t>货物</w:t>
      </w:r>
      <w:r>
        <w:rPr>
          <w:rFonts w:hint="eastAsia" w:ascii="宋体" w:hAnsi="宋体" w:eastAsia="宋体" w:cs="宋体"/>
          <w:color w:val="auto"/>
          <w:sz w:val="22"/>
          <w:szCs w:val="22"/>
        </w:rPr>
        <w:t>验收合格且收到乙方开具的全额正式发票后7个工作日内，甲方向乙方支付剩余合同总价的10%。</w:t>
      </w:r>
      <w:bookmarkStart w:id="60" w:name="OLE_LINK5"/>
      <w:bookmarkEnd w:id="60"/>
    </w:p>
    <w:p w14:paraId="02F5CBBE">
      <w:pPr>
        <w:spacing w:line="440" w:lineRule="exact"/>
        <w:ind w:firstLine="474"/>
        <w:rPr>
          <w:rFonts w:hint="eastAsia" w:ascii="宋体" w:hAnsi="宋体" w:cs="宋体"/>
          <w:b/>
          <w:bCs/>
          <w:color w:val="auto"/>
          <w:sz w:val="22"/>
          <w:szCs w:val="22"/>
        </w:rPr>
      </w:pPr>
      <w:r>
        <w:rPr>
          <w:rFonts w:hint="eastAsia" w:ascii="宋体" w:hAnsi="宋体" w:cs="宋体"/>
          <w:b/>
          <w:bCs/>
          <w:color w:val="auto"/>
          <w:sz w:val="22"/>
          <w:szCs w:val="22"/>
        </w:rPr>
        <w:t>8、违约责任</w:t>
      </w:r>
    </w:p>
    <w:p w14:paraId="1C3EC303">
      <w:pPr>
        <w:spacing w:line="440" w:lineRule="exact"/>
        <w:ind w:firstLine="472"/>
        <w:rPr>
          <w:rFonts w:hint="eastAsia" w:ascii="宋体" w:hAnsi="宋体" w:cs="宋体"/>
          <w:color w:val="auto"/>
          <w:sz w:val="22"/>
          <w:szCs w:val="22"/>
        </w:rPr>
      </w:pPr>
      <w:r>
        <w:rPr>
          <w:rFonts w:hint="eastAsia" w:ascii="宋体" w:hAnsi="宋体" w:cs="宋体"/>
          <w:color w:val="auto"/>
          <w:sz w:val="22"/>
          <w:szCs w:val="22"/>
        </w:rPr>
        <w:t>除不可抗力外，如乙方发生不能按期交货或提供服务、甲方发生中途退货等情况，应及时通知对方。双方本着友好的态度进行协商，妥善解决。如协商无效，按以下</w:t>
      </w:r>
      <w:bookmarkStart w:id="61" w:name="_Hlk144213533"/>
      <w:r>
        <w:rPr>
          <w:rFonts w:hint="eastAsia" w:ascii="宋体" w:hAnsi="宋体" w:cs="宋体"/>
          <w:color w:val="auto"/>
          <w:sz w:val="22"/>
          <w:szCs w:val="22"/>
        </w:rPr>
        <w:t>约定承担违约责任：</w:t>
      </w:r>
    </w:p>
    <w:bookmarkEnd w:id="61"/>
    <w:p w14:paraId="6CC39314">
      <w:pPr>
        <w:spacing w:line="440" w:lineRule="exact"/>
        <w:ind w:firstLine="440" w:firstLineChars="200"/>
        <w:rPr>
          <w:rFonts w:hint="eastAsia" w:ascii="宋体" w:hAnsi="宋体" w:cs="宋体"/>
          <w:color w:val="auto"/>
          <w:sz w:val="22"/>
          <w:szCs w:val="22"/>
        </w:rPr>
      </w:pPr>
      <w:r>
        <w:rPr>
          <w:rFonts w:hint="eastAsia" w:ascii="宋体" w:hAnsi="宋体" w:cs="宋体"/>
          <w:color w:val="auto"/>
          <w:sz w:val="22"/>
          <w:szCs w:val="22"/>
        </w:rPr>
        <w:t>8.1逾期交货</w:t>
      </w:r>
    </w:p>
    <w:p w14:paraId="3D514FA8">
      <w:pPr>
        <w:spacing w:line="440" w:lineRule="exact"/>
        <w:ind w:firstLine="440" w:firstLineChars="200"/>
        <w:rPr>
          <w:rFonts w:hint="eastAsia" w:ascii="宋体" w:hAnsi="宋体" w:cs="宋体"/>
          <w:color w:val="auto"/>
          <w:sz w:val="22"/>
          <w:szCs w:val="22"/>
        </w:rPr>
      </w:pPr>
      <w:r>
        <w:rPr>
          <w:rFonts w:hint="eastAsia" w:ascii="宋体" w:hAnsi="宋体" w:cs="宋体"/>
          <w:color w:val="auto"/>
          <w:sz w:val="22"/>
          <w:szCs w:val="22"/>
        </w:rPr>
        <w:t>乙方逾期交货，应向甲方支付违约金。自逾期之日起，每逾期一日违约金按合同总价的0.2%计收，逾期违约金最高限额为合同总价的2.5%。甲方有权从履约保证金中直接扣除违约金，不足部分直接从货款中抵扣。如违约金达到最高限额时乙方仍不能交货，甲方有权解除合同并按乙方不能交货的违约条款执行。</w:t>
      </w:r>
    </w:p>
    <w:p w14:paraId="33590A6E">
      <w:pPr>
        <w:spacing w:line="440" w:lineRule="exact"/>
        <w:ind w:firstLine="440" w:firstLineChars="200"/>
        <w:rPr>
          <w:rFonts w:hint="eastAsia" w:ascii="宋体" w:hAnsi="宋体" w:cs="宋体"/>
          <w:color w:val="auto"/>
          <w:sz w:val="22"/>
          <w:szCs w:val="22"/>
        </w:rPr>
      </w:pPr>
      <w:r>
        <w:rPr>
          <w:rFonts w:hint="eastAsia" w:ascii="宋体" w:hAnsi="宋体" w:cs="宋体"/>
          <w:color w:val="auto"/>
          <w:sz w:val="22"/>
          <w:szCs w:val="22"/>
        </w:rPr>
        <w:t>8.2乙方不能交货或甲方中途退货</w:t>
      </w:r>
    </w:p>
    <w:p w14:paraId="02C7A608">
      <w:pPr>
        <w:spacing w:line="440" w:lineRule="exact"/>
        <w:ind w:firstLine="440" w:firstLineChars="200"/>
        <w:rPr>
          <w:rFonts w:hint="eastAsia" w:ascii="宋体" w:hAnsi="宋体" w:cs="宋体"/>
          <w:color w:val="auto"/>
          <w:sz w:val="22"/>
          <w:szCs w:val="22"/>
        </w:rPr>
      </w:pPr>
      <w:r>
        <w:rPr>
          <w:rFonts w:hint="eastAsia" w:ascii="宋体" w:hAnsi="宋体" w:cs="宋体"/>
          <w:color w:val="auto"/>
          <w:sz w:val="22"/>
          <w:szCs w:val="22"/>
        </w:rPr>
        <w:t>乙方不能交货，甲方有权没收履约保证金并乙方须另行向甲方支付违约金。违约金按合同总价的20%计算。</w:t>
      </w:r>
    </w:p>
    <w:p w14:paraId="3C8BD3DF">
      <w:pPr>
        <w:spacing w:line="440" w:lineRule="exact"/>
        <w:ind w:firstLine="220" w:firstLineChars="100"/>
        <w:rPr>
          <w:rFonts w:hint="eastAsia" w:ascii="宋体" w:hAnsi="宋体" w:cs="宋体"/>
          <w:color w:val="auto"/>
          <w:sz w:val="22"/>
          <w:szCs w:val="22"/>
        </w:rPr>
      </w:pPr>
      <w:r>
        <w:rPr>
          <w:rFonts w:hint="eastAsia" w:ascii="宋体" w:hAnsi="宋体" w:cs="宋体"/>
          <w:color w:val="auto"/>
          <w:sz w:val="22"/>
          <w:szCs w:val="22"/>
        </w:rPr>
        <w:t>甲方中途退货，退还履约保证金并向乙方支付违约金。违约金的计算方法与乙方违约相同。</w:t>
      </w:r>
    </w:p>
    <w:p w14:paraId="3E45C840">
      <w:pPr>
        <w:spacing w:line="440" w:lineRule="exact"/>
        <w:ind w:firstLine="440" w:firstLineChars="200"/>
        <w:rPr>
          <w:rFonts w:hint="eastAsia" w:ascii="宋体" w:hAnsi="宋体" w:cs="宋体"/>
          <w:color w:val="auto"/>
          <w:sz w:val="22"/>
          <w:szCs w:val="22"/>
        </w:rPr>
      </w:pPr>
      <w:r>
        <w:rPr>
          <w:rFonts w:hint="eastAsia" w:ascii="宋体" w:hAnsi="宋体" w:cs="宋体"/>
          <w:color w:val="auto"/>
          <w:sz w:val="22"/>
          <w:szCs w:val="22"/>
        </w:rPr>
        <w:t>8.3</w:t>
      </w:r>
      <w:bookmarkStart w:id="62" w:name="_Hlk144219650"/>
      <w:r>
        <w:rPr>
          <w:rFonts w:hint="eastAsia" w:ascii="宋体" w:hAnsi="宋体" w:cs="宋体"/>
          <w:color w:val="auto"/>
          <w:sz w:val="22"/>
          <w:szCs w:val="22"/>
        </w:rPr>
        <w:t>甲方应按约定及时退还履约保证金，逾期退还的，应向乙方偿付违约金。自逾期之日起，每逾一日按履约保证金0.2%计收违约金，直至付款完成。</w:t>
      </w:r>
    </w:p>
    <w:p w14:paraId="5039C3D7">
      <w:pPr>
        <w:spacing w:line="440" w:lineRule="exact"/>
        <w:ind w:firstLine="220" w:firstLineChars="100"/>
        <w:rPr>
          <w:rFonts w:hint="eastAsia" w:ascii="宋体" w:hAnsi="宋体" w:cs="宋体"/>
          <w:color w:val="auto"/>
          <w:sz w:val="22"/>
          <w:szCs w:val="22"/>
        </w:rPr>
      </w:pPr>
      <w:r>
        <w:rPr>
          <w:rFonts w:hint="eastAsia" w:ascii="宋体" w:hAnsi="宋体" w:cs="宋体"/>
          <w:color w:val="auto"/>
          <w:sz w:val="22"/>
          <w:szCs w:val="22"/>
        </w:rPr>
        <w:t xml:space="preserve"> 因不可抗力（战争、地震等）导致合同无法履行的，双方可解除合同。</w:t>
      </w:r>
    </w:p>
    <w:bookmarkEnd w:id="62"/>
    <w:p w14:paraId="4FE51A1F">
      <w:pPr>
        <w:spacing w:line="440" w:lineRule="exact"/>
        <w:ind w:firstLine="474"/>
        <w:rPr>
          <w:rFonts w:hint="eastAsia" w:ascii="宋体" w:hAnsi="宋体" w:cs="宋体"/>
          <w:b/>
          <w:bCs/>
          <w:color w:val="auto"/>
          <w:sz w:val="22"/>
          <w:szCs w:val="22"/>
        </w:rPr>
      </w:pPr>
      <w:r>
        <w:rPr>
          <w:rFonts w:hint="eastAsia" w:ascii="宋体" w:hAnsi="宋体" w:cs="宋体"/>
          <w:b/>
          <w:bCs/>
          <w:color w:val="auto"/>
          <w:sz w:val="22"/>
          <w:szCs w:val="22"/>
        </w:rPr>
        <w:t>9、转让和分包</w:t>
      </w:r>
    </w:p>
    <w:p w14:paraId="02128CB8">
      <w:pPr>
        <w:widowControl/>
        <w:spacing w:line="440" w:lineRule="exact"/>
        <w:ind w:firstLine="472"/>
        <w:jc w:val="left"/>
        <w:rPr>
          <w:rFonts w:hint="eastAsia" w:ascii="宋体" w:hAnsi="宋体" w:cs="宋体"/>
          <w:color w:val="auto"/>
          <w:sz w:val="22"/>
          <w:szCs w:val="22"/>
        </w:rPr>
      </w:pPr>
      <w:r>
        <w:rPr>
          <w:rFonts w:hint="eastAsia" w:ascii="宋体" w:hAnsi="宋体" w:cs="宋体"/>
          <w:color w:val="auto"/>
          <w:sz w:val="22"/>
          <w:szCs w:val="22"/>
        </w:rPr>
        <w:t>本合同范围的设备，应由乙方直接供应，不得转让他人供应。否则，甲方有权解除合同，没收履约保证金并乙方按合同总价的10%支付违约金。</w:t>
      </w:r>
    </w:p>
    <w:p w14:paraId="066A95C1">
      <w:pPr>
        <w:spacing w:line="440" w:lineRule="exact"/>
        <w:ind w:firstLine="474"/>
        <w:rPr>
          <w:rFonts w:hint="eastAsia" w:ascii="宋体" w:hAnsi="宋体" w:cs="宋体"/>
          <w:b/>
          <w:bCs/>
          <w:color w:val="auto"/>
          <w:sz w:val="22"/>
          <w:szCs w:val="22"/>
        </w:rPr>
      </w:pPr>
      <w:r>
        <w:rPr>
          <w:rFonts w:hint="eastAsia" w:ascii="宋体" w:hAnsi="宋体" w:cs="宋体"/>
          <w:b/>
          <w:bCs/>
          <w:color w:val="auto"/>
          <w:sz w:val="22"/>
          <w:szCs w:val="22"/>
        </w:rPr>
        <w:t>10、争议解决</w:t>
      </w:r>
    </w:p>
    <w:p w14:paraId="4244E5C4">
      <w:pPr>
        <w:spacing w:line="440" w:lineRule="exact"/>
        <w:ind w:firstLine="472"/>
        <w:rPr>
          <w:rFonts w:hint="eastAsia" w:ascii="宋体" w:hAnsi="宋体" w:cs="宋体"/>
          <w:color w:val="auto"/>
          <w:sz w:val="22"/>
          <w:szCs w:val="22"/>
        </w:rPr>
      </w:pPr>
      <w:r>
        <w:rPr>
          <w:rFonts w:hint="eastAsia" w:ascii="宋体" w:hAnsi="宋体" w:cs="宋体"/>
          <w:color w:val="auto"/>
          <w:sz w:val="22"/>
          <w:szCs w:val="22"/>
        </w:rPr>
        <w:t>合同履行过程中发生争议的，甲乙双方友好协商解决，如协商未成的，任何一方可向甲方所在地人民法院提起诉讼。</w:t>
      </w:r>
    </w:p>
    <w:p w14:paraId="4153FFD5">
      <w:pPr>
        <w:spacing w:line="440" w:lineRule="exact"/>
        <w:ind w:firstLine="474"/>
        <w:rPr>
          <w:rFonts w:hint="eastAsia" w:ascii="宋体" w:hAnsi="宋体" w:cs="宋体"/>
          <w:b/>
          <w:bCs/>
          <w:color w:val="auto"/>
          <w:sz w:val="22"/>
          <w:szCs w:val="22"/>
        </w:rPr>
      </w:pPr>
      <w:r>
        <w:rPr>
          <w:rFonts w:hint="eastAsia" w:ascii="宋体" w:hAnsi="宋体" w:cs="宋体"/>
          <w:b/>
          <w:bCs/>
          <w:color w:val="auto"/>
          <w:sz w:val="22"/>
          <w:szCs w:val="22"/>
        </w:rPr>
        <w:t>11、其他</w:t>
      </w:r>
    </w:p>
    <w:p w14:paraId="45BB7D58">
      <w:pPr>
        <w:spacing w:line="440" w:lineRule="exact"/>
        <w:ind w:firstLine="220" w:firstLineChars="100"/>
        <w:rPr>
          <w:rFonts w:hint="eastAsia" w:ascii="宋体" w:hAnsi="宋体" w:cs="宋体"/>
          <w:color w:val="auto"/>
          <w:sz w:val="22"/>
          <w:szCs w:val="22"/>
        </w:rPr>
      </w:pPr>
      <w:r>
        <w:rPr>
          <w:rFonts w:hint="eastAsia" w:ascii="宋体" w:hAnsi="宋体" w:cs="宋体"/>
          <w:color w:val="auto"/>
          <w:sz w:val="22"/>
          <w:szCs w:val="22"/>
        </w:rPr>
        <w:t>11.1 本合同一式伍份，甲方叁份、乙方贰份。</w:t>
      </w:r>
    </w:p>
    <w:p w14:paraId="224F2449">
      <w:pPr>
        <w:spacing w:line="440" w:lineRule="exact"/>
        <w:ind w:firstLine="220" w:firstLineChars="100"/>
        <w:rPr>
          <w:rFonts w:hint="eastAsia" w:ascii="宋体" w:hAnsi="宋体" w:cs="宋体"/>
          <w:b/>
          <w:color w:val="auto"/>
          <w:sz w:val="22"/>
          <w:szCs w:val="22"/>
        </w:rPr>
      </w:pPr>
      <w:r>
        <w:rPr>
          <w:rFonts w:hint="eastAsia" w:ascii="宋体" w:hAnsi="宋体" w:cs="宋体"/>
          <w:color w:val="auto"/>
          <w:sz w:val="22"/>
          <w:szCs w:val="22"/>
        </w:rPr>
        <w:t>11.2 合同经甲乙双方签字盖章后生效。</w:t>
      </w:r>
    </w:p>
    <w:p w14:paraId="60CCA026">
      <w:pPr>
        <w:spacing w:line="440" w:lineRule="exact"/>
        <w:ind w:firstLine="220" w:firstLineChars="100"/>
        <w:rPr>
          <w:rFonts w:hint="eastAsia" w:ascii="宋体" w:hAnsi="宋体" w:cs="宋体"/>
          <w:color w:val="auto"/>
          <w:sz w:val="22"/>
          <w:szCs w:val="22"/>
        </w:rPr>
      </w:pPr>
      <w:r>
        <w:rPr>
          <w:rFonts w:hint="eastAsia" w:ascii="宋体" w:hAnsi="宋体" w:cs="宋体"/>
          <w:color w:val="auto"/>
          <w:sz w:val="22"/>
          <w:szCs w:val="22"/>
        </w:rPr>
        <w:t>11.3 如需修改或补充合同内容，双方应协商一致并签署书面修改或补充协议，该协议将作为本合同的组成部分。</w:t>
      </w:r>
    </w:p>
    <w:p w14:paraId="529D0A7E">
      <w:pPr>
        <w:spacing w:line="440" w:lineRule="exact"/>
        <w:ind w:firstLine="220" w:firstLineChars="100"/>
        <w:rPr>
          <w:rFonts w:hint="eastAsia" w:ascii="宋体" w:hAnsi="宋体" w:cs="宋体"/>
          <w:color w:val="auto"/>
          <w:sz w:val="22"/>
          <w:szCs w:val="22"/>
        </w:rPr>
      </w:pPr>
      <w:r>
        <w:rPr>
          <w:rFonts w:hint="eastAsia" w:ascii="宋体" w:hAnsi="宋体" w:cs="宋体"/>
          <w:color w:val="auto"/>
          <w:sz w:val="22"/>
          <w:szCs w:val="22"/>
        </w:rPr>
        <w:t xml:space="preserve">11.4 </w:t>
      </w:r>
      <w:r>
        <w:rPr>
          <w:rFonts w:hint="eastAsia" w:ascii="宋体" w:hAnsi="宋体" w:cs="宋体"/>
          <w:b/>
          <w:color w:val="auto"/>
          <w:sz w:val="22"/>
          <w:szCs w:val="22"/>
        </w:rPr>
        <w:t>本合同未尽事宜及对合同内容有异议的，以采购文件、响应文件和在招标现场承诺为准，</w:t>
      </w:r>
      <w:r>
        <w:rPr>
          <w:rFonts w:hint="eastAsia" w:ascii="宋体" w:hAnsi="宋体" w:cs="宋体"/>
          <w:color w:val="auto"/>
          <w:sz w:val="22"/>
          <w:szCs w:val="22"/>
        </w:rPr>
        <w:t>如遇国家法律、法规及政策另有规定的，从其规定。</w:t>
      </w:r>
    </w:p>
    <w:p w14:paraId="43835C30">
      <w:pPr>
        <w:spacing w:line="440" w:lineRule="exact"/>
        <w:ind w:firstLine="472"/>
        <w:rPr>
          <w:rFonts w:hint="eastAsia" w:ascii="宋体" w:hAnsi="宋体" w:cs="宋体"/>
          <w:color w:val="auto"/>
          <w:sz w:val="22"/>
          <w:szCs w:val="22"/>
        </w:rPr>
      </w:pPr>
    </w:p>
    <w:p w14:paraId="51D7E0CA">
      <w:pPr>
        <w:spacing w:line="440" w:lineRule="exact"/>
        <w:ind w:left="270" w:firstLine="472"/>
        <w:rPr>
          <w:rFonts w:hint="eastAsia" w:ascii="宋体" w:hAnsi="宋体" w:cs="宋体"/>
          <w:color w:val="auto"/>
          <w:sz w:val="22"/>
          <w:szCs w:val="22"/>
          <w:u w:val="single"/>
        </w:rPr>
      </w:pPr>
      <w:r>
        <w:rPr>
          <w:rFonts w:hint="eastAsia" w:ascii="宋体" w:hAnsi="宋体" w:cs="宋体"/>
          <w:color w:val="auto"/>
          <w:sz w:val="22"/>
          <w:szCs w:val="22"/>
        </w:rPr>
        <w:t xml:space="preserve">甲方（盖章）：                乙方（盖章）： </w:t>
      </w:r>
    </w:p>
    <w:p w14:paraId="488A825F">
      <w:pPr>
        <w:spacing w:line="440" w:lineRule="exact"/>
        <w:ind w:left="270" w:firstLine="472"/>
        <w:rPr>
          <w:rFonts w:hint="eastAsia" w:ascii="宋体" w:hAnsi="宋体" w:cs="宋体"/>
          <w:color w:val="auto"/>
          <w:sz w:val="22"/>
          <w:szCs w:val="22"/>
        </w:rPr>
      </w:pPr>
      <w:r>
        <w:rPr>
          <w:rFonts w:hint="eastAsia" w:ascii="宋体" w:hAnsi="宋体" w:cs="宋体"/>
          <w:color w:val="auto"/>
          <w:sz w:val="22"/>
          <w:szCs w:val="22"/>
        </w:rPr>
        <w:t xml:space="preserve">法人代表：                    法人代表： </w:t>
      </w:r>
    </w:p>
    <w:p w14:paraId="69313427">
      <w:pPr>
        <w:spacing w:line="440" w:lineRule="exact"/>
        <w:ind w:left="270" w:firstLine="472"/>
        <w:rPr>
          <w:rFonts w:hint="eastAsia" w:ascii="宋体" w:hAnsi="宋体" w:cs="宋体"/>
          <w:color w:val="auto"/>
          <w:sz w:val="22"/>
          <w:szCs w:val="22"/>
        </w:rPr>
      </w:pPr>
      <w:r>
        <w:rPr>
          <w:rFonts w:hint="eastAsia" w:ascii="宋体" w:hAnsi="宋体" w:cs="宋体"/>
          <w:color w:val="auto"/>
          <w:sz w:val="22"/>
          <w:szCs w:val="22"/>
        </w:rPr>
        <w:t xml:space="preserve">委托代理人（签字）：          委托代理人（签字）： </w:t>
      </w:r>
    </w:p>
    <w:p w14:paraId="2E67A26B">
      <w:pPr>
        <w:spacing w:line="440" w:lineRule="exact"/>
        <w:ind w:left="270" w:firstLine="472"/>
        <w:rPr>
          <w:rFonts w:hint="eastAsia" w:ascii="宋体" w:hAnsi="宋体" w:cs="宋体"/>
          <w:color w:val="auto"/>
          <w:sz w:val="22"/>
          <w:szCs w:val="22"/>
        </w:rPr>
      </w:pPr>
      <w:r>
        <w:rPr>
          <w:rFonts w:hint="eastAsia" w:ascii="宋体" w:hAnsi="宋体" w:cs="宋体"/>
          <w:color w:val="auto"/>
          <w:sz w:val="22"/>
          <w:szCs w:val="22"/>
        </w:rPr>
        <w:t xml:space="preserve">联系电话：                    联系电话： </w:t>
      </w:r>
    </w:p>
    <w:p w14:paraId="6EF81E8E">
      <w:pPr>
        <w:spacing w:line="440" w:lineRule="exact"/>
        <w:ind w:left="270" w:firstLine="472"/>
        <w:rPr>
          <w:rFonts w:hint="eastAsia" w:ascii="宋体" w:hAnsi="宋体" w:cs="宋体"/>
          <w:color w:val="auto"/>
          <w:sz w:val="22"/>
          <w:szCs w:val="22"/>
        </w:rPr>
      </w:pPr>
      <w:r>
        <w:rPr>
          <w:rFonts w:hint="eastAsia" w:ascii="宋体" w:hAnsi="宋体" w:cs="宋体"/>
          <w:color w:val="auto"/>
          <w:sz w:val="22"/>
          <w:szCs w:val="22"/>
        </w:rPr>
        <w:t xml:space="preserve">地    址：                    地    址： </w:t>
      </w:r>
    </w:p>
    <w:p w14:paraId="2B764478">
      <w:pPr>
        <w:spacing w:line="440" w:lineRule="exact"/>
        <w:ind w:left="270" w:firstLine="472"/>
        <w:rPr>
          <w:rFonts w:hint="eastAsia" w:ascii="宋体" w:hAnsi="宋体" w:cs="宋体"/>
          <w:color w:val="auto"/>
          <w:sz w:val="22"/>
          <w:szCs w:val="22"/>
        </w:rPr>
      </w:pPr>
      <w:r>
        <w:rPr>
          <w:rFonts w:hint="eastAsia" w:ascii="宋体" w:hAnsi="宋体" w:cs="宋体"/>
          <w:color w:val="auto"/>
          <w:sz w:val="22"/>
          <w:szCs w:val="22"/>
        </w:rPr>
        <w:t xml:space="preserve">纳税人名称：                  纳税人名称： </w:t>
      </w:r>
    </w:p>
    <w:p w14:paraId="0E1470E2">
      <w:pPr>
        <w:spacing w:line="440" w:lineRule="exact"/>
        <w:ind w:left="270" w:firstLine="472"/>
        <w:rPr>
          <w:rFonts w:hint="eastAsia" w:ascii="宋体" w:hAnsi="宋体" w:cs="宋体"/>
          <w:color w:val="auto"/>
          <w:sz w:val="22"/>
          <w:szCs w:val="22"/>
        </w:rPr>
      </w:pPr>
      <w:r>
        <w:rPr>
          <w:rFonts w:hint="eastAsia" w:ascii="宋体" w:hAnsi="宋体" w:cs="宋体"/>
          <w:color w:val="auto"/>
          <w:sz w:val="22"/>
          <w:szCs w:val="22"/>
        </w:rPr>
        <w:t xml:space="preserve">纳税人识别号：                纳税人识别号： </w:t>
      </w:r>
    </w:p>
    <w:p w14:paraId="64656460">
      <w:pPr>
        <w:spacing w:line="440" w:lineRule="exact"/>
        <w:ind w:left="270" w:firstLine="472"/>
        <w:rPr>
          <w:rFonts w:hint="eastAsia" w:ascii="宋体" w:hAnsi="宋体" w:cs="宋体"/>
          <w:color w:val="auto"/>
          <w:sz w:val="22"/>
          <w:szCs w:val="22"/>
        </w:rPr>
      </w:pPr>
      <w:r>
        <w:rPr>
          <w:rFonts w:hint="eastAsia" w:ascii="宋体" w:hAnsi="宋体" w:cs="宋体"/>
          <w:color w:val="auto"/>
          <w:sz w:val="22"/>
          <w:szCs w:val="22"/>
        </w:rPr>
        <w:t xml:space="preserve">开户行：                      开户行： </w:t>
      </w:r>
    </w:p>
    <w:p w14:paraId="610C2477">
      <w:pPr>
        <w:spacing w:line="440" w:lineRule="exact"/>
        <w:ind w:left="270" w:firstLine="472"/>
        <w:rPr>
          <w:rFonts w:hint="eastAsia" w:ascii="宋体" w:hAnsi="宋体" w:cs="宋体"/>
          <w:color w:val="auto"/>
          <w:sz w:val="22"/>
          <w:szCs w:val="22"/>
        </w:rPr>
      </w:pPr>
      <w:r>
        <w:rPr>
          <w:rFonts w:hint="eastAsia" w:ascii="宋体" w:hAnsi="宋体" w:cs="宋体"/>
          <w:color w:val="auto"/>
          <w:sz w:val="22"/>
          <w:szCs w:val="22"/>
        </w:rPr>
        <w:t xml:space="preserve">账号：                        账号： </w:t>
      </w:r>
    </w:p>
    <w:p w14:paraId="1A705D84">
      <w:pPr>
        <w:spacing w:line="440" w:lineRule="exact"/>
        <w:ind w:left="270" w:firstLine="472"/>
        <w:rPr>
          <w:rFonts w:hint="eastAsia" w:ascii="宋体" w:hAnsi="宋体" w:cs="宋体"/>
          <w:color w:val="auto"/>
          <w:sz w:val="22"/>
          <w:szCs w:val="22"/>
        </w:rPr>
      </w:pPr>
      <w:r>
        <w:rPr>
          <w:rFonts w:hint="eastAsia" w:ascii="宋体" w:hAnsi="宋体" w:cs="宋体"/>
          <w:color w:val="auto"/>
          <w:sz w:val="22"/>
          <w:szCs w:val="22"/>
        </w:rPr>
        <w:t xml:space="preserve">日期：                        日期：  </w:t>
      </w:r>
    </w:p>
    <w:p w14:paraId="50356FAB">
      <w:pPr>
        <w:jc w:val="center"/>
        <w:rPr>
          <w:rFonts w:hint="eastAsia" w:ascii="黑体" w:hAnsi="黑体" w:eastAsia="黑体"/>
          <w:color w:val="auto"/>
          <w:sz w:val="22"/>
          <w:szCs w:val="22"/>
        </w:rPr>
      </w:pPr>
    </w:p>
    <w:p w14:paraId="273D4778">
      <w:pPr>
        <w:jc w:val="center"/>
        <w:rPr>
          <w:rFonts w:hint="eastAsia" w:ascii="黑体" w:hAnsi="黑体" w:eastAsia="黑体"/>
          <w:color w:val="auto"/>
          <w:sz w:val="28"/>
          <w:szCs w:val="28"/>
        </w:rPr>
      </w:pPr>
    </w:p>
    <w:p w14:paraId="4E59F1A6">
      <w:pPr>
        <w:jc w:val="center"/>
        <w:rPr>
          <w:rFonts w:hint="eastAsia" w:hAnsi="宋体" w:cs="宋体"/>
          <w:b/>
          <w:bCs/>
          <w:color w:val="auto"/>
          <w:sz w:val="28"/>
          <w:szCs w:val="28"/>
        </w:rPr>
      </w:pPr>
    </w:p>
    <w:p w14:paraId="64EC3EE6">
      <w:pPr>
        <w:spacing w:line="430" w:lineRule="exact"/>
        <w:jc w:val="center"/>
        <w:outlineLvl w:val="0"/>
        <w:rPr>
          <w:rFonts w:hint="eastAsia" w:ascii="黑体" w:hAnsi="黑体" w:eastAsia="黑体"/>
          <w:bCs/>
          <w:color w:val="auto"/>
          <w:sz w:val="36"/>
          <w:szCs w:val="36"/>
        </w:rPr>
      </w:pPr>
      <w:r>
        <w:rPr>
          <w:rFonts w:hint="eastAsia" w:hAnsi="宋体" w:cs="宋体"/>
          <w:bCs/>
          <w:color w:val="auto"/>
          <w:sz w:val="28"/>
          <w:szCs w:val="28"/>
        </w:rPr>
        <w:br w:type="page"/>
      </w:r>
      <w:bookmarkEnd w:id="55"/>
      <w:bookmarkStart w:id="63" w:name="_Toc14352"/>
      <w:r>
        <w:rPr>
          <w:rFonts w:hint="eastAsia" w:ascii="黑体" w:hAnsi="黑体" w:eastAsia="黑体"/>
          <w:b/>
          <w:bCs/>
          <w:color w:val="auto"/>
          <w:kern w:val="44"/>
          <w:sz w:val="36"/>
          <w:szCs w:val="36"/>
        </w:rPr>
        <w:t>第四部分  附   件</w:t>
      </w:r>
      <w:bookmarkEnd w:id="56"/>
      <w:bookmarkEnd w:id="63"/>
    </w:p>
    <w:p w14:paraId="183B3CDB">
      <w:pPr>
        <w:pStyle w:val="5"/>
        <w:spacing w:line="240" w:lineRule="auto"/>
        <w:rPr>
          <w:rFonts w:hint="eastAsia" w:ascii="宋体" w:hAnsi="宋体" w:eastAsia="宋体" w:cs="宋体"/>
          <w:color w:val="auto"/>
          <w:sz w:val="24"/>
          <w:szCs w:val="24"/>
        </w:rPr>
      </w:pPr>
      <w:bookmarkStart w:id="64" w:name="_Toc5610"/>
      <w:bookmarkStart w:id="65" w:name="_Toc230773784"/>
      <w:r>
        <w:rPr>
          <w:rFonts w:hint="eastAsia" w:ascii="宋体" w:hAnsi="宋体" w:eastAsia="宋体" w:cs="宋体"/>
          <w:color w:val="auto"/>
          <w:sz w:val="24"/>
          <w:szCs w:val="24"/>
        </w:rPr>
        <w:t>附件一 投标函</w:t>
      </w:r>
      <w:bookmarkEnd w:id="64"/>
      <w:bookmarkEnd w:id="65"/>
    </w:p>
    <w:p w14:paraId="1C630DDF">
      <w:pPr>
        <w:spacing w:line="460" w:lineRule="exact"/>
        <w:jc w:val="center"/>
        <w:rPr>
          <w:rFonts w:hint="eastAsia" w:ascii="宋体" w:hAnsi="宋体" w:cs="宋体"/>
          <w:b/>
          <w:bCs/>
          <w:color w:val="auto"/>
          <w:sz w:val="28"/>
          <w:szCs w:val="28"/>
        </w:rPr>
      </w:pPr>
      <w:r>
        <w:rPr>
          <w:rFonts w:hint="eastAsia" w:ascii="宋体" w:hAnsi="宋体" w:cs="宋体"/>
          <w:b/>
          <w:bCs/>
          <w:color w:val="auto"/>
          <w:sz w:val="28"/>
          <w:szCs w:val="28"/>
        </w:rPr>
        <w:t>投 标 函</w:t>
      </w:r>
    </w:p>
    <w:p w14:paraId="29163686">
      <w:pPr>
        <w:spacing w:line="440" w:lineRule="exact"/>
        <w:rPr>
          <w:rFonts w:hint="eastAsia" w:ascii="宋体" w:hAnsi="宋体" w:cs="宋体"/>
          <w:b/>
          <w:color w:val="auto"/>
          <w:sz w:val="24"/>
          <w:u w:val="single"/>
        </w:rPr>
      </w:pPr>
      <w:r>
        <w:rPr>
          <w:rFonts w:hint="eastAsia" w:ascii="宋体" w:hAnsi="宋体" w:cs="宋体"/>
          <w:b/>
          <w:color w:val="auto"/>
          <w:sz w:val="24"/>
        </w:rPr>
        <w:t>致：</w:t>
      </w:r>
      <w:r>
        <w:rPr>
          <w:rFonts w:hint="eastAsia" w:ascii="宋体" w:hAnsi="宋体" w:cs="宋体"/>
          <w:b/>
          <w:color w:val="auto"/>
          <w:sz w:val="24"/>
          <w:u w:val="single"/>
        </w:rPr>
        <w:t>浙江安防职业技术学院</w:t>
      </w:r>
    </w:p>
    <w:p w14:paraId="367B8A18">
      <w:pPr>
        <w:spacing w:line="440" w:lineRule="exact"/>
        <w:ind w:firstLine="550" w:firstLineChars="250"/>
        <w:rPr>
          <w:rFonts w:hint="eastAsia" w:ascii="宋体" w:hAnsi="宋体" w:cs="宋体"/>
          <w:color w:val="auto"/>
          <w:sz w:val="22"/>
          <w:szCs w:val="22"/>
        </w:rPr>
      </w:pPr>
      <w:r>
        <w:rPr>
          <w:rFonts w:hint="eastAsia" w:ascii="宋体" w:hAnsi="宋体" w:cs="宋体"/>
          <w:color w:val="auto"/>
          <w:sz w:val="22"/>
          <w:szCs w:val="22"/>
        </w:rPr>
        <w:t>根据贵方为项目（项目编号:）的投标邀请，我方</w:t>
      </w:r>
      <w:r>
        <w:rPr>
          <w:rFonts w:hint="eastAsia" w:ascii="宋体" w:hAnsi="宋体" w:cs="宋体"/>
          <w:color w:val="auto"/>
          <w:sz w:val="22"/>
          <w:szCs w:val="22"/>
          <w:u w:val="single"/>
        </w:rPr>
        <w:t xml:space="preserve">           　　　      （投标人名称）</w:t>
      </w:r>
      <w:r>
        <w:rPr>
          <w:rFonts w:hint="eastAsia" w:ascii="宋体" w:hAnsi="宋体" w:cs="宋体"/>
          <w:color w:val="auto"/>
          <w:sz w:val="22"/>
          <w:szCs w:val="22"/>
        </w:rPr>
        <w:t>作为投标人正式授权</w:t>
      </w:r>
      <w:r>
        <w:rPr>
          <w:rFonts w:hint="eastAsia" w:ascii="宋体" w:hAnsi="宋体" w:cs="宋体"/>
          <w:color w:val="auto"/>
          <w:sz w:val="22"/>
          <w:szCs w:val="22"/>
          <w:u w:val="single"/>
        </w:rPr>
        <w:t xml:space="preserve">　           </w:t>
      </w:r>
      <w:r>
        <w:rPr>
          <w:rFonts w:hint="eastAsia" w:ascii="宋体" w:hAnsi="宋体" w:cs="宋体"/>
          <w:color w:val="auto"/>
          <w:sz w:val="22"/>
          <w:szCs w:val="22"/>
        </w:rPr>
        <w:t>（授权代表全名，职务）代表我方处理有关本投标的一切事宜。</w:t>
      </w:r>
    </w:p>
    <w:p w14:paraId="2B800C8D">
      <w:pPr>
        <w:pStyle w:val="13"/>
        <w:spacing w:line="440" w:lineRule="exact"/>
        <w:ind w:firstLine="440"/>
        <w:rPr>
          <w:rFonts w:hint="eastAsia" w:ascii="宋体" w:hAnsi="宋体" w:cs="宋体"/>
          <w:color w:val="auto"/>
          <w:sz w:val="22"/>
          <w:szCs w:val="22"/>
        </w:rPr>
      </w:pPr>
      <w:r>
        <w:rPr>
          <w:rFonts w:hint="eastAsia" w:ascii="宋体" w:hAnsi="宋体" w:cs="宋体"/>
          <w:color w:val="auto"/>
          <w:sz w:val="22"/>
          <w:szCs w:val="22"/>
        </w:rPr>
        <w:t>在此提交的投标文件中，包括如下内容，并已分别加密上传：</w:t>
      </w:r>
    </w:p>
    <w:p w14:paraId="3753694B">
      <w:pPr>
        <w:pStyle w:val="13"/>
        <w:spacing w:line="440" w:lineRule="exact"/>
        <w:ind w:firstLine="440"/>
        <w:rPr>
          <w:rFonts w:hint="eastAsia" w:ascii="宋体" w:hAnsi="宋体" w:cs="宋体"/>
          <w:color w:val="auto"/>
          <w:sz w:val="22"/>
          <w:szCs w:val="22"/>
        </w:rPr>
      </w:pPr>
      <w:r>
        <w:rPr>
          <w:rFonts w:hint="eastAsia" w:ascii="宋体" w:hAnsi="宋体" w:cs="宋体"/>
          <w:color w:val="auto"/>
          <w:sz w:val="22"/>
          <w:szCs w:val="22"/>
        </w:rPr>
        <w:t>（一）按“投标人须知”要求编制投标文件的“资格文件”；</w:t>
      </w:r>
    </w:p>
    <w:p w14:paraId="68BF6679">
      <w:pPr>
        <w:pStyle w:val="13"/>
        <w:spacing w:line="440" w:lineRule="exact"/>
        <w:ind w:firstLine="440"/>
        <w:rPr>
          <w:rFonts w:hint="eastAsia" w:ascii="宋体" w:hAnsi="宋体" w:cs="宋体"/>
          <w:color w:val="auto"/>
          <w:sz w:val="22"/>
          <w:szCs w:val="22"/>
        </w:rPr>
      </w:pPr>
      <w:r>
        <w:rPr>
          <w:rFonts w:hint="eastAsia" w:ascii="宋体" w:hAnsi="宋体" w:cs="宋体"/>
          <w:color w:val="auto"/>
          <w:sz w:val="22"/>
          <w:szCs w:val="22"/>
        </w:rPr>
        <w:t>（二）按“投标人须知”要求编制投标文件的“商务技术文件”；</w:t>
      </w:r>
    </w:p>
    <w:p w14:paraId="69B5F668">
      <w:pPr>
        <w:pStyle w:val="13"/>
        <w:spacing w:line="440" w:lineRule="exact"/>
        <w:ind w:firstLine="440"/>
        <w:rPr>
          <w:rFonts w:hint="eastAsia" w:ascii="宋体" w:hAnsi="宋体" w:cs="宋体"/>
          <w:color w:val="auto"/>
          <w:sz w:val="22"/>
          <w:szCs w:val="22"/>
        </w:rPr>
      </w:pPr>
      <w:r>
        <w:rPr>
          <w:rFonts w:hint="eastAsia" w:ascii="宋体" w:hAnsi="宋体" w:cs="宋体"/>
          <w:color w:val="auto"/>
          <w:sz w:val="22"/>
          <w:szCs w:val="22"/>
        </w:rPr>
        <w:t>（三）按“投标人须知”要求编制投标文件的“报价文件”；</w:t>
      </w:r>
    </w:p>
    <w:p w14:paraId="4166984A">
      <w:pPr>
        <w:pStyle w:val="13"/>
        <w:spacing w:line="440" w:lineRule="exact"/>
        <w:ind w:firstLine="440"/>
        <w:rPr>
          <w:rFonts w:hint="eastAsia" w:ascii="宋体" w:hAnsi="宋体" w:cs="宋体"/>
          <w:color w:val="auto"/>
          <w:sz w:val="22"/>
          <w:szCs w:val="22"/>
        </w:rPr>
      </w:pPr>
      <w:r>
        <w:rPr>
          <w:rFonts w:hint="eastAsia" w:ascii="宋体" w:hAnsi="宋体" w:cs="宋体"/>
          <w:color w:val="auto"/>
          <w:sz w:val="22"/>
          <w:szCs w:val="22"/>
        </w:rPr>
        <w:t>我方己完全明白招标文件的所有条款要求，并重申以下几点：</w:t>
      </w:r>
    </w:p>
    <w:p w14:paraId="386CCF5E">
      <w:pPr>
        <w:spacing w:line="440" w:lineRule="exact"/>
        <w:ind w:left="1019" w:leftChars="171" w:hanging="660" w:hangingChars="300"/>
        <w:rPr>
          <w:rFonts w:hint="eastAsia" w:ascii="宋体" w:hAnsi="宋体" w:cs="宋体"/>
          <w:color w:val="auto"/>
          <w:sz w:val="22"/>
          <w:szCs w:val="22"/>
        </w:rPr>
      </w:pPr>
      <w:r>
        <w:rPr>
          <w:rFonts w:hint="eastAsia" w:ascii="宋体" w:hAnsi="宋体" w:cs="宋体"/>
          <w:color w:val="auto"/>
          <w:sz w:val="22"/>
          <w:szCs w:val="22"/>
        </w:rPr>
        <w:t>（一）本投标文件的有效期自投标截止日起</w:t>
      </w:r>
      <w:r>
        <w:rPr>
          <w:rFonts w:hint="eastAsia" w:ascii="宋体" w:hAnsi="宋体" w:cs="宋体"/>
          <w:b/>
          <w:color w:val="auto"/>
          <w:sz w:val="22"/>
          <w:szCs w:val="22"/>
          <w:u w:val="single"/>
        </w:rPr>
        <w:t>90</w:t>
      </w:r>
      <w:r>
        <w:rPr>
          <w:rFonts w:hint="eastAsia" w:ascii="宋体" w:hAnsi="宋体" w:cs="宋体"/>
          <w:color w:val="auto"/>
          <w:sz w:val="22"/>
          <w:szCs w:val="22"/>
        </w:rPr>
        <w:t>天内有效，如中标，有效期将延至合同终止日为止；</w:t>
      </w:r>
    </w:p>
    <w:p w14:paraId="55A11FFD">
      <w:pPr>
        <w:spacing w:line="440" w:lineRule="exact"/>
        <w:ind w:left="1019" w:leftChars="171" w:hanging="660" w:hangingChars="300"/>
        <w:rPr>
          <w:rFonts w:hint="eastAsia" w:ascii="宋体" w:hAnsi="宋体" w:cs="宋体"/>
          <w:color w:val="auto"/>
          <w:sz w:val="22"/>
          <w:szCs w:val="22"/>
        </w:rPr>
      </w:pPr>
      <w:r>
        <w:rPr>
          <w:rFonts w:hint="eastAsia" w:ascii="宋体" w:hAnsi="宋体" w:cs="宋体"/>
          <w:color w:val="auto"/>
          <w:sz w:val="22"/>
          <w:szCs w:val="22"/>
        </w:rPr>
        <w:t>（二）我方已详细研究了招标文件的所有内容包括修改书（如有）和所有已提供的参考资料以及有关附件，我方完全理解并同意放弃在此方面提出含糊意见或误解的一切权力；</w:t>
      </w:r>
    </w:p>
    <w:p w14:paraId="251E3E3D">
      <w:pPr>
        <w:spacing w:line="440" w:lineRule="exact"/>
        <w:ind w:left="359" w:leftChars="171"/>
        <w:rPr>
          <w:rFonts w:hint="eastAsia" w:ascii="宋体" w:hAnsi="宋体" w:cs="宋体"/>
          <w:color w:val="auto"/>
          <w:sz w:val="22"/>
          <w:szCs w:val="22"/>
        </w:rPr>
      </w:pPr>
      <w:r>
        <w:rPr>
          <w:rFonts w:hint="eastAsia" w:ascii="宋体" w:hAnsi="宋体" w:cs="宋体"/>
          <w:color w:val="auto"/>
          <w:sz w:val="22"/>
          <w:szCs w:val="22"/>
        </w:rPr>
        <w:t>（三）我方同意提供按照贵方可能要求的与投标有关的一切数据或资料；</w:t>
      </w:r>
    </w:p>
    <w:p w14:paraId="2F7A218E">
      <w:pPr>
        <w:spacing w:line="440" w:lineRule="exact"/>
        <w:ind w:left="359" w:leftChars="171"/>
        <w:rPr>
          <w:rFonts w:hint="eastAsia" w:ascii="宋体" w:hAnsi="宋体" w:cs="宋体"/>
          <w:color w:val="auto"/>
          <w:sz w:val="22"/>
          <w:szCs w:val="22"/>
        </w:rPr>
      </w:pPr>
      <w:r>
        <w:rPr>
          <w:rFonts w:hint="eastAsia" w:ascii="宋体" w:hAnsi="宋体" w:cs="宋体"/>
          <w:color w:val="auto"/>
          <w:sz w:val="22"/>
          <w:szCs w:val="22"/>
        </w:rPr>
        <w:t>（四）我方理解贵方不一定接受最低报价；</w:t>
      </w:r>
    </w:p>
    <w:p w14:paraId="338C4C3A">
      <w:pPr>
        <w:spacing w:line="440" w:lineRule="exact"/>
        <w:ind w:left="1019" w:leftChars="171" w:hanging="660" w:hangingChars="300"/>
        <w:rPr>
          <w:rFonts w:hint="eastAsia" w:ascii="宋体" w:hAnsi="宋体" w:cs="宋体"/>
          <w:color w:val="auto"/>
          <w:sz w:val="22"/>
          <w:szCs w:val="22"/>
        </w:rPr>
      </w:pPr>
      <w:r>
        <w:rPr>
          <w:rFonts w:hint="eastAsia" w:ascii="宋体" w:hAnsi="宋体" w:cs="宋体"/>
          <w:color w:val="auto"/>
          <w:sz w:val="22"/>
          <w:szCs w:val="22"/>
        </w:rPr>
        <w:t>（五）我方如果中标，将保证履行招标文件以及招标文件修改书（如有）中的全部责任和义务，按质、按量、按期完成《合同书》中的全部任务。</w:t>
      </w:r>
    </w:p>
    <w:p w14:paraId="3C751AC1">
      <w:pPr>
        <w:spacing w:line="440" w:lineRule="exact"/>
        <w:ind w:left="315"/>
        <w:rPr>
          <w:rFonts w:hint="eastAsia" w:ascii="宋体" w:hAnsi="宋体" w:cs="宋体"/>
          <w:color w:val="auto"/>
          <w:sz w:val="22"/>
          <w:szCs w:val="22"/>
        </w:rPr>
      </w:pPr>
      <w:r>
        <w:rPr>
          <w:rFonts w:hint="eastAsia" w:ascii="宋体" w:hAnsi="宋体" w:cs="宋体"/>
          <w:color w:val="auto"/>
          <w:sz w:val="22"/>
          <w:szCs w:val="22"/>
        </w:rPr>
        <w:t>（六）所有与本投标有关的函件请发往下列地址：</w:t>
      </w:r>
    </w:p>
    <w:p w14:paraId="226EA613">
      <w:pPr>
        <w:spacing w:line="440" w:lineRule="exact"/>
        <w:ind w:firstLine="435"/>
        <w:rPr>
          <w:rFonts w:hint="eastAsia" w:ascii="宋体" w:hAnsi="宋体" w:cs="宋体"/>
          <w:color w:val="auto"/>
          <w:sz w:val="22"/>
          <w:szCs w:val="22"/>
        </w:rPr>
      </w:pPr>
      <w:r>
        <w:rPr>
          <w:rFonts w:hint="eastAsia" w:ascii="宋体" w:hAnsi="宋体" w:cs="宋体"/>
          <w:color w:val="auto"/>
          <w:sz w:val="22"/>
          <w:szCs w:val="22"/>
        </w:rPr>
        <w:t xml:space="preserve">   地址</w:t>
      </w:r>
      <w:r>
        <w:rPr>
          <w:rFonts w:hint="eastAsia" w:ascii="宋体" w:hAnsi="宋体" w:cs="宋体"/>
          <w:color w:val="auto"/>
          <w:sz w:val="22"/>
          <w:szCs w:val="22"/>
          <w:u w:val="single"/>
        </w:rPr>
        <w:t xml:space="preserve">                           </w:t>
      </w:r>
    </w:p>
    <w:p w14:paraId="5825E72C">
      <w:pPr>
        <w:spacing w:line="440" w:lineRule="exact"/>
        <w:ind w:firstLine="435"/>
        <w:rPr>
          <w:rFonts w:hint="eastAsia" w:ascii="宋体" w:hAnsi="宋体" w:cs="宋体"/>
          <w:color w:val="auto"/>
          <w:sz w:val="22"/>
          <w:szCs w:val="22"/>
        </w:rPr>
      </w:pPr>
      <w:r>
        <w:rPr>
          <w:rFonts w:hint="eastAsia" w:ascii="宋体" w:hAnsi="宋体" w:cs="宋体"/>
          <w:color w:val="auto"/>
          <w:sz w:val="22"/>
          <w:szCs w:val="22"/>
        </w:rPr>
        <w:t xml:space="preserve">   电话</w:t>
      </w:r>
      <w:r>
        <w:rPr>
          <w:rFonts w:hint="eastAsia" w:ascii="宋体" w:hAnsi="宋体" w:cs="宋体"/>
          <w:color w:val="auto"/>
          <w:sz w:val="22"/>
          <w:szCs w:val="22"/>
          <w:u w:val="single"/>
        </w:rPr>
        <w:t xml:space="preserve">                           </w:t>
      </w:r>
    </w:p>
    <w:p w14:paraId="749BA4C1">
      <w:pPr>
        <w:spacing w:line="440" w:lineRule="exact"/>
        <w:ind w:firstLine="435"/>
        <w:rPr>
          <w:rFonts w:hint="eastAsia" w:ascii="宋体" w:hAnsi="宋体" w:cs="宋体"/>
          <w:color w:val="auto"/>
          <w:sz w:val="22"/>
          <w:szCs w:val="22"/>
          <w:u w:val="single"/>
        </w:rPr>
      </w:pPr>
      <w:r>
        <w:rPr>
          <w:rFonts w:hint="eastAsia" w:ascii="宋体" w:hAnsi="宋体" w:cs="宋体"/>
          <w:color w:val="auto"/>
          <w:sz w:val="22"/>
          <w:szCs w:val="22"/>
        </w:rPr>
        <w:t xml:space="preserve">   传真</w:t>
      </w:r>
      <w:r>
        <w:rPr>
          <w:rFonts w:hint="eastAsia" w:ascii="宋体" w:hAnsi="宋体" w:cs="宋体"/>
          <w:color w:val="auto"/>
          <w:sz w:val="22"/>
          <w:szCs w:val="22"/>
          <w:u w:val="single"/>
        </w:rPr>
        <w:t xml:space="preserve">                           </w:t>
      </w:r>
    </w:p>
    <w:p w14:paraId="5532734A">
      <w:pPr>
        <w:spacing w:line="440" w:lineRule="exact"/>
        <w:ind w:firstLine="770" w:firstLineChars="350"/>
        <w:rPr>
          <w:rFonts w:hint="eastAsia" w:ascii="宋体" w:hAnsi="宋体" w:cs="宋体"/>
          <w:color w:val="auto"/>
          <w:sz w:val="22"/>
          <w:szCs w:val="22"/>
          <w:u w:val="single"/>
        </w:rPr>
      </w:pPr>
      <w:r>
        <w:rPr>
          <w:rFonts w:hint="eastAsia" w:ascii="宋体" w:hAnsi="宋体" w:cs="宋体"/>
          <w:color w:val="auto"/>
          <w:sz w:val="22"/>
          <w:szCs w:val="22"/>
        </w:rPr>
        <w:t>电子邮件</w:t>
      </w:r>
      <w:r>
        <w:rPr>
          <w:rFonts w:hint="eastAsia" w:ascii="宋体" w:hAnsi="宋体" w:cs="宋体"/>
          <w:color w:val="auto"/>
          <w:sz w:val="22"/>
          <w:szCs w:val="22"/>
          <w:u w:val="single"/>
        </w:rPr>
        <w:t xml:space="preserve">                           </w:t>
      </w:r>
    </w:p>
    <w:p w14:paraId="2BEE2923">
      <w:pPr>
        <w:spacing w:line="440" w:lineRule="exact"/>
        <w:ind w:firstLine="435"/>
        <w:rPr>
          <w:rFonts w:hint="eastAsia" w:ascii="宋体" w:hAnsi="宋体" w:cs="宋体"/>
          <w:color w:val="auto"/>
          <w:sz w:val="22"/>
          <w:szCs w:val="22"/>
        </w:rPr>
      </w:pPr>
    </w:p>
    <w:p w14:paraId="06EFBD05">
      <w:pPr>
        <w:spacing w:line="440" w:lineRule="exact"/>
        <w:ind w:firstLine="4180" w:firstLineChars="1900"/>
        <w:rPr>
          <w:rFonts w:hint="eastAsia" w:ascii="宋体" w:hAnsi="宋体" w:cs="宋体"/>
          <w:color w:val="auto"/>
          <w:sz w:val="22"/>
          <w:szCs w:val="22"/>
        </w:rPr>
      </w:pPr>
      <w:bookmarkStart w:id="66" w:name="_Toc218392089"/>
      <w:bookmarkStart w:id="67" w:name="_Toc195336280"/>
      <w:bookmarkStart w:id="68" w:name="_Toc230773785"/>
      <w:r>
        <w:rPr>
          <w:rFonts w:hint="eastAsia" w:ascii="宋体" w:hAnsi="宋体" w:cs="宋体"/>
          <w:color w:val="auto"/>
          <w:sz w:val="22"/>
          <w:szCs w:val="22"/>
        </w:rPr>
        <w:t>投标人名称</w:t>
      </w:r>
      <w:r>
        <w:rPr>
          <w:rFonts w:hint="eastAsia" w:ascii="宋体" w:hAnsi="宋体" w:cs="宋体"/>
          <w:color w:val="auto"/>
          <w:sz w:val="22"/>
          <w:szCs w:val="22"/>
          <w:u w:val="single"/>
        </w:rPr>
        <w:t xml:space="preserve">                           </w:t>
      </w:r>
    </w:p>
    <w:p w14:paraId="6253744D">
      <w:pPr>
        <w:spacing w:line="440" w:lineRule="exact"/>
        <w:ind w:firstLine="435"/>
        <w:rPr>
          <w:rFonts w:hint="eastAsia" w:ascii="宋体" w:hAnsi="宋体" w:cs="宋体"/>
          <w:color w:val="auto"/>
          <w:sz w:val="22"/>
          <w:szCs w:val="22"/>
        </w:rPr>
      </w:pPr>
      <w:r>
        <w:rPr>
          <w:rFonts w:hint="eastAsia" w:ascii="宋体" w:hAnsi="宋体" w:cs="宋体"/>
          <w:color w:val="auto"/>
          <w:sz w:val="22"/>
          <w:szCs w:val="22"/>
        </w:rPr>
        <w:t xml:space="preserve">                                   公章</w:t>
      </w:r>
      <w:r>
        <w:rPr>
          <w:rFonts w:hint="eastAsia" w:ascii="宋体" w:hAnsi="宋体" w:cs="宋体"/>
          <w:color w:val="auto"/>
          <w:sz w:val="22"/>
          <w:szCs w:val="22"/>
          <w:u w:val="single"/>
        </w:rPr>
        <w:t xml:space="preserve">（电子签名/公章）                        </w:t>
      </w:r>
    </w:p>
    <w:p w14:paraId="26EBA54A">
      <w:pPr>
        <w:spacing w:line="440" w:lineRule="exact"/>
        <w:ind w:firstLine="435"/>
        <w:rPr>
          <w:rFonts w:hint="eastAsia" w:ascii="宋体" w:hAnsi="宋体" w:cs="宋体"/>
          <w:color w:val="auto"/>
          <w:sz w:val="22"/>
          <w:szCs w:val="22"/>
          <w:u w:val="single"/>
        </w:rPr>
      </w:pPr>
      <w:r>
        <w:rPr>
          <w:rFonts w:hint="eastAsia" w:ascii="宋体" w:hAnsi="宋体" w:cs="宋体"/>
          <w:color w:val="auto"/>
          <w:sz w:val="22"/>
          <w:szCs w:val="22"/>
        </w:rPr>
        <w:t xml:space="preserve">                                   日期</w:t>
      </w:r>
      <w:r>
        <w:rPr>
          <w:rFonts w:hint="eastAsia" w:ascii="宋体" w:hAnsi="宋体" w:cs="宋体"/>
          <w:color w:val="auto"/>
          <w:sz w:val="22"/>
          <w:szCs w:val="22"/>
          <w:u w:val="single"/>
        </w:rPr>
        <w:t xml:space="preserve">                           </w:t>
      </w:r>
    </w:p>
    <w:p w14:paraId="786B5F7A">
      <w:pPr>
        <w:spacing w:line="440" w:lineRule="exact"/>
        <w:ind w:firstLine="435"/>
        <w:rPr>
          <w:rFonts w:hint="eastAsia" w:ascii="宋体" w:hAnsi="宋体" w:cs="宋体"/>
          <w:color w:val="auto"/>
          <w:sz w:val="22"/>
          <w:szCs w:val="22"/>
          <w:u w:val="single"/>
        </w:rPr>
      </w:pPr>
    </w:p>
    <w:p w14:paraId="7C38D1BB">
      <w:pPr>
        <w:spacing w:line="440" w:lineRule="exact"/>
        <w:ind w:firstLine="435"/>
        <w:rPr>
          <w:rFonts w:hint="eastAsia" w:ascii="宋体" w:hAnsi="宋体" w:cs="宋体"/>
          <w:color w:val="auto"/>
          <w:sz w:val="22"/>
          <w:szCs w:val="22"/>
          <w:u w:val="single"/>
        </w:rPr>
      </w:pPr>
    </w:p>
    <w:p w14:paraId="477066B7">
      <w:pPr>
        <w:spacing w:line="440" w:lineRule="exact"/>
        <w:ind w:firstLine="435"/>
        <w:rPr>
          <w:rFonts w:hint="eastAsia" w:ascii="宋体" w:hAnsi="宋体" w:cs="宋体"/>
          <w:color w:val="auto"/>
          <w:sz w:val="22"/>
          <w:szCs w:val="22"/>
          <w:u w:val="single"/>
        </w:rPr>
      </w:pPr>
    </w:p>
    <w:p w14:paraId="1BC3B92E">
      <w:pPr>
        <w:pStyle w:val="5"/>
        <w:spacing w:line="240" w:lineRule="auto"/>
        <w:rPr>
          <w:rFonts w:hint="eastAsia" w:ascii="宋体" w:hAnsi="宋体" w:eastAsia="宋体" w:cs="宋体"/>
          <w:color w:val="auto"/>
          <w:sz w:val="24"/>
          <w:szCs w:val="24"/>
        </w:rPr>
      </w:pPr>
      <w:bookmarkStart w:id="69" w:name="_Toc8073"/>
      <w:r>
        <w:rPr>
          <w:rFonts w:hint="eastAsia" w:ascii="宋体" w:hAnsi="宋体" w:eastAsia="宋体" w:cs="宋体"/>
          <w:color w:val="auto"/>
          <w:sz w:val="24"/>
          <w:szCs w:val="24"/>
        </w:rPr>
        <w:t>附件二</w:t>
      </w:r>
      <w:bookmarkEnd w:id="66"/>
      <w:bookmarkEnd w:id="67"/>
      <w:r>
        <w:rPr>
          <w:rFonts w:hint="eastAsia" w:ascii="宋体" w:hAnsi="宋体" w:eastAsia="宋体" w:cs="宋体"/>
          <w:color w:val="auto"/>
          <w:sz w:val="24"/>
          <w:szCs w:val="24"/>
        </w:rPr>
        <w:t xml:space="preserve"> 投标报价一览表</w:t>
      </w:r>
      <w:bookmarkEnd w:id="68"/>
      <w:bookmarkEnd w:id="69"/>
    </w:p>
    <w:p w14:paraId="59ABDA69">
      <w:pPr>
        <w:pStyle w:val="19"/>
        <w:rPr>
          <w:color w:val="auto"/>
        </w:rPr>
      </w:pPr>
    </w:p>
    <w:p w14:paraId="1224981C">
      <w:pPr>
        <w:spacing w:line="400" w:lineRule="exact"/>
        <w:jc w:val="center"/>
        <w:rPr>
          <w:rFonts w:hint="eastAsia" w:ascii="宋体" w:hAnsi="宋体" w:cs="宋体"/>
          <w:b/>
          <w:bCs/>
          <w:color w:val="auto"/>
          <w:sz w:val="28"/>
          <w:szCs w:val="28"/>
        </w:rPr>
      </w:pPr>
      <w:bookmarkStart w:id="70" w:name="_Toc195336281"/>
      <w:bookmarkStart w:id="71" w:name="_Toc345161250"/>
      <w:bookmarkStart w:id="72" w:name="_Toc218392090"/>
      <w:bookmarkStart w:id="73" w:name="_Toc230773786"/>
      <w:bookmarkStart w:id="74" w:name="_Toc230773789"/>
      <w:r>
        <w:rPr>
          <w:rFonts w:hint="eastAsia" w:ascii="宋体" w:hAnsi="宋体" w:cs="宋体"/>
          <w:b/>
          <w:bCs/>
          <w:color w:val="auto"/>
          <w:sz w:val="28"/>
          <w:szCs w:val="28"/>
        </w:rPr>
        <w:t>投标报价一览表</w:t>
      </w:r>
    </w:p>
    <w:p w14:paraId="4308536A">
      <w:pPr>
        <w:spacing w:line="380" w:lineRule="exact"/>
        <w:jc w:val="center"/>
        <w:rPr>
          <w:rFonts w:hint="eastAsia" w:ascii="宋体" w:hAnsi="宋体" w:cs="宋体"/>
          <w:b/>
          <w:bCs/>
          <w:color w:val="auto"/>
          <w:sz w:val="28"/>
        </w:rPr>
      </w:pPr>
    </w:p>
    <w:p w14:paraId="6AF40918">
      <w:pPr>
        <w:spacing w:line="380" w:lineRule="exact"/>
        <w:rPr>
          <w:rFonts w:hint="eastAsia" w:ascii="宋体" w:hAnsi="宋体" w:cs="宋体"/>
          <w:b/>
          <w:bCs/>
          <w:color w:val="auto"/>
          <w:sz w:val="22"/>
          <w:szCs w:val="22"/>
        </w:rPr>
      </w:pPr>
      <w:r>
        <w:rPr>
          <w:rFonts w:hint="eastAsia" w:ascii="宋体" w:hAnsi="宋体" w:cs="宋体"/>
          <w:b/>
          <w:bCs/>
          <w:color w:val="auto"/>
          <w:sz w:val="22"/>
          <w:szCs w:val="22"/>
        </w:rPr>
        <w:t>项目名称：                                    项目编号：</w:t>
      </w:r>
    </w:p>
    <w:tbl>
      <w:tblPr>
        <w:tblStyle w:val="3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1984"/>
        <w:gridCol w:w="5955"/>
        <w:gridCol w:w="1082"/>
      </w:tblGrid>
      <w:tr w14:paraId="3C3F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21" w:type="pct"/>
            <w:vAlign w:val="center"/>
          </w:tcPr>
          <w:p w14:paraId="70B18385">
            <w:pPr>
              <w:spacing w:line="380" w:lineRule="exact"/>
              <w:jc w:val="center"/>
              <w:rPr>
                <w:rFonts w:hint="eastAsia" w:ascii="宋体" w:hAnsi="宋体"/>
                <w:b/>
                <w:bCs/>
                <w:color w:val="auto"/>
                <w:sz w:val="22"/>
                <w:szCs w:val="22"/>
              </w:rPr>
            </w:pPr>
            <w:r>
              <w:rPr>
                <w:rFonts w:hint="eastAsia" w:ascii="宋体" w:hAnsi="宋体"/>
                <w:b/>
                <w:bCs/>
                <w:color w:val="auto"/>
                <w:sz w:val="22"/>
                <w:szCs w:val="22"/>
              </w:rPr>
              <w:t>序号</w:t>
            </w:r>
          </w:p>
        </w:tc>
        <w:tc>
          <w:tcPr>
            <w:tcW w:w="1007" w:type="pct"/>
            <w:vAlign w:val="center"/>
          </w:tcPr>
          <w:p w14:paraId="7699CA46">
            <w:pPr>
              <w:spacing w:line="380" w:lineRule="exact"/>
              <w:jc w:val="center"/>
              <w:rPr>
                <w:rFonts w:hint="eastAsia" w:ascii="宋体" w:hAnsi="宋体"/>
                <w:b/>
                <w:bCs/>
                <w:color w:val="auto"/>
                <w:sz w:val="22"/>
                <w:szCs w:val="22"/>
              </w:rPr>
            </w:pPr>
            <w:r>
              <w:rPr>
                <w:rFonts w:hint="eastAsia" w:ascii="宋体" w:hAnsi="宋体"/>
                <w:b/>
                <w:bCs/>
                <w:color w:val="auto"/>
                <w:sz w:val="22"/>
                <w:szCs w:val="22"/>
              </w:rPr>
              <w:t>项目名称</w:t>
            </w:r>
          </w:p>
        </w:tc>
        <w:tc>
          <w:tcPr>
            <w:tcW w:w="3022" w:type="pct"/>
            <w:vAlign w:val="center"/>
          </w:tcPr>
          <w:p w14:paraId="44031E0E">
            <w:pPr>
              <w:spacing w:line="380" w:lineRule="exact"/>
              <w:jc w:val="center"/>
              <w:rPr>
                <w:rFonts w:hint="eastAsia" w:ascii="宋体" w:hAnsi="宋体"/>
                <w:b/>
                <w:bCs/>
                <w:color w:val="auto"/>
                <w:sz w:val="22"/>
                <w:szCs w:val="22"/>
              </w:rPr>
            </w:pPr>
            <w:r>
              <w:rPr>
                <w:rFonts w:hint="eastAsia" w:ascii="宋体" w:hAnsi="宋体"/>
                <w:b/>
                <w:bCs/>
                <w:color w:val="auto"/>
                <w:sz w:val="22"/>
                <w:szCs w:val="22"/>
              </w:rPr>
              <w:t>投标报价</w:t>
            </w:r>
          </w:p>
        </w:tc>
        <w:tc>
          <w:tcPr>
            <w:tcW w:w="549" w:type="pct"/>
            <w:vAlign w:val="center"/>
          </w:tcPr>
          <w:p w14:paraId="013B9372">
            <w:pPr>
              <w:spacing w:line="380" w:lineRule="exact"/>
              <w:jc w:val="center"/>
              <w:rPr>
                <w:rFonts w:hint="eastAsia" w:ascii="宋体" w:hAnsi="宋体"/>
                <w:b/>
                <w:bCs/>
                <w:color w:val="auto"/>
                <w:sz w:val="22"/>
                <w:szCs w:val="22"/>
              </w:rPr>
            </w:pPr>
            <w:r>
              <w:rPr>
                <w:rFonts w:hint="eastAsia" w:ascii="宋体" w:hAnsi="宋体"/>
                <w:b/>
                <w:bCs/>
                <w:color w:val="auto"/>
                <w:sz w:val="22"/>
                <w:szCs w:val="22"/>
              </w:rPr>
              <w:t>备注</w:t>
            </w:r>
          </w:p>
        </w:tc>
      </w:tr>
      <w:tr w14:paraId="264F3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trPr>
        <w:tc>
          <w:tcPr>
            <w:tcW w:w="421" w:type="pct"/>
            <w:vMerge w:val="restart"/>
            <w:vAlign w:val="center"/>
          </w:tcPr>
          <w:p w14:paraId="63303DDE">
            <w:pPr>
              <w:spacing w:line="380" w:lineRule="exact"/>
              <w:jc w:val="center"/>
              <w:rPr>
                <w:rFonts w:hint="eastAsia" w:ascii="宋体" w:hAnsi="宋体"/>
                <w:bCs/>
                <w:color w:val="auto"/>
                <w:sz w:val="22"/>
                <w:szCs w:val="22"/>
              </w:rPr>
            </w:pPr>
            <w:r>
              <w:rPr>
                <w:rFonts w:hint="eastAsia" w:ascii="宋体" w:hAnsi="宋体"/>
                <w:bCs/>
                <w:color w:val="auto"/>
                <w:sz w:val="22"/>
                <w:szCs w:val="22"/>
              </w:rPr>
              <w:t>1</w:t>
            </w:r>
          </w:p>
        </w:tc>
        <w:tc>
          <w:tcPr>
            <w:tcW w:w="1007" w:type="pct"/>
            <w:vMerge w:val="restart"/>
            <w:vAlign w:val="center"/>
          </w:tcPr>
          <w:p w14:paraId="4418E93F">
            <w:pPr>
              <w:spacing w:line="380" w:lineRule="exact"/>
              <w:jc w:val="center"/>
              <w:rPr>
                <w:rFonts w:hint="eastAsia" w:ascii="宋体" w:hAnsi="宋体" w:eastAsia="宋体" w:cs="宋体"/>
                <w:color w:val="auto"/>
                <w:sz w:val="22"/>
                <w:szCs w:val="22"/>
                <w:lang w:eastAsia="zh-CN"/>
              </w:rPr>
            </w:pPr>
            <w:r>
              <w:rPr>
                <w:rFonts w:hint="eastAsia" w:ascii="宋体" w:hAnsi="宋体" w:cs="宋体"/>
                <w:color w:val="auto"/>
                <w:sz w:val="22"/>
                <w:szCs w:val="22"/>
                <w:lang w:eastAsia="zh-CN"/>
              </w:rPr>
              <w:t>12#楼宿舍等家具采购</w:t>
            </w:r>
          </w:p>
        </w:tc>
        <w:tc>
          <w:tcPr>
            <w:tcW w:w="3022" w:type="pct"/>
            <w:vAlign w:val="center"/>
          </w:tcPr>
          <w:p w14:paraId="3A8176F4">
            <w:pPr>
              <w:spacing w:line="380" w:lineRule="exact"/>
              <w:rPr>
                <w:rFonts w:hint="eastAsia" w:ascii="宋体" w:hAnsi="宋体"/>
                <w:bCs/>
                <w:color w:val="auto"/>
                <w:sz w:val="22"/>
                <w:szCs w:val="22"/>
              </w:rPr>
            </w:pPr>
            <w:r>
              <w:rPr>
                <w:rFonts w:hint="eastAsia" w:ascii="宋体" w:hAnsi="宋体"/>
                <w:bCs/>
                <w:color w:val="auto"/>
                <w:sz w:val="22"/>
                <w:szCs w:val="22"/>
              </w:rPr>
              <w:t>小写：￥</w:t>
            </w:r>
          </w:p>
        </w:tc>
        <w:tc>
          <w:tcPr>
            <w:tcW w:w="549" w:type="pct"/>
            <w:vMerge w:val="restart"/>
            <w:vAlign w:val="center"/>
          </w:tcPr>
          <w:p w14:paraId="3DBCC819">
            <w:pPr>
              <w:spacing w:line="380" w:lineRule="exact"/>
              <w:jc w:val="center"/>
              <w:rPr>
                <w:rFonts w:hint="eastAsia" w:ascii="宋体" w:hAnsi="宋体"/>
                <w:bCs/>
                <w:color w:val="auto"/>
                <w:sz w:val="22"/>
                <w:szCs w:val="22"/>
              </w:rPr>
            </w:pPr>
          </w:p>
        </w:tc>
      </w:tr>
      <w:tr w14:paraId="1B1E7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421" w:type="pct"/>
            <w:vMerge w:val="continue"/>
            <w:vAlign w:val="center"/>
          </w:tcPr>
          <w:p w14:paraId="77CAFCFE">
            <w:pPr>
              <w:spacing w:line="380" w:lineRule="exact"/>
              <w:jc w:val="center"/>
              <w:rPr>
                <w:rFonts w:hint="eastAsia" w:ascii="宋体" w:hAnsi="宋体" w:cs="宋体"/>
                <w:color w:val="auto"/>
                <w:sz w:val="22"/>
                <w:szCs w:val="22"/>
              </w:rPr>
            </w:pPr>
          </w:p>
        </w:tc>
        <w:tc>
          <w:tcPr>
            <w:tcW w:w="1007" w:type="pct"/>
            <w:vMerge w:val="continue"/>
            <w:vAlign w:val="center"/>
          </w:tcPr>
          <w:p w14:paraId="2E836AF1">
            <w:pPr>
              <w:spacing w:line="380" w:lineRule="exact"/>
              <w:jc w:val="center"/>
              <w:rPr>
                <w:rFonts w:hint="eastAsia" w:ascii="宋体" w:hAnsi="宋体" w:cs="宋体"/>
                <w:color w:val="auto"/>
                <w:sz w:val="22"/>
                <w:szCs w:val="22"/>
              </w:rPr>
            </w:pPr>
          </w:p>
        </w:tc>
        <w:tc>
          <w:tcPr>
            <w:tcW w:w="3022" w:type="pct"/>
            <w:vAlign w:val="center"/>
          </w:tcPr>
          <w:p w14:paraId="79410715">
            <w:pPr>
              <w:spacing w:line="380" w:lineRule="exact"/>
              <w:rPr>
                <w:rFonts w:hint="eastAsia" w:ascii="宋体" w:hAnsi="宋体"/>
                <w:bCs/>
                <w:color w:val="auto"/>
                <w:sz w:val="22"/>
                <w:szCs w:val="22"/>
              </w:rPr>
            </w:pPr>
            <w:r>
              <w:rPr>
                <w:rFonts w:hint="eastAsia" w:ascii="宋体" w:hAnsi="宋体"/>
                <w:bCs/>
                <w:color w:val="auto"/>
                <w:sz w:val="22"/>
                <w:szCs w:val="22"/>
              </w:rPr>
              <w:t>大写：人民币</w:t>
            </w:r>
          </w:p>
        </w:tc>
        <w:tc>
          <w:tcPr>
            <w:tcW w:w="549" w:type="pct"/>
            <w:vMerge w:val="continue"/>
            <w:vAlign w:val="center"/>
          </w:tcPr>
          <w:p w14:paraId="0D626453">
            <w:pPr>
              <w:spacing w:line="380" w:lineRule="exact"/>
              <w:jc w:val="center"/>
              <w:rPr>
                <w:rFonts w:hint="eastAsia" w:ascii="宋体" w:hAnsi="宋体"/>
                <w:bCs/>
                <w:color w:val="auto"/>
                <w:sz w:val="22"/>
                <w:szCs w:val="22"/>
              </w:rPr>
            </w:pPr>
          </w:p>
        </w:tc>
      </w:tr>
    </w:tbl>
    <w:p w14:paraId="628FC31F">
      <w:pPr>
        <w:spacing w:line="440" w:lineRule="exact"/>
        <w:ind w:left="528" w:leftChars="38" w:hanging="448" w:hangingChars="203"/>
        <w:rPr>
          <w:rFonts w:hint="eastAsia" w:ascii="宋体" w:hAnsi="宋体"/>
          <w:b/>
          <w:bCs/>
          <w:color w:val="auto"/>
          <w:sz w:val="22"/>
          <w:szCs w:val="22"/>
        </w:rPr>
      </w:pPr>
      <w:r>
        <w:rPr>
          <w:rFonts w:hint="eastAsia" w:ascii="宋体" w:hAnsi="宋体" w:cs="宋体"/>
          <w:b/>
          <w:bCs/>
          <w:color w:val="auto"/>
          <w:sz w:val="22"/>
          <w:szCs w:val="22"/>
        </w:rPr>
        <w:t>说明：</w:t>
      </w:r>
      <w:r>
        <w:rPr>
          <w:rFonts w:hint="eastAsia" w:ascii="宋体" w:hAnsi="宋体"/>
          <w:b/>
          <w:bCs/>
          <w:color w:val="auto"/>
          <w:sz w:val="22"/>
          <w:szCs w:val="22"/>
        </w:rPr>
        <w:t>1.此栏内投标报价应与附件三“投标分项报价表”中相应总计价相一致；</w:t>
      </w:r>
    </w:p>
    <w:p w14:paraId="56D86193">
      <w:pPr>
        <w:spacing w:line="440" w:lineRule="exact"/>
        <w:ind w:left="535" w:leftChars="-171" w:hanging="894" w:hangingChars="405"/>
        <w:rPr>
          <w:rFonts w:hint="eastAsia" w:ascii="宋体" w:hAnsi="宋体"/>
          <w:b/>
          <w:bCs/>
          <w:color w:val="auto"/>
          <w:sz w:val="22"/>
          <w:szCs w:val="22"/>
        </w:rPr>
      </w:pPr>
      <w:r>
        <w:rPr>
          <w:rFonts w:hint="eastAsia" w:ascii="宋体" w:hAnsi="宋体"/>
          <w:b/>
          <w:bCs/>
          <w:color w:val="auto"/>
          <w:sz w:val="22"/>
          <w:szCs w:val="22"/>
        </w:rPr>
        <w:t xml:space="preserve">          2.总报价应包括采购代理服务费。</w:t>
      </w:r>
    </w:p>
    <w:p w14:paraId="23F043C1">
      <w:pPr>
        <w:spacing w:line="440" w:lineRule="exact"/>
        <w:ind w:left="481" w:leftChars="229" w:firstLine="221" w:firstLineChars="100"/>
        <w:rPr>
          <w:rFonts w:hint="eastAsia" w:ascii="宋体" w:hAnsi="宋体"/>
          <w:b/>
          <w:bCs/>
          <w:color w:val="auto"/>
          <w:sz w:val="22"/>
          <w:szCs w:val="22"/>
        </w:rPr>
      </w:pPr>
      <w:r>
        <w:rPr>
          <w:rFonts w:hint="eastAsia" w:ascii="宋体" w:hAnsi="宋体"/>
          <w:b/>
          <w:bCs/>
          <w:color w:val="auto"/>
          <w:sz w:val="22"/>
          <w:szCs w:val="22"/>
        </w:rPr>
        <w:t>3.▲</w:t>
      </w:r>
      <w:r>
        <w:rPr>
          <w:rFonts w:hint="eastAsia" w:ascii="宋体" w:hAnsi="宋体"/>
          <w:b/>
          <w:bCs/>
          <w:color w:val="auto"/>
          <w:sz w:val="22"/>
          <w:szCs w:val="22"/>
          <w:u w:val="single"/>
        </w:rPr>
        <w:t>不按规定提供投标报价一览表的投标文件将被视为未实质性响应招标文件</w:t>
      </w:r>
      <w:r>
        <w:rPr>
          <w:rFonts w:hint="eastAsia" w:ascii="宋体" w:hAnsi="宋体"/>
          <w:b/>
          <w:bCs/>
          <w:color w:val="auto"/>
          <w:sz w:val="22"/>
          <w:szCs w:val="22"/>
        </w:rPr>
        <w:t>。</w:t>
      </w:r>
    </w:p>
    <w:p w14:paraId="5BEC3588">
      <w:pPr>
        <w:spacing w:line="440" w:lineRule="exact"/>
        <w:ind w:firstLine="9460" w:firstLineChars="4300"/>
        <w:rPr>
          <w:rFonts w:hint="eastAsia" w:ascii="宋体" w:hAnsi="宋体" w:cs="宋体"/>
          <w:color w:val="auto"/>
          <w:sz w:val="22"/>
          <w:szCs w:val="22"/>
        </w:rPr>
      </w:pPr>
    </w:p>
    <w:p w14:paraId="678BB43E">
      <w:pPr>
        <w:spacing w:line="440" w:lineRule="exact"/>
        <w:ind w:firstLine="9460" w:firstLineChars="4300"/>
        <w:rPr>
          <w:rFonts w:hint="eastAsia" w:ascii="宋体" w:hAnsi="宋体" w:cs="宋体"/>
          <w:color w:val="auto"/>
          <w:sz w:val="22"/>
          <w:szCs w:val="22"/>
        </w:rPr>
      </w:pPr>
    </w:p>
    <w:p w14:paraId="0FAEBF70">
      <w:pPr>
        <w:spacing w:line="440" w:lineRule="exact"/>
        <w:rPr>
          <w:rFonts w:hint="eastAsia" w:ascii="宋体" w:hAnsi="宋体" w:cs="宋体"/>
          <w:color w:val="auto"/>
          <w:sz w:val="22"/>
          <w:szCs w:val="22"/>
        </w:rPr>
      </w:pPr>
      <w:r>
        <w:rPr>
          <w:rFonts w:hint="eastAsia" w:ascii="宋体" w:hAnsi="宋体" w:cs="宋体"/>
          <w:color w:val="auto"/>
          <w:sz w:val="22"/>
          <w:szCs w:val="22"/>
        </w:rPr>
        <w:t>投标人全称（电子签名/公章）：</w:t>
      </w:r>
    </w:p>
    <w:p w14:paraId="2F6ED896">
      <w:pPr>
        <w:spacing w:line="440" w:lineRule="exact"/>
        <w:rPr>
          <w:rFonts w:hint="eastAsia" w:ascii="宋体" w:hAnsi="宋体" w:cs="宋体"/>
          <w:color w:val="auto"/>
          <w:sz w:val="22"/>
          <w:szCs w:val="22"/>
        </w:rPr>
      </w:pPr>
      <w:r>
        <w:rPr>
          <w:rFonts w:hint="eastAsia" w:ascii="宋体" w:hAnsi="宋体" w:cs="宋体"/>
          <w:color w:val="auto"/>
          <w:sz w:val="22"/>
          <w:szCs w:val="22"/>
        </w:rPr>
        <w:t>日 期：       年     月     日</w:t>
      </w:r>
    </w:p>
    <w:p w14:paraId="780A122C">
      <w:pPr>
        <w:spacing w:line="440" w:lineRule="exact"/>
        <w:rPr>
          <w:rFonts w:hint="eastAsia" w:ascii="宋体" w:hAnsi="宋体" w:cs="宋体"/>
          <w:color w:val="auto"/>
          <w:sz w:val="22"/>
          <w:szCs w:val="22"/>
        </w:rPr>
      </w:pPr>
    </w:p>
    <w:p w14:paraId="1EB017E4">
      <w:pPr>
        <w:pStyle w:val="5"/>
        <w:spacing w:line="240" w:lineRule="auto"/>
        <w:rPr>
          <w:rFonts w:hint="eastAsia" w:ascii="宋体" w:hAnsi="宋体" w:eastAsia="宋体"/>
          <w:color w:val="auto"/>
          <w:sz w:val="24"/>
          <w:szCs w:val="24"/>
        </w:rPr>
      </w:pPr>
      <w:bookmarkStart w:id="75" w:name="_Toc340922814"/>
      <w:r>
        <w:rPr>
          <w:rFonts w:ascii="宋体" w:hAnsi="宋体" w:eastAsia="宋体"/>
          <w:color w:val="auto"/>
          <w:sz w:val="24"/>
          <w:szCs w:val="24"/>
        </w:rPr>
        <w:br w:type="page"/>
      </w:r>
      <w:bookmarkStart w:id="76" w:name="_Toc20756"/>
      <w:r>
        <w:rPr>
          <w:rFonts w:hint="eastAsia" w:ascii="宋体" w:hAnsi="宋体" w:eastAsia="宋体"/>
          <w:color w:val="auto"/>
          <w:sz w:val="24"/>
          <w:szCs w:val="24"/>
        </w:rPr>
        <w:t>附件三 投标分项报价表</w:t>
      </w:r>
      <w:bookmarkEnd w:id="75"/>
      <w:bookmarkEnd w:id="76"/>
    </w:p>
    <w:p w14:paraId="06C8024F">
      <w:pPr>
        <w:spacing w:line="440" w:lineRule="exact"/>
        <w:jc w:val="center"/>
        <w:rPr>
          <w:rFonts w:hint="eastAsia" w:ascii="宋体" w:hAnsi="宋体"/>
          <w:bCs/>
          <w:color w:val="auto"/>
          <w:sz w:val="28"/>
          <w:szCs w:val="28"/>
        </w:rPr>
      </w:pPr>
      <w:r>
        <w:rPr>
          <w:rFonts w:hint="eastAsia" w:ascii="宋体" w:hAnsi="宋体"/>
          <w:b/>
          <w:bCs/>
          <w:color w:val="auto"/>
          <w:sz w:val="28"/>
          <w:szCs w:val="28"/>
        </w:rPr>
        <w:t>投标分项报价表</w:t>
      </w:r>
    </w:p>
    <w:p w14:paraId="34DC1CA9">
      <w:pPr>
        <w:spacing w:line="380" w:lineRule="exact"/>
        <w:rPr>
          <w:rFonts w:hint="eastAsia" w:ascii="宋体" w:hAnsi="宋体"/>
          <w:b/>
          <w:bCs/>
          <w:color w:val="auto"/>
          <w:sz w:val="22"/>
          <w:szCs w:val="22"/>
        </w:rPr>
      </w:pPr>
      <w:r>
        <w:rPr>
          <w:rFonts w:hint="eastAsia" w:ascii="宋体" w:hAnsi="宋体"/>
          <w:b/>
          <w:bCs/>
          <w:color w:val="auto"/>
          <w:sz w:val="22"/>
          <w:szCs w:val="22"/>
        </w:rPr>
        <w:t>项目名称：                                             项目编号：</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2718"/>
        <w:gridCol w:w="1070"/>
        <w:gridCol w:w="587"/>
        <w:gridCol w:w="877"/>
        <w:gridCol w:w="1264"/>
        <w:gridCol w:w="877"/>
        <w:gridCol w:w="978"/>
        <w:gridCol w:w="836"/>
      </w:tblGrid>
      <w:tr w14:paraId="30DB5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328" w:type="pct"/>
            <w:vAlign w:val="center"/>
          </w:tcPr>
          <w:p w14:paraId="2A1EA9B3">
            <w:pPr>
              <w:spacing w:line="380" w:lineRule="exact"/>
              <w:jc w:val="center"/>
              <w:rPr>
                <w:rFonts w:hint="eastAsia" w:ascii="宋体" w:hAnsi="宋体"/>
                <w:bCs/>
                <w:color w:val="auto"/>
                <w:sz w:val="22"/>
                <w:szCs w:val="22"/>
              </w:rPr>
            </w:pPr>
            <w:r>
              <w:rPr>
                <w:rFonts w:hint="eastAsia" w:ascii="宋体" w:hAnsi="宋体"/>
                <w:bCs/>
                <w:color w:val="auto"/>
                <w:sz w:val="22"/>
                <w:szCs w:val="22"/>
              </w:rPr>
              <w:t>序号</w:t>
            </w:r>
          </w:p>
        </w:tc>
        <w:tc>
          <w:tcPr>
            <w:tcW w:w="1379" w:type="pct"/>
            <w:vAlign w:val="center"/>
          </w:tcPr>
          <w:p w14:paraId="074A4F76">
            <w:pPr>
              <w:spacing w:line="380" w:lineRule="exact"/>
              <w:jc w:val="center"/>
              <w:rPr>
                <w:rFonts w:hint="eastAsia" w:ascii="宋体" w:hAnsi="宋体"/>
                <w:bCs/>
                <w:color w:val="auto"/>
                <w:sz w:val="22"/>
                <w:szCs w:val="22"/>
              </w:rPr>
            </w:pPr>
            <w:r>
              <w:rPr>
                <w:rFonts w:hint="eastAsia" w:ascii="宋体" w:hAnsi="宋体"/>
                <w:bCs/>
                <w:color w:val="auto"/>
                <w:sz w:val="22"/>
                <w:szCs w:val="22"/>
              </w:rPr>
              <w:t>项目内容</w:t>
            </w:r>
          </w:p>
        </w:tc>
        <w:tc>
          <w:tcPr>
            <w:tcW w:w="543" w:type="pct"/>
            <w:vAlign w:val="center"/>
          </w:tcPr>
          <w:p w14:paraId="2BA5A69F">
            <w:pPr>
              <w:spacing w:line="380" w:lineRule="exact"/>
              <w:jc w:val="center"/>
              <w:rPr>
                <w:rFonts w:hint="eastAsia" w:ascii="宋体" w:hAnsi="宋体"/>
                <w:bCs/>
                <w:color w:val="auto"/>
                <w:sz w:val="22"/>
                <w:szCs w:val="22"/>
              </w:rPr>
            </w:pPr>
            <w:r>
              <w:rPr>
                <w:rFonts w:hint="eastAsia" w:ascii="宋体" w:hAnsi="宋体"/>
                <w:bCs/>
                <w:color w:val="auto"/>
                <w:sz w:val="22"/>
                <w:szCs w:val="22"/>
              </w:rPr>
              <w:t>型号和规格</w:t>
            </w:r>
          </w:p>
        </w:tc>
        <w:tc>
          <w:tcPr>
            <w:tcW w:w="298" w:type="pct"/>
            <w:vAlign w:val="center"/>
          </w:tcPr>
          <w:p w14:paraId="6BD67D0C">
            <w:pPr>
              <w:spacing w:line="380" w:lineRule="exact"/>
              <w:jc w:val="center"/>
              <w:rPr>
                <w:rFonts w:hint="eastAsia" w:ascii="宋体" w:hAnsi="宋体"/>
                <w:bCs/>
                <w:color w:val="auto"/>
                <w:sz w:val="22"/>
                <w:szCs w:val="22"/>
              </w:rPr>
            </w:pPr>
            <w:r>
              <w:rPr>
                <w:rFonts w:hint="eastAsia" w:ascii="宋体" w:hAnsi="宋体"/>
                <w:bCs/>
                <w:color w:val="auto"/>
                <w:sz w:val="22"/>
                <w:szCs w:val="22"/>
              </w:rPr>
              <w:t>数量</w:t>
            </w:r>
          </w:p>
        </w:tc>
        <w:tc>
          <w:tcPr>
            <w:tcW w:w="445" w:type="pct"/>
            <w:vAlign w:val="center"/>
          </w:tcPr>
          <w:p w14:paraId="278AFDD2">
            <w:pPr>
              <w:spacing w:line="380" w:lineRule="exact"/>
              <w:jc w:val="center"/>
              <w:rPr>
                <w:rFonts w:hint="eastAsia" w:ascii="宋体" w:hAnsi="宋体"/>
                <w:bCs/>
                <w:color w:val="auto"/>
                <w:sz w:val="22"/>
                <w:szCs w:val="22"/>
              </w:rPr>
            </w:pPr>
            <w:r>
              <w:rPr>
                <w:rFonts w:hint="eastAsia" w:ascii="宋体" w:hAnsi="宋体"/>
                <w:bCs/>
                <w:color w:val="auto"/>
                <w:sz w:val="22"/>
                <w:szCs w:val="22"/>
              </w:rPr>
              <w:t>产地</w:t>
            </w:r>
          </w:p>
        </w:tc>
        <w:tc>
          <w:tcPr>
            <w:tcW w:w="641" w:type="pct"/>
            <w:vAlign w:val="center"/>
          </w:tcPr>
          <w:p w14:paraId="35D27EEE">
            <w:pPr>
              <w:spacing w:line="380" w:lineRule="exact"/>
              <w:jc w:val="center"/>
              <w:rPr>
                <w:rFonts w:hint="eastAsia" w:ascii="宋体" w:hAnsi="宋体"/>
                <w:bCs/>
                <w:color w:val="auto"/>
                <w:sz w:val="22"/>
                <w:szCs w:val="22"/>
              </w:rPr>
            </w:pPr>
            <w:r>
              <w:rPr>
                <w:rFonts w:hint="eastAsia" w:ascii="宋体" w:hAnsi="宋体"/>
                <w:bCs/>
                <w:color w:val="auto"/>
                <w:sz w:val="22"/>
                <w:szCs w:val="22"/>
              </w:rPr>
              <w:t>制造商名称</w:t>
            </w:r>
          </w:p>
        </w:tc>
        <w:tc>
          <w:tcPr>
            <w:tcW w:w="445" w:type="pct"/>
            <w:vAlign w:val="center"/>
          </w:tcPr>
          <w:p w14:paraId="0368AB2C">
            <w:pPr>
              <w:spacing w:line="380" w:lineRule="exact"/>
              <w:jc w:val="center"/>
              <w:rPr>
                <w:rFonts w:hint="eastAsia" w:ascii="宋体" w:hAnsi="宋体"/>
                <w:bCs/>
                <w:color w:val="auto"/>
                <w:sz w:val="22"/>
                <w:szCs w:val="22"/>
              </w:rPr>
            </w:pPr>
            <w:r>
              <w:rPr>
                <w:rFonts w:hint="eastAsia" w:ascii="宋体" w:hAnsi="宋体"/>
                <w:bCs/>
                <w:color w:val="auto"/>
                <w:sz w:val="22"/>
                <w:szCs w:val="22"/>
              </w:rPr>
              <w:t>单价（元）</w:t>
            </w:r>
          </w:p>
        </w:tc>
        <w:tc>
          <w:tcPr>
            <w:tcW w:w="494" w:type="pct"/>
            <w:vAlign w:val="center"/>
          </w:tcPr>
          <w:p w14:paraId="5EB9F9DE">
            <w:pPr>
              <w:spacing w:line="380" w:lineRule="exact"/>
              <w:jc w:val="center"/>
              <w:rPr>
                <w:rFonts w:hint="eastAsia" w:ascii="宋体" w:hAnsi="宋体"/>
                <w:bCs/>
                <w:color w:val="auto"/>
                <w:sz w:val="22"/>
                <w:szCs w:val="22"/>
              </w:rPr>
            </w:pPr>
            <w:r>
              <w:rPr>
                <w:rFonts w:hint="eastAsia" w:ascii="宋体" w:hAnsi="宋体"/>
                <w:bCs/>
                <w:color w:val="auto"/>
                <w:sz w:val="22"/>
                <w:szCs w:val="22"/>
              </w:rPr>
              <w:t>合价（元）</w:t>
            </w:r>
          </w:p>
        </w:tc>
        <w:tc>
          <w:tcPr>
            <w:tcW w:w="423" w:type="pct"/>
            <w:vAlign w:val="center"/>
          </w:tcPr>
          <w:p w14:paraId="4B339FB9">
            <w:pPr>
              <w:spacing w:line="380" w:lineRule="exact"/>
              <w:jc w:val="center"/>
              <w:rPr>
                <w:rFonts w:hint="eastAsia" w:ascii="宋体" w:hAnsi="宋体"/>
                <w:bCs/>
                <w:color w:val="auto"/>
                <w:sz w:val="22"/>
                <w:szCs w:val="22"/>
              </w:rPr>
            </w:pPr>
            <w:r>
              <w:rPr>
                <w:rFonts w:hint="eastAsia" w:ascii="宋体" w:hAnsi="宋体"/>
                <w:bCs/>
                <w:color w:val="auto"/>
                <w:sz w:val="22"/>
                <w:szCs w:val="22"/>
              </w:rPr>
              <w:t>备注</w:t>
            </w:r>
          </w:p>
        </w:tc>
      </w:tr>
      <w:tr w14:paraId="5E1D7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 w:type="pct"/>
            <w:vAlign w:val="center"/>
          </w:tcPr>
          <w:p w14:paraId="6260455C">
            <w:pPr>
              <w:spacing w:line="380" w:lineRule="exact"/>
              <w:jc w:val="center"/>
              <w:rPr>
                <w:rFonts w:hint="eastAsia" w:ascii="宋体" w:hAnsi="宋体"/>
                <w:bCs/>
                <w:color w:val="auto"/>
                <w:sz w:val="22"/>
                <w:szCs w:val="22"/>
              </w:rPr>
            </w:pPr>
            <w:r>
              <w:rPr>
                <w:rFonts w:hint="eastAsia" w:ascii="宋体" w:hAnsi="宋体"/>
                <w:bCs/>
                <w:color w:val="auto"/>
                <w:sz w:val="22"/>
                <w:szCs w:val="22"/>
              </w:rPr>
              <w:t>1</w:t>
            </w:r>
          </w:p>
        </w:tc>
        <w:tc>
          <w:tcPr>
            <w:tcW w:w="1379" w:type="pct"/>
          </w:tcPr>
          <w:p w14:paraId="66A6B75D">
            <w:pPr>
              <w:spacing w:line="400" w:lineRule="exact"/>
              <w:rPr>
                <w:rFonts w:hint="eastAsia" w:ascii="宋体" w:hAnsi="宋体"/>
                <w:color w:val="auto"/>
                <w:sz w:val="22"/>
                <w:szCs w:val="22"/>
              </w:rPr>
            </w:pPr>
            <w:r>
              <w:rPr>
                <w:rFonts w:hint="eastAsia" w:ascii="宋体" w:hAnsi="宋体"/>
                <w:color w:val="auto"/>
                <w:sz w:val="22"/>
                <w:szCs w:val="22"/>
              </w:rPr>
              <w:t>主要货物（根据供货清单详细分项列出）(含税)</w:t>
            </w:r>
          </w:p>
        </w:tc>
        <w:tc>
          <w:tcPr>
            <w:tcW w:w="543" w:type="pct"/>
            <w:vAlign w:val="center"/>
          </w:tcPr>
          <w:p w14:paraId="53281BE5">
            <w:pPr>
              <w:spacing w:line="380" w:lineRule="exact"/>
              <w:jc w:val="center"/>
              <w:rPr>
                <w:rFonts w:hint="eastAsia" w:ascii="宋体" w:hAnsi="宋体"/>
                <w:bCs/>
                <w:color w:val="auto"/>
                <w:sz w:val="22"/>
                <w:szCs w:val="22"/>
              </w:rPr>
            </w:pPr>
          </w:p>
        </w:tc>
        <w:tc>
          <w:tcPr>
            <w:tcW w:w="298" w:type="pct"/>
            <w:vAlign w:val="center"/>
          </w:tcPr>
          <w:p w14:paraId="6039FA84">
            <w:pPr>
              <w:spacing w:line="380" w:lineRule="exact"/>
              <w:jc w:val="center"/>
              <w:rPr>
                <w:rFonts w:hint="eastAsia" w:ascii="宋体" w:hAnsi="宋体"/>
                <w:bCs/>
                <w:color w:val="auto"/>
                <w:sz w:val="22"/>
                <w:szCs w:val="22"/>
              </w:rPr>
            </w:pPr>
          </w:p>
        </w:tc>
        <w:tc>
          <w:tcPr>
            <w:tcW w:w="445" w:type="pct"/>
            <w:vAlign w:val="center"/>
          </w:tcPr>
          <w:p w14:paraId="47297714">
            <w:pPr>
              <w:spacing w:line="380" w:lineRule="exact"/>
              <w:jc w:val="center"/>
              <w:rPr>
                <w:rFonts w:hint="eastAsia" w:ascii="宋体" w:hAnsi="宋体"/>
                <w:bCs/>
                <w:color w:val="auto"/>
                <w:sz w:val="22"/>
                <w:szCs w:val="22"/>
              </w:rPr>
            </w:pPr>
          </w:p>
        </w:tc>
        <w:tc>
          <w:tcPr>
            <w:tcW w:w="641" w:type="pct"/>
            <w:vAlign w:val="center"/>
          </w:tcPr>
          <w:p w14:paraId="2EC8F1A3">
            <w:pPr>
              <w:spacing w:line="380" w:lineRule="exact"/>
              <w:jc w:val="center"/>
              <w:rPr>
                <w:rFonts w:hint="eastAsia" w:ascii="宋体" w:hAnsi="宋体"/>
                <w:bCs/>
                <w:color w:val="auto"/>
                <w:sz w:val="22"/>
                <w:szCs w:val="22"/>
              </w:rPr>
            </w:pPr>
          </w:p>
        </w:tc>
        <w:tc>
          <w:tcPr>
            <w:tcW w:w="445" w:type="pct"/>
            <w:vAlign w:val="center"/>
          </w:tcPr>
          <w:p w14:paraId="273AB8BB">
            <w:pPr>
              <w:spacing w:line="380" w:lineRule="exact"/>
              <w:jc w:val="center"/>
              <w:rPr>
                <w:rFonts w:hint="eastAsia" w:ascii="宋体" w:hAnsi="宋体"/>
                <w:bCs/>
                <w:color w:val="auto"/>
                <w:sz w:val="22"/>
                <w:szCs w:val="22"/>
              </w:rPr>
            </w:pPr>
          </w:p>
        </w:tc>
        <w:tc>
          <w:tcPr>
            <w:tcW w:w="494" w:type="pct"/>
            <w:vAlign w:val="center"/>
          </w:tcPr>
          <w:p w14:paraId="0F7CF8E9">
            <w:pPr>
              <w:spacing w:line="380" w:lineRule="exact"/>
              <w:jc w:val="center"/>
              <w:rPr>
                <w:rFonts w:hint="eastAsia" w:ascii="宋体" w:hAnsi="宋体"/>
                <w:bCs/>
                <w:color w:val="auto"/>
                <w:sz w:val="22"/>
                <w:szCs w:val="22"/>
              </w:rPr>
            </w:pPr>
          </w:p>
        </w:tc>
        <w:tc>
          <w:tcPr>
            <w:tcW w:w="423" w:type="pct"/>
            <w:vAlign w:val="center"/>
          </w:tcPr>
          <w:p w14:paraId="01ED2BE5">
            <w:pPr>
              <w:spacing w:line="380" w:lineRule="exact"/>
              <w:jc w:val="center"/>
              <w:rPr>
                <w:rFonts w:hint="eastAsia" w:ascii="宋体" w:hAnsi="宋体"/>
                <w:bCs/>
                <w:color w:val="auto"/>
                <w:sz w:val="22"/>
                <w:szCs w:val="22"/>
              </w:rPr>
            </w:pPr>
          </w:p>
        </w:tc>
      </w:tr>
      <w:tr w14:paraId="5F70F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 w:type="pct"/>
            <w:vAlign w:val="center"/>
          </w:tcPr>
          <w:p w14:paraId="6FD99059">
            <w:pPr>
              <w:spacing w:line="380" w:lineRule="exact"/>
              <w:jc w:val="center"/>
              <w:rPr>
                <w:rFonts w:hint="eastAsia" w:ascii="宋体" w:hAnsi="宋体"/>
                <w:bCs/>
                <w:color w:val="auto"/>
                <w:sz w:val="22"/>
                <w:szCs w:val="22"/>
              </w:rPr>
            </w:pPr>
            <w:r>
              <w:rPr>
                <w:rFonts w:hint="eastAsia" w:ascii="宋体" w:hAnsi="宋体"/>
                <w:bCs/>
                <w:color w:val="auto"/>
                <w:sz w:val="22"/>
                <w:szCs w:val="22"/>
              </w:rPr>
              <w:t>2</w:t>
            </w:r>
          </w:p>
        </w:tc>
        <w:tc>
          <w:tcPr>
            <w:tcW w:w="1379" w:type="pct"/>
          </w:tcPr>
          <w:p w14:paraId="3CD4182D">
            <w:pPr>
              <w:spacing w:line="400" w:lineRule="exact"/>
              <w:rPr>
                <w:rFonts w:hint="eastAsia" w:ascii="宋体" w:hAnsi="宋体"/>
                <w:color w:val="auto"/>
                <w:sz w:val="22"/>
                <w:szCs w:val="22"/>
              </w:rPr>
            </w:pPr>
            <w:r>
              <w:rPr>
                <w:rFonts w:hint="eastAsia" w:ascii="宋体" w:hAnsi="宋体"/>
                <w:color w:val="auto"/>
                <w:sz w:val="22"/>
                <w:szCs w:val="22"/>
              </w:rPr>
              <w:t>配套设备及材料(含税) （逐项列出）</w:t>
            </w:r>
          </w:p>
        </w:tc>
        <w:tc>
          <w:tcPr>
            <w:tcW w:w="543" w:type="pct"/>
            <w:vAlign w:val="center"/>
          </w:tcPr>
          <w:p w14:paraId="39527A68">
            <w:pPr>
              <w:spacing w:line="380" w:lineRule="exact"/>
              <w:jc w:val="center"/>
              <w:rPr>
                <w:rFonts w:hint="eastAsia" w:ascii="宋体" w:hAnsi="宋体"/>
                <w:bCs/>
                <w:color w:val="auto"/>
                <w:sz w:val="22"/>
                <w:szCs w:val="22"/>
              </w:rPr>
            </w:pPr>
          </w:p>
        </w:tc>
        <w:tc>
          <w:tcPr>
            <w:tcW w:w="298" w:type="pct"/>
            <w:vAlign w:val="center"/>
          </w:tcPr>
          <w:p w14:paraId="29FEFC46">
            <w:pPr>
              <w:spacing w:line="380" w:lineRule="exact"/>
              <w:jc w:val="center"/>
              <w:rPr>
                <w:rFonts w:hint="eastAsia" w:ascii="宋体" w:hAnsi="宋体"/>
                <w:bCs/>
                <w:color w:val="auto"/>
                <w:sz w:val="22"/>
                <w:szCs w:val="22"/>
              </w:rPr>
            </w:pPr>
          </w:p>
        </w:tc>
        <w:tc>
          <w:tcPr>
            <w:tcW w:w="445" w:type="pct"/>
            <w:vAlign w:val="center"/>
          </w:tcPr>
          <w:p w14:paraId="09850759">
            <w:pPr>
              <w:spacing w:line="380" w:lineRule="exact"/>
              <w:jc w:val="center"/>
              <w:rPr>
                <w:rFonts w:hint="eastAsia" w:ascii="宋体" w:hAnsi="宋体"/>
                <w:bCs/>
                <w:color w:val="auto"/>
                <w:sz w:val="22"/>
                <w:szCs w:val="22"/>
              </w:rPr>
            </w:pPr>
          </w:p>
        </w:tc>
        <w:tc>
          <w:tcPr>
            <w:tcW w:w="641" w:type="pct"/>
            <w:vAlign w:val="center"/>
          </w:tcPr>
          <w:p w14:paraId="7848196A">
            <w:pPr>
              <w:spacing w:line="380" w:lineRule="exact"/>
              <w:jc w:val="center"/>
              <w:rPr>
                <w:rFonts w:hint="eastAsia" w:ascii="宋体" w:hAnsi="宋体"/>
                <w:bCs/>
                <w:color w:val="auto"/>
                <w:sz w:val="22"/>
                <w:szCs w:val="22"/>
              </w:rPr>
            </w:pPr>
          </w:p>
        </w:tc>
        <w:tc>
          <w:tcPr>
            <w:tcW w:w="445" w:type="pct"/>
            <w:vAlign w:val="center"/>
          </w:tcPr>
          <w:p w14:paraId="313C26DC">
            <w:pPr>
              <w:spacing w:line="380" w:lineRule="exact"/>
              <w:jc w:val="center"/>
              <w:rPr>
                <w:rFonts w:hint="eastAsia" w:ascii="宋体" w:hAnsi="宋体"/>
                <w:bCs/>
                <w:color w:val="auto"/>
                <w:sz w:val="22"/>
                <w:szCs w:val="22"/>
              </w:rPr>
            </w:pPr>
          </w:p>
        </w:tc>
        <w:tc>
          <w:tcPr>
            <w:tcW w:w="494" w:type="pct"/>
            <w:vAlign w:val="center"/>
          </w:tcPr>
          <w:p w14:paraId="40CC3EA9">
            <w:pPr>
              <w:spacing w:line="380" w:lineRule="exact"/>
              <w:jc w:val="center"/>
              <w:rPr>
                <w:rFonts w:hint="eastAsia" w:ascii="宋体" w:hAnsi="宋体"/>
                <w:bCs/>
                <w:color w:val="auto"/>
                <w:sz w:val="22"/>
                <w:szCs w:val="22"/>
              </w:rPr>
            </w:pPr>
          </w:p>
        </w:tc>
        <w:tc>
          <w:tcPr>
            <w:tcW w:w="423" w:type="pct"/>
            <w:vAlign w:val="center"/>
          </w:tcPr>
          <w:p w14:paraId="0E3892EF">
            <w:pPr>
              <w:spacing w:line="380" w:lineRule="exact"/>
              <w:jc w:val="center"/>
              <w:rPr>
                <w:rFonts w:hint="eastAsia" w:ascii="宋体" w:hAnsi="宋体"/>
                <w:bCs/>
                <w:color w:val="auto"/>
                <w:sz w:val="22"/>
                <w:szCs w:val="22"/>
              </w:rPr>
            </w:pPr>
          </w:p>
        </w:tc>
      </w:tr>
      <w:tr w14:paraId="00878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 w:type="pct"/>
            <w:vAlign w:val="center"/>
          </w:tcPr>
          <w:p w14:paraId="4016396B">
            <w:pPr>
              <w:spacing w:line="380" w:lineRule="exact"/>
              <w:jc w:val="center"/>
              <w:rPr>
                <w:rFonts w:hint="eastAsia" w:ascii="宋体" w:hAnsi="宋体"/>
                <w:bCs/>
                <w:color w:val="auto"/>
                <w:sz w:val="22"/>
                <w:szCs w:val="22"/>
              </w:rPr>
            </w:pPr>
            <w:r>
              <w:rPr>
                <w:rFonts w:hint="eastAsia" w:ascii="宋体" w:hAnsi="宋体"/>
                <w:bCs/>
                <w:color w:val="auto"/>
                <w:sz w:val="22"/>
                <w:szCs w:val="22"/>
              </w:rPr>
              <w:t>3</w:t>
            </w:r>
          </w:p>
        </w:tc>
        <w:tc>
          <w:tcPr>
            <w:tcW w:w="1379" w:type="pct"/>
          </w:tcPr>
          <w:p w14:paraId="1E602E4A">
            <w:pPr>
              <w:spacing w:line="400" w:lineRule="exact"/>
              <w:rPr>
                <w:rFonts w:hint="eastAsia" w:ascii="宋体" w:hAnsi="宋体"/>
                <w:color w:val="auto"/>
                <w:sz w:val="22"/>
                <w:szCs w:val="22"/>
              </w:rPr>
            </w:pPr>
            <w:r>
              <w:rPr>
                <w:rFonts w:hint="eastAsia" w:ascii="宋体" w:hAnsi="宋体"/>
                <w:color w:val="auto"/>
                <w:sz w:val="22"/>
                <w:szCs w:val="22"/>
              </w:rPr>
              <w:t>随机易损、易耗备品备件、专用工具（如有）</w:t>
            </w:r>
          </w:p>
        </w:tc>
        <w:tc>
          <w:tcPr>
            <w:tcW w:w="543" w:type="pct"/>
            <w:vAlign w:val="center"/>
          </w:tcPr>
          <w:p w14:paraId="29D10741">
            <w:pPr>
              <w:spacing w:line="380" w:lineRule="exact"/>
              <w:jc w:val="center"/>
              <w:rPr>
                <w:rFonts w:hint="eastAsia" w:ascii="宋体" w:hAnsi="宋体"/>
                <w:bCs/>
                <w:color w:val="auto"/>
                <w:sz w:val="22"/>
                <w:szCs w:val="22"/>
              </w:rPr>
            </w:pPr>
          </w:p>
        </w:tc>
        <w:tc>
          <w:tcPr>
            <w:tcW w:w="298" w:type="pct"/>
            <w:vAlign w:val="center"/>
          </w:tcPr>
          <w:p w14:paraId="0EC4E234">
            <w:pPr>
              <w:spacing w:line="380" w:lineRule="exact"/>
              <w:jc w:val="center"/>
              <w:rPr>
                <w:rFonts w:hint="eastAsia" w:ascii="宋体" w:hAnsi="宋体"/>
                <w:bCs/>
                <w:color w:val="auto"/>
                <w:sz w:val="22"/>
                <w:szCs w:val="22"/>
              </w:rPr>
            </w:pPr>
          </w:p>
        </w:tc>
        <w:tc>
          <w:tcPr>
            <w:tcW w:w="445" w:type="pct"/>
            <w:vAlign w:val="center"/>
          </w:tcPr>
          <w:p w14:paraId="77C86AC0">
            <w:pPr>
              <w:spacing w:line="380" w:lineRule="exact"/>
              <w:jc w:val="center"/>
              <w:rPr>
                <w:rFonts w:hint="eastAsia" w:ascii="宋体" w:hAnsi="宋体"/>
                <w:bCs/>
                <w:color w:val="auto"/>
                <w:sz w:val="22"/>
                <w:szCs w:val="22"/>
              </w:rPr>
            </w:pPr>
          </w:p>
        </w:tc>
        <w:tc>
          <w:tcPr>
            <w:tcW w:w="641" w:type="pct"/>
            <w:vAlign w:val="center"/>
          </w:tcPr>
          <w:p w14:paraId="22EF5570">
            <w:pPr>
              <w:spacing w:line="380" w:lineRule="exact"/>
              <w:jc w:val="center"/>
              <w:rPr>
                <w:rFonts w:hint="eastAsia" w:ascii="宋体" w:hAnsi="宋体"/>
                <w:bCs/>
                <w:color w:val="auto"/>
                <w:sz w:val="22"/>
                <w:szCs w:val="22"/>
              </w:rPr>
            </w:pPr>
          </w:p>
        </w:tc>
        <w:tc>
          <w:tcPr>
            <w:tcW w:w="445" w:type="pct"/>
            <w:vAlign w:val="center"/>
          </w:tcPr>
          <w:p w14:paraId="6EB3492F">
            <w:pPr>
              <w:spacing w:line="380" w:lineRule="exact"/>
              <w:jc w:val="center"/>
              <w:rPr>
                <w:rFonts w:hint="eastAsia" w:ascii="宋体" w:hAnsi="宋体"/>
                <w:bCs/>
                <w:color w:val="auto"/>
                <w:sz w:val="22"/>
                <w:szCs w:val="22"/>
              </w:rPr>
            </w:pPr>
          </w:p>
        </w:tc>
        <w:tc>
          <w:tcPr>
            <w:tcW w:w="494" w:type="pct"/>
            <w:vAlign w:val="center"/>
          </w:tcPr>
          <w:p w14:paraId="73FE4274">
            <w:pPr>
              <w:spacing w:line="380" w:lineRule="exact"/>
              <w:jc w:val="center"/>
              <w:rPr>
                <w:rFonts w:hint="eastAsia" w:ascii="宋体" w:hAnsi="宋体"/>
                <w:bCs/>
                <w:color w:val="auto"/>
                <w:sz w:val="22"/>
                <w:szCs w:val="22"/>
              </w:rPr>
            </w:pPr>
          </w:p>
        </w:tc>
        <w:tc>
          <w:tcPr>
            <w:tcW w:w="423" w:type="pct"/>
            <w:vAlign w:val="center"/>
          </w:tcPr>
          <w:p w14:paraId="3A9F0AA2">
            <w:pPr>
              <w:spacing w:line="380" w:lineRule="exact"/>
              <w:jc w:val="center"/>
              <w:rPr>
                <w:rFonts w:hint="eastAsia" w:ascii="宋体" w:hAnsi="宋体"/>
                <w:bCs/>
                <w:color w:val="auto"/>
                <w:sz w:val="22"/>
                <w:szCs w:val="22"/>
              </w:rPr>
            </w:pPr>
          </w:p>
        </w:tc>
      </w:tr>
      <w:tr w14:paraId="07795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 w:type="pct"/>
            <w:vAlign w:val="center"/>
          </w:tcPr>
          <w:p w14:paraId="7133B684">
            <w:pPr>
              <w:spacing w:line="380" w:lineRule="exact"/>
              <w:jc w:val="center"/>
              <w:rPr>
                <w:rFonts w:hint="eastAsia" w:ascii="宋体" w:hAnsi="宋体"/>
                <w:bCs/>
                <w:color w:val="auto"/>
                <w:sz w:val="22"/>
                <w:szCs w:val="22"/>
              </w:rPr>
            </w:pPr>
            <w:r>
              <w:rPr>
                <w:rFonts w:hint="eastAsia" w:ascii="宋体" w:hAnsi="宋体"/>
                <w:bCs/>
                <w:color w:val="auto"/>
                <w:sz w:val="22"/>
                <w:szCs w:val="22"/>
              </w:rPr>
              <w:t>4</w:t>
            </w:r>
          </w:p>
        </w:tc>
        <w:tc>
          <w:tcPr>
            <w:tcW w:w="1379" w:type="pct"/>
          </w:tcPr>
          <w:p w14:paraId="15F7249B">
            <w:pPr>
              <w:spacing w:line="400" w:lineRule="exact"/>
              <w:rPr>
                <w:rFonts w:hint="eastAsia" w:ascii="宋体" w:hAnsi="宋体"/>
                <w:color w:val="auto"/>
                <w:sz w:val="22"/>
                <w:szCs w:val="22"/>
              </w:rPr>
            </w:pPr>
            <w:r>
              <w:rPr>
                <w:rFonts w:hint="eastAsia" w:ascii="宋体" w:hAnsi="宋体"/>
                <w:color w:val="auto"/>
                <w:sz w:val="22"/>
                <w:szCs w:val="22"/>
              </w:rPr>
              <w:t>安装、调试、验收费（含第三方验收费）</w:t>
            </w:r>
          </w:p>
        </w:tc>
        <w:tc>
          <w:tcPr>
            <w:tcW w:w="2868" w:type="pct"/>
            <w:gridSpan w:val="6"/>
            <w:vAlign w:val="center"/>
          </w:tcPr>
          <w:p w14:paraId="19E618C1">
            <w:pPr>
              <w:spacing w:line="400" w:lineRule="exact"/>
              <w:jc w:val="center"/>
              <w:rPr>
                <w:rFonts w:hint="eastAsia" w:ascii="宋体" w:hAnsi="宋体"/>
                <w:color w:val="auto"/>
                <w:sz w:val="22"/>
                <w:szCs w:val="22"/>
              </w:rPr>
            </w:pPr>
            <w:r>
              <w:rPr>
                <w:rFonts w:hint="eastAsia" w:ascii="宋体" w:hAnsi="宋体"/>
                <w:bCs/>
                <w:color w:val="auto"/>
                <w:sz w:val="22"/>
                <w:szCs w:val="22"/>
              </w:rPr>
              <w:t>含</w:t>
            </w:r>
          </w:p>
        </w:tc>
        <w:tc>
          <w:tcPr>
            <w:tcW w:w="423" w:type="pct"/>
            <w:vAlign w:val="center"/>
          </w:tcPr>
          <w:p w14:paraId="23AF472C">
            <w:pPr>
              <w:spacing w:line="380" w:lineRule="exact"/>
              <w:jc w:val="center"/>
              <w:rPr>
                <w:rFonts w:hint="eastAsia" w:ascii="宋体" w:hAnsi="宋体"/>
                <w:bCs/>
                <w:color w:val="auto"/>
                <w:sz w:val="22"/>
                <w:szCs w:val="22"/>
                <w:highlight w:val="yellow"/>
              </w:rPr>
            </w:pPr>
          </w:p>
        </w:tc>
      </w:tr>
      <w:tr w14:paraId="4A10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 w:type="pct"/>
            <w:vAlign w:val="center"/>
          </w:tcPr>
          <w:p w14:paraId="41A012FA">
            <w:pPr>
              <w:spacing w:line="380" w:lineRule="exact"/>
              <w:jc w:val="center"/>
              <w:rPr>
                <w:rFonts w:hint="eastAsia" w:ascii="宋体" w:hAnsi="宋体"/>
                <w:bCs/>
                <w:color w:val="auto"/>
                <w:sz w:val="22"/>
                <w:szCs w:val="22"/>
              </w:rPr>
            </w:pPr>
            <w:r>
              <w:rPr>
                <w:rFonts w:hint="eastAsia" w:ascii="宋体" w:hAnsi="宋体"/>
                <w:bCs/>
                <w:color w:val="auto"/>
                <w:sz w:val="22"/>
                <w:szCs w:val="22"/>
              </w:rPr>
              <w:t>5</w:t>
            </w:r>
          </w:p>
        </w:tc>
        <w:tc>
          <w:tcPr>
            <w:tcW w:w="1379" w:type="pct"/>
          </w:tcPr>
          <w:p w14:paraId="1AD5FEFB">
            <w:pPr>
              <w:spacing w:line="400" w:lineRule="exact"/>
              <w:rPr>
                <w:rFonts w:hint="eastAsia" w:ascii="宋体" w:hAnsi="宋体"/>
                <w:color w:val="auto"/>
                <w:sz w:val="22"/>
                <w:szCs w:val="22"/>
              </w:rPr>
            </w:pPr>
            <w:r>
              <w:rPr>
                <w:rFonts w:hint="eastAsia" w:ascii="宋体" w:hAnsi="宋体"/>
                <w:color w:val="auto"/>
                <w:sz w:val="22"/>
                <w:szCs w:val="22"/>
              </w:rPr>
              <w:t>人员培训费、技术服务费（如有）</w:t>
            </w:r>
          </w:p>
        </w:tc>
        <w:tc>
          <w:tcPr>
            <w:tcW w:w="2868" w:type="pct"/>
            <w:gridSpan w:val="6"/>
            <w:vAlign w:val="center"/>
          </w:tcPr>
          <w:p w14:paraId="18E4DB42">
            <w:pPr>
              <w:spacing w:line="400" w:lineRule="exact"/>
              <w:jc w:val="center"/>
              <w:rPr>
                <w:rFonts w:hint="eastAsia" w:ascii="宋体" w:hAnsi="宋体"/>
                <w:color w:val="auto"/>
                <w:sz w:val="22"/>
                <w:szCs w:val="22"/>
              </w:rPr>
            </w:pPr>
            <w:r>
              <w:rPr>
                <w:rFonts w:hint="eastAsia" w:ascii="宋体" w:hAnsi="宋体"/>
                <w:bCs/>
                <w:color w:val="auto"/>
                <w:sz w:val="22"/>
                <w:szCs w:val="22"/>
              </w:rPr>
              <w:t>含</w:t>
            </w:r>
          </w:p>
        </w:tc>
        <w:tc>
          <w:tcPr>
            <w:tcW w:w="423" w:type="pct"/>
            <w:vAlign w:val="center"/>
          </w:tcPr>
          <w:p w14:paraId="5EF27786">
            <w:pPr>
              <w:spacing w:line="380" w:lineRule="exact"/>
              <w:jc w:val="center"/>
              <w:rPr>
                <w:rFonts w:hint="eastAsia" w:ascii="宋体" w:hAnsi="宋体"/>
                <w:bCs/>
                <w:color w:val="auto"/>
                <w:sz w:val="22"/>
                <w:szCs w:val="22"/>
                <w:highlight w:val="yellow"/>
              </w:rPr>
            </w:pPr>
          </w:p>
        </w:tc>
      </w:tr>
      <w:tr w14:paraId="65FD1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 w:type="pct"/>
            <w:vAlign w:val="center"/>
          </w:tcPr>
          <w:p w14:paraId="33E66926">
            <w:pPr>
              <w:spacing w:line="380" w:lineRule="exact"/>
              <w:jc w:val="center"/>
              <w:rPr>
                <w:rFonts w:hint="eastAsia" w:ascii="宋体" w:hAnsi="宋体"/>
                <w:bCs/>
                <w:color w:val="auto"/>
                <w:sz w:val="22"/>
                <w:szCs w:val="22"/>
              </w:rPr>
            </w:pPr>
            <w:r>
              <w:rPr>
                <w:rFonts w:hint="eastAsia" w:ascii="宋体" w:hAnsi="宋体"/>
                <w:bCs/>
                <w:color w:val="auto"/>
                <w:sz w:val="22"/>
                <w:szCs w:val="22"/>
              </w:rPr>
              <w:t>6</w:t>
            </w:r>
          </w:p>
        </w:tc>
        <w:tc>
          <w:tcPr>
            <w:tcW w:w="1379" w:type="pct"/>
          </w:tcPr>
          <w:p w14:paraId="31C30F30">
            <w:pPr>
              <w:spacing w:line="400" w:lineRule="exact"/>
              <w:rPr>
                <w:rFonts w:hint="eastAsia" w:ascii="宋体" w:hAnsi="宋体"/>
                <w:color w:val="auto"/>
                <w:sz w:val="22"/>
                <w:szCs w:val="22"/>
              </w:rPr>
            </w:pPr>
            <w:r>
              <w:rPr>
                <w:rFonts w:hint="eastAsia" w:ascii="宋体" w:hAnsi="宋体"/>
                <w:color w:val="auto"/>
                <w:sz w:val="22"/>
                <w:szCs w:val="22"/>
              </w:rPr>
              <w:t>至最终目的地的运费、保险费</w:t>
            </w:r>
          </w:p>
        </w:tc>
        <w:tc>
          <w:tcPr>
            <w:tcW w:w="2868" w:type="pct"/>
            <w:gridSpan w:val="6"/>
            <w:vAlign w:val="center"/>
          </w:tcPr>
          <w:p w14:paraId="298CAB98">
            <w:pPr>
              <w:spacing w:line="380" w:lineRule="exact"/>
              <w:jc w:val="center"/>
              <w:rPr>
                <w:rFonts w:hint="eastAsia" w:ascii="宋体" w:hAnsi="宋体"/>
                <w:bCs/>
                <w:color w:val="auto"/>
                <w:sz w:val="22"/>
                <w:szCs w:val="22"/>
                <w:highlight w:val="yellow"/>
              </w:rPr>
            </w:pPr>
            <w:r>
              <w:rPr>
                <w:rFonts w:hint="eastAsia" w:ascii="宋体" w:hAnsi="宋体"/>
                <w:bCs/>
                <w:color w:val="auto"/>
                <w:sz w:val="22"/>
                <w:szCs w:val="22"/>
              </w:rPr>
              <w:t>含</w:t>
            </w:r>
          </w:p>
        </w:tc>
        <w:tc>
          <w:tcPr>
            <w:tcW w:w="423" w:type="pct"/>
            <w:vAlign w:val="center"/>
          </w:tcPr>
          <w:p w14:paraId="56F2A485">
            <w:pPr>
              <w:spacing w:line="380" w:lineRule="exact"/>
              <w:jc w:val="center"/>
              <w:rPr>
                <w:rFonts w:hint="eastAsia" w:ascii="宋体" w:hAnsi="宋体"/>
                <w:bCs/>
                <w:color w:val="auto"/>
                <w:sz w:val="22"/>
                <w:szCs w:val="22"/>
                <w:highlight w:val="yellow"/>
              </w:rPr>
            </w:pPr>
          </w:p>
        </w:tc>
      </w:tr>
      <w:tr w14:paraId="216A0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28" w:type="pct"/>
            <w:vAlign w:val="center"/>
          </w:tcPr>
          <w:p w14:paraId="36B6586C">
            <w:pPr>
              <w:spacing w:line="380" w:lineRule="exact"/>
              <w:jc w:val="center"/>
              <w:rPr>
                <w:rFonts w:hint="eastAsia" w:ascii="宋体" w:hAnsi="宋体"/>
                <w:bCs/>
                <w:color w:val="auto"/>
                <w:sz w:val="22"/>
                <w:szCs w:val="22"/>
              </w:rPr>
            </w:pPr>
            <w:r>
              <w:rPr>
                <w:rFonts w:ascii="宋体" w:hAnsi="宋体"/>
                <w:bCs/>
                <w:color w:val="auto"/>
                <w:sz w:val="22"/>
                <w:szCs w:val="22"/>
              </w:rPr>
              <w:t>7</w:t>
            </w:r>
          </w:p>
        </w:tc>
        <w:tc>
          <w:tcPr>
            <w:tcW w:w="1379" w:type="pct"/>
            <w:vAlign w:val="center"/>
          </w:tcPr>
          <w:p w14:paraId="1BCAAC46">
            <w:pPr>
              <w:spacing w:line="400" w:lineRule="exact"/>
              <w:rPr>
                <w:rFonts w:hint="eastAsia" w:ascii="宋体" w:hAnsi="宋体"/>
                <w:color w:val="auto"/>
                <w:sz w:val="22"/>
                <w:szCs w:val="22"/>
              </w:rPr>
            </w:pPr>
            <w:r>
              <w:rPr>
                <w:rFonts w:hint="eastAsia" w:ascii="宋体" w:hAnsi="宋体"/>
                <w:color w:val="auto"/>
                <w:sz w:val="22"/>
                <w:szCs w:val="22"/>
              </w:rPr>
              <w:t>售后服务</w:t>
            </w:r>
          </w:p>
        </w:tc>
        <w:tc>
          <w:tcPr>
            <w:tcW w:w="2868" w:type="pct"/>
            <w:gridSpan w:val="6"/>
            <w:vAlign w:val="center"/>
          </w:tcPr>
          <w:p w14:paraId="23D168D4">
            <w:pPr>
              <w:spacing w:line="380" w:lineRule="exact"/>
              <w:jc w:val="center"/>
              <w:rPr>
                <w:rFonts w:hint="eastAsia" w:ascii="宋体" w:hAnsi="宋体"/>
                <w:bCs/>
                <w:color w:val="auto"/>
                <w:sz w:val="22"/>
                <w:szCs w:val="22"/>
              </w:rPr>
            </w:pPr>
            <w:r>
              <w:rPr>
                <w:rFonts w:hint="eastAsia" w:ascii="宋体" w:hAnsi="宋体"/>
                <w:bCs/>
                <w:color w:val="auto"/>
                <w:sz w:val="22"/>
                <w:szCs w:val="22"/>
              </w:rPr>
              <w:t>含</w:t>
            </w:r>
          </w:p>
        </w:tc>
        <w:tc>
          <w:tcPr>
            <w:tcW w:w="423" w:type="pct"/>
            <w:vAlign w:val="center"/>
          </w:tcPr>
          <w:p w14:paraId="529738C6">
            <w:pPr>
              <w:spacing w:line="380" w:lineRule="exact"/>
              <w:jc w:val="center"/>
              <w:rPr>
                <w:rFonts w:hint="eastAsia" w:ascii="宋体" w:hAnsi="宋体"/>
                <w:bCs/>
                <w:color w:val="auto"/>
                <w:sz w:val="22"/>
                <w:szCs w:val="22"/>
              </w:rPr>
            </w:pPr>
          </w:p>
        </w:tc>
      </w:tr>
      <w:tr w14:paraId="24B4A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28" w:type="pct"/>
            <w:vAlign w:val="center"/>
          </w:tcPr>
          <w:p w14:paraId="5472FB78">
            <w:pPr>
              <w:spacing w:line="380" w:lineRule="exact"/>
              <w:jc w:val="center"/>
              <w:rPr>
                <w:rFonts w:hint="eastAsia" w:ascii="宋体" w:hAnsi="宋体"/>
                <w:bCs/>
                <w:color w:val="auto"/>
                <w:sz w:val="22"/>
                <w:szCs w:val="22"/>
              </w:rPr>
            </w:pPr>
            <w:r>
              <w:rPr>
                <w:rFonts w:ascii="宋体" w:hAnsi="宋体"/>
                <w:bCs/>
                <w:color w:val="auto"/>
                <w:sz w:val="22"/>
                <w:szCs w:val="22"/>
              </w:rPr>
              <w:t>8</w:t>
            </w:r>
          </w:p>
        </w:tc>
        <w:tc>
          <w:tcPr>
            <w:tcW w:w="1379" w:type="pct"/>
          </w:tcPr>
          <w:p w14:paraId="3DB02C46">
            <w:pPr>
              <w:spacing w:line="400" w:lineRule="exact"/>
              <w:rPr>
                <w:rFonts w:hint="eastAsia" w:ascii="宋体" w:hAnsi="宋体"/>
                <w:color w:val="auto"/>
                <w:sz w:val="22"/>
                <w:szCs w:val="22"/>
              </w:rPr>
            </w:pPr>
            <w:r>
              <w:rPr>
                <w:rFonts w:hint="eastAsia" w:ascii="宋体" w:hAnsi="宋体"/>
                <w:color w:val="auto"/>
                <w:sz w:val="22"/>
                <w:szCs w:val="22"/>
              </w:rPr>
              <w:t>采购代理服务费</w:t>
            </w:r>
          </w:p>
        </w:tc>
        <w:tc>
          <w:tcPr>
            <w:tcW w:w="2868" w:type="pct"/>
            <w:gridSpan w:val="6"/>
            <w:vAlign w:val="center"/>
          </w:tcPr>
          <w:p w14:paraId="20BEBA2C">
            <w:pPr>
              <w:spacing w:line="380" w:lineRule="exact"/>
              <w:jc w:val="center"/>
              <w:rPr>
                <w:rFonts w:hint="eastAsia" w:ascii="宋体" w:hAnsi="宋体"/>
                <w:bCs/>
                <w:color w:val="auto"/>
                <w:sz w:val="22"/>
                <w:szCs w:val="22"/>
              </w:rPr>
            </w:pPr>
            <w:r>
              <w:rPr>
                <w:rFonts w:hint="eastAsia" w:ascii="宋体" w:hAnsi="宋体"/>
                <w:bCs/>
                <w:color w:val="auto"/>
                <w:sz w:val="22"/>
                <w:szCs w:val="22"/>
              </w:rPr>
              <w:t>含</w:t>
            </w:r>
          </w:p>
        </w:tc>
        <w:tc>
          <w:tcPr>
            <w:tcW w:w="423" w:type="pct"/>
            <w:vAlign w:val="center"/>
          </w:tcPr>
          <w:p w14:paraId="4F495794">
            <w:pPr>
              <w:spacing w:line="380" w:lineRule="exact"/>
              <w:jc w:val="center"/>
              <w:rPr>
                <w:rFonts w:hint="eastAsia" w:ascii="宋体" w:hAnsi="宋体"/>
                <w:bCs/>
                <w:color w:val="auto"/>
                <w:sz w:val="22"/>
                <w:szCs w:val="22"/>
              </w:rPr>
            </w:pPr>
          </w:p>
        </w:tc>
      </w:tr>
      <w:tr w14:paraId="35D9F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328" w:type="pct"/>
            <w:vAlign w:val="center"/>
          </w:tcPr>
          <w:p w14:paraId="3FBEB998">
            <w:pPr>
              <w:spacing w:line="380" w:lineRule="exact"/>
              <w:jc w:val="center"/>
              <w:rPr>
                <w:rFonts w:hint="eastAsia" w:ascii="宋体" w:hAnsi="宋体"/>
                <w:bCs/>
                <w:color w:val="auto"/>
                <w:sz w:val="22"/>
                <w:szCs w:val="22"/>
              </w:rPr>
            </w:pPr>
            <w:r>
              <w:rPr>
                <w:rFonts w:hint="eastAsia" w:ascii="宋体" w:hAnsi="宋体"/>
                <w:bCs/>
                <w:color w:val="auto"/>
                <w:sz w:val="22"/>
                <w:szCs w:val="22"/>
              </w:rPr>
              <w:t>9</w:t>
            </w:r>
          </w:p>
        </w:tc>
        <w:tc>
          <w:tcPr>
            <w:tcW w:w="1379" w:type="pct"/>
          </w:tcPr>
          <w:p w14:paraId="151DCCB0">
            <w:pPr>
              <w:spacing w:line="400" w:lineRule="exact"/>
              <w:rPr>
                <w:rFonts w:hint="eastAsia" w:ascii="宋体" w:hAnsi="宋体"/>
                <w:color w:val="auto"/>
                <w:sz w:val="22"/>
                <w:szCs w:val="22"/>
              </w:rPr>
            </w:pPr>
            <w:r>
              <w:rPr>
                <w:rFonts w:hint="eastAsia" w:ascii="宋体" w:hAnsi="宋体"/>
                <w:color w:val="auto"/>
                <w:sz w:val="22"/>
                <w:szCs w:val="22"/>
              </w:rPr>
              <w:t>其他</w:t>
            </w:r>
          </w:p>
        </w:tc>
        <w:tc>
          <w:tcPr>
            <w:tcW w:w="2868" w:type="pct"/>
            <w:gridSpan w:val="6"/>
            <w:vAlign w:val="center"/>
          </w:tcPr>
          <w:p w14:paraId="46DFA1E2">
            <w:pPr>
              <w:spacing w:line="380" w:lineRule="exact"/>
              <w:jc w:val="center"/>
              <w:rPr>
                <w:rFonts w:hint="eastAsia" w:ascii="宋体" w:hAnsi="宋体"/>
                <w:bCs/>
                <w:color w:val="auto"/>
                <w:sz w:val="22"/>
                <w:szCs w:val="22"/>
              </w:rPr>
            </w:pPr>
          </w:p>
        </w:tc>
        <w:tc>
          <w:tcPr>
            <w:tcW w:w="423" w:type="pct"/>
            <w:vAlign w:val="center"/>
          </w:tcPr>
          <w:p w14:paraId="4D459BD5">
            <w:pPr>
              <w:spacing w:line="380" w:lineRule="exact"/>
              <w:jc w:val="center"/>
              <w:rPr>
                <w:rFonts w:hint="eastAsia" w:ascii="宋体" w:hAnsi="宋体"/>
                <w:bCs/>
                <w:color w:val="auto"/>
                <w:sz w:val="22"/>
                <w:szCs w:val="22"/>
              </w:rPr>
            </w:pPr>
          </w:p>
        </w:tc>
      </w:tr>
      <w:tr w14:paraId="692AB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707" w:type="pct"/>
            <w:gridSpan w:val="2"/>
            <w:vAlign w:val="center"/>
          </w:tcPr>
          <w:p w14:paraId="72EFAB4A">
            <w:pPr>
              <w:spacing w:line="400" w:lineRule="exact"/>
              <w:jc w:val="center"/>
              <w:rPr>
                <w:rFonts w:hint="eastAsia" w:ascii="宋体" w:hAnsi="宋体"/>
                <w:color w:val="auto"/>
                <w:sz w:val="22"/>
                <w:szCs w:val="22"/>
              </w:rPr>
            </w:pPr>
            <w:r>
              <w:rPr>
                <w:rFonts w:hint="eastAsia" w:ascii="宋体" w:hAnsi="宋体"/>
                <w:color w:val="auto"/>
                <w:sz w:val="22"/>
                <w:szCs w:val="22"/>
              </w:rPr>
              <w:t>总   计   价</w:t>
            </w:r>
          </w:p>
        </w:tc>
        <w:tc>
          <w:tcPr>
            <w:tcW w:w="3292" w:type="pct"/>
            <w:gridSpan w:val="7"/>
            <w:vAlign w:val="center"/>
          </w:tcPr>
          <w:p w14:paraId="5A0FC31D">
            <w:pPr>
              <w:spacing w:line="380" w:lineRule="exact"/>
              <w:jc w:val="center"/>
              <w:rPr>
                <w:rFonts w:hint="eastAsia" w:ascii="宋体" w:hAnsi="宋体"/>
                <w:bCs/>
                <w:color w:val="auto"/>
                <w:sz w:val="22"/>
                <w:szCs w:val="22"/>
              </w:rPr>
            </w:pPr>
          </w:p>
        </w:tc>
      </w:tr>
    </w:tbl>
    <w:p w14:paraId="71AFECAE">
      <w:pPr>
        <w:spacing w:line="440" w:lineRule="exact"/>
        <w:rPr>
          <w:rFonts w:hint="eastAsia" w:ascii="宋体" w:hAnsi="宋体"/>
          <w:color w:val="auto"/>
          <w:sz w:val="22"/>
          <w:szCs w:val="22"/>
        </w:rPr>
      </w:pPr>
      <w:r>
        <w:rPr>
          <w:rFonts w:hint="eastAsia" w:ascii="宋体" w:hAnsi="宋体"/>
          <w:b/>
          <w:bCs/>
          <w:color w:val="auto"/>
          <w:sz w:val="22"/>
          <w:szCs w:val="22"/>
        </w:rPr>
        <w:t>说明：</w:t>
      </w:r>
      <w:r>
        <w:rPr>
          <w:rFonts w:hint="eastAsia" w:ascii="宋体" w:hAnsi="宋体"/>
          <w:color w:val="auto"/>
          <w:sz w:val="22"/>
          <w:szCs w:val="22"/>
        </w:rPr>
        <w:t>1.不提供详细分项报价将视为没有实质性响应招标文件。</w:t>
      </w:r>
    </w:p>
    <w:p w14:paraId="19BC354E">
      <w:pPr>
        <w:spacing w:line="440" w:lineRule="exact"/>
        <w:ind w:firstLine="720"/>
        <w:rPr>
          <w:rFonts w:hint="eastAsia" w:ascii="宋体" w:hAnsi="宋体"/>
          <w:color w:val="auto"/>
          <w:sz w:val="22"/>
          <w:szCs w:val="22"/>
        </w:rPr>
      </w:pPr>
      <w:r>
        <w:rPr>
          <w:rFonts w:hint="eastAsia" w:ascii="宋体" w:hAnsi="宋体"/>
          <w:color w:val="auto"/>
          <w:sz w:val="22"/>
          <w:szCs w:val="22"/>
        </w:rPr>
        <w:t>2.此表的</w:t>
      </w:r>
      <w:r>
        <w:rPr>
          <w:rFonts w:hint="eastAsia" w:ascii="宋体" w:hAnsi="宋体"/>
          <w:bCs/>
          <w:color w:val="auto"/>
          <w:sz w:val="22"/>
          <w:szCs w:val="22"/>
        </w:rPr>
        <w:t>总计</w:t>
      </w:r>
      <w:r>
        <w:rPr>
          <w:rFonts w:hint="eastAsia" w:ascii="宋体" w:hAnsi="宋体"/>
          <w:color w:val="auto"/>
          <w:sz w:val="22"/>
          <w:szCs w:val="22"/>
        </w:rPr>
        <w:t>价应与附件二“投标报价一览表”对应投标报价相一致。</w:t>
      </w:r>
    </w:p>
    <w:p w14:paraId="35E993F5">
      <w:pPr>
        <w:spacing w:line="440" w:lineRule="exact"/>
        <w:ind w:firstLine="720"/>
        <w:rPr>
          <w:rFonts w:hint="eastAsia" w:ascii="宋体" w:hAnsi="宋体"/>
          <w:color w:val="auto"/>
          <w:sz w:val="22"/>
          <w:szCs w:val="22"/>
        </w:rPr>
      </w:pPr>
      <w:r>
        <w:rPr>
          <w:rFonts w:hint="eastAsia" w:ascii="宋体" w:hAnsi="宋体"/>
          <w:color w:val="auto"/>
          <w:sz w:val="22"/>
          <w:szCs w:val="22"/>
        </w:rPr>
        <w:t>3.如果免费请在该备注栏内注明“免”，如果含在产品价格中则填“含”，如无此项内容则填“无”，不留空白。</w:t>
      </w:r>
    </w:p>
    <w:p w14:paraId="02A7F427">
      <w:pPr>
        <w:pStyle w:val="18"/>
        <w:ind w:firstLine="560"/>
        <w:rPr>
          <w:rFonts w:ascii="仿宋_GB2312"/>
          <w:color w:val="auto"/>
          <w:sz w:val="28"/>
          <w:szCs w:val="28"/>
        </w:rPr>
      </w:pPr>
    </w:p>
    <w:p w14:paraId="49B2F908">
      <w:pPr>
        <w:spacing w:line="440" w:lineRule="exact"/>
        <w:rPr>
          <w:rFonts w:hint="eastAsia" w:ascii="宋体" w:hAnsi="宋体" w:cs="宋体"/>
          <w:color w:val="auto"/>
          <w:sz w:val="22"/>
          <w:szCs w:val="22"/>
        </w:rPr>
      </w:pPr>
      <w:r>
        <w:rPr>
          <w:rFonts w:hint="eastAsia" w:ascii="宋体" w:hAnsi="宋体" w:cs="宋体"/>
          <w:color w:val="auto"/>
          <w:sz w:val="22"/>
          <w:szCs w:val="22"/>
        </w:rPr>
        <w:t>投标人全称（电子签名/公章）：</w:t>
      </w:r>
    </w:p>
    <w:p w14:paraId="6C619FF3">
      <w:pPr>
        <w:spacing w:line="440" w:lineRule="exact"/>
        <w:rPr>
          <w:rFonts w:hint="eastAsia" w:ascii="宋体" w:hAnsi="宋体" w:cs="宋体"/>
          <w:color w:val="auto"/>
          <w:sz w:val="22"/>
          <w:szCs w:val="22"/>
        </w:rPr>
      </w:pPr>
      <w:r>
        <w:rPr>
          <w:rFonts w:hint="eastAsia" w:ascii="宋体" w:hAnsi="宋体" w:cs="宋体"/>
          <w:color w:val="auto"/>
          <w:sz w:val="22"/>
          <w:szCs w:val="22"/>
        </w:rPr>
        <w:t>日 期：       年     月     日</w:t>
      </w:r>
    </w:p>
    <w:p w14:paraId="3BE72FE2">
      <w:pPr>
        <w:spacing w:line="380" w:lineRule="exact"/>
        <w:ind w:firstLine="9460" w:firstLineChars="4300"/>
        <w:rPr>
          <w:rFonts w:hint="eastAsia" w:ascii="宋体" w:hAnsi="宋体" w:cs="宋体"/>
          <w:color w:val="auto"/>
          <w:sz w:val="22"/>
          <w:szCs w:val="22"/>
        </w:rPr>
      </w:pPr>
    </w:p>
    <w:p w14:paraId="7BB1E9EF">
      <w:pPr>
        <w:pStyle w:val="5"/>
        <w:spacing w:line="240" w:lineRule="auto"/>
        <w:rPr>
          <w:rFonts w:hint="eastAsia" w:ascii="宋体" w:hAnsi="宋体" w:cs="宋体"/>
          <w:color w:val="auto"/>
          <w:sz w:val="24"/>
        </w:rPr>
      </w:pPr>
      <w:r>
        <w:rPr>
          <w:rFonts w:hint="eastAsia" w:ascii="宋体" w:hAnsi="宋体" w:cs="宋体"/>
          <w:color w:val="auto"/>
          <w:sz w:val="22"/>
          <w:szCs w:val="22"/>
        </w:rPr>
        <w:br w:type="page"/>
      </w:r>
      <w:bookmarkEnd w:id="70"/>
      <w:bookmarkEnd w:id="71"/>
      <w:bookmarkEnd w:id="72"/>
      <w:bookmarkEnd w:id="73"/>
      <w:bookmarkStart w:id="77" w:name="_Toc26986"/>
      <w:r>
        <w:rPr>
          <w:rFonts w:hint="eastAsia" w:ascii="宋体" w:hAnsi="宋体" w:eastAsia="宋体"/>
          <w:color w:val="auto"/>
          <w:sz w:val="24"/>
          <w:szCs w:val="24"/>
        </w:rPr>
        <w:t>附件四 资格证明文件</w:t>
      </w:r>
      <w:bookmarkEnd w:id="74"/>
      <w:bookmarkEnd w:id="77"/>
    </w:p>
    <w:p w14:paraId="078BC13D">
      <w:pPr>
        <w:jc w:val="center"/>
        <w:rPr>
          <w:rFonts w:hint="eastAsia" w:ascii="宋体" w:hAnsi="宋体" w:cs="宋体"/>
          <w:b/>
          <w:color w:val="auto"/>
          <w:sz w:val="28"/>
          <w:szCs w:val="28"/>
        </w:rPr>
      </w:pPr>
      <w:r>
        <w:rPr>
          <w:rFonts w:hint="eastAsia" w:ascii="宋体" w:hAnsi="宋体" w:cs="宋体"/>
          <w:b/>
          <w:color w:val="auto"/>
          <w:sz w:val="28"/>
          <w:szCs w:val="28"/>
        </w:rPr>
        <w:t>资格证明文件</w:t>
      </w:r>
    </w:p>
    <w:p w14:paraId="2FA2DCD2">
      <w:pPr>
        <w:spacing w:line="440" w:lineRule="exact"/>
        <w:jc w:val="center"/>
        <w:rPr>
          <w:rFonts w:hint="eastAsia" w:ascii="宋体" w:hAnsi="宋体" w:cs="宋体"/>
          <w:b/>
          <w:color w:val="auto"/>
          <w:szCs w:val="22"/>
        </w:rPr>
      </w:pPr>
      <w:r>
        <w:rPr>
          <w:rFonts w:hint="eastAsia" w:ascii="宋体" w:hAnsi="宋体" w:cs="宋体"/>
          <w:b/>
          <w:color w:val="auto"/>
          <w:sz w:val="24"/>
        </w:rPr>
        <w:t>（1）法定代表人、单位负责人或自然人本人的身份证明（适用于法定代表人、单位负责人或者自然人本人代表投标人参加投标）</w:t>
      </w:r>
    </w:p>
    <w:p w14:paraId="7A3367E9">
      <w:pPr>
        <w:autoSpaceDE w:val="0"/>
        <w:autoSpaceDN w:val="0"/>
        <w:adjustRightInd w:val="0"/>
        <w:rPr>
          <w:rFonts w:hint="eastAsia" w:ascii="宋体" w:hAnsi="宋体" w:cs="宋体"/>
          <w:color w:val="auto"/>
          <w:sz w:val="22"/>
          <w:szCs w:val="22"/>
        </w:rPr>
      </w:pPr>
    </w:p>
    <w:p w14:paraId="79EB886A">
      <w:pPr>
        <w:autoSpaceDE w:val="0"/>
        <w:autoSpaceDN w:val="0"/>
        <w:adjustRightInd w:val="0"/>
        <w:spacing w:line="440" w:lineRule="exact"/>
        <w:rPr>
          <w:rFonts w:hint="eastAsia" w:ascii="宋体" w:hAnsi="宋体" w:cs="宋体"/>
          <w:color w:val="auto"/>
          <w:sz w:val="22"/>
          <w:szCs w:val="22"/>
        </w:rPr>
      </w:pPr>
      <w:r>
        <w:rPr>
          <w:rFonts w:hint="eastAsia" w:ascii="宋体" w:hAnsi="宋体" w:cs="宋体"/>
          <w:color w:val="auto"/>
          <w:sz w:val="22"/>
          <w:szCs w:val="22"/>
        </w:rPr>
        <w:t>投标人名称：</w:t>
      </w:r>
      <w:r>
        <w:rPr>
          <w:rFonts w:hint="eastAsia" w:ascii="宋体" w:hAnsi="宋体" w:cs="宋体"/>
          <w:color w:val="auto"/>
          <w:sz w:val="22"/>
          <w:szCs w:val="22"/>
          <w:u w:val="single"/>
        </w:rPr>
        <w:t xml:space="preserve">                                </w:t>
      </w:r>
    </w:p>
    <w:p w14:paraId="7FFF38B2">
      <w:pPr>
        <w:autoSpaceDE w:val="0"/>
        <w:autoSpaceDN w:val="0"/>
        <w:adjustRightInd w:val="0"/>
        <w:spacing w:line="440" w:lineRule="exact"/>
        <w:rPr>
          <w:rFonts w:hint="eastAsia" w:ascii="宋体" w:hAnsi="宋体" w:cs="宋体"/>
          <w:color w:val="auto"/>
          <w:sz w:val="22"/>
          <w:szCs w:val="22"/>
        </w:rPr>
      </w:pPr>
      <w:r>
        <w:rPr>
          <w:rFonts w:hint="eastAsia" w:ascii="宋体" w:hAnsi="宋体" w:cs="宋体"/>
          <w:color w:val="auto"/>
          <w:sz w:val="22"/>
          <w:szCs w:val="22"/>
        </w:rPr>
        <w:t xml:space="preserve">单位性质： </w:t>
      </w:r>
      <w:r>
        <w:rPr>
          <w:rFonts w:hint="eastAsia" w:ascii="宋体" w:hAnsi="宋体" w:cs="宋体"/>
          <w:color w:val="auto"/>
          <w:sz w:val="22"/>
          <w:szCs w:val="22"/>
          <w:u w:val="single"/>
        </w:rPr>
        <w:t xml:space="preserve">                                </w:t>
      </w:r>
    </w:p>
    <w:p w14:paraId="61BE2677">
      <w:pPr>
        <w:autoSpaceDE w:val="0"/>
        <w:autoSpaceDN w:val="0"/>
        <w:adjustRightInd w:val="0"/>
        <w:spacing w:line="440" w:lineRule="exact"/>
        <w:rPr>
          <w:rFonts w:hint="eastAsia" w:ascii="宋体" w:hAnsi="宋体" w:cs="宋体"/>
          <w:color w:val="auto"/>
          <w:sz w:val="22"/>
          <w:szCs w:val="22"/>
        </w:rPr>
      </w:pPr>
      <w:r>
        <w:rPr>
          <w:rFonts w:hint="eastAsia" w:ascii="宋体" w:hAnsi="宋体" w:cs="宋体"/>
          <w:color w:val="auto"/>
          <w:sz w:val="22"/>
          <w:szCs w:val="22"/>
        </w:rPr>
        <w:t>地    址：</w:t>
      </w:r>
      <w:r>
        <w:rPr>
          <w:rFonts w:hint="eastAsia" w:ascii="宋体" w:hAnsi="宋体" w:cs="宋体"/>
          <w:color w:val="auto"/>
          <w:sz w:val="22"/>
          <w:szCs w:val="22"/>
          <w:u w:val="single"/>
        </w:rPr>
        <w:t xml:space="preserve">                                </w:t>
      </w:r>
    </w:p>
    <w:p w14:paraId="6F61D6CE">
      <w:pPr>
        <w:autoSpaceDE w:val="0"/>
        <w:autoSpaceDN w:val="0"/>
        <w:adjustRightInd w:val="0"/>
        <w:spacing w:line="440" w:lineRule="exact"/>
        <w:rPr>
          <w:rFonts w:hint="eastAsia" w:ascii="宋体" w:hAnsi="宋体" w:cs="宋体"/>
          <w:color w:val="auto"/>
          <w:sz w:val="22"/>
          <w:szCs w:val="22"/>
        </w:rPr>
      </w:pPr>
      <w:r>
        <w:rPr>
          <w:rFonts w:hint="eastAsia" w:ascii="宋体" w:hAnsi="宋体" w:cs="宋体"/>
          <w:color w:val="auto"/>
          <w:sz w:val="22"/>
          <w:szCs w:val="22"/>
        </w:rPr>
        <w:t>成立时间：</w:t>
      </w:r>
      <w:r>
        <w:rPr>
          <w:rFonts w:hint="eastAsia" w:ascii="宋体" w:hAnsi="宋体" w:cs="宋体"/>
          <w:color w:val="auto"/>
          <w:sz w:val="22"/>
          <w:szCs w:val="22"/>
          <w:u w:val="single"/>
        </w:rPr>
        <w:t xml:space="preserve">           </w:t>
      </w:r>
      <w:r>
        <w:rPr>
          <w:rFonts w:hint="eastAsia" w:ascii="宋体" w:hAnsi="宋体" w:cs="宋体"/>
          <w:color w:val="auto"/>
          <w:sz w:val="22"/>
          <w:szCs w:val="22"/>
        </w:rPr>
        <w:t>年</w:t>
      </w:r>
      <w:r>
        <w:rPr>
          <w:rFonts w:hint="eastAsia" w:ascii="宋体" w:hAnsi="宋体" w:cs="宋体"/>
          <w:color w:val="auto"/>
          <w:sz w:val="22"/>
          <w:szCs w:val="22"/>
          <w:u w:val="single"/>
        </w:rPr>
        <w:t xml:space="preserve">        </w:t>
      </w:r>
      <w:r>
        <w:rPr>
          <w:rFonts w:hint="eastAsia" w:ascii="宋体" w:hAnsi="宋体" w:cs="宋体"/>
          <w:color w:val="auto"/>
          <w:sz w:val="22"/>
          <w:szCs w:val="22"/>
        </w:rPr>
        <w:t>月</w:t>
      </w:r>
      <w:r>
        <w:rPr>
          <w:rFonts w:hint="eastAsia" w:ascii="宋体" w:hAnsi="宋体" w:cs="宋体"/>
          <w:color w:val="auto"/>
          <w:sz w:val="22"/>
          <w:szCs w:val="22"/>
          <w:u w:val="single"/>
        </w:rPr>
        <w:t xml:space="preserve">        </w:t>
      </w:r>
      <w:r>
        <w:rPr>
          <w:rFonts w:hint="eastAsia" w:ascii="宋体" w:hAnsi="宋体" w:cs="宋体"/>
          <w:color w:val="auto"/>
          <w:sz w:val="22"/>
          <w:szCs w:val="22"/>
        </w:rPr>
        <w:t>日</w:t>
      </w:r>
      <w:r>
        <w:rPr>
          <w:rFonts w:hint="eastAsia" w:ascii="宋体" w:hAnsi="宋体" w:cs="宋体"/>
          <w:color w:val="auto"/>
          <w:sz w:val="22"/>
          <w:szCs w:val="22"/>
        </w:rPr>
        <w:tab/>
      </w:r>
    </w:p>
    <w:p w14:paraId="792E94B6">
      <w:pPr>
        <w:autoSpaceDE w:val="0"/>
        <w:autoSpaceDN w:val="0"/>
        <w:adjustRightInd w:val="0"/>
        <w:spacing w:line="440" w:lineRule="exact"/>
        <w:rPr>
          <w:rFonts w:hint="eastAsia" w:ascii="宋体" w:hAnsi="宋体" w:cs="宋体"/>
          <w:color w:val="auto"/>
          <w:sz w:val="22"/>
          <w:szCs w:val="22"/>
        </w:rPr>
      </w:pPr>
      <w:r>
        <w:rPr>
          <w:rFonts w:hint="eastAsia" w:ascii="宋体" w:hAnsi="宋体" w:cs="宋体"/>
          <w:color w:val="auto"/>
          <w:sz w:val="22"/>
          <w:szCs w:val="22"/>
        </w:rPr>
        <w:t>经营期限：</w:t>
      </w:r>
      <w:r>
        <w:rPr>
          <w:rFonts w:hint="eastAsia" w:ascii="宋体" w:hAnsi="宋体" w:cs="宋体"/>
          <w:color w:val="auto"/>
          <w:sz w:val="22"/>
          <w:szCs w:val="22"/>
          <w:u w:val="single"/>
        </w:rPr>
        <w:t xml:space="preserve">                                </w:t>
      </w:r>
    </w:p>
    <w:p w14:paraId="292BD5D8">
      <w:pPr>
        <w:autoSpaceDE w:val="0"/>
        <w:autoSpaceDN w:val="0"/>
        <w:adjustRightInd w:val="0"/>
        <w:spacing w:line="440" w:lineRule="exact"/>
        <w:rPr>
          <w:rFonts w:hint="eastAsia" w:ascii="宋体" w:hAnsi="宋体" w:cs="宋体"/>
          <w:color w:val="auto"/>
          <w:sz w:val="22"/>
          <w:szCs w:val="22"/>
        </w:rPr>
      </w:pPr>
      <w:r>
        <w:rPr>
          <w:rFonts w:hint="eastAsia" w:ascii="宋体" w:hAnsi="宋体" w:cs="宋体"/>
          <w:color w:val="auto"/>
          <w:sz w:val="22"/>
          <w:szCs w:val="22"/>
        </w:rPr>
        <w:t>姓    名：</w:t>
      </w:r>
      <w:r>
        <w:rPr>
          <w:rFonts w:hint="eastAsia" w:ascii="宋体" w:hAnsi="宋体" w:cs="宋体"/>
          <w:color w:val="auto"/>
          <w:sz w:val="22"/>
          <w:szCs w:val="22"/>
          <w:u w:val="single"/>
        </w:rPr>
        <w:t xml:space="preserve">        </w:t>
      </w:r>
      <w:r>
        <w:rPr>
          <w:rFonts w:hint="eastAsia" w:ascii="宋体" w:hAnsi="宋体" w:cs="宋体"/>
          <w:color w:val="auto"/>
          <w:sz w:val="22"/>
          <w:szCs w:val="22"/>
        </w:rPr>
        <w:t xml:space="preserve"> 性别：</w:t>
      </w:r>
      <w:r>
        <w:rPr>
          <w:rFonts w:hint="eastAsia" w:ascii="宋体" w:hAnsi="宋体" w:cs="宋体"/>
          <w:color w:val="auto"/>
          <w:sz w:val="22"/>
          <w:szCs w:val="22"/>
          <w:u w:val="single"/>
        </w:rPr>
        <w:t xml:space="preserve">        </w:t>
      </w:r>
      <w:r>
        <w:rPr>
          <w:rFonts w:hint="eastAsia" w:ascii="宋体" w:hAnsi="宋体" w:cs="宋体"/>
          <w:color w:val="auto"/>
          <w:sz w:val="22"/>
          <w:szCs w:val="22"/>
        </w:rPr>
        <w:t>年龄：</w:t>
      </w:r>
      <w:r>
        <w:rPr>
          <w:rFonts w:hint="eastAsia" w:ascii="宋体" w:hAnsi="宋体" w:cs="宋体"/>
          <w:color w:val="auto"/>
          <w:sz w:val="22"/>
          <w:szCs w:val="22"/>
          <w:u w:val="single"/>
        </w:rPr>
        <w:t xml:space="preserve">        </w:t>
      </w:r>
      <w:r>
        <w:rPr>
          <w:rFonts w:hint="eastAsia" w:ascii="宋体" w:hAnsi="宋体" w:cs="宋体"/>
          <w:color w:val="auto"/>
          <w:sz w:val="22"/>
          <w:szCs w:val="22"/>
        </w:rPr>
        <w:t>职务：</w:t>
      </w:r>
      <w:r>
        <w:rPr>
          <w:rFonts w:hint="eastAsia" w:ascii="宋体" w:hAnsi="宋体" w:cs="宋体"/>
          <w:color w:val="auto"/>
          <w:sz w:val="22"/>
          <w:szCs w:val="22"/>
          <w:u w:val="single"/>
        </w:rPr>
        <w:t xml:space="preserve">        </w:t>
      </w:r>
    </w:p>
    <w:p w14:paraId="02F6A1AF">
      <w:pPr>
        <w:autoSpaceDE w:val="0"/>
        <w:autoSpaceDN w:val="0"/>
        <w:adjustRightInd w:val="0"/>
        <w:spacing w:line="440" w:lineRule="exact"/>
        <w:rPr>
          <w:rFonts w:hint="eastAsia" w:ascii="宋体" w:hAnsi="宋体" w:cs="宋体"/>
          <w:color w:val="auto"/>
          <w:sz w:val="22"/>
          <w:szCs w:val="22"/>
        </w:rPr>
      </w:pPr>
      <w:r>
        <w:rPr>
          <w:rFonts w:hint="eastAsia" w:ascii="宋体" w:hAnsi="宋体" w:cs="宋体"/>
          <w:color w:val="auto"/>
          <w:sz w:val="22"/>
          <w:szCs w:val="22"/>
        </w:rPr>
        <w:t xml:space="preserve">系： </w:t>
      </w:r>
      <w:r>
        <w:rPr>
          <w:rFonts w:hint="eastAsia" w:ascii="宋体" w:hAnsi="宋体" w:cs="宋体"/>
          <w:color w:val="auto"/>
          <w:sz w:val="22"/>
          <w:szCs w:val="22"/>
          <w:u w:val="single"/>
        </w:rPr>
        <w:t xml:space="preserve">                                </w:t>
      </w:r>
      <w:r>
        <w:rPr>
          <w:rFonts w:hint="eastAsia" w:ascii="宋体" w:hAnsi="宋体" w:cs="宋体"/>
          <w:color w:val="auto"/>
          <w:sz w:val="22"/>
          <w:szCs w:val="22"/>
        </w:rPr>
        <w:t>（投标人名称）的法定代表人</w:t>
      </w:r>
    </w:p>
    <w:p w14:paraId="643F36ED">
      <w:pPr>
        <w:autoSpaceDE w:val="0"/>
        <w:autoSpaceDN w:val="0"/>
        <w:adjustRightInd w:val="0"/>
        <w:spacing w:line="440" w:lineRule="exact"/>
        <w:rPr>
          <w:rFonts w:hint="eastAsia" w:ascii="宋体" w:hAnsi="宋体" w:cs="宋体"/>
          <w:color w:val="auto"/>
          <w:sz w:val="22"/>
          <w:szCs w:val="22"/>
        </w:rPr>
      </w:pPr>
      <w:r>
        <w:rPr>
          <w:rFonts w:hint="eastAsia" w:ascii="宋体" w:hAnsi="宋体" w:cs="宋体"/>
          <w:color w:val="auto"/>
          <w:sz w:val="22"/>
          <w:szCs w:val="22"/>
        </w:rPr>
        <w:t>特此证明</w:t>
      </w:r>
    </w:p>
    <w:p w14:paraId="44E9328B">
      <w:pPr>
        <w:autoSpaceDE w:val="0"/>
        <w:autoSpaceDN w:val="0"/>
        <w:adjustRightInd w:val="0"/>
        <w:spacing w:line="440" w:lineRule="exact"/>
        <w:rPr>
          <w:rFonts w:hint="eastAsia" w:ascii="宋体" w:hAnsi="宋体" w:cs="宋体"/>
          <w:color w:val="auto"/>
          <w:sz w:val="22"/>
          <w:szCs w:val="22"/>
        </w:rPr>
      </w:pPr>
    </w:p>
    <w:p w14:paraId="7B2CAECB">
      <w:pPr>
        <w:autoSpaceDE w:val="0"/>
        <w:autoSpaceDN w:val="0"/>
        <w:adjustRightInd w:val="0"/>
        <w:spacing w:line="440" w:lineRule="exact"/>
        <w:rPr>
          <w:rFonts w:hint="eastAsia" w:ascii="宋体" w:hAnsi="宋体" w:cs="宋体"/>
          <w:color w:val="auto"/>
          <w:sz w:val="22"/>
          <w:szCs w:val="22"/>
        </w:rPr>
      </w:pPr>
    </w:p>
    <w:p w14:paraId="605D7D27">
      <w:pPr>
        <w:autoSpaceDE w:val="0"/>
        <w:autoSpaceDN w:val="0"/>
        <w:adjustRightInd w:val="0"/>
        <w:spacing w:line="440" w:lineRule="exact"/>
        <w:rPr>
          <w:rFonts w:hint="eastAsia" w:ascii="宋体" w:hAnsi="宋体" w:cs="宋体"/>
          <w:color w:val="auto"/>
          <w:sz w:val="22"/>
          <w:szCs w:val="22"/>
        </w:rPr>
      </w:pPr>
    </w:p>
    <w:p w14:paraId="47D3C2EB">
      <w:pPr>
        <w:autoSpaceDE w:val="0"/>
        <w:autoSpaceDN w:val="0"/>
        <w:adjustRightInd w:val="0"/>
        <w:spacing w:line="440" w:lineRule="exact"/>
        <w:jc w:val="right"/>
        <w:rPr>
          <w:rFonts w:hint="eastAsia" w:ascii="宋体" w:hAnsi="宋体" w:cs="宋体"/>
          <w:color w:val="auto"/>
          <w:sz w:val="22"/>
          <w:szCs w:val="22"/>
        </w:rPr>
      </w:pPr>
      <w:r>
        <w:rPr>
          <w:rFonts w:hint="eastAsia" w:ascii="宋体" w:hAnsi="宋体" w:cs="宋体"/>
          <w:color w:val="auto"/>
          <w:sz w:val="22"/>
          <w:szCs w:val="22"/>
        </w:rPr>
        <w:t>投标人：</w:t>
      </w:r>
      <w:r>
        <w:rPr>
          <w:rFonts w:hint="eastAsia" w:ascii="宋体" w:hAnsi="宋体" w:cs="宋体"/>
          <w:color w:val="auto"/>
          <w:sz w:val="22"/>
          <w:szCs w:val="22"/>
          <w:u w:val="single"/>
        </w:rPr>
        <w:t xml:space="preserve">                                </w:t>
      </w:r>
      <w:r>
        <w:rPr>
          <w:rFonts w:hint="eastAsia" w:ascii="宋体" w:hAnsi="宋体" w:cs="宋体"/>
          <w:color w:val="auto"/>
          <w:sz w:val="22"/>
          <w:szCs w:val="22"/>
        </w:rPr>
        <w:t>（盖单位章）</w:t>
      </w:r>
    </w:p>
    <w:p w14:paraId="6A2376AD">
      <w:pPr>
        <w:wordWrap w:val="0"/>
        <w:autoSpaceDE w:val="0"/>
        <w:autoSpaceDN w:val="0"/>
        <w:adjustRightInd w:val="0"/>
        <w:spacing w:line="440" w:lineRule="exact"/>
        <w:ind w:firstLine="1650" w:firstLineChars="750"/>
        <w:jc w:val="right"/>
        <w:rPr>
          <w:rFonts w:hint="eastAsia" w:ascii="宋体" w:hAnsi="宋体" w:cs="宋体"/>
          <w:color w:val="auto"/>
          <w:sz w:val="22"/>
          <w:szCs w:val="22"/>
        </w:rPr>
      </w:pPr>
      <w:r>
        <w:rPr>
          <w:rFonts w:hint="eastAsia" w:ascii="宋体" w:hAnsi="宋体" w:cs="宋体"/>
          <w:color w:val="auto"/>
          <w:sz w:val="22"/>
          <w:szCs w:val="22"/>
        </w:rPr>
        <w:t>日期：        年      月       日</w:t>
      </w:r>
    </w:p>
    <w:p w14:paraId="5647872D">
      <w:pPr>
        <w:autoSpaceDE w:val="0"/>
        <w:autoSpaceDN w:val="0"/>
        <w:adjustRightInd w:val="0"/>
        <w:jc w:val="left"/>
        <w:rPr>
          <w:rFonts w:hint="eastAsia" w:ascii="宋体" w:hAnsi="宋体" w:cs="宋体"/>
          <w:color w:val="auto"/>
          <w:sz w:val="22"/>
          <w:szCs w:val="22"/>
        </w:rPr>
      </w:pPr>
    </w:p>
    <w:p w14:paraId="2EE14B9C">
      <w:pPr>
        <w:spacing w:line="380" w:lineRule="exact"/>
        <w:jc w:val="center"/>
        <w:rPr>
          <w:rFonts w:hint="eastAsia" w:ascii="宋体" w:hAnsi="宋体" w:cs="宋体"/>
          <w:b/>
          <w:color w:val="auto"/>
          <w:sz w:val="24"/>
        </w:rPr>
      </w:pPr>
    </w:p>
    <w:p w14:paraId="08C836A4">
      <w:pPr>
        <w:spacing w:line="380" w:lineRule="exact"/>
        <w:rPr>
          <w:rFonts w:hint="eastAsia" w:ascii="宋体" w:hAnsi="宋体" w:cs="宋体"/>
          <w:b/>
          <w:color w:val="auto"/>
          <w:sz w:val="24"/>
        </w:rPr>
      </w:pPr>
      <w:r>
        <w:rPr>
          <w:rFonts w:hint="eastAsia" w:ascii="宋体" w:hAnsi="宋体" w:cs="宋体"/>
          <w:b/>
          <w:color w:val="auto"/>
          <w:sz w:val="24"/>
        </w:rPr>
        <w:t>附：法定代表人身份证明</w:t>
      </w:r>
    </w:p>
    <w:p w14:paraId="578F7E1E">
      <w:pPr>
        <w:spacing w:line="380" w:lineRule="exact"/>
        <w:rPr>
          <w:rFonts w:hint="eastAsia" w:ascii="宋体" w:hAnsi="宋体" w:cs="宋体"/>
          <w:b/>
          <w:color w:val="auto"/>
          <w:sz w:val="24"/>
        </w:rPr>
      </w:pPr>
    </w:p>
    <w:tbl>
      <w:tblPr>
        <w:tblStyle w:val="37"/>
        <w:tblpPr w:leftFromText="180" w:rightFromText="180" w:vertAnchor="text" w:horzAnchor="margin" w:tblpXSpec="right" w:tblpY="100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14:paraId="3B1A2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5" w:hRule="atLeast"/>
        </w:trPr>
        <w:tc>
          <w:tcPr>
            <w:tcW w:w="5000" w:type="pct"/>
          </w:tcPr>
          <w:p w14:paraId="41E701FA">
            <w:pPr>
              <w:spacing w:line="440" w:lineRule="exact"/>
              <w:rPr>
                <w:rFonts w:hint="eastAsia" w:ascii="宋体" w:hAnsi="宋体" w:cs="宋体"/>
                <w:color w:val="auto"/>
                <w:sz w:val="22"/>
                <w:szCs w:val="22"/>
              </w:rPr>
            </w:pPr>
          </w:p>
          <w:p w14:paraId="3953F4DA">
            <w:pPr>
              <w:spacing w:line="440" w:lineRule="exact"/>
              <w:rPr>
                <w:rFonts w:hint="eastAsia" w:ascii="宋体" w:hAnsi="宋体" w:cs="宋体"/>
                <w:color w:val="auto"/>
                <w:sz w:val="22"/>
                <w:szCs w:val="22"/>
              </w:rPr>
            </w:pPr>
          </w:p>
          <w:p w14:paraId="2A61EA9F">
            <w:pPr>
              <w:spacing w:line="440" w:lineRule="exact"/>
              <w:rPr>
                <w:rFonts w:hint="eastAsia" w:ascii="宋体" w:hAnsi="宋体" w:cs="宋体"/>
                <w:color w:val="auto"/>
                <w:sz w:val="22"/>
                <w:szCs w:val="22"/>
              </w:rPr>
            </w:pPr>
          </w:p>
          <w:p w14:paraId="02957592">
            <w:pPr>
              <w:spacing w:line="440" w:lineRule="exact"/>
              <w:jc w:val="center"/>
              <w:rPr>
                <w:rFonts w:hint="eastAsia" w:ascii="宋体" w:hAnsi="宋体" w:cs="宋体"/>
                <w:color w:val="auto"/>
                <w:sz w:val="22"/>
                <w:szCs w:val="22"/>
              </w:rPr>
            </w:pPr>
            <w:r>
              <w:rPr>
                <w:rFonts w:hint="eastAsia" w:ascii="宋体" w:hAnsi="宋体" w:cs="宋体"/>
                <w:color w:val="auto"/>
                <w:sz w:val="22"/>
                <w:szCs w:val="22"/>
              </w:rPr>
              <w:t>法人代表身份证复印件</w:t>
            </w:r>
          </w:p>
          <w:p w14:paraId="50CD68E6">
            <w:pPr>
              <w:spacing w:line="440" w:lineRule="exact"/>
              <w:jc w:val="center"/>
              <w:rPr>
                <w:rFonts w:hint="eastAsia" w:ascii="宋体" w:hAnsi="宋体" w:cs="宋体"/>
                <w:color w:val="auto"/>
                <w:sz w:val="22"/>
                <w:szCs w:val="22"/>
              </w:rPr>
            </w:pPr>
            <w:r>
              <w:rPr>
                <w:rFonts w:hint="eastAsia" w:ascii="宋体" w:hAnsi="宋体" w:cs="宋体"/>
                <w:color w:val="auto"/>
                <w:sz w:val="22"/>
                <w:szCs w:val="22"/>
              </w:rPr>
              <w:t>（粘贴处）</w:t>
            </w:r>
          </w:p>
        </w:tc>
      </w:tr>
    </w:tbl>
    <w:p w14:paraId="494B0272">
      <w:pPr>
        <w:spacing w:line="380" w:lineRule="exact"/>
        <w:jc w:val="center"/>
        <w:rPr>
          <w:rFonts w:hint="eastAsia" w:ascii="宋体" w:hAnsi="宋体" w:cs="宋体"/>
          <w:b/>
          <w:color w:val="auto"/>
          <w:sz w:val="24"/>
        </w:rPr>
      </w:pPr>
      <w:r>
        <w:rPr>
          <w:rFonts w:hint="eastAsia" w:ascii="宋体" w:hAnsi="宋体" w:cs="宋体"/>
          <w:b/>
          <w:color w:val="auto"/>
          <w:sz w:val="24"/>
        </w:rPr>
        <w:br w:type="page"/>
      </w:r>
      <w:r>
        <w:rPr>
          <w:rFonts w:hint="eastAsia" w:ascii="宋体" w:hAnsi="宋体" w:cs="宋体"/>
          <w:b/>
          <w:color w:val="auto"/>
          <w:sz w:val="24"/>
        </w:rPr>
        <w:t>（2）法定代表人授权书</w:t>
      </w:r>
    </w:p>
    <w:p w14:paraId="0A1CD2CD">
      <w:pPr>
        <w:spacing w:line="460" w:lineRule="exact"/>
        <w:rPr>
          <w:rFonts w:hint="eastAsia" w:ascii="宋体" w:hAnsi="宋体" w:cs="宋体"/>
          <w:color w:val="auto"/>
          <w:sz w:val="22"/>
          <w:szCs w:val="22"/>
        </w:rPr>
      </w:pPr>
    </w:p>
    <w:p w14:paraId="4AA8D8DF">
      <w:pPr>
        <w:spacing w:line="460" w:lineRule="exact"/>
        <w:rPr>
          <w:rFonts w:hint="eastAsia" w:ascii="宋体" w:hAnsi="宋体" w:cs="宋体"/>
          <w:b/>
          <w:color w:val="auto"/>
          <w:sz w:val="24"/>
        </w:rPr>
      </w:pPr>
      <w:r>
        <w:rPr>
          <w:rFonts w:hint="eastAsia" w:ascii="宋体" w:hAnsi="宋体" w:cs="宋体"/>
          <w:b/>
          <w:color w:val="auto"/>
          <w:sz w:val="24"/>
        </w:rPr>
        <w:t>浙江安防职业技术学院：</w:t>
      </w:r>
    </w:p>
    <w:p w14:paraId="458EB822">
      <w:pPr>
        <w:spacing w:line="440" w:lineRule="exact"/>
        <w:rPr>
          <w:rFonts w:hint="eastAsia" w:ascii="宋体" w:hAnsi="宋体" w:cs="宋体"/>
          <w:color w:val="auto"/>
          <w:sz w:val="22"/>
          <w:szCs w:val="22"/>
          <w:u w:val="single"/>
        </w:rPr>
      </w:pPr>
    </w:p>
    <w:p w14:paraId="1DD0AEBA">
      <w:pPr>
        <w:spacing w:line="440" w:lineRule="exact"/>
        <w:ind w:firstLine="550" w:firstLineChars="250"/>
        <w:rPr>
          <w:rFonts w:hint="eastAsia" w:ascii="宋体" w:hAnsi="宋体" w:cs="宋体"/>
          <w:color w:val="auto"/>
          <w:sz w:val="22"/>
          <w:szCs w:val="22"/>
        </w:rPr>
      </w:pPr>
      <w:r>
        <w:rPr>
          <w:rFonts w:hint="eastAsia" w:ascii="宋体" w:hAnsi="宋体" w:cs="宋体"/>
          <w:color w:val="auto"/>
          <w:sz w:val="22"/>
          <w:szCs w:val="22"/>
          <w:u w:val="single"/>
        </w:rPr>
        <w:t xml:space="preserve">本人       </w:t>
      </w:r>
      <w:r>
        <w:rPr>
          <w:rFonts w:hint="eastAsia" w:ascii="宋体" w:hAnsi="宋体" w:cs="宋体"/>
          <w:color w:val="auto"/>
          <w:sz w:val="22"/>
          <w:szCs w:val="22"/>
        </w:rPr>
        <w:t>（姓名）系</w:t>
      </w:r>
      <w:r>
        <w:rPr>
          <w:rFonts w:hint="eastAsia" w:ascii="宋体" w:hAnsi="宋体" w:cs="宋体"/>
          <w:color w:val="auto"/>
          <w:sz w:val="22"/>
          <w:szCs w:val="22"/>
          <w:u w:val="single"/>
        </w:rPr>
        <w:t xml:space="preserve">       </w:t>
      </w:r>
      <w:r>
        <w:rPr>
          <w:rFonts w:hint="eastAsia" w:ascii="宋体" w:hAnsi="宋体" w:cs="宋体"/>
          <w:color w:val="auto"/>
          <w:sz w:val="22"/>
          <w:szCs w:val="22"/>
        </w:rPr>
        <w:t>（投标人全称）的法定代表人，现委托</w:t>
      </w:r>
      <w:r>
        <w:rPr>
          <w:rFonts w:hint="eastAsia" w:ascii="宋体" w:hAnsi="宋体" w:cs="宋体"/>
          <w:color w:val="auto"/>
          <w:sz w:val="22"/>
          <w:szCs w:val="22"/>
          <w:u w:val="single"/>
        </w:rPr>
        <w:t xml:space="preserve">       </w:t>
      </w:r>
      <w:r>
        <w:rPr>
          <w:rFonts w:hint="eastAsia" w:ascii="宋体" w:hAnsi="宋体" w:cs="宋体"/>
          <w:color w:val="auto"/>
          <w:sz w:val="22"/>
          <w:szCs w:val="22"/>
        </w:rPr>
        <w:t>（全权代表姓名）为我方授权代表。代理人根据授权，以我方名义签署、澄清、说明、补正、递交、撤回、修改</w:t>
      </w:r>
      <w:r>
        <w:rPr>
          <w:rFonts w:hint="eastAsia" w:ascii="宋体" w:hAnsi="宋体" w:cs="宋体"/>
          <w:color w:val="auto"/>
          <w:sz w:val="22"/>
          <w:szCs w:val="22"/>
          <w:u w:val="single"/>
        </w:rPr>
        <w:t xml:space="preserve">       </w:t>
      </w:r>
      <w:r>
        <w:rPr>
          <w:rFonts w:hint="eastAsia" w:ascii="宋体" w:hAnsi="宋体" w:cs="宋体"/>
          <w:color w:val="auto"/>
          <w:sz w:val="22"/>
          <w:szCs w:val="22"/>
        </w:rPr>
        <w:t>（项目名称、编号）投标文件、签订合同和处理有关事宜，其法律后果由我方承担。</w:t>
      </w:r>
    </w:p>
    <w:p w14:paraId="2B610D77">
      <w:pPr>
        <w:spacing w:line="440" w:lineRule="exact"/>
        <w:rPr>
          <w:rFonts w:hint="eastAsia" w:ascii="宋体" w:hAnsi="宋体" w:cs="宋体"/>
          <w:color w:val="auto"/>
          <w:sz w:val="22"/>
          <w:szCs w:val="22"/>
          <w:u w:val="single"/>
        </w:rPr>
      </w:pPr>
      <w:r>
        <w:rPr>
          <w:rFonts w:hint="eastAsia" w:ascii="宋体" w:hAnsi="宋体" w:cs="宋体"/>
          <w:color w:val="auto"/>
          <w:sz w:val="22"/>
          <w:szCs w:val="22"/>
        </w:rPr>
        <w:t xml:space="preserve">    委托期限：</w:t>
      </w:r>
      <w:r>
        <w:rPr>
          <w:rFonts w:hint="eastAsia" w:ascii="宋体" w:hAnsi="宋体" w:cs="宋体"/>
          <w:color w:val="auto"/>
          <w:sz w:val="22"/>
          <w:szCs w:val="22"/>
          <w:u w:val="single"/>
        </w:rPr>
        <w:t xml:space="preserve">       </w:t>
      </w:r>
      <w:r>
        <w:rPr>
          <w:rFonts w:ascii="宋体" w:hAnsi="宋体" w:cs="宋体"/>
          <w:color w:val="auto"/>
          <w:sz w:val="22"/>
          <w:szCs w:val="22"/>
          <w:u w:val="single"/>
        </w:rPr>
        <w:t xml:space="preserve">                            </w:t>
      </w:r>
    </w:p>
    <w:p w14:paraId="2E318CEA">
      <w:pPr>
        <w:spacing w:line="440" w:lineRule="exact"/>
        <w:rPr>
          <w:rFonts w:hint="eastAsia" w:ascii="宋体" w:hAnsi="宋体" w:cs="宋体"/>
          <w:color w:val="auto"/>
          <w:sz w:val="22"/>
          <w:szCs w:val="22"/>
        </w:rPr>
      </w:pPr>
      <w:r>
        <w:rPr>
          <w:rFonts w:hint="eastAsia" w:ascii="宋体" w:hAnsi="宋体" w:cs="宋体"/>
          <w:color w:val="auto"/>
          <w:sz w:val="22"/>
          <w:szCs w:val="22"/>
        </w:rPr>
        <w:t xml:space="preserve">    代理人无转委托权。</w:t>
      </w:r>
    </w:p>
    <w:p w14:paraId="61641C76">
      <w:pPr>
        <w:spacing w:line="440" w:lineRule="exact"/>
        <w:ind w:firstLine="2955"/>
        <w:rPr>
          <w:rFonts w:hint="eastAsia" w:ascii="宋体" w:hAnsi="宋体" w:cs="宋体"/>
          <w:color w:val="auto"/>
          <w:sz w:val="22"/>
          <w:szCs w:val="22"/>
        </w:rPr>
      </w:pPr>
    </w:p>
    <w:p w14:paraId="7368D340">
      <w:pPr>
        <w:spacing w:line="440" w:lineRule="exact"/>
        <w:ind w:firstLine="4180" w:firstLineChars="1900"/>
        <w:rPr>
          <w:rFonts w:hint="eastAsia" w:ascii="宋体" w:hAnsi="宋体" w:cs="宋体"/>
          <w:color w:val="auto"/>
          <w:sz w:val="22"/>
          <w:szCs w:val="22"/>
        </w:rPr>
      </w:pPr>
      <w:r>
        <w:rPr>
          <w:rFonts w:hint="eastAsia" w:ascii="宋体" w:hAnsi="宋体" w:cs="宋体"/>
          <w:color w:val="auto"/>
          <w:sz w:val="22"/>
          <w:szCs w:val="22"/>
        </w:rPr>
        <w:t>法定代表人（签字/电子签字）：</w:t>
      </w:r>
    </w:p>
    <w:p w14:paraId="19338FAC">
      <w:pPr>
        <w:spacing w:line="440" w:lineRule="exact"/>
        <w:ind w:firstLine="2955"/>
        <w:rPr>
          <w:rFonts w:hint="eastAsia" w:ascii="宋体" w:hAnsi="宋体" w:cs="宋体"/>
          <w:color w:val="auto"/>
          <w:sz w:val="22"/>
          <w:szCs w:val="22"/>
        </w:rPr>
      </w:pPr>
      <w:r>
        <w:rPr>
          <w:rFonts w:hint="eastAsia" w:ascii="宋体" w:hAnsi="宋体" w:cs="宋体"/>
          <w:color w:val="auto"/>
          <w:sz w:val="22"/>
          <w:szCs w:val="22"/>
        </w:rPr>
        <w:t xml:space="preserve">           投标人全称（电子签名/公章）：</w:t>
      </w:r>
    </w:p>
    <w:p w14:paraId="26FB8EFD">
      <w:pPr>
        <w:spacing w:line="440" w:lineRule="exact"/>
        <w:ind w:firstLine="2955"/>
        <w:rPr>
          <w:rFonts w:hint="eastAsia" w:ascii="宋体" w:hAnsi="宋体" w:cs="宋体"/>
          <w:color w:val="auto"/>
          <w:sz w:val="22"/>
          <w:szCs w:val="22"/>
        </w:rPr>
      </w:pPr>
      <w:r>
        <w:rPr>
          <w:rFonts w:hint="eastAsia" w:ascii="宋体" w:hAnsi="宋体" w:cs="宋体"/>
          <w:color w:val="auto"/>
          <w:sz w:val="22"/>
          <w:szCs w:val="22"/>
        </w:rPr>
        <w:t xml:space="preserve">           日期：      年    月    日</w:t>
      </w:r>
    </w:p>
    <w:p w14:paraId="1FD14B4A">
      <w:pPr>
        <w:spacing w:line="440" w:lineRule="exact"/>
        <w:rPr>
          <w:rFonts w:hint="eastAsia" w:ascii="宋体" w:hAnsi="宋体" w:cs="宋体"/>
          <w:color w:val="auto"/>
          <w:sz w:val="22"/>
          <w:szCs w:val="22"/>
        </w:rPr>
      </w:pPr>
    </w:p>
    <w:p w14:paraId="0C087D43">
      <w:pPr>
        <w:spacing w:line="440" w:lineRule="exact"/>
        <w:rPr>
          <w:rFonts w:hint="eastAsia" w:ascii="宋体" w:hAnsi="宋体" w:cs="宋体"/>
          <w:color w:val="auto"/>
          <w:sz w:val="22"/>
          <w:szCs w:val="22"/>
        </w:rPr>
      </w:pPr>
    </w:p>
    <w:p w14:paraId="0D1BD992">
      <w:pPr>
        <w:spacing w:line="440" w:lineRule="exact"/>
        <w:rPr>
          <w:rFonts w:hint="eastAsia" w:ascii="宋体" w:hAnsi="宋体" w:cs="宋体"/>
          <w:color w:val="auto"/>
          <w:sz w:val="22"/>
          <w:szCs w:val="22"/>
        </w:rPr>
      </w:pPr>
      <w:r>
        <w:rPr>
          <w:rFonts w:hint="eastAsia" w:ascii="宋体" w:hAnsi="宋体" w:cs="宋体"/>
          <w:color w:val="auto"/>
          <w:sz w:val="22"/>
          <w:szCs w:val="22"/>
        </w:rPr>
        <w:t>附：</w:t>
      </w:r>
    </w:p>
    <w:p w14:paraId="7BB82B3B">
      <w:pPr>
        <w:spacing w:line="440" w:lineRule="exact"/>
        <w:ind w:firstLine="220" w:firstLineChars="100"/>
        <w:rPr>
          <w:rFonts w:hint="eastAsia" w:ascii="宋体" w:hAnsi="宋体" w:cs="宋体"/>
          <w:color w:val="auto"/>
          <w:sz w:val="22"/>
          <w:szCs w:val="22"/>
        </w:rPr>
      </w:pPr>
      <w:r>
        <w:rPr>
          <w:rFonts w:hint="eastAsia" w:ascii="宋体" w:hAnsi="宋体" w:cs="宋体"/>
          <w:color w:val="auto"/>
          <w:sz w:val="22"/>
          <w:szCs w:val="22"/>
        </w:rPr>
        <w:t>授权代表姓名：</w:t>
      </w:r>
    </w:p>
    <w:p w14:paraId="576BC087">
      <w:pPr>
        <w:spacing w:line="440" w:lineRule="exact"/>
        <w:ind w:firstLine="220" w:firstLineChars="100"/>
        <w:rPr>
          <w:rFonts w:hint="eastAsia" w:ascii="宋体" w:hAnsi="宋体" w:cs="宋体"/>
          <w:color w:val="auto"/>
          <w:sz w:val="22"/>
          <w:szCs w:val="22"/>
        </w:rPr>
      </w:pPr>
      <w:r>
        <w:rPr>
          <w:rFonts w:hint="eastAsia" w:ascii="宋体" w:hAnsi="宋体" w:cs="宋体"/>
          <w:color w:val="auto"/>
          <w:sz w:val="22"/>
          <w:szCs w:val="22"/>
        </w:rPr>
        <w:t>身份证号码：</w:t>
      </w:r>
    </w:p>
    <w:p w14:paraId="41C36EAB">
      <w:pPr>
        <w:spacing w:line="440" w:lineRule="exact"/>
        <w:ind w:firstLine="220" w:firstLineChars="100"/>
        <w:rPr>
          <w:rFonts w:hint="eastAsia" w:ascii="宋体" w:hAnsi="宋体" w:cs="宋体"/>
          <w:color w:val="auto"/>
          <w:sz w:val="22"/>
          <w:szCs w:val="22"/>
        </w:rPr>
      </w:pPr>
      <w:r>
        <w:rPr>
          <w:rFonts w:hint="eastAsia" w:ascii="宋体" w:hAnsi="宋体" w:cs="宋体"/>
          <w:color w:val="auto"/>
          <w:sz w:val="22"/>
          <w:szCs w:val="22"/>
        </w:rPr>
        <w:t>职务：</w:t>
      </w:r>
    </w:p>
    <w:p w14:paraId="35A1ED0F">
      <w:pPr>
        <w:spacing w:line="440" w:lineRule="exact"/>
        <w:ind w:firstLine="220" w:firstLineChars="100"/>
        <w:rPr>
          <w:rFonts w:hint="eastAsia" w:ascii="宋体" w:hAnsi="宋体" w:cs="宋体"/>
          <w:color w:val="auto"/>
          <w:sz w:val="22"/>
          <w:szCs w:val="22"/>
        </w:rPr>
      </w:pPr>
      <w:r>
        <w:rPr>
          <w:rFonts w:hint="eastAsia" w:ascii="宋体" w:hAnsi="宋体" w:cs="宋体"/>
          <w:color w:val="auto"/>
          <w:sz w:val="22"/>
          <w:szCs w:val="22"/>
        </w:rPr>
        <w:t>手机号码：</w:t>
      </w:r>
    </w:p>
    <w:p w14:paraId="2C59F04F">
      <w:pPr>
        <w:spacing w:line="440" w:lineRule="exact"/>
        <w:rPr>
          <w:rFonts w:hint="eastAsia" w:ascii="宋体" w:hAnsi="宋体" w:cs="宋体"/>
          <w:color w:val="auto"/>
          <w:sz w:val="22"/>
          <w:szCs w:val="22"/>
        </w:rPr>
      </w:pPr>
      <w:r>
        <w:rPr>
          <w:rFonts w:hint="eastAsia" w:ascii="宋体" w:hAnsi="宋体" w:cs="宋体"/>
          <w:b/>
          <w:color w:val="auto"/>
          <w:sz w:val="24"/>
        </w:rPr>
        <w:t>附：授权代表身份证明</w:t>
      </w:r>
    </w:p>
    <w:p w14:paraId="6E324E2A">
      <w:pPr>
        <w:spacing w:line="440" w:lineRule="exact"/>
        <w:ind w:firstLine="220" w:firstLineChars="100"/>
        <w:rPr>
          <w:rFonts w:hint="eastAsia" w:ascii="宋体" w:hAnsi="宋体" w:cs="宋体"/>
          <w:color w:val="auto"/>
          <w:sz w:val="22"/>
          <w:szCs w:val="22"/>
        </w:rPr>
      </w:pP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7"/>
      </w:tblGrid>
      <w:tr w14:paraId="62FEE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5" w:hRule="atLeast"/>
        </w:trPr>
        <w:tc>
          <w:tcPr>
            <w:tcW w:w="9727" w:type="dxa"/>
          </w:tcPr>
          <w:p w14:paraId="4377A38D">
            <w:pPr>
              <w:spacing w:line="440" w:lineRule="exact"/>
              <w:rPr>
                <w:rFonts w:hint="eastAsia" w:ascii="宋体" w:hAnsi="宋体" w:cs="宋体"/>
                <w:color w:val="auto"/>
                <w:sz w:val="22"/>
                <w:szCs w:val="22"/>
              </w:rPr>
            </w:pPr>
          </w:p>
          <w:p w14:paraId="02838E78">
            <w:pPr>
              <w:spacing w:line="440" w:lineRule="exact"/>
              <w:rPr>
                <w:rFonts w:hint="eastAsia" w:ascii="宋体" w:hAnsi="宋体" w:cs="宋体"/>
                <w:color w:val="auto"/>
                <w:sz w:val="22"/>
                <w:szCs w:val="22"/>
              </w:rPr>
            </w:pPr>
          </w:p>
          <w:p w14:paraId="7047DB8E">
            <w:pPr>
              <w:spacing w:line="440" w:lineRule="exact"/>
              <w:rPr>
                <w:rFonts w:hint="eastAsia" w:ascii="宋体" w:hAnsi="宋体" w:cs="宋体"/>
                <w:color w:val="auto"/>
                <w:sz w:val="22"/>
                <w:szCs w:val="22"/>
              </w:rPr>
            </w:pPr>
          </w:p>
          <w:p w14:paraId="43E39C4B">
            <w:pPr>
              <w:spacing w:line="440" w:lineRule="exact"/>
              <w:jc w:val="center"/>
              <w:rPr>
                <w:rFonts w:hint="eastAsia" w:ascii="宋体" w:hAnsi="宋体" w:cs="宋体"/>
                <w:color w:val="auto"/>
                <w:sz w:val="22"/>
                <w:szCs w:val="22"/>
              </w:rPr>
            </w:pPr>
            <w:r>
              <w:rPr>
                <w:rFonts w:hint="eastAsia" w:ascii="宋体" w:hAnsi="宋体" w:cs="宋体"/>
                <w:color w:val="auto"/>
                <w:sz w:val="22"/>
                <w:szCs w:val="22"/>
              </w:rPr>
              <w:t>授权代表身份证复印件</w:t>
            </w:r>
          </w:p>
          <w:p w14:paraId="1F04DCEB">
            <w:pPr>
              <w:spacing w:line="440" w:lineRule="exact"/>
              <w:jc w:val="center"/>
              <w:rPr>
                <w:rFonts w:hint="eastAsia" w:ascii="宋体" w:hAnsi="宋体" w:cs="宋体"/>
                <w:color w:val="auto"/>
                <w:sz w:val="22"/>
                <w:szCs w:val="22"/>
              </w:rPr>
            </w:pPr>
            <w:r>
              <w:rPr>
                <w:rFonts w:hint="eastAsia" w:ascii="宋体" w:hAnsi="宋体" w:cs="宋体"/>
                <w:color w:val="auto"/>
                <w:sz w:val="22"/>
                <w:szCs w:val="22"/>
              </w:rPr>
              <w:t>（粘贴处）</w:t>
            </w:r>
          </w:p>
        </w:tc>
      </w:tr>
    </w:tbl>
    <w:p w14:paraId="4F12C4CA">
      <w:pPr>
        <w:spacing w:line="440" w:lineRule="exact"/>
        <w:rPr>
          <w:rFonts w:hint="eastAsia" w:ascii="宋体" w:hAnsi="宋体" w:cs="宋体"/>
          <w:b/>
          <w:bCs/>
          <w:color w:val="auto"/>
          <w:sz w:val="22"/>
          <w:szCs w:val="22"/>
        </w:rPr>
      </w:pPr>
    </w:p>
    <w:p w14:paraId="5B5F71A9">
      <w:pPr>
        <w:spacing w:line="440" w:lineRule="exact"/>
        <w:rPr>
          <w:rFonts w:hint="eastAsia" w:ascii="宋体" w:hAnsi="宋体" w:cs="宋体"/>
          <w:b/>
          <w:color w:val="auto"/>
          <w:sz w:val="24"/>
        </w:rPr>
        <w:sectPr>
          <w:footerReference r:id="rId8" w:type="default"/>
          <w:pgSz w:w="11906" w:h="16838"/>
          <w:pgMar w:top="1134" w:right="1134" w:bottom="1134" w:left="1134" w:header="851" w:footer="992" w:gutter="0"/>
          <w:cols w:space="720" w:num="1"/>
          <w:docGrid w:linePitch="312" w:charSpace="0"/>
        </w:sectPr>
      </w:pPr>
    </w:p>
    <w:p w14:paraId="731F2295">
      <w:pPr>
        <w:spacing w:line="400" w:lineRule="exact"/>
        <w:jc w:val="center"/>
        <w:rPr>
          <w:rFonts w:hint="eastAsia" w:ascii="宋体" w:hAnsi="宋体"/>
          <w:b/>
          <w:bCs/>
          <w:color w:val="auto"/>
          <w:sz w:val="24"/>
        </w:rPr>
      </w:pPr>
      <w:r>
        <w:rPr>
          <w:rFonts w:hint="eastAsia" w:ascii="宋体" w:hAnsi="宋体"/>
          <w:b/>
          <w:bCs/>
          <w:color w:val="auto"/>
          <w:sz w:val="24"/>
        </w:rPr>
        <w:t>（3）</w:t>
      </w:r>
      <w:r>
        <w:rPr>
          <w:rFonts w:hint="eastAsia" w:ascii="宋体" w:hAnsi="宋体" w:cs="宋体"/>
          <w:b/>
          <w:color w:val="auto"/>
          <w:sz w:val="24"/>
        </w:rPr>
        <w:t>符合参加政府采购活动应当具备的一般条件的承诺函</w:t>
      </w:r>
    </w:p>
    <w:p w14:paraId="4194AAA1">
      <w:pPr>
        <w:pStyle w:val="19"/>
        <w:rPr>
          <w:color w:val="auto"/>
        </w:rPr>
      </w:pPr>
    </w:p>
    <w:p w14:paraId="76EA77DB">
      <w:pPr>
        <w:widowControl/>
        <w:adjustRightInd w:val="0"/>
        <w:snapToGrid w:val="0"/>
        <w:spacing w:line="440" w:lineRule="exact"/>
        <w:jc w:val="left"/>
        <w:rPr>
          <w:rFonts w:hint="eastAsia" w:ascii="宋体" w:hAnsi="宋体" w:cs="宋体"/>
          <w:b/>
          <w:bCs/>
          <w:color w:val="auto"/>
          <w:sz w:val="24"/>
        </w:rPr>
      </w:pPr>
      <w:r>
        <w:rPr>
          <w:rFonts w:hint="eastAsia" w:ascii="宋体" w:hAnsi="宋体" w:cs="宋体"/>
          <w:b/>
          <w:bCs/>
          <w:color w:val="auto"/>
          <w:sz w:val="24"/>
        </w:rPr>
        <w:t>浙江安防职业技术学院、温州正风招标代理有限公司：</w:t>
      </w:r>
    </w:p>
    <w:p w14:paraId="44645E90">
      <w:pPr>
        <w:widowControl/>
        <w:adjustRightInd w:val="0"/>
        <w:snapToGrid w:val="0"/>
        <w:spacing w:line="440" w:lineRule="exact"/>
        <w:ind w:firstLine="440" w:firstLineChars="200"/>
        <w:jc w:val="left"/>
        <w:rPr>
          <w:rFonts w:hint="eastAsia" w:ascii="宋体" w:hAnsi="宋体" w:cs="Arial"/>
          <w:color w:val="auto"/>
          <w:sz w:val="22"/>
          <w:szCs w:val="22"/>
        </w:rPr>
      </w:pPr>
    </w:p>
    <w:p w14:paraId="506ED726">
      <w:pPr>
        <w:snapToGrid w:val="0"/>
        <w:spacing w:line="360" w:lineRule="auto"/>
        <w:ind w:firstLine="440" w:firstLineChars="200"/>
        <w:rPr>
          <w:rFonts w:hint="eastAsia" w:ascii="宋体" w:hAnsi="宋体" w:cs="仿宋_GB2312"/>
          <w:color w:val="auto"/>
          <w:sz w:val="22"/>
          <w:szCs w:val="22"/>
        </w:rPr>
      </w:pPr>
      <w:r>
        <w:rPr>
          <w:rFonts w:hint="eastAsia" w:ascii="宋体" w:hAnsi="宋体" w:cs="仿宋_GB2312"/>
          <w:color w:val="auto"/>
          <w:sz w:val="22"/>
          <w:szCs w:val="22"/>
        </w:rPr>
        <w:t>我方参与</w:t>
      </w:r>
      <w:r>
        <w:rPr>
          <w:rFonts w:hint="eastAsia" w:ascii="宋体" w:hAnsi="宋体" w:cs="宋体"/>
          <w:color w:val="auto"/>
          <w:sz w:val="22"/>
          <w:szCs w:val="22"/>
          <w:u w:val="single"/>
        </w:rPr>
        <w:t xml:space="preserve">       </w:t>
      </w:r>
      <w:r>
        <w:rPr>
          <w:rFonts w:hint="eastAsia" w:ascii="宋体" w:hAnsi="宋体" w:cs="仿宋_GB2312"/>
          <w:color w:val="auto"/>
          <w:sz w:val="22"/>
          <w:szCs w:val="22"/>
          <w:u w:val="single"/>
        </w:rPr>
        <w:t>（项目名称）【项目编号：    】</w:t>
      </w:r>
      <w:r>
        <w:rPr>
          <w:rFonts w:hint="eastAsia" w:ascii="宋体" w:hAnsi="宋体" w:cs="仿宋_GB2312"/>
          <w:color w:val="auto"/>
          <w:sz w:val="22"/>
          <w:szCs w:val="22"/>
        </w:rPr>
        <w:t>政府采购活动，郑重承诺：</w:t>
      </w:r>
    </w:p>
    <w:p w14:paraId="45789FDA">
      <w:pPr>
        <w:snapToGrid w:val="0"/>
        <w:spacing w:line="360" w:lineRule="auto"/>
        <w:ind w:firstLine="330" w:firstLineChars="150"/>
        <w:rPr>
          <w:rFonts w:hint="eastAsia" w:ascii="宋体" w:hAnsi="宋体" w:cs="仿宋_GB2312"/>
          <w:color w:val="auto"/>
          <w:sz w:val="22"/>
          <w:szCs w:val="22"/>
        </w:rPr>
      </w:pPr>
      <w:r>
        <w:rPr>
          <w:rFonts w:hint="eastAsia" w:ascii="宋体" w:hAnsi="宋体" w:cs="仿宋_GB2312"/>
          <w:color w:val="auto"/>
          <w:sz w:val="22"/>
          <w:szCs w:val="22"/>
        </w:rPr>
        <w:t>（一）具备《中华人民共和国政府采购法》第二十二条第一款规定的条件：</w:t>
      </w:r>
    </w:p>
    <w:p w14:paraId="548BD90A">
      <w:pPr>
        <w:snapToGrid w:val="0"/>
        <w:spacing w:line="360" w:lineRule="auto"/>
        <w:ind w:firstLine="440" w:firstLineChars="200"/>
        <w:rPr>
          <w:rFonts w:hint="eastAsia" w:ascii="宋体" w:hAnsi="宋体" w:cs="仿宋_GB2312"/>
          <w:color w:val="auto"/>
          <w:sz w:val="22"/>
          <w:szCs w:val="22"/>
        </w:rPr>
      </w:pPr>
      <w:r>
        <w:rPr>
          <w:rFonts w:hint="eastAsia" w:ascii="宋体" w:hAnsi="宋体" w:cs="仿宋_GB2312"/>
          <w:color w:val="auto"/>
          <w:sz w:val="22"/>
          <w:szCs w:val="22"/>
        </w:rPr>
        <w:t>1、</w:t>
      </w:r>
      <w:r>
        <w:rPr>
          <w:rFonts w:ascii="宋体" w:hAnsi="宋体" w:cs="仿宋_GB2312"/>
          <w:color w:val="auto"/>
          <w:sz w:val="22"/>
          <w:szCs w:val="22"/>
        </w:rPr>
        <w:t>具有独立承担民事责任的能力；</w:t>
      </w:r>
    </w:p>
    <w:p w14:paraId="13A9A1F3">
      <w:pPr>
        <w:snapToGrid w:val="0"/>
        <w:spacing w:line="360" w:lineRule="auto"/>
        <w:ind w:firstLine="440" w:firstLineChars="200"/>
        <w:rPr>
          <w:rFonts w:hint="eastAsia" w:ascii="宋体" w:hAnsi="宋体"/>
          <w:color w:val="auto"/>
          <w:sz w:val="22"/>
          <w:szCs w:val="22"/>
        </w:rPr>
      </w:pPr>
      <w:r>
        <w:rPr>
          <w:rFonts w:hint="eastAsia" w:ascii="宋体" w:hAnsi="宋体"/>
          <w:color w:val="auto"/>
          <w:sz w:val="22"/>
          <w:szCs w:val="22"/>
        </w:rPr>
        <w:t>2、</w:t>
      </w:r>
      <w:r>
        <w:rPr>
          <w:rFonts w:ascii="宋体" w:hAnsi="宋体"/>
          <w:color w:val="auto"/>
          <w:sz w:val="22"/>
          <w:szCs w:val="22"/>
        </w:rPr>
        <w:t xml:space="preserve">具有良好的商业信誉和健全的财务会计制度； </w:t>
      </w:r>
    </w:p>
    <w:p w14:paraId="5E719AB3">
      <w:pPr>
        <w:snapToGrid w:val="0"/>
        <w:spacing w:line="360" w:lineRule="auto"/>
        <w:ind w:firstLine="440" w:firstLineChars="200"/>
        <w:rPr>
          <w:rFonts w:hint="eastAsia" w:ascii="宋体" w:hAnsi="宋体"/>
          <w:color w:val="auto"/>
          <w:sz w:val="22"/>
          <w:szCs w:val="22"/>
        </w:rPr>
      </w:pPr>
      <w:r>
        <w:rPr>
          <w:rFonts w:hint="eastAsia" w:ascii="宋体" w:hAnsi="宋体"/>
          <w:color w:val="auto"/>
          <w:sz w:val="22"/>
          <w:szCs w:val="22"/>
        </w:rPr>
        <w:t>3、</w:t>
      </w:r>
      <w:r>
        <w:rPr>
          <w:rFonts w:ascii="宋体" w:hAnsi="宋体"/>
          <w:color w:val="auto"/>
          <w:sz w:val="22"/>
          <w:szCs w:val="22"/>
        </w:rPr>
        <w:t>具有履行合同所必需的设备和专业技术能力；</w:t>
      </w:r>
    </w:p>
    <w:p w14:paraId="56A38531">
      <w:pPr>
        <w:snapToGrid w:val="0"/>
        <w:spacing w:line="360" w:lineRule="auto"/>
        <w:ind w:firstLine="440" w:firstLineChars="200"/>
        <w:rPr>
          <w:rFonts w:hint="eastAsia" w:ascii="宋体" w:hAnsi="宋体"/>
          <w:color w:val="auto"/>
          <w:sz w:val="22"/>
          <w:szCs w:val="22"/>
        </w:rPr>
      </w:pPr>
      <w:r>
        <w:rPr>
          <w:rFonts w:hint="eastAsia" w:ascii="宋体" w:hAnsi="宋体"/>
          <w:color w:val="auto"/>
          <w:sz w:val="22"/>
          <w:szCs w:val="22"/>
        </w:rPr>
        <w:t>4、</w:t>
      </w:r>
      <w:r>
        <w:rPr>
          <w:rFonts w:ascii="宋体" w:hAnsi="宋体"/>
          <w:color w:val="auto"/>
          <w:sz w:val="22"/>
          <w:szCs w:val="22"/>
        </w:rPr>
        <w:t>有依法缴纳税收和社会保障资金的良好记录；</w:t>
      </w:r>
    </w:p>
    <w:p w14:paraId="73F54C08">
      <w:pPr>
        <w:snapToGrid w:val="0"/>
        <w:spacing w:line="360" w:lineRule="auto"/>
        <w:ind w:firstLine="440" w:firstLineChars="200"/>
        <w:rPr>
          <w:rFonts w:hint="eastAsia" w:ascii="宋体" w:hAnsi="宋体"/>
          <w:color w:val="auto"/>
          <w:sz w:val="22"/>
          <w:szCs w:val="22"/>
        </w:rPr>
      </w:pPr>
      <w:r>
        <w:rPr>
          <w:rFonts w:hint="eastAsia" w:ascii="宋体" w:hAnsi="宋体"/>
          <w:color w:val="auto"/>
          <w:sz w:val="22"/>
          <w:szCs w:val="22"/>
        </w:rPr>
        <w:t>5、</w:t>
      </w:r>
      <w:r>
        <w:rPr>
          <w:rFonts w:ascii="宋体" w:hAnsi="宋体"/>
          <w:color w:val="auto"/>
          <w:sz w:val="22"/>
          <w:szCs w:val="22"/>
        </w:rPr>
        <w:t>参加政府采购活动前三年内，在经营活动中没有重大违法记录；</w:t>
      </w:r>
    </w:p>
    <w:p w14:paraId="5D216B8D">
      <w:pPr>
        <w:snapToGrid w:val="0"/>
        <w:spacing w:line="360" w:lineRule="auto"/>
        <w:ind w:firstLine="440" w:firstLineChars="200"/>
        <w:rPr>
          <w:rFonts w:hint="eastAsia" w:ascii="宋体" w:hAnsi="宋体"/>
          <w:color w:val="auto"/>
          <w:sz w:val="22"/>
          <w:szCs w:val="22"/>
        </w:rPr>
      </w:pPr>
      <w:r>
        <w:rPr>
          <w:rFonts w:hint="eastAsia" w:ascii="宋体" w:hAnsi="宋体"/>
          <w:color w:val="auto"/>
          <w:sz w:val="22"/>
          <w:szCs w:val="22"/>
        </w:rPr>
        <w:t>6、</w:t>
      </w:r>
      <w:r>
        <w:rPr>
          <w:rFonts w:ascii="宋体" w:hAnsi="宋体"/>
          <w:color w:val="auto"/>
          <w:sz w:val="22"/>
          <w:szCs w:val="22"/>
        </w:rPr>
        <w:t>具有法律、行政法规规定的其他条件。</w:t>
      </w:r>
    </w:p>
    <w:p w14:paraId="3F4899EF">
      <w:pPr>
        <w:snapToGrid w:val="0"/>
        <w:spacing w:line="360" w:lineRule="auto"/>
        <w:ind w:firstLine="440" w:firstLineChars="200"/>
        <w:rPr>
          <w:rFonts w:hint="eastAsia" w:ascii="宋体" w:hAnsi="宋体"/>
          <w:color w:val="auto"/>
          <w:sz w:val="22"/>
          <w:szCs w:val="22"/>
        </w:rPr>
      </w:pPr>
      <w:r>
        <w:rPr>
          <w:rFonts w:hint="eastAsia" w:ascii="宋体" w:hAnsi="宋体"/>
          <w:color w:val="auto"/>
          <w:sz w:val="22"/>
          <w:szCs w:val="22"/>
        </w:rPr>
        <w:t>（二）未被信用中国（</w:t>
      </w:r>
      <w:r>
        <w:rPr>
          <w:rFonts w:ascii="宋体" w:hAnsi="宋体"/>
          <w:color w:val="auto"/>
          <w:sz w:val="22"/>
          <w:szCs w:val="22"/>
        </w:rPr>
        <w:t>www.creditchina.gov.cn)、中国政府采购网（www.ccgp.gov.cn）列入失信被执行人、重大税收违法案件当事人名单、政府采购严重违法失信行为记录名单。</w:t>
      </w:r>
    </w:p>
    <w:p w14:paraId="706B15F9">
      <w:pPr>
        <w:snapToGrid w:val="0"/>
        <w:spacing w:line="360" w:lineRule="auto"/>
        <w:ind w:firstLine="440" w:firstLineChars="200"/>
        <w:rPr>
          <w:rFonts w:hint="eastAsia" w:ascii="宋体" w:hAnsi="宋体"/>
          <w:color w:val="auto"/>
          <w:sz w:val="22"/>
          <w:szCs w:val="22"/>
        </w:rPr>
      </w:pPr>
      <w:r>
        <w:rPr>
          <w:rFonts w:hint="eastAsia" w:ascii="宋体" w:hAnsi="宋体"/>
          <w:color w:val="auto"/>
          <w:sz w:val="22"/>
          <w:szCs w:val="22"/>
        </w:rPr>
        <w:t>（三）不存在以下情况：</w:t>
      </w:r>
    </w:p>
    <w:p w14:paraId="31053A7F">
      <w:pPr>
        <w:snapToGrid w:val="0"/>
        <w:spacing w:line="360" w:lineRule="auto"/>
        <w:ind w:firstLine="440" w:firstLineChars="200"/>
        <w:rPr>
          <w:rFonts w:hint="eastAsia" w:ascii="宋体" w:hAnsi="宋体" w:cs="仿宋_GB2312"/>
          <w:color w:val="auto"/>
          <w:sz w:val="22"/>
          <w:szCs w:val="22"/>
        </w:rPr>
      </w:pPr>
      <w:r>
        <w:rPr>
          <w:rFonts w:hint="eastAsia" w:ascii="宋体" w:hAnsi="宋体" w:cs="仿宋_GB2312"/>
          <w:color w:val="auto"/>
          <w:sz w:val="22"/>
          <w:szCs w:val="22"/>
        </w:rPr>
        <w:t>1、</w:t>
      </w:r>
      <w:r>
        <w:rPr>
          <w:rFonts w:ascii="宋体" w:hAnsi="宋体" w:cs="仿宋_GB2312"/>
          <w:color w:val="auto"/>
          <w:sz w:val="22"/>
          <w:szCs w:val="22"/>
        </w:rPr>
        <w:t>单位负责人为同一人或者存在直接控股、管理关系的不同供应商参加同一合同项下的政府采购活动的；</w:t>
      </w:r>
    </w:p>
    <w:p w14:paraId="770E730F">
      <w:pPr>
        <w:snapToGrid w:val="0"/>
        <w:spacing w:line="360" w:lineRule="auto"/>
        <w:ind w:firstLine="440" w:firstLineChars="200"/>
        <w:rPr>
          <w:rFonts w:hint="eastAsia" w:ascii="宋体" w:hAnsi="宋体" w:cs="仿宋_GB2312"/>
          <w:color w:val="auto"/>
          <w:sz w:val="22"/>
          <w:szCs w:val="22"/>
        </w:rPr>
      </w:pPr>
      <w:r>
        <w:rPr>
          <w:rFonts w:hint="eastAsia" w:ascii="宋体" w:hAnsi="宋体" w:cs="仿宋_GB2312"/>
          <w:color w:val="auto"/>
          <w:sz w:val="22"/>
          <w:szCs w:val="22"/>
        </w:rPr>
        <w:t>2、</w:t>
      </w:r>
      <w:r>
        <w:rPr>
          <w:rFonts w:ascii="宋体" w:hAnsi="宋体" w:cs="仿宋_GB2312"/>
          <w:color w:val="auto"/>
          <w:sz w:val="22"/>
          <w:szCs w:val="22"/>
        </w:rPr>
        <w:t>为采购项目提供整体设计、规范编制或者项目管理、监理、检测等服务后再参加该采购项目的其他采购活动的。</w:t>
      </w:r>
    </w:p>
    <w:p w14:paraId="023B9ABB">
      <w:pPr>
        <w:snapToGrid w:val="0"/>
        <w:spacing w:line="360" w:lineRule="auto"/>
        <w:ind w:firstLine="440" w:firstLineChars="200"/>
        <w:rPr>
          <w:rFonts w:hint="eastAsia" w:ascii="宋体" w:hAnsi="宋体" w:cs="仿宋_GB2312"/>
          <w:color w:val="auto"/>
          <w:sz w:val="22"/>
          <w:szCs w:val="22"/>
        </w:rPr>
      </w:pPr>
    </w:p>
    <w:p w14:paraId="5C721BB6">
      <w:pPr>
        <w:snapToGrid w:val="0"/>
        <w:spacing w:line="360" w:lineRule="auto"/>
        <w:ind w:firstLine="440" w:firstLineChars="200"/>
        <w:rPr>
          <w:rFonts w:hint="eastAsia" w:ascii="宋体" w:hAnsi="宋体" w:cs="仿宋_GB2312"/>
          <w:color w:val="auto"/>
          <w:sz w:val="22"/>
          <w:szCs w:val="22"/>
        </w:rPr>
      </w:pPr>
    </w:p>
    <w:p w14:paraId="17159628">
      <w:pPr>
        <w:snapToGrid w:val="0"/>
        <w:spacing w:line="360" w:lineRule="auto"/>
        <w:ind w:firstLine="440" w:firstLineChars="200"/>
        <w:rPr>
          <w:rFonts w:hint="eastAsia" w:ascii="宋体" w:hAnsi="宋体" w:cs="仿宋_GB2312"/>
          <w:color w:val="auto"/>
          <w:sz w:val="22"/>
          <w:szCs w:val="22"/>
        </w:rPr>
      </w:pPr>
    </w:p>
    <w:p w14:paraId="169EC030">
      <w:pPr>
        <w:spacing w:line="440" w:lineRule="exact"/>
        <w:ind w:firstLine="4400" w:firstLineChars="2000"/>
        <w:rPr>
          <w:rFonts w:hint="eastAsia" w:ascii="宋体" w:hAnsi="宋体"/>
          <w:color w:val="auto"/>
          <w:sz w:val="22"/>
          <w:szCs w:val="22"/>
        </w:rPr>
      </w:pPr>
      <w:r>
        <w:rPr>
          <w:rFonts w:hint="eastAsia" w:ascii="宋体" w:hAnsi="宋体"/>
          <w:color w:val="auto"/>
          <w:sz w:val="22"/>
          <w:szCs w:val="22"/>
          <w:lang w:eastAsia="zh-CN"/>
        </w:rPr>
        <w:t>投标人</w:t>
      </w:r>
      <w:r>
        <w:rPr>
          <w:rFonts w:hint="eastAsia" w:ascii="宋体" w:hAnsi="宋体"/>
          <w:color w:val="auto"/>
          <w:sz w:val="22"/>
          <w:szCs w:val="22"/>
        </w:rPr>
        <w:t>名称（电子签名/公章）</w:t>
      </w:r>
      <w:r>
        <w:rPr>
          <w:rFonts w:ascii="宋体" w:hAnsi="宋体"/>
          <w:color w:val="auto"/>
          <w:sz w:val="22"/>
          <w:szCs w:val="22"/>
        </w:rPr>
        <w:t>：</w:t>
      </w:r>
    </w:p>
    <w:p w14:paraId="3E0B4C1B">
      <w:pPr>
        <w:spacing w:line="440" w:lineRule="exact"/>
        <w:jc w:val="center"/>
        <w:rPr>
          <w:rFonts w:hint="eastAsia" w:ascii="宋体" w:hAnsi="宋体"/>
          <w:color w:val="auto"/>
          <w:sz w:val="22"/>
          <w:szCs w:val="22"/>
        </w:rPr>
      </w:pPr>
      <w:r>
        <w:rPr>
          <w:rFonts w:hint="eastAsia" w:ascii="宋体" w:hAnsi="宋体"/>
          <w:color w:val="auto"/>
          <w:sz w:val="22"/>
          <w:szCs w:val="22"/>
        </w:rPr>
        <w:t xml:space="preserve"> </w:t>
      </w:r>
      <w:r>
        <w:rPr>
          <w:rFonts w:ascii="宋体" w:hAnsi="宋体"/>
          <w:color w:val="auto"/>
          <w:sz w:val="22"/>
          <w:szCs w:val="22"/>
        </w:rPr>
        <w:t xml:space="preserve">                 </w:t>
      </w:r>
      <w:r>
        <w:rPr>
          <w:rFonts w:hint="eastAsia" w:ascii="宋体" w:hAnsi="宋体"/>
          <w:color w:val="auto"/>
          <w:sz w:val="22"/>
          <w:szCs w:val="22"/>
        </w:rPr>
        <w:t>日期：</w:t>
      </w:r>
      <w:r>
        <w:rPr>
          <w:rFonts w:ascii="宋体" w:hAnsi="宋体"/>
          <w:color w:val="auto"/>
          <w:sz w:val="22"/>
          <w:szCs w:val="22"/>
        </w:rPr>
        <w:t xml:space="preserve">       年</w:t>
      </w:r>
      <w:r>
        <w:rPr>
          <w:rFonts w:hint="eastAsia" w:ascii="宋体" w:hAnsi="宋体"/>
          <w:color w:val="auto"/>
          <w:sz w:val="22"/>
          <w:szCs w:val="22"/>
        </w:rPr>
        <w:t xml:space="preserve"> </w:t>
      </w:r>
      <w:r>
        <w:rPr>
          <w:rFonts w:ascii="宋体" w:hAnsi="宋体"/>
          <w:color w:val="auto"/>
          <w:sz w:val="22"/>
          <w:szCs w:val="22"/>
        </w:rPr>
        <w:t xml:space="preserve">  </w:t>
      </w:r>
      <w:r>
        <w:rPr>
          <w:rFonts w:hint="eastAsia" w:ascii="宋体" w:hAnsi="宋体"/>
          <w:color w:val="auto"/>
          <w:sz w:val="22"/>
          <w:szCs w:val="22"/>
        </w:rPr>
        <w:t xml:space="preserve">月 </w:t>
      </w:r>
      <w:r>
        <w:rPr>
          <w:rFonts w:ascii="宋体" w:hAnsi="宋体"/>
          <w:color w:val="auto"/>
          <w:sz w:val="22"/>
          <w:szCs w:val="22"/>
        </w:rPr>
        <w:t xml:space="preserve">   </w:t>
      </w:r>
      <w:r>
        <w:rPr>
          <w:rFonts w:hint="eastAsia" w:ascii="宋体" w:hAnsi="宋体"/>
          <w:color w:val="auto"/>
          <w:sz w:val="22"/>
          <w:szCs w:val="22"/>
        </w:rPr>
        <w:t>日</w:t>
      </w:r>
    </w:p>
    <w:p w14:paraId="56E5E7B6">
      <w:pPr>
        <w:pStyle w:val="19"/>
        <w:rPr>
          <w:rFonts w:hint="eastAsia" w:ascii="宋体" w:hAnsi="宋体"/>
          <w:color w:val="auto"/>
          <w:sz w:val="22"/>
          <w:szCs w:val="22"/>
        </w:rPr>
      </w:pPr>
    </w:p>
    <w:p w14:paraId="74A91444">
      <w:pPr>
        <w:pStyle w:val="89"/>
        <w:rPr>
          <w:rFonts w:hint="eastAsia" w:hAnsi="宋体"/>
          <w:color w:val="auto"/>
          <w:sz w:val="22"/>
          <w:szCs w:val="22"/>
        </w:rPr>
      </w:pPr>
    </w:p>
    <w:p w14:paraId="743E4258">
      <w:pPr>
        <w:rPr>
          <w:rFonts w:hint="eastAsia" w:ascii="宋体" w:hAnsi="宋体"/>
          <w:color w:val="auto"/>
          <w:sz w:val="22"/>
          <w:szCs w:val="22"/>
        </w:rPr>
      </w:pPr>
    </w:p>
    <w:p w14:paraId="00B18D1F">
      <w:pPr>
        <w:pStyle w:val="19"/>
        <w:rPr>
          <w:rFonts w:hint="eastAsia" w:ascii="宋体" w:hAnsi="宋体"/>
          <w:color w:val="auto"/>
          <w:sz w:val="22"/>
          <w:szCs w:val="22"/>
        </w:rPr>
      </w:pPr>
    </w:p>
    <w:p w14:paraId="0AE4597B">
      <w:pPr>
        <w:pStyle w:val="89"/>
        <w:rPr>
          <w:rFonts w:hint="eastAsia" w:hAnsi="宋体"/>
          <w:color w:val="auto"/>
          <w:sz w:val="22"/>
          <w:szCs w:val="22"/>
        </w:rPr>
      </w:pPr>
    </w:p>
    <w:p w14:paraId="69579E72">
      <w:pPr>
        <w:rPr>
          <w:rFonts w:hint="eastAsia" w:ascii="宋体" w:hAnsi="宋体"/>
          <w:color w:val="auto"/>
          <w:sz w:val="22"/>
          <w:szCs w:val="22"/>
        </w:rPr>
      </w:pPr>
    </w:p>
    <w:p w14:paraId="3E7897BC">
      <w:pPr>
        <w:pStyle w:val="19"/>
        <w:rPr>
          <w:rFonts w:hint="eastAsia" w:ascii="宋体" w:hAnsi="宋体"/>
          <w:color w:val="auto"/>
          <w:sz w:val="22"/>
          <w:szCs w:val="22"/>
        </w:rPr>
      </w:pPr>
    </w:p>
    <w:p w14:paraId="7C143FA4">
      <w:pPr>
        <w:pStyle w:val="89"/>
        <w:rPr>
          <w:color w:val="auto"/>
        </w:rPr>
      </w:pPr>
    </w:p>
    <w:p w14:paraId="696BFEA0">
      <w:pPr>
        <w:rPr>
          <w:rFonts w:hint="eastAsia" w:ascii="宋体" w:hAnsi="宋体" w:cs="宋体"/>
          <w:b/>
          <w:color w:val="auto"/>
          <w:sz w:val="24"/>
        </w:rPr>
      </w:pPr>
      <w:r>
        <w:rPr>
          <w:rFonts w:hint="eastAsia" w:ascii="宋体" w:hAnsi="宋体" w:cs="宋体"/>
          <w:b/>
          <w:color w:val="auto"/>
          <w:sz w:val="24"/>
        </w:rPr>
        <w:br w:type="page"/>
      </w:r>
    </w:p>
    <w:p w14:paraId="05C09DA6">
      <w:pPr>
        <w:snapToGrid w:val="0"/>
        <w:spacing w:line="360" w:lineRule="auto"/>
        <w:jc w:val="center"/>
        <w:rPr>
          <w:rFonts w:hint="eastAsia" w:ascii="宋体" w:hAnsi="宋体" w:cs="宋体"/>
          <w:b/>
          <w:color w:val="auto"/>
          <w:sz w:val="24"/>
        </w:rPr>
      </w:pPr>
      <w:bookmarkStart w:id="78" w:name="_Toc218392091"/>
      <w:bookmarkStart w:id="79" w:name="_Toc230773787"/>
      <w:bookmarkStart w:id="80" w:name="_Toc184281694"/>
      <w:bookmarkStart w:id="81" w:name="_Toc184281693"/>
      <w:r>
        <w:rPr>
          <w:rFonts w:hint="eastAsia" w:ascii="宋体" w:hAnsi="宋体" w:cs="宋体"/>
          <w:b/>
          <w:color w:val="auto"/>
          <w:sz w:val="24"/>
        </w:rPr>
        <w:t>（4）联合体协议书（</w:t>
      </w:r>
      <w:bookmarkStart w:id="82" w:name="_Hlk113552869"/>
      <w:r>
        <w:rPr>
          <w:rFonts w:hint="eastAsia" w:ascii="宋体" w:hAnsi="宋体" w:cs="宋体"/>
          <w:b/>
          <w:color w:val="auto"/>
          <w:sz w:val="24"/>
        </w:rPr>
        <w:t>如为联合体投标，请提供</w:t>
      </w:r>
      <w:bookmarkEnd w:id="82"/>
      <w:r>
        <w:rPr>
          <w:rFonts w:hint="eastAsia" w:ascii="宋体" w:hAnsi="宋体" w:cs="宋体"/>
          <w:b/>
          <w:color w:val="auto"/>
          <w:sz w:val="24"/>
        </w:rPr>
        <w:t>）</w:t>
      </w:r>
    </w:p>
    <w:p w14:paraId="072EDA14">
      <w:pPr>
        <w:snapToGrid w:val="0"/>
        <w:spacing w:line="360" w:lineRule="auto"/>
        <w:rPr>
          <w:rFonts w:hint="eastAsia" w:ascii="宋体" w:hAnsi="宋体" w:cs="宋体"/>
          <w:color w:val="auto"/>
          <w:sz w:val="22"/>
          <w:szCs w:val="22"/>
          <w:lang w:val="zh-CN"/>
        </w:rPr>
      </w:pPr>
      <w:r>
        <w:rPr>
          <w:rFonts w:hint="eastAsia" w:ascii="宋体" w:hAnsi="宋体" w:cs="宋体"/>
          <w:color w:val="auto"/>
          <w:sz w:val="22"/>
          <w:szCs w:val="22"/>
          <w:u w:val="single"/>
        </w:rPr>
        <w:t>（联合体所有成员名称）</w:t>
      </w:r>
      <w:r>
        <w:rPr>
          <w:rFonts w:hint="eastAsia" w:ascii="宋体" w:hAnsi="宋体" w:cs="宋体"/>
          <w:color w:val="auto"/>
          <w:sz w:val="22"/>
          <w:szCs w:val="22"/>
        </w:rPr>
        <w:t>自愿</w:t>
      </w:r>
      <w:r>
        <w:rPr>
          <w:rFonts w:hint="eastAsia" w:ascii="宋体" w:hAnsi="宋体" w:cs="宋体"/>
          <w:color w:val="auto"/>
          <w:sz w:val="22"/>
          <w:szCs w:val="22"/>
          <w:lang w:val="zh-CN"/>
        </w:rPr>
        <w:t>组成一个联合体，以一个投标人的身份</w:t>
      </w:r>
      <w:r>
        <w:rPr>
          <w:rFonts w:hint="eastAsia" w:ascii="宋体" w:hAnsi="宋体" w:cs="宋体"/>
          <w:color w:val="auto"/>
          <w:sz w:val="22"/>
          <w:szCs w:val="22"/>
        </w:rPr>
        <w:t>参加</w:t>
      </w:r>
      <w:r>
        <w:rPr>
          <w:rFonts w:hint="eastAsia" w:ascii="宋体" w:hAnsi="宋体" w:cs="宋体"/>
          <w:color w:val="auto"/>
          <w:sz w:val="22"/>
          <w:szCs w:val="22"/>
          <w:u w:val="single"/>
        </w:rPr>
        <w:t xml:space="preserve">      项目【项目编号：      】</w:t>
      </w:r>
      <w:r>
        <w:rPr>
          <w:rFonts w:hint="eastAsia" w:ascii="宋体" w:hAnsi="宋体" w:cs="宋体"/>
          <w:color w:val="auto"/>
          <w:sz w:val="22"/>
          <w:szCs w:val="22"/>
          <w:lang w:val="zh-CN"/>
        </w:rPr>
        <w:t xml:space="preserve">投标。 </w:t>
      </w:r>
    </w:p>
    <w:p w14:paraId="2AB9B474">
      <w:pPr>
        <w:snapToGrid w:val="0"/>
        <w:spacing w:line="360" w:lineRule="auto"/>
        <w:ind w:firstLine="576"/>
        <w:rPr>
          <w:rFonts w:hint="eastAsia" w:ascii="宋体" w:hAnsi="宋体" w:cs="宋体"/>
          <w:color w:val="auto"/>
          <w:sz w:val="22"/>
          <w:szCs w:val="22"/>
          <w:lang w:val="zh-CN"/>
        </w:rPr>
      </w:pPr>
      <w:r>
        <w:rPr>
          <w:rFonts w:hint="eastAsia" w:ascii="宋体" w:hAnsi="宋体" w:cs="宋体"/>
          <w:color w:val="auto"/>
          <w:sz w:val="22"/>
          <w:szCs w:val="22"/>
          <w:lang w:val="zh-CN"/>
        </w:rPr>
        <w:t>一、各方一致决定，</w:t>
      </w:r>
      <w:r>
        <w:rPr>
          <w:rFonts w:hint="eastAsia" w:ascii="宋体" w:hAnsi="宋体" w:cs="宋体"/>
          <w:color w:val="auto"/>
          <w:sz w:val="22"/>
          <w:szCs w:val="22"/>
          <w:u w:val="single"/>
        </w:rPr>
        <w:t>（某联合体成员名称）</w:t>
      </w:r>
      <w:r>
        <w:rPr>
          <w:rFonts w:hint="eastAsia" w:ascii="宋体" w:hAnsi="宋体" w:cs="宋体"/>
          <w:color w:val="auto"/>
          <w:sz w:val="22"/>
          <w:szCs w:val="22"/>
        </w:rPr>
        <w:t>为联合体</w:t>
      </w:r>
      <w:r>
        <w:rPr>
          <w:rFonts w:hint="eastAsia" w:ascii="宋体" w:hAnsi="宋体" w:cs="宋体"/>
          <w:color w:val="auto"/>
          <w:sz w:val="22"/>
          <w:szCs w:val="22"/>
          <w:lang w:val="zh-CN"/>
        </w:rPr>
        <w:t>牵头人</w:t>
      </w:r>
      <w:r>
        <w:rPr>
          <w:rFonts w:hint="eastAsia" w:ascii="宋体" w:hAnsi="宋体" w:cs="宋体"/>
          <w:color w:val="auto"/>
          <w:sz w:val="22"/>
          <w:szCs w:val="22"/>
        </w:rPr>
        <w:t>，代表所有联合体成员负责投标和合同实施阶段的主办、协调工作</w:t>
      </w:r>
      <w:r>
        <w:rPr>
          <w:rFonts w:hint="eastAsia" w:ascii="宋体" w:hAnsi="宋体" w:cs="宋体"/>
          <w:color w:val="auto"/>
          <w:sz w:val="22"/>
          <w:szCs w:val="22"/>
          <w:lang w:val="zh-CN"/>
        </w:rPr>
        <w:t>。</w:t>
      </w:r>
    </w:p>
    <w:p w14:paraId="746E2408">
      <w:pPr>
        <w:snapToGrid w:val="0"/>
        <w:spacing w:line="360" w:lineRule="auto"/>
        <w:ind w:firstLine="576"/>
        <w:rPr>
          <w:rFonts w:hint="eastAsia" w:ascii="宋体" w:hAnsi="宋体" w:cs="宋体"/>
          <w:color w:val="auto"/>
          <w:sz w:val="22"/>
          <w:szCs w:val="22"/>
          <w:lang w:val="zh-CN"/>
        </w:rPr>
      </w:pPr>
      <w:r>
        <w:rPr>
          <w:rFonts w:hint="eastAsia" w:ascii="宋体" w:hAnsi="宋体" w:cs="宋体"/>
          <w:color w:val="auto"/>
          <w:sz w:val="22"/>
          <w:szCs w:val="22"/>
          <w:lang w:val="zh-CN"/>
        </w:rPr>
        <w:t>二、</w:t>
      </w:r>
      <w:r>
        <w:rPr>
          <w:rFonts w:hint="eastAsia" w:ascii="宋体" w:hAnsi="宋体" w:cs="宋体"/>
          <w:color w:val="auto"/>
          <w:sz w:val="22"/>
          <w:szCs w:val="22"/>
        </w:rPr>
        <w:t>所有联合体成员各方签署授权书，授权书载明的</w:t>
      </w:r>
      <w:r>
        <w:rPr>
          <w:rFonts w:hint="eastAsia" w:ascii="宋体" w:hAnsi="宋体" w:cs="宋体"/>
          <w:color w:val="auto"/>
          <w:sz w:val="22"/>
          <w:szCs w:val="22"/>
          <w:lang w:val="zh-CN"/>
        </w:rPr>
        <w:t>授权代表根据招标文件规定及投标内容而对采购人、采购代理机构所作的任何合法承诺，包括书面澄清及</w:t>
      </w:r>
      <w:r>
        <w:rPr>
          <w:rFonts w:hint="eastAsia" w:ascii="宋体" w:hAnsi="宋体" w:cs="宋体"/>
          <w:color w:val="auto"/>
          <w:sz w:val="22"/>
          <w:szCs w:val="22"/>
          <w:lang w:val="en-US" w:eastAsia="zh-CN"/>
        </w:rPr>
        <w:t>响应</w:t>
      </w:r>
      <w:r>
        <w:rPr>
          <w:rFonts w:hint="eastAsia" w:ascii="宋体" w:hAnsi="宋体" w:cs="宋体"/>
          <w:color w:val="auto"/>
          <w:sz w:val="22"/>
          <w:szCs w:val="22"/>
          <w:lang w:val="zh-CN"/>
        </w:rPr>
        <w:t>等均对联合投标各方产生约束力。</w:t>
      </w:r>
    </w:p>
    <w:p w14:paraId="2F574A7F">
      <w:pPr>
        <w:snapToGrid w:val="0"/>
        <w:spacing w:line="360" w:lineRule="auto"/>
        <w:ind w:firstLine="576"/>
        <w:rPr>
          <w:rFonts w:hint="eastAsia" w:ascii="宋体" w:hAnsi="宋体" w:cs="宋体"/>
          <w:color w:val="auto"/>
          <w:sz w:val="22"/>
          <w:szCs w:val="22"/>
          <w:lang w:val="zh-CN"/>
        </w:rPr>
      </w:pPr>
      <w:r>
        <w:rPr>
          <w:rFonts w:hint="eastAsia" w:ascii="宋体" w:hAnsi="宋体" w:cs="宋体"/>
          <w:color w:val="auto"/>
          <w:sz w:val="22"/>
          <w:szCs w:val="22"/>
          <w:lang w:val="zh-CN"/>
        </w:rPr>
        <w:t>三、本次联合投标中，分工如下：</w:t>
      </w:r>
    </w:p>
    <w:p w14:paraId="67617965">
      <w:pPr>
        <w:snapToGrid w:val="0"/>
        <w:spacing w:line="360" w:lineRule="auto"/>
        <w:ind w:firstLine="576"/>
        <w:rPr>
          <w:rFonts w:hint="eastAsia" w:ascii="宋体" w:hAnsi="宋体" w:cs="宋体"/>
          <w:color w:val="auto"/>
          <w:sz w:val="22"/>
          <w:szCs w:val="22"/>
          <w:lang w:val="zh-CN"/>
        </w:rPr>
      </w:pPr>
      <w:r>
        <w:rPr>
          <w:rFonts w:hint="eastAsia" w:ascii="宋体" w:hAnsi="宋体" w:cs="宋体"/>
          <w:color w:val="auto"/>
          <w:sz w:val="22"/>
          <w:szCs w:val="22"/>
          <w:u w:val="single"/>
        </w:rPr>
        <w:t>（联合体成员1）</w:t>
      </w:r>
      <w:r>
        <w:rPr>
          <w:rFonts w:hint="eastAsia" w:ascii="宋体" w:hAnsi="宋体" w:cs="宋体"/>
          <w:color w:val="auto"/>
          <w:sz w:val="22"/>
          <w:szCs w:val="22"/>
          <w:lang w:val="zh-CN"/>
        </w:rPr>
        <w:t>承担的工作和义务为：</w:t>
      </w:r>
      <w:r>
        <w:rPr>
          <w:rFonts w:hint="eastAsia" w:ascii="宋体" w:hAnsi="宋体" w:cs="宋体"/>
          <w:color w:val="auto"/>
          <w:sz w:val="22"/>
          <w:szCs w:val="22"/>
          <w:u w:val="single"/>
        </w:rPr>
        <w:t xml:space="preserve">             </w:t>
      </w:r>
      <w:r>
        <w:rPr>
          <w:rFonts w:hint="eastAsia" w:ascii="宋体" w:hAnsi="宋体" w:cs="宋体"/>
          <w:color w:val="auto"/>
          <w:sz w:val="22"/>
          <w:szCs w:val="22"/>
          <w:lang w:val="zh-CN"/>
        </w:rPr>
        <w:t>；</w:t>
      </w:r>
    </w:p>
    <w:p w14:paraId="1413D19C">
      <w:pPr>
        <w:snapToGrid w:val="0"/>
        <w:spacing w:line="360" w:lineRule="auto"/>
        <w:ind w:firstLine="576"/>
        <w:rPr>
          <w:rFonts w:hint="eastAsia" w:ascii="宋体" w:hAnsi="宋体" w:cs="宋体"/>
          <w:color w:val="auto"/>
          <w:sz w:val="22"/>
          <w:szCs w:val="22"/>
          <w:lang w:val="zh-CN"/>
        </w:rPr>
      </w:pPr>
      <w:r>
        <w:rPr>
          <w:rFonts w:hint="eastAsia" w:ascii="宋体" w:hAnsi="宋体" w:cs="宋体"/>
          <w:color w:val="auto"/>
          <w:sz w:val="22"/>
          <w:szCs w:val="22"/>
          <w:u w:val="single"/>
        </w:rPr>
        <w:t>（联合体成员2）</w:t>
      </w:r>
      <w:r>
        <w:rPr>
          <w:rFonts w:hint="eastAsia" w:ascii="宋体" w:hAnsi="宋体" w:cs="宋体"/>
          <w:color w:val="auto"/>
          <w:sz w:val="22"/>
          <w:szCs w:val="22"/>
          <w:lang w:val="zh-CN"/>
        </w:rPr>
        <w:t>承担的工作和义务为：</w:t>
      </w:r>
      <w:r>
        <w:rPr>
          <w:rFonts w:hint="eastAsia" w:ascii="宋体" w:hAnsi="宋体" w:cs="宋体"/>
          <w:color w:val="auto"/>
          <w:sz w:val="22"/>
          <w:szCs w:val="22"/>
          <w:u w:val="single"/>
        </w:rPr>
        <w:t xml:space="preserve">             </w:t>
      </w:r>
      <w:r>
        <w:rPr>
          <w:rFonts w:hint="eastAsia" w:ascii="宋体" w:hAnsi="宋体" w:cs="宋体"/>
          <w:color w:val="auto"/>
          <w:sz w:val="22"/>
          <w:szCs w:val="22"/>
          <w:lang w:val="zh-CN"/>
        </w:rPr>
        <w:t>；</w:t>
      </w:r>
    </w:p>
    <w:p w14:paraId="704DDFC8">
      <w:pPr>
        <w:snapToGrid w:val="0"/>
        <w:spacing w:line="360" w:lineRule="auto"/>
        <w:ind w:firstLine="576"/>
        <w:rPr>
          <w:rFonts w:hint="eastAsia" w:ascii="宋体" w:hAnsi="宋体" w:cs="宋体"/>
          <w:color w:val="auto"/>
          <w:sz w:val="22"/>
          <w:szCs w:val="22"/>
          <w:lang w:val="zh-CN"/>
        </w:rPr>
      </w:pPr>
      <w:r>
        <w:rPr>
          <w:rFonts w:hint="eastAsia" w:ascii="宋体" w:hAnsi="宋体" w:cs="宋体"/>
          <w:color w:val="auto"/>
          <w:sz w:val="22"/>
          <w:szCs w:val="22"/>
          <w:lang w:val="zh-CN"/>
        </w:rPr>
        <w:t>……</w:t>
      </w:r>
    </w:p>
    <w:p w14:paraId="2CDADD1C">
      <w:pPr>
        <w:snapToGrid w:val="0"/>
        <w:spacing w:line="360" w:lineRule="auto"/>
        <w:ind w:firstLine="576"/>
        <w:rPr>
          <w:rFonts w:hint="eastAsia" w:ascii="宋体" w:hAnsi="宋体" w:cs="宋体"/>
          <w:color w:val="auto"/>
          <w:sz w:val="22"/>
          <w:szCs w:val="22"/>
          <w:lang w:val="zh-CN"/>
        </w:rPr>
      </w:pPr>
      <w:r>
        <w:rPr>
          <w:rFonts w:hint="eastAsia" w:ascii="宋体" w:hAnsi="宋体" w:cs="宋体"/>
          <w:color w:val="auto"/>
          <w:sz w:val="22"/>
          <w:szCs w:val="22"/>
          <w:lang w:val="zh-CN"/>
        </w:rPr>
        <w:t>四、联合体成员中小企业合同份额。</w:t>
      </w:r>
    </w:p>
    <w:p w14:paraId="2A038558">
      <w:pPr>
        <w:snapToGrid w:val="0"/>
        <w:spacing w:line="360" w:lineRule="auto"/>
        <w:ind w:firstLine="576"/>
        <w:rPr>
          <w:rFonts w:hint="eastAsia" w:ascii="宋体" w:hAnsi="宋体" w:cs="宋体"/>
          <w:b/>
          <w:color w:val="auto"/>
          <w:sz w:val="22"/>
          <w:szCs w:val="22"/>
          <w:lang w:val="zh-CN"/>
        </w:rPr>
      </w:pPr>
      <w:r>
        <w:rPr>
          <w:rFonts w:hint="eastAsia" w:ascii="宋体" w:hAnsi="宋体" w:cs="宋体"/>
          <w:color w:val="auto"/>
          <w:sz w:val="22"/>
          <w:szCs w:val="22"/>
          <w:lang w:val="zh-CN"/>
        </w:rPr>
        <w:t>1、</w:t>
      </w:r>
      <w:r>
        <w:rPr>
          <w:rFonts w:hint="eastAsia" w:ascii="宋体" w:hAnsi="宋体" w:cs="宋体"/>
          <w:color w:val="auto"/>
          <w:sz w:val="22"/>
          <w:szCs w:val="22"/>
          <w:u w:val="single"/>
        </w:rPr>
        <w:t>（</w:t>
      </w:r>
      <w:bookmarkStart w:id="83" w:name="_Hlk101131882"/>
      <w:r>
        <w:rPr>
          <w:rFonts w:hint="eastAsia" w:ascii="宋体" w:hAnsi="宋体" w:cs="宋体"/>
          <w:color w:val="auto"/>
          <w:sz w:val="22"/>
          <w:szCs w:val="22"/>
          <w:u w:val="single"/>
        </w:rPr>
        <w:t>联合体成员X,……</w:t>
      </w:r>
      <w:bookmarkEnd w:id="83"/>
      <w:r>
        <w:rPr>
          <w:rFonts w:hint="eastAsia" w:ascii="宋体" w:hAnsi="宋体" w:cs="宋体"/>
          <w:color w:val="auto"/>
          <w:sz w:val="22"/>
          <w:szCs w:val="22"/>
          <w:u w:val="single"/>
        </w:rPr>
        <w:t>）</w:t>
      </w:r>
      <w:r>
        <w:rPr>
          <w:rFonts w:hint="eastAsia" w:ascii="宋体" w:hAnsi="宋体" w:cs="宋体"/>
          <w:color w:val="auto"/>
          <w:sz w:val="22"/>
          <w:szCs w:val="22"/>
        </w:rPr>
        <w:t>提供的服务由小微企业承接，其合同份额占到合同总金额</w:t>
      </w:r>
      <w:r>
        <w:rPr>
          <w:rFonts w:hint="eastAsia" w:ascii="宋体" w:hAnsi="宋体" w:cs="宋体"/>
          <w:color w:val="auto"/>
          <w:sz w:val="22"/>
          <w:szCs w:val="22"/>
          <w:u w:val="single"/>
        </w:rPr>
        <w:t xml:space="preserve">     </w:t>
      </w:r>
      <w:r>
        <w:rPr>
          <w:rFonts w:hint="eastAsia" w:ascii="宋体" w:hAnsi="宋体" w:cs="宋体"/>
          <w:color w:val="auto"/>
          <w:sz w:val="22"/>
          <w:szCs w:val="22"/>
        </w:rPr>
        <w:t>%以上</w:t>
      </w:r>
      <w:r>
        <w:rPr>
          <w:rFonts w:hint="eastAsia" w:ascii="宋体" w:hAnsi="宋体" w:cs="宋体"/>
          <w:color w:val="auto"/>
          <w:sz w:val="22"/>
          <w:szCs w:val="22"/>
          <w:lang w:val="zh-CN"/>
        </w:rPr>
        <w:t>。</w:t>
      </w:r>
      <w:r>
        <w:rPr>
          <w:rFonts w:hint="eastAsia" w:ascii="宋体" w:hAnsi="宋体" w:cs="宋体"/>
          <w:b/>
          <w:color w:val="auto"/>
          <w:sz w:val="22"/>
          <w:szCs w:val="22"/>
          <w:lang w:val="zh-CN"/>
        </w:rPr>
        <w:t>（</w:t>
      </w:r>
      <w:bookmarkStart w:id="84" w:name="_Hlk101133598"/>
      <w:r>
        <w:rPr>
          <w:rFonts w:hint="eastAsia" w:ascii="宋体" w:hAnsi="宋体" w:cs="宋体"/>
          <w:b/>
          <w:color w:val="auto"/>
          <w:sz w:val="22"/>
          <w:szCs w:val="22"/>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2"/>
          <w:szCs w:val="22"/>
        </w:rPr>
        <w:t>拟享受以上价格扣除政策的，填写有关内容。</w:t>
      </w:r>
      <w:bookmarkEnd w:id="84"/>
      <w:r>
        <w:rPr>
          <w:rFonts w:hint="eastAsia" w:ascii="宋体" w:hAnsi="宋体" w:cs="宋体"/>
          <w:b/>
          <w:color w:val="auto"/>
          <w:sz w:val="22"/>
          <w:szCs w:val="22"/>
          <w:lang w:val="zh-CN"/>
        </w:rPr>
        <w:t>）</w:t>
      </w:r>
    </w:p>
    <w:p w14:paraId="32FAAD0B">
      <w:pPr>
        <w:spacing w:line="360" w:lineRule="auto"/>
        <w:ind w:firstLine="440" w:firstLineChars="200"/>
        <w:rPr>
          <w:rFonts w:hint="eastAsia" w:ascii="宋体" w:hAnsi="宋体" w:cs="宋体"/>
          <w:b/>
          <w:bCs/>
          <w:color w:val="auto"/>
          <w:sz w:val="22"/>
          <w:szCs w:val="22"/>
          <w:lang w:val="zh-CN"/>
        </w:rPr>
      </w:pPr>
      <w:r>
        <w:rPr>
          <w:rFonts w:hint="eastAsia" w:ascii="宋体" w:hAnsi="宋体" w:cs="宋体"/>
          <w:color w:val="auto"/>
          <w:sz w:val="22"/>
          <w:szCs w:val="22"/>
        </w:rPr>
        <w:t>2、</w:t>
      </w:r>
      <w:bookmarkStart w:id="85" w:name="_Hlk101133173"/>
      <w:r>
        <w:rPr>
          <w:rFonts w:hint="eastAsia" w:ascii="宋体" w:hAnsi="宋体" w:cs="宋体"/>
          <w:color w:val="auto"/>
          <w:sz w:val="22"/>
          <w:szCs w:val="22"/>
        </w:rPr>
        <w:t>中小企业合同金额达到</w:t>
      </w:r>
      <w:r>
        <w:rPr>
          <w:rFonts w:hint="eastAsia" w:ascii="宋体" w:hAnsi="宋体" w:cs="宋体"/>
          <w:color w:val="auto"/>
          <w:sz w:val="22"/>
          <w:szCs w:val="22"/>
          <w:u w:val="single"/>
        </w:rPr>
        <w:t xml:space="preserve">  </w:t>
      </w:r>
      <w:r>
        <w:rPr>
          <w:rFonts w:hint="eastAsia" w:ascii="宋体" w:hAnsi="宋体" w:cs="宋体"/>
          <w:color w:val="auto"/>
          <w:sz w:val="22"/>
          <w:szCs w:val="22"/>
        </w:rPr>
        <w:t>%，小微企业合同金额达到</w:t>
      </w:r>
      <w:r>
        <w:rPr>
          <w:rFonts w:hint="eastAsia" w:ascii="宋体" w:hAnsi="宋体" w:cs="宋体"/>
          <w:color w:val="auto"/>
          <w:sz w:val="22"/>
          <w:szCs w:val="22"/>
          <w:u w:val="single"/>
        </w:rPr>
        <w:t xml:space="preserve"> </w:t>
      </w:r>
      <w:r>
        <w:rPr>
          <w:rFonts w:hint="eastAsia" w:ascii="宋体" w:hAnsi="宋体" w:cs="宋体"/>
          <w:color w:val="auto"/>
          <w:sz w:val="22"/>
          <w:szCs w:val="22"/>
        </w:rPr>
        <w:t>%</w:t>
      </w:r>
      <w:r>
        <w:rPr>
          <w:rFonts w:hint="eastAsia" w:ascii="宋体" w:hAnsi="宋体" w:cs="宋体"/>
          <w:color w:val="auto"/>
          <w:sz w:val="22"/>
          <w:szCs w:val="22"/>
          <w:lang w:val="zh-CN"/>
        </w:rPr>
        <w:t>。</w:t>
      </w:r>
      <w:r>
        <w:rPr>
          <w:rFonts w:hint="eastAsia" w:ascii="宋体" w:hAnsi="宋体" w:cs="宋体"/>
          <w:b/>
          <w:bCs/>
          <w:color w:val="auto"/>
          <w:sz w:val="22"/>
          <w:szCs w:val="22"/>
          <w:lang w:val="zh-CN"/>
        </w:rPr>
        <w:t>（</w:t>
      </w:r>
      <w:r>
        <w:rPr>
          <w:rFonts w:hint="eastAsia" w:ascii="宋体" w:hAnsi="宋体" w:cs="宋体"/>
          <w:b/>
          <w:bCs/>
          <w:color w:val="auto"/>
          <w:sz w:val="22"/>
          <w:szCs w:val="22"/>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sz w:val="22"/>
          <w:szCs w:val="22"/>
          <w:lang w:val="zh-CN"/>
        </w:rPr>
        <w:t>）</w:t>
      </w:r>
      <w:bookmarkEnd w:id="85"/>
    </w:p>
    <w:p w14:paraId="2F4CE1CB">
      <w:pPr>
        <w:snapToGrid w:val="0"/>
        <w:spacing w:line="360" w:lineRule="auto"/>
        <w:ind w:firstLine="576"/>
        <w:rPr>
          <w:rFonts w:hint="eastAsia" w:ascii="宋体" w:hAnsi="宋体" w:cs="宋体"/>
          <w:color w:val="auto"/>
          <w:sz w:val="22"/>
          <w:szCs w:val="22"/>
          <w:lang w:val="zh-CN"/>
        </w:rPr>
      </w:pPr>
      <w:r>
        <w:rPr>
          <w:rFonts w:hint="eastAsia" w:ascii="宋体" w:hAnsi="宋体" w:cs="宋体"/>
          <w:color w:val="auto"/>
          <w:sz w:val="22"/>
          <w:szCs w:val="22"/>
          <w:lang w:val="zh-CN"/>
        </w:rPr>
        <w:t>五、如果中标，</w:t>
      </w:r>
      <w:r>
        <w:rPr>
          <w:rFonts w:hint="eastAsia" w:ascii="宋体" w:hAnsi="宋体" w:cs="宋体"/>
          <w:color w:val="auto"/>
          <w:sz w:val="22"/>
          <w:szCs w:val="22"/>
        </w:rPr>
        <w:t>联合体各成员方共同与采购人签订合同，并就采购合同约定的事项对采购人承担连带责任。</w:t>
      </w:r>
    </w:p>
    <w:p w14:paraId="585FFCFA">
      <w:pPr>
        <w:snapToGrid w:val="0"/>
        <w:spacing w:line="360" w:lineRule="auto"/>
        <w:ind w:firstLine="576"/>
        <w:rPr>
          <w:rFonts w:hint="eastAsia" w:ascii="宋体" w:hAnsi="宋体" w:cs="宋体"/>
          <w:color w:val="auto"/>
          <w:sz w:val="22"/>
          <w:szCs w:val="22"/>
          <w:lang w:val="zh-CN"/>
        </w:rPr>
      </w:pPr>
      <w:r>
        <w:rPr>
          <w:rFonts w:hint="eastAsia" w:ascii="宋体" w:hAnsi="宋体" w:cs="宋体"/>
          <w:color w:val="auto"/>
          <w:sz w:val="22"/>
          <w:szCs w:val="22"/>
          <w:lang w:val="zh-CN"/>
        </w:rPr>
        <w:t>六、有关本次联合投标的其他事宜：</w:t>
      </w:r>
    </w:p>
    <w:p w14:paraId="373DE1B3">
      <w:pPr>
        <w:snapToGrid w:val="0"/>
        <w:spacing w:line="360" w:lineRule="auto"/>
        <w:ind w:firstLine="576"/>
        <w:rPr>
          <w:rFonts w:hint="eastAsia" w:ascii="宋体" w:hAnsi="宋体" w:cs="宋体"/>
          <w:color w:val="auto"/>
          <w:sz w:val="22"/>
          <w:szCs w:val="22"/>
          <w:lang w:val="zh-CN"/>
        </w:rPr>
      </w:pPr>
      <w:r>
        <w:rPr>
          <w:rFonts w:hint="eastAsia" w:ascii="宋体" w:hAnsi="宋体" w:cs="宋体"/>
          <w:color w:val="auto"/>
          <w:sz w:val="22"/>
          <w:szCs w:val="22"/>
          <w:lang w:val="zh-CN"/>
        </w:rPr>
        <w:t>1、联合体各方不再单独参加或者与其他供应商另外组成联合体参加同一合同项下的政府采购活动。</w:t>
      </w:r>
    </w:p>
    <w:p w14:paraId="53989F9A">
      <w:pPr>
        <w:snapToGrid w:val="0"/>
        <w:spacing w:line="360" w:lineRule="auto"/>
        <w:ind w:firstLine="576"/>
        <w:rPr>
          <w:rFonts w:hint="eastAsia" w:ascii="宋体" w:hAnsi="宋体" w:cs="宋体"/>
          <w:color w:val="auto"/>
          <w:sz w:val="22"/>
          <w:szCs w:val="22"/>
          <w:lang w:val="zh-CN"/>
        </w:rPr>
      </w:pPr>
      <w:r>
        <w:rPr>
          <w:rFonts w:hint="eastAsia" w:ascii="宋体" w:hAnsi="宋体" w:cs="宋体"/>
          <w:color w:val="auto"/>
          <w:sz w:val="22"/>
          <w:szCs w:val="22"/>
          <w:lang w:val="zh-CN"/>
        </w:rPr>
        <w:t>2、联合体中有同类资质的各方按照联合体分工承担相同工作的，按照资质等级较低的供应商确定资质等级。</w:t>
      </w:r>
    </w:p>
    <w:p w14:paraId="029E377B">
      <w:pPr>
        <w:snapToGrid w:val="0"/>
        <w:spacing w:line="360" w:lineRule="auto"/>
        <w:ind w:firstLine="576"/>
        <w:rPr>
          <w:rFonts w:hint="eastAsia" w:ascii="宋体" w:hAnsi="宋体" w:cs="宋体"/>
          <w:color w:val="auto"/>
          <w:sz w:val="22"/>
          <w:szCs w:val="22"/>
          <w:lang w:val="zh-CN"/>
        </w:rPr>
      </w:pPr>
      <w:r>
        <w:rPr>
          <w:rFonts w:hint="eastAsia" w:ascii="宋体" w:hAnsi="宋体" w:cs="宋体"/>
          <w:color w:val="auto"/>
          <w:sz w:val="22"/>
          <w:szCs w:val="22"/>
          <w:lang w:val="zh-CN"/>
        </w:rPr>
        <w:t>3、本协议提交采购人、采购代理机构后，联合体各方不得以任何形式对上述内容进行修改或撤销。</w:t>
      </w:r>
    </w:p>
    <w:p w14:paraId="7B261124">
      <w:pPr>
        <w:snapToGrid w:val="0"/>
        <w:spacing w:line="360" w:lineRule="auto"/>
        <w:ind w:firstLine="4620" w:firstLineChars="2100"/>
        <w:rPr>
          <w:rFonts w:hint="eastAsia" w:ascii="宋体" w:hAnsi="宋体" w:cs="宋体"/>
          <w:color w:val="auto"/>
          <w:sz w:val="22"/>
          <w:szCs w:val="22"/>
          <w:lang w:val="zh-CN"/>
        </w:rPr>
      </w:pPr>
      <w:r>
        <w:rPr>
          <w:rFonts w:hint="eastAsia" w:ascii="宋体" w:hAnsi="宋体" w:cs="宋体"/>
          <w:color w:val="auto"/>
          <w:sz w:val="22"/>
          <w:szCs w:val="22"/>
          <w:lang w:val="zh-CN"/>
        </w:rPr>
        <w:t>联合体成员名称(电子签名/公章)：</w:t>
      </w:r>
    </w:p>
    <w:p w14:paraId="01401C22">
      <w:pPr>
        <w:snapToGrid w:val="0"/>
        <w:spacing w:line="360" w:lineRule="auto"/>
        <w:ind w:firstLine="4620" w:firstLineChars="2100"/>
        <w:rPr>
          <w:rFonts w:hint="eastAsia" w:ascii="宋体" w:hAnsi="宋体" w:cs="宋体"/>
          <w:color w:val="auto"/>
          <w:sz w:val="22"/>
          <w:szCs w:val="22"/>
          <w:lang w:val="zh-CN"/>
        </w:rPr>
      </w:pPr>
      <w:r>
        <w:rPr>
          <w:rFonts w:hint="eastAsia" w:ascii="宋体" w:hAnsi="宋体" w:cs="宋体"/>
          <w:color w:val="auto"/>
          <w:sz w:val="22"/>
          <w:szCs w:val="22"/>
          <w:lang w:val="zh-CN"/>
        </w:rPr>
        <w:t>联合体成员名称(电子签名/公章)：</w:t>
      </w:r>
    </w:p>
    <w:p w14:paraId="2A2B0FDE">
      <w:pPr>
        <w:snapToGrid w:val="0"/>
        <w:spacing w:line="360" w:lineRule="auto"/>
        <w:ind w:right="960"/>
        <w:jc w:val="center"/>
        <w:rPr>
          <w:rFonts w:hint="eastAsia" w:ascii="宋体" w:hAnsi="宋体" w:cs="宋体"/>
          <w:color w:val="auto"/>
          <w:sz w:val="22"/>
          <w:szCs w:val="22"/>
          <w:lang w:val="zh-CN"/>
        </w:rPr>
      </w:pPr>
      <w:r>
        <w:rPr>
          <w:rFonts w:hint="eastAsia" w:ascii="宋体" w:hAnsi="宋体" w:cs="宋体"/>
          <w:color w:val="auto"/>
          <w:sz w:val="22"/>
          <w:szCs w:val="22"/>
          <w:lang w:val="zh-CN"/>
        </w:rPr>
        <w:t xml:space="preserve">                   ……</w:t>
      </w:r>
    </w:p>
    <w:p w14:paraId="0C67A3F6">
      <w:pPr>
        <w:snapToGrid w:val="0"/>
        <w:spacing w:line="360" w:lineRule="auto"/>
        <w:jc w:val="right"/>
        <w:rPr>
          <w:rFonts w:hint="eastAsia" w:ascii="宋体" w:hAnsi="宋体" w:cs="宋体"/>
          <w:color w:val="auto"/>
          <w:sz w:val="22"/>
          <w:szCs w:val="22"/>
          <w:lang w:val="zh-CN"/>
        </w:rPr>
      </w:pPr>
      <w:r>
        <w:rPr>
          <w:rFonts w:hint="eastAsia" w:ascii="宋体" w:hAnsi="宋体" w:cs="宋体"/>
          <w:color w:val="auto"/>
          <w:sz w:val="22"/>
          <w:szCs w:val="22"/>
          <w:lang w:val="zh-CN"/>
        </w:rPr>
        <w:t>日期：  年  月   日</w:t>
      </w:r>
    </w:p>
    <w:p w14:paraId="04FCC7BF">
      <w:pPr>
        <w:widowControl/>
        <w:shd w:val="clear" w:color="auto" w:fill="FFFFFF"/>
        <w:spacing w:line="440" w:lineRule="atLeast"/>
        <w:ind w:firstLine="482"/>
        <w:jc w:val="left"/>
        <w:rPr>
          <w:rFonts w:hint="eastAsia" w:ascii="宋体" w:hAnsi="宋体" w:cs="宋体"/>
          <w:color w:val="auto"/>
          <w:sz w:val="22"/>
          <w:szCs w:val="22"/>
        </w:rPr>
      </w:pPr>
      <w:r>
        <w:rPr>
          <w:rFonts w:hint="eastAsia" w:ascii="宋体" w:hAnsi="宋体" w:cs="宋体"/>
          <w:color w:val="auto"/>
          <w:sz w:val="22"/>
          <w:szCs w:val="22"/>
        </w:rPr>
        <w:t>注：按本格式和要求提供。</w:t>
      </w:r>
    </w:p>
    <w:p w14:paraId="4F41F7BF">
      <w:pPr>
        <w:widowControl/>
        <w:snapToGrid w:val="0"/>
        <w:spacing w:line="360" w:lineRule="auto"/>
        <w:ind w:firstLine="440" w:firstLineChars="200"/>
        <w:jc w:val="left"/>
        <w:rPr>
          <w:rFonts w:hint="eastAsia" w:ascii="宋体" w:hAnsi="宋体" w:cs="仿宋_GB2312"/>
          <w:color w:val="auto"/>
          <w:sz w:val="22"/>
        </w:rPr>
      </w:pPr>
    </w:p>
    <w:p w14:paraId="04345678">
      <w:pPr>
        <w:widowControl/>
        <w:snapToGrid w:val="0"/>
        <w:spacing w:line="360" w:lineRule="auto"/>
        <w:ind w:firstLine="440" w:firstLineChars="200"/>
        <w:jc w:val="left"/>
        <w:rPr>
          <w:rFonts w:hint="eastAsia" w:ascii="宋体" w:hAnsi="宋体" w:cs="仿宋_GB2312"/>
          <w:color w:val="auto"/>
          <w:sz w:val="22"/>
        </w:rPr>
        <w:sectPr>
          <w:pgSz w:w="11906" w:h="16838"/>
          <w:pgMar w:top="1134" w:right="1134" w:bottom="1134" w:left="1134" w:header="851" w:footer="992" w:gutter="0"/>
          <w:cols w:space="720" w:num="1"/>
          <w:docGrid w:linePitch="312" w:charSpace="0"/>
        </w:sectPr>
      </w:pPr>
    </w:p>
    <w:p w14:paraId="3AE1131B">
      <w:pPr>
        <w:snapToGrid w:val="0"/>
        <w:spacing w:line="360" w:lineRule="auto"/>
        <w:jc w:val="center"/>
        <w:rPr>
          <w:rFonts w:hint="eastAsia" w:ascii="宋体" w:hAnsi="宋体" w:cs="宋体"/>
          <w:b/>
          <w:color w:val="auto"/>
          <w:sz w:val="24"/>
        </w:rPr>
      </w:pPr>
      <w:r>
        <w:rPr>
          <w:rFonts w:hint="eastAsia" w:ascii="宋体" w:hAnsi="宋体" w:cs="宋体"/>
          <w:b/>
          <w:color w:val="auto"/>
          <w:sz w:val="24"/>
        </w:rPr>
        <w:t>（5）分包意向协议（如有分包，请根据格式提供）</w:t>
      </w:r>
    </w:p>
    <w:p w14:paraId="5BD52CF7">
      <w:pPr>
        <w:snapToGrid w:val="0"/>
        <w:spacing w:line="360" w:lineRule="auto"/>
        <w:ind w:firstLine="576"/>
        <w:rPr>
          <w:rFonts w:hint="eastAsia" w:ascii="宋体" w:hAnsi="宋体" w:cs="宋体"/>
          <w:color w:val="auto"/>
          <w:sz w:val="22"/>
          <w:szCs w:val="22"/>
          <w:lang w:val="zh-CN"/>
        </w:rPr>
      </w:pPr>
      <w:r>
        <w:rPr>
          <w:rFonts w:hint="eastAsia" w:ascii="宋体" w:hAnsi="宋体" w:cs="宋体"/>
          <w:color w:val="auto"/>
          <w:sz w:val="22"/>
          <w:szCs w:val="22"/>
          <w:u w:val="single"/>
        </w:rPr>
        <w:t>（投标人名称）</w:t>
      </w:r>
      <w:r>
        <w:rPr>
          <w:rFonts w:hint="eastAsia" w:ascii="宋体" w:hAnsi="宋体" w:cs="宋体"/>
          <w:color w:val="auto"/>
          <w:sz w:val="22"/>
          <w:szCs w:val="22"/>
          <w:lang w:val="zh-CN"/>
        </w:rPr>
        <w:t>若成为</w:t>
      </w:r>
      <w:r>
        <w:rPr>
          <w:rFonts w:hint="eastAsia" w:ascii="宋体" w:hAnsi="宋体" w:cs="宋体"/>
          <w:color w:val="auto"/>
          <w:sz w:val="22"/>
          <w:szCs w:val="22"/>
          <w:u w:val="single"/>
        </w:rPr>
        <w:t xml:space="preserve">      项目【项目编号：      】</w:t>
      </w:r>
      <w:r>
        <w:rPr>
          <w:rFonts w:hint="eastAsia" w:ascii="宋体" w:hAnsi="宋体" w:cs="宋体"/>
          <w:color w:val="auto"/>
          <w:sz w:val="22"/>
          <w:szCs w:val="22"/>
          <w:lang w:val="zh-CN"/>
        </w:rPr>
        <w:t>的</w:t>
      </w:r>
      <w:r>
        <w:rPr>
          <w:rFonts w:hint="eastAsia" w:ascii="宋体" w:hAnsi="宋体" w:cs="宋体"/>
          <w:color w:val="auto"/>
          <w:sz w:val="22"/>
          <w:szCs w:val="22"/>
        </w:rPr>
        <w:t>成交供应商</w:t>
      </w:r>
      <w:r>
        <w:rPr>
          <w:rFonts w:hint="eastAsia" w:ascii="宋体" w:hAnsi="宋体" w:cs="宋体"/>
          <w:color w:val="auto"/>
          <w:sz w:val="22"/>
          <w:szCs w:val="22"/>
          <w:lang w:val="zh-CN"/>
        </w:rPr>
        <w:t>，将依法采取分包方式履行合同。</w:t>
      </w:r>
      <w:r>
        <w:rPr>
          <w:rFonts w:hint="eastAsia" w:ascii="宋体" w:hAnsi="宋体" w:cs="宋体"/>
          <w:color w:val="auto"/>
          <w:sz w:val="22"/>
          <w:szCs w:val="22"/>
          <w:u w:val="single"/>
        </w:rPr>
        <w:t>（投标人名称）</w:t>
      </w:r>
      <w:r>
        <w:rPr>
          <w:rFonts w:hint="eastAsia" w:ascii="宋体" w:hAnsi="宋体" w:cs="宋体"/>
          <w:color w:val="auto"/>
          <w:sz w:val="22"/>
          <w:szCs w:val="22"/>
        </w:rPr>
        <w:t>与</w:t>
      </w:r>
      <w:r>
        <w:rPr>
          <w:rFonts w:hint="eastAsia" w:ascii="宋体" w:hAnsi="宋体" w:cs="宋体"/>
          <w:color w:val="auto"/>
          <w:sz w:val="22"/>
          <w:szCs w:val="22"/>
          <w:u w:val="single"/>
        </w:rPr>
        <w:t>（所有分包供应商名称）</w:t>
      </w:r>
      <w:r>
        <w:rPr>
          <w:rFonts w:hint="eastAsia" w:ascii="宋体" w:hAnsi="宋体" w:cs="宋体"/>
          <w:color w:val="auto"/>
          <w:sz w:val="22"/>
          <w:szCs w:val="22"/>
        </w:rPr>
        <w:t>达成分包意向协议</w:t>
      </w:r>
      <w:r>
        <w:rPr>
          <w:rFonts w:hint="eastAsia" w:ascii="宋体" w:hAnsi="宋体" w:cs="宋体"/>
          <w:color w:val="auto"/>
          <w:sz w:val="22"/>
          <w:szCs w:val="22"/>
          <w:lang w:val="zh-CN"/>
        </w:rPr>
        <w:t xml:space="preserve">。 </w:t>
      </w:r>
    </w:p>
    <w:p w14:paraId="7A8D2ECA">
      <w:pPr>
        <w:snapToGrid w:val="0"/>
        <w:spacing w:line="360" w:lineRule="auto"/>
        <w:ind w:firstLine="576"/>
        <w:rPr>
          <w:rFonts w:hint="eastAsia" w:ascii="宋体" w:hAnsi="宋体" w:cs="宋体"/>
          <w:color w:val="auto"/>
          <w:sz w:val="22"/>
          <w:szCs w:val="22"/>
          <w:lang w:val="zh-CN"/>
        </w:rPr>
      </w:pPr>
      <w:r>
        <w:rPr>
          <w:rFonts w:hint="eastAsia" w:ascii="宋体" w:hAnsi="宋体" w:cs="宋体"/>
          <w:color w:val="auto"/>
          <w:sz w:val="22"/>
          <w:szCs w:val="22"/>
          <w:lang w:val="zh-CN"/>
        </w:rPr>
        <w:t>一、分包标的及数量</w:t>
      </w:r>
    </w:p>
    <w:p w14:paraId="378666A4">
      <w:pPr>
        <w:snapToGrid w:val="0"/>
        <w:spacing w:line="360" w:lineRule="auto"/>
        <w:ind w:firstLine="576"/>
        <w:rPr>
          <w:rFonts w:hint="eastAsia" w:ascii="宋体" w:hAnsi="宋体" w:cs="宋体"/>
          <w:color w:val="auto"/>
          <w:sz w:val="22"/>
          <w:szCs w:val="22"/>
          <w:lang w:val="zh-CN"/>
        </w:rPr>
      </w:pPr>
      <w:r>
        <w:rPr>
          <w:rFonts w:hint="eastAsia" w:ascii="宋体" w:hAnsi="宋体" w:cs="宋体"/>
          <w:color w:val="auto"/>
          <w:sz w:val="22"/>
          <w:szCs w:val="22"/>
          <w:u w:val="single"/>
        </w:rPr>
        <w:t>（投标人名称）</w:t>
      </w:r>
      <w:r>
        <w:rPr>
          <w:rFonts w:hint="eastAsia" w:ascii="宋体" w:hAnsi="宋体" w:cs="宋体"/>
          <w:color w:val="auto"/>
          <w:sz w:val="22"/>
          <w:szCs w:val="22"/>
          <w:lang w:val="zh-CN"/>
        </w:rPr>
        <w:t>将</w:t>
      </w:r>
      <w:r>
        <w:rPr>
          <w:rFonts w:hint="eastAsia" w:ascii="宋体" w:hAnsi="宋体" w:cs="宋体"/>
          <w:color w:val="auto"/>
          <w:sz w:val="22"/>
          <w:szCs w:val="22"/>
          <w:u w:val="single"/>
        </w:rPr>
        <w:t xml:space="preserve">   XX工作内容   </w:t>
      </w:r>
      <w:r>
        <w:rPr>
          <w:rFonts w:hint="eastAsia" w:ascii="宋体" w:hAnsi="宋体" w:cs="宋体"/>
          <w:color w:val="auto"/>
          <w:sz w:val="22"/>
          <w:szCs w:val="22"/>
        </w:rPr>
        <w:t>分包给</w:t>
      </w:r>
      <w:r>
        <w:rPr>
          <w:rFonts w:hint="eastAsia" w:ascii="宋体" w:hAnsi="宋体" w:cs="宋体"/>
          <w:color w:val="auto"/>
          <w:sz w:val="22"/>
          <w:szCs w:val="22"/>
          <w:u w:val="single"/>
        </w:rPr>
        <w:t>（分包供应商1名称）</w:t>
      </w:r>
      <w:r>
        <w:rPr>
          <w:rFonts w:hint="eastAsia" w:ascii="宋体" w:hAnsi="宋体" w:cs="宋体"/>
          <w:color w:val="auto"/>
          <w:sz w:val="22"/>
          <w:szCs w:val="22"/>
          <w:lang w:val="zh-CN"/>
        </w:rPr>
        <w:t>，</w:t>
      </w:r>
      <w:r>
        <w:rPr>
          <w:rFonts w:hint="eastAsia" w:ascii="宋体" w:hAnsi="宋体" w:cs="宋体"/>
          <w:color w:val="auto"/>
          <w:sz w:val="22"/>
          <w:szCs w:val="22"/>
          <w:u w:val="single"/>
        </w:rPr>
        <w:t>（分包供应商2名称），</w:t>
      </w:r>
      <w:r>
        <w:rPr>
          <w:rFonts w:hint="eastAsia" w:ascii="宋体" w:hAnsi="宋体" w:cs="宋体"/>
          <w:color w:val="auto"/>
          <w:sz w:val="22"/>
          <w:szCs w:val="22"/>
          <w:lang w:val="zh-CN"/>
        </w:rPr>
        <w:t>具备承</w:t>
      </w:r>
      <w:r>
        <w:rPr>
          <w:rFonts w:hint="eastAsia" w:ascii="宋体" w:hAnsi="宋体" w:cs="宋体"/>
          <w:color w:val="auto"/>
          <w:sz w:val="22"/>
          <w:szCs w:val="22"/>
        </w:rPr>
        <w:t>担</w:t>
      </w:r>
      <w:r>
        <w:rPr>
          <w:rFonts w:hint="eastAsia" w:ascii="宋体" w:hAnsi="宋体" w:cs="宋体"/>
          <w:color w:val="auto"/>
          <w:sz w:val="22"/>
          <w:szCs w:val="22"/>
          <w:u w:val="single"/>
          <w:lang w:val="zh-CN"/>
        </w:rPr>
        <w:t>XX工作内容</w:t>
      </w:r>
      <w:r>
        <w:rPr>
          <w:rFonts w:hint="eastAsia" w:ascii="宋体" w:hAnsi="宋体" w:cs="宋体"/>
          <w:color w:val="auto"/>
          <w:sz w:val="22"/>
          <w:szCs w:val="22"/>
          <w:lang w:val="zh-CN"/>
        </w:rPr>
        <w:t>相应资质条件且不得再次分包；</w:t>
      </w:r>
    </w:p>
    <w:p w14:paraId="347E3EDD">
      <w:pPr>
        <w:rPr>
          <w:rFonts w:hint="eastAsia" w:ascii="宋体" w:hAnsi="宋体" w:cs="宋体"/>
          <w:color w:val="auto"/>
          <w:sz w:val="22"/>
          <w:szCs w:val="22"/>
        </w:rPr>
      </w:pPr>
      <w:r>
        <w:rPr>
          <w:rFonts w:hint="eastAsia" w:ascii="宋体" w:hAnsi="宋体" w:cs="宋体"/>
          <w:color w:val="auto"/>
          <w:sz w:val="22"/>
          <w:szCs w:val="22"/>
        </w:rPr>
        <w:t>……</w:t>
      </w:r>
    </w:p>
    <w:p w14:paraId="119640F8">
      <w:pPr>
        <w:rPr>
          <w:rFonts w:hint="eastAsia" w:ascii="宋体" w:hAnsi="宋体" w:cs="宋体"/>
          <w:color w:val="auto"/>
          <w:sz w:val="22"/>
          <w:szCs w:val="22"/>
        </w:rPr>
      </w:pPr>
      <w:r>
        <w:rPr>
          <w:rFonts w:hint="eastAsia" w:ascii="宋体" w:hAnsi="宋体" w:cs="宋体"/>
          <w:color w:val="auto"/>
          <w:sz w:val="22"/>
          <w:szCs w:val="22"/>
          <w:lang w:val="zh-CN"/>
        </w:rPr>
        <w:t xml:space="preserve"> </w:t>
      </w:r>
    </w:p>
    <w:p w14:paraId="0C1CFFBD">
      <w:pPr>
        <w:snapToGrid w:val="0"/>
        <w:spacing w:line="360" w:lineRule="auto"/>
        <w:ind w:firstLine="576"/>
        <w:rPr>
          <w:rFonts w:hint="eastAsia" w:ascii="宋体" w:hAnsi="宋体" w:cs="宋体"/>
          <w:color w:val="auto"/>
          <w:sz w:val="22"/>
          <w:szCs w:val="22"/>
          <w:lang w:val="zh-CN"/>
        </w:rPr>
      </w:pPr>
      <w:r>
        <w:rPr>
          <w:rFonts w:hint="eastAsia" w:ascii="宋体" w:hAnsi="宋体" w:cs="宋体"/>
          <w:color w:val="auto"/>
          <w:sz w:val="22"/>
          <w:szCs w:val="22"/>
          <w:lang w:val="zh-CN"/>
        </w:rPr>
        <w:t>二、分包供应商中小企业合同份额</w:t>
      </w:r>
    </w:p>
    <w:p w14:paraId="1433ED05">
      <w:pPr>
        <w:snapToGrid w:val="0"/>
        <w:spacing w:line="360" w:lineRule="auto"/>
        <w:ind w:firstLine="576"/>
        <w:rPr>
          <w:rFonts w:hint="eastAsia" w:ascii="宋体" w:hAnsi="宋体" w:cs="宋体"/>
          <w:b/>
          <w:color w:val="auto"/>
          <w:sz w:val="22"/>
          <w:szCs w:val="22"/>
          <w:lang w:val="zh-CN"/>
        </w:rPr>
      </w:pPr>
      <w:r>
        <w:rPr>
          <w:rFonts w:hint="eastAsia" w:ascii="宋体" w:hAnsi="宋体" w:cs="宋体"/>
          <w:color w:val="auto"/>
          <w:sz w:val="22"/>
          <w:szCs w:val="22"/>
        </w:rPr>
        <w:t>1、</w:t>
      </w:r>
      <w:r>
        <w:rPr>
          <w:rFonts w:hint="eastAsia" w:ascii="宋体" w:hAnsi="宋体" w:cs="宋体"/>
          <w:color w:val="auto"/>
          <w:sz w:val="22"/>
          <w:szCs w:val="22"/>
          <w:u w:val="single"/>
        </w:rPr>
        <w:t>（分包供应商X,……）提供的服务全部由小微企业承接，</w:t>
      </w:r>
      <w:r>
        <w:rPr>
          <w:rFonts w:hint="eastAsia" w:ascii="宋体" w:hAnsi="宋体" w:cs="宋体"/>
          <w:color w:val="auto"/>
          <w:sz w:val="22"/>
          <w:szCs w:val="22"/>
        </w:rPr>
        <w:t>其合同份额占到合同总金额</w:t>
      </w:r>
      <w:r>
        <w:rPr>
          <w:rFonts w:hint="eastAsia" w:ascii="宋体" w:hAnsi="宋体" w:cs="宋体"/>
          <w:color w:val="auto"/>
          <w:sz w:val="22"/>
          <w:szCs w:val="22"/>
          <w:u w:val="single"/>
        </w:rPr>
        <w:t xml:space="preserve">     </w:t>
      </w:r>
      <w:r>
        <w:rPr>
          <w:rFonts w:hint="eastAsia" w:ascii="宋体" w:hAnsi="宋体" w:cs="宋体"/>
          <w:color w:val="auto"/>
          <w:sz w:val="22"/>
          <w:szCs w:val="22"/>
        </w:rPr>
        <w:t>%以上。</w:t>
      </w:r>
      <w:r>
        <w:rPr>
          <w:rFonts w:hint="eastAsia" w:ascii="宋体" w:hAnsi="宋体" w:cs="宋体"/>
          <w:b/>
          <w:color w:val="auto"/>
          <w:sz w:val="22"/>
          <w:szCs w:val="22"/>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2"/>
          <w:szCs w:val="22"/>
        </w:rPr>
        <w:t>拟享受以上价格扣除政策的，填写有关内容。</w:t>
      </w:r>
      <w:r>
        <w:rPr>
          <w:rFonts w:hint="eastAsia" w:ascii="宋体" w:hAnsi="宋体" w:cs="宋体"/>
          <w:b/>
          <w:color w:val="auto"/>
          <w:sz w:val="22"/>
          <w:szCs w:val="22"/>
          <w:lang w:val="zh-CN"/>
        </w:rPr>
        <w:t>）</w:t>
      </w:r>
    </w:p>
    <w:p w14:paraId="2C40E53B">
      <w:pPr>
        <w:spacing w:line="360" w:lineRule="auto"/>
        <w:ind w:firstLine="440" w:firstLineChars="200"/>
        <w:rPr>
          <w:rFonts w:hint="eastAsia" w:ascii="宋体" w:hAnsi="宋体" w:cs="宋体"/>
          <w:b/>
          <w:bCs/>
          <w:color w:val="auto"/>
          <w:sz w:val="22"/>
          <w:szCs w:val="22"/>
          <w:lang w:val="zh-CN"/>
        </w:rPr>
      </w:pPr>
      <w:r>
        <w:rPr>
          <w:rFonts w:hint="eastAsia" w:ascii="宋体" w:hAnsi="宋体" w:cs="宋体"/>
          <w:color w:val="auto"/>
          <w:sz w:val="22"/>
          <w:szCs w:val="22"/>
        </w:rPr>
        <w:t>2、中小企业合同金额达到</w:t>
      </w:r>
      <w:r>
        <w:rPr>
          <w:rFonts w:hint="eastAsia" w:ascii="宋体" w:hAnsi="宋体" w:cs="宋体"/>
          <w:color w:val="auto"/>
          <w:sz w:val="22"/>
          <w:szCs w:val="22"/>
          <w:u w:val="single"/>
        </w:rPr>
        <w:t xml:space="preserve">  </w:t>
      </w:r>
      <w:r>
        <w:rPr>
          <w:rFonts w:hint="eastAsia" w:ascii="宋体" w:hAnsi="宋体" w:cs="宋体"/>
          <w:color w:val="auto"/>
          <w:sz w:val="22"/>
          <w:szCs w:val="22"/>
        </w:rPr>
        <w:t>%，小微企业合同金额达到</w:t>
      </w:r>
      <w:r>
        <w:rPr>
          <w:rFonts w:hint="eastAsia" w:ascii="宋体" w:hAnsi="宋体" w:cs="宋体"/>
          <w:color w:val="auto"/>
          <w:sz w:val="22"/>
          <w:szCs w:val="22"/>
          <w:u w:val="single"/>
        </w:rPr>
        <w:t xml:space="preserve"> </w:t>
      </w:r>
      <w:r>
        <w:rPr>
          <w:rFonts w:hint="eastAsia" w:ascii="宋体" w:hAnsi="宋体" w:cs="宋体"/>
          <w:color w:val="auto"/>
          <w:sz w:val="22"/>
          <w:szCs w:val="22"/>
        </w:rPr>
        <w:t>%</w:t>
      </w:r>
      <w:r>
        <w:rPr>
          <w:rFonts w:hint="eastAsia" w:ascii="宋体" w:hAnsi="宋体" w:cs="宋体"/>
          <w:color w:val="auto"/>
          <w:sz w:val="22"/>
          <w:szCs w:val="22"/>
          <w:lang w:val="zh-CN"/>
        </w:rPr>
        <w:t>。</w:t>
      </w:r>
      <w:r>
        <w:rPr>
          <w:rFonts w:hint="eastAsia" w:ascii="宋体" w:hAnsi="宋体" w:cs="宋体"/>
          <w:b/>
          <w:bCs/>
          <w:color w:val="auto"/>
          <w:sz w:val="22"/>
          <w:szCs w:val="22"/>
          <w:lang w:val="zh-CN"/>
        </w:rPr>
        <w:t>（</w:t>
      </w:r>
      <w:r>
        <w:rPr>
          <w:rFonts w:hint="eastAsia" w:ascii="宋体" w:hAnsi="宋体" w:cs="宋体"/>
          <w:b/>
          <w:bCs/>
          <w:color w:val="auto"/>
          <w:sz w:val="22"/>
          <w:szCs w:val="22"/>
        </w:rPr>
        <w:t>要求合同分包形式参加的项目或采购包，供应商按招标文件第一部分招标公告申请人的资格要求中规定的</w:t>
      </w:r>
      <w:r>
        <w:rPr>
          <w:rFonts w:hint="eastAsia" w:ascii="宋体" w:hAnsi="宋体" w:cs="宋体"/>
          <w:b/>
          <w:color w:val="auto"/>
          <w:sz w:val="22"/>
          <w:szCs w:val="22"/>
          <w:lang w:val="zh-CN"/>
        </w:rPr>
        <w:t>分包意向协议</w:t>
      </w:r>
      <w:r>
        <w:rPr>
          <w:rFonts w:hint="eastAsia" w:ascii="宋体" w:hAnsi="宋体" w:cs="宋体"/>
          <w:b/>
          <w:bCs/>
          <w:color w:val="auto"/>
          <w:sz w:val="22"/>
          <w:szCs w:val="22"/>
        </w:rPr>
        <w:t>中中小企业、小微企业合同金额应当达到的比例要求填写。</w:t>
      </w:r>
      <w:r>
        <w:rPr>
          <w:rFonts w:hint="eastAsia" w:ascii="宋体" w:hAnsi="宋体" w:cs="宋体"/>
          <w:b/>
          <w:bCs/>
          <w:color w:val="auto"/>
          <w:sz w:val="22"/>
          <w:szCs w:val="22"/>
          <w:lang w:val="zh-CN"/>
        </w:rPr>
        <w:t>）</w:t>
      </w:r>
    </w:p>
    <w:p w14:paraId="1D72CBD1">
      <w:pPr>
        <w:snapToGrid w:val="0"/>
        <w:spacing w:line="360" w:lineRule="auto"/>
        <w:ind w:firstLine="576"/>
        <w:rPr>
          <w:rFonts w:hint="eastAsia" w:ascii="宋体" w:hAnsi="宋体" w:cs="宋体"/>
          <w:color w:val="auto"/>
          <w:sz w:val="22"/>
          <w:szCs w:val="22"/>
          <w:lang w:val="zh-CN"/>
        </w:rPr>
      </w:pPr>
      <w:r>
        <w:rPr>
          <w:rFonts w:hint="eastAsia" w:ascii="宋体" w:hAnsi="宋体" w:cs="宋体"/>
          <w:color w:val="auto"/>
          <w:sz w:val="22"/>
          <w:szCs w:val="22"/>
          <w:lang w:val="zh-CN"/>
        </w:rPr>
        <w:t>三、分包工作履行期限、地点、方式</w:t>
      </w:r>
    </w:p>
    <w:p w14:paraId="19764CB7">
      <w:pPr>
        <w:snapToGrid w:val="0"/>
        <w:spacing w:line="360" w:lineRule="auto"/>
        <w:ind w:firstLine="576"/>
        <w:rPr>
          <w:rFonts w:hint="eastAsia" w:ascii="宋体" w:hAnsi="宋体" w:cs="宋体"/>
          <w:color w:val="auto"/>
          <w:sz w:val="22"/>
          <w:szCs w:val="22"/>
          <w:u w:val="single"/>
        </w:rPr>
      </w:pPr>
      <w:r>
        <w:rPr>
          <w:rFonts w:hint="eastAsia" w:ascii="宋体" w:hAnsi="宋体" w:cs="宋体"/>
          <w:color w:val="auto"/>
          <w:sz w:val="22"/>
          <w:szCs w:val="22"/>
          <w:u w:val="single"/>
        </w:rPr>
        <w:t xml:space="preserve">                                                                                  </w:t>
      </w:r>
    </w:p>
    <w:p w14:paraId="3C21F437">
      <w:pPr>
        <w:snapToGrid w:val="0"/>
        <w:spacing w:line="360" w:lineRule="auto"/>
        <w:ind w:firstLine="576"/>
        <w:rPr>
          <w:rFonts w:hint="eastAsia" w:ascii="宋体" w:hAnsi="宋体" w:cs="宋体"/>
          <w:color w:val="auto"/>
          <w:sz w:val="22"/>
          <w:szCs w:val="22"/>
          <w:lang w:val="zh-CN"/>
        </w:rPr>
      </w:pPr>
      <w:r>
        <w:rPr>
          <w:rFonts w:hint="eastAsia" w:ascii="宋体" w:hAnsi="宋体" w:cs="宋体"/>
          <w:color w:val="auto"/>
          <w:sz w:val="22"/>
          <w:szCs w:val="22"/>
          <w:lang w:val="zh-CN"/>
        </w:rPr>
        <w:t>四、质量</w:t>
      </w:r>
    </w:p>
    <w:p w14:paraId="426BBF05">
      <w:pPr>
        <w:snapToGrid w:val="0"/>
        <w:spacing w:line="360" w:lineRule="auto"/>
        <w:ind w:firstLine="576"/>
        <w:rPr>
          <w:rFonts w:hint="eastAsia" w:ascii="宋体" w:hAnsi="宋体" w:cs="宋体"/>
          <w:color w:val="auto"/>
          <w:sz w:val="22"/>
          <w:szCs w:val="22"/>
          <w:lang w:val="zh-CN"/>
        </w:rPr>
      </w:pPr>
      <w:r>
        <w:rPr>
          <w:rFonts w:hint="eastAsia" w:ascii="宋体" w:hAnsi="宋体" w:cs="宋体"/>
          <w:color w:val="auto"/>
          <w:sz w:val="22"/>
          <w:szCs w:val="22"/>
          <w:u w:val="single"/>
        </w:rPr>
        <w:t xml:space="preserve">                                                                                       </w:t>
      </w:r>
    </w:p>
    <w:p w14:paraId="400FF832">
      <w:pPr>
        <w:snapToGrid w:val="0"/>
        <w:spacing w:line="360" w:lineRule="auto"/>
        <w:ind w:firstLine="576"/>
        <w:rPr>
          <w:rFonts w:hint="eastAsia" w:ascii="宋体" w:hAnsi="宋体" w:cs="宋体"/>
          <w:color w:val="auto"/>
          <w:sz w:val="22"/>
          <w:szCs w:val="22"/>
          <w:lang w:val="zh-CN"/>
        </w:rPr>
      </w:pPr>
      <w:r>
        <w:rPr>
          <w:rFonts w:hint="eastAsia" w:ascii="宋体" w:hAnsi="宋体" w:cs="宋体"/>
          <w:color w:val="auto"/>
          <w:sz w:val="22"/>
          <w:szCs w:val="22"/>
          <w:lang w:val="zh-CN"/>
        </w:rPr>
        <w:t>五、价款或者报酬</w:t>
      </w:r>
    </w:p>
    <w:p w14:paraId="03F749EF">
      <w:pPr>
        <w:snapToGrid w:val="0"/>
        <w:spacing w:line="360" w:lineRule="auto"/>
        <w:ind w:left="573" w:leftChars="273"/>
        <w:rPr>
          <w:rFonts w:hint="eastAsia" w:ascii="宋体" w:hAnsi="宋体" w:cs="宋体"/>
          <w:color w:val="auto"/>
          <w:sz w:val="22"/>
          <w:szCs w:val="22"/>
          <w:lang w:val="zh-CN"/>
        </w:rPr>
      </w:pPr>
      <w:r>
        <w:rPr>
          <w:rFonts w:hint="eastAsia" w:ascii="宋体" w:hAnsi="宋体" w:cs="宋体"/>
          <w:color w:val="auto"/>
          <w:sz w:val="22"/>
          <w:szCs w:val="22"/>
          <w:u w:val="single"/>
        </w:rPr>
        <w:t xml:space="preserve">                                                                                     </w:t>
      </w:r>
    </w:p>
    <w:p w14:paraId="1C371A51">
      <w:pPr>
        <w:snapToGrid w:val="0"/>
        <w:spacing w:line="360" w:lineRule="auto"/>
        <w:ind w:left="573" w:leftChars="273"/>
        <w:rPr>
          <w:rFonts w:hint="eastAsia" w:ascii="宋体" w:hAnsi="宋体" w:cs="宋体"/>
          <w:color w:val="auto"/>
          <w:sz w:val="22"/>
          <w:szCs w:val="22"/>
          <w:lang w:val="zh-CN"/>
        </w:rPr>
      </w:pPr>
      <w:r>
        <w:rPr>
          <w:rFonts w:hint="eastAsia" w:ascii="宋体" w:hAnsi="宋体" w:cs="宋体"/>
          <w:color w:val="auto"/>
          <w:sz w:val="22"/>
          <w:szCs w:val="22"/>
          <w:lang w:val="zh-CN"/>
        </w:rPr>
        <w:t>六、违约责任</w:t>
      </w:r>
    </w:p>
    <w:p w14:paraId="77E90F02">
      <w:pPr>
        <w:snapToGrid w:val="0"/>
        <w:spacing w:line="360" w:lineRule="auto"/>
        <w:ind w:firstLine="576"/>
        <w:rPr>
          <w:rFonts w:hint="eastAsia" w:ascii="宋体" w:hAnsi="宋体" w:cs="宋体"/>
          <w:color w:val="auto"/>
          <w:sz w:val="22"/>
          <w:szCs w:val="22"/>
          <w:lang w:val="zh-CN"/>
        </w:rPr>
      </w:pPr>
      <w:r>
        <w:rPr>
          <w:rFonts w:hint="eastAsia" w:ascii="宋体" w:hAnsi="宋体" w:cs="宋体"/>
          <w:color w:val="auto"/>
          <w:sz w:val="22"/>
          <w:szCs w:val="22"/>
          <w:u w:val="single"/>
        </w:rPr>
        <w:t xml:space="preserve">                                                                                     </w:t>
      </w:r>
    </w:p>
    <w:p w14:paraId="093ACF59">
      <w:pPr>
        <w:snapToGrid w:val="0"/>
        <w:spacing w:line="360" w:lineRule="auto"/>
        <w:ind w:firstLine="576"/>
        <w:rPr>
          <w:rFonts w:hint="eastAsia" w:ascii="宋体" w:hAnsi="宋体" w:cs="宋体"/>
          <w:color w:val="auto"/>
          <w:sz w:val="22"/>
          <w:szCs w:val="22"/>
          <w:lang w:val="zh-CN"/>
        </w:rPr>
      </w:pPr>
      <w:r>
        <w:rPr>
          <w:rFonts w:hint="eastAsia" w:ascii="宋体" w:hAnsi="宋体" w:cs="宋体"/>
          <w:color w:val="auto"/>
          <w:sz w:val="22"/>
          <w:szCs w:val="22"/>
          <w:lang w:val="zh-CN"/>
        </w:rPr>
        <w:t>七、争议解决的办法</w:t>
      </w:r>
    </w:p>
    <w:p w14:paraId="55AD70EB">
      <w:pPr>
        <w:snapToGrid w:val="0"/>
        <w:spacing w:line="360" w:lineRule="auto"/>
        <w:ind w:firstLine="576"/>
        <w:rPr>
          <w:rFonts w:hint="eastAsia" w:ascii="宋体" w:hAnsi="宋体" w:cs="宋体"/>
          <w:color w:val="auto"/>
          <w:sz w:val="22"/>
          <w:szCs w:val="22"/>
          <w:lang w:val="zh-CN"/>
        </w:rPr>
      </w:pPr>
      <w:r>
        <w:rPr>
          <w:rFonts w:hint="eastAsia" w:ascii="宋体" w:hAnsi="宋体" w:cs="宋体"/>
          <w:color w:val="auto"/>
          <w:sz w:val="22"/>
          <w:szCs w:val="22"/>
          <w:u w:val="single"/>
        </w:rPr>
        <w:t xml:space="preserve">                                                                                  </w:t>
      </w:r>
    </w:p>
    <w:p w14:paraId="09B0D8BA">
      <w:pPr>
        <w:snapToGrid w:val="0"/>
        <w:spacing w:line="360" w:lineRule="auto"/>
        <w:ind w:firstLine="576"/>
        <w:rPr>
          <w:rFonts w:hint="eastAsia" w:ascii="宋体" w:hAnsi="宋体" w:cs="宋体"/>
          <w:color w:val="auto"/>
          <w:sz w:val="22"/>
          <w:szCs w:val="22"/>
          <w:lang w:val="zh-CN"/>
        </w:rPr>
      </w:pPr>
      <w:r>
        <w:rPr>
          <w:rFonts w:hint="eastAsia" w:ascii="宋体" w:hAnsi="宋体" w:cs="宋体"/>
          <w:color w:val="auto"/>
          <w:sz w:val="22"/>
          <w:szCs w:val="22"/>
          <w:lang w:val="zh-CN"/>
        </w:rPr>
        <w:t>八、其他</w:t>
      </w:r>
    </w:p>
    <w:p w14:paraId="1BB6B1A6">
      <w:pPr>
        <w:snapToGrid w:val="0"/>
        <w:spacing w:line="360" w:lineRule="auto"/>
        <w:ind w:left="5338" w:leftChars="342" w:hanging="4620" w:hangingChars="2100"/>
        <w:rPr>
          <w:rFonts w:hint="eastAsia" w:ascii="宋体" w:hAnsi="宋体" w:cs="宋体"/>
          <w:color w:val="auto"/>
          <w:sz w:val="22"/>
          <w:szCs w:val="22"/>
          <w:lang w:val="zh-CN"/>
        </w:rPr>
      </w:pPr>
      <w:r>
        <w:rPr>
          <w:rFonts w:hint="eastAsia" w:ascii="宋体" w:hAnsi="宋体" w:cs="宋体"/>
          <w:color w:val="auto"/>
          <w:sz w:val="22"/>
          <w:szCs w:val="22"/>
        </w:rPr>
        <w:t>中小企业合同金额达到</w:t>
      </w:r>
      <w:r>
        <w:rPr>
          <w:rFonts w:hint="eastAsia" w:ascii="宋体" w:hAnsi="宋体" w:cs="宋体"/>
          <w:color w:val="auto"/>
          <w:sz w:val="22"/>
          <w:szCs w:val="22"/>
          <w:u w:val="single"/>
        </w:rPr>
        <w:t xml:space="preserve">  </w:t>
      </w:r>
      <w:r>
        <w:rPr>
          <w:rFonts w:hint="eastAsia" w:ascii="宋体" w:hAnsi="宋体" w:cs="宋体"/>
          <w:color w:val="auto"/>
          <w:sz w:val="22"/>
          <w:szCs w:val="22"/>
        </w:rPr>
        <w:t>%，小微企业合同金额达到</w:t>
      </w:r>
      <w:r>
        <w:rPr>
          <w:rFonts w:hint="eastAsia" w:ascii="宋体" w:hAnsi="宋体" w:cs="宋体"/>
          <w:color w:val="auto"/>
          <w:sz w:val="22"/>
          <w:szCs w:val="22"/>
          <w:u w:val="single"/>
        </w:rPr>
        <w:t xml:space="preserve">   </w:t>
      </w:r>
      <w:r>
        <w:rPr>
          <w:rFonts w:hint="eastAsia" w:ascii="宋体" w:hAnsi="宋体" w:cs="宋体"/>
          <w:color w:val="auto"/>
          <w:sz w:val="22"/>
          <w:szCs w:val="22"/>
        </w:rPr>
        <w:t>%</w:t>
      </w:r>
      <w:r>
        <w:rPr>
          <w:rFonts w:hint="eastAsia" w:ascii="宋体" w:hAnsi="宋体" w:cs="宋体"/>
          <w:color w:val="auto"/>
          <w:sz w:val="22"/>
          <w:szCs w:val="22"/>
          <w:lang w:val="zh-CN"/>
        </w:rPr>
        <w:t xml:space="preserve">。 </w:t>
      </w:r>
    </w:p>
    <w:p w14:paraId="2A6E15CF">
      <w:pPr>
        <w:snapToGrid w:val="0"/>
        <w:spacing w:line="360" w:lineRule="auto"/>
        <w:ind w:left="5338" w:leftChars="342" w:hanging="4620" w:hangingChars="2100"/>
        <w:rPr>
          <w:rFonts w:hint="eastAsia" w:ascii="宋体" w:hAnsi="宋体" w:cs="宋体"/>
          <w:color w:val="auto"/>
          <w:sz w:val="22"/>
          <w:szCs w:val="22"/>
          <w:lang w:val="zh-CN"/>
        </w:rPr>
      </w:pPr>
      <w:r>
        <w:rPr>
          <w:rFonts w:hint="eastAsia" w:ascii="宋体" w:hAnsi="宋体" w:cs="宋体"/>
          <w:color w:val="auto"/>
          <w:sz w:val="22"/>
          <w:szCs w:val="22"/>
          <w:lang w:val="zh-CN"/>
        </w:rPr>
        <w:t xml:space="preserve">                                          投标人名称(电子签名)：</w:t>
      </w:r>
    </w:p>
    <w:p w14:paraId="1A5BE708">
      <w:pPr>
        <w:snapToGrid w:val="0"/>
        <w:spacing w:line="360" w:lineRule="auto"/>
        <w:jc w:val="center"/>
        <w:rPr>
          <w:rFonts w:hint="eastAsia" w:ascii="宋体" w:hAnsi="宋体" w:cs="宋体"/>
          <w:color w:val="auto"/>
          <w:sz w:val="22"/>
          <w:szCs w:val="22"/>
          <w:lang w:val="zh-CN"/>
        </w:rPr>
      </w:pPr>
      <w:r>
        <w:rPr>
          <w:rFonts w:hint="eastAsia" w:ascii="宋体" w:hAnsi="宋体" w:cs="宋体"/>
          <w:color w:val="auto"/>
          <w:sz w:val="22"/>
          <w:szCs w:val="22"/>
        </w:rPr>
        <w:t xml:space="preserve">                                        </w:t>
      </w:r>
      <w:r>
        <w:rPr>
          <w:rFonts w:hint="eastAsia" w:ascii="宋体" w:hAnsi="宋体" w:cs="宋体"/>
          <w:color w:val="auto"/>
          <w:sz w:val="22"/>
          <w:szCs w:val="22"/>
          <w:lang w:val="zh-CN"/>
        </w:rPr>
        <w:t>分包供应商名称(电子签名/公章)：</w:t>
      </w:r>
    </w:p>
    <w:p w14:paraId="571A408E">
      <w:pPr>
        <w:snapToGrid w:val="0"/>
        <w:spacing w:line="360" w:lineRule="auto"/>
        <w:ind w:firstLine="5280" w:firstLineChars="2400"/>
        <w:rPr>
          <w:rFonts w:hint="eastAsia" w:ascii="宋体" w:hAnsi="宋体" w:cs="宋体"/>
          <w:color w:val="auto"/>
          <w:sz w:val="22"/>
          <w:szCs w:val="22"/>
        </w:rPr>
      </w:pPr>
      <w:r>
        <w:rPr>
          <w:rFonts w:hint="eastAsia" w:ascii="宋体" w:hAnsi="宋体" w:cs="宋体"/>
          <w:color w:val="auto"/>
          <w:sz w:val="22"/>
          <w:szCs w:val="22"/>
          <w:lang w:val="zh-CN"/>
        </w:rPr>
        <w:t>……</w:t>
      </w:r>
    </w:p>
    <w:p w14:paraId="6F857D65">
      <w:pPr>
        <w:snapToGrid w:val="0"/>
        <w:spacing w:line="360" w:lineRule="auto"/>
        <w:ind w:left="5338" w:leftChars="342" w:hanging="4620" w:hangingChars="2100"/>
        <w:rPr>
          <w:rFonts w:hint="eastAsia" w:ascii="宋体" w:hAnsi="宋体" w:cs="宋体"/>
          <w:color w:val="auto"/>
          <w:sz w:val="22"/>
          <w:szCs w:val="22"/>
          <w:lang w:val="zh-CN"/>
        </w:rPr>
      </w:pPr>
      <w:r>
        <w:rPr>
          <w:rFonts w:hint="eastAsia" w:ascii="宋体" w:hAnsi="宋体" w:cs="宋体"/>
          <w:color w:val="auto"/>
          <w:sz w:val="22"/>
          <w:szCs w:val="22"/>
          <w:lang w:val="zh-CN"/>
        </w:rPr>
        <w:t xml:space="preserve">                                        日期：  年  月   日</w:t>
      </w:r>
    </w:p>
    <w:p w14:paraId="7E6F555B">
      <w:pPr>
        <w:rPr>
          <w:color w:val="auto"/>
          <w:lang w:val="zh-CN"/>
        </w:rPr>
      </w:pPr>
      <w:r>
        <w:rPr>
          <w:rFonts w:hint="eastAsia" w:ascii="宋体" w:hAnsi="宋体" w:cs="宋体"/>
          <w:color w:val="auto"/>
          <w:sz w:val="22"/>
          <w:szCs w:val="22"/>
        </w:rPr>
        <w:t>注：按本格式和要求提供。</w:t>
      </w:r>
    </w:p>
    <w:p w14:paraId="38A72668">
      <w:pPr>
        <w:pStyle w:val="5"/>
        <w:spacing w:line="240" w:lineRule="auto"/>
        <w:rPr>
          <w:rFonts w:hint="eastAsia" w:ascii="宋体" w:hAnsi="宋体" w:eastAsia="宋体" w:cs="宋体"/>
          <w:color w:val="auto"/>
          <w:sz w:val="24"/>
          <w:szCs w:val="24"/>
        </w:rPr>
      </w:pPr>
      <w:bookmarkStart w:id="86" w:name="_Toc4340"/>
      <w:r>
        <w:rPr>
          <w:rFonts w:hint="eastAsia" w:ascii="宋体" w:hAnsi="宋体" w:eastAsia="宋体" w:cs="宋体"/>
          <w:color w:val="auto"/>
          <w:sz w:val="24"/>
          <w:szCs w:val="24"/>
        </w:rPr>
        <w:t>附件</w:t>
      </w:r>
      <w:bookmarkEnd w:id="78"/>
      <w:bookmarkEnd w:id="79"/>
      <w:bookmarkEnd w:id="80"/>
      <w:r>
        <w:rPr>
          <w:rFonts w:hint="eastAsia" w:ascii="宋体" w:hAnsi="宋体" w:eastAsia="宋体" w:cs="宋体"/>
          <w:color w:val="auto"/>
          <w:sz w:val="24"/>
          <w:szCs w:val="24"/>
        </w:rPr>
        <w:t>五 商务条款、技术规格偏离表</w:t>
      </w:r>
      <w:bookmarkEnd w:id="86"/>
    </w:p>
    <w:p w14:paraId="466A6363">
      <w:pPr>
        <w:spacing w:line="440" w:lineRule="exact"/>
        <w:ind w:firstLine="437"/>
        <w:jc w:val="center"/>
        <w:rPr>
          <w:rFonts w:hint="eastAsia" w:ascii="宋体" w:hAnsi="宋体" w:cs="宋体"/>
          <w:b/>
          <w:bCs/>
          <w:color w:val="auto"/>
          <w:sz w:val="28"/>
          <w:szCs w:val="28"/>
        </w:rPr>
      </w:pPr>
      <w:r>
        <w:rPr>
          <w:rFonts w:hint="eastAsia" w:ascii="宋体" w:hAnsi="宋体" w:cs="宋体"/>
          <w:b/>
          <w:bCs/>
          <w:color w:val="auto"/>
          <w:sz w:val="28"/>
          <w:szCs w:val="28"/>
        </w:rPr>
        <w:t>商务条款、技术规格偏离表</w:t>
      </w:r>
    </w:p>
    <w:p w14:paraId="43FD37AD">
      <w:pPr>
        <w:spacing w:line="560" w:lineRule="exact"/>
        <w:rPr>
          <w:rFonts w:hint="eastAsia" w:ascii="宋体" w:hAnsi="宋体" w:cs="宋体"/>
          <w:b/>
          <w:bCs/>
          <w:color w:val="auto"/>
          <w:sz w:val="22"/>
          <w:szCs w:val="22"/>
        </w:rPr>
      </w:pPr>
      <w:r>
        <w:rPr>
          <w:rFonts w:hint="eastAsia" w:ascii="宋体" w:hAnsi="宋体" w:cs="宋体"/>
          <w:b/>
          <w:color w:val="auto"/>
          <w:sz w:val="22"/>
          <w:szCs w:val="22"/>
        </w:rPr>
        <w:t>项目名称：                                                项目编号：</w:t>
      </w:r>
    </w:p>
    <w:tbl>
      <w:tblPr>
        <w:tblStyle w:val="3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2"/>
        <w:gridCol w:w="1362"/>
        <w:gridCol w:w="2095"/>
        <w:gridCol w:w="1991"/>
        <w:gridCol w:w="1866"/>
        <w:gridCol w:w="1592"/>
      </w:tblGrid>
      <w:tr w14:paraId="5FEA6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40" w:hRule="atLeast"/>
        </w:trPr>
        <w:tc>
          <w:tcPr>
            <w:tcW w:w="478" w:type="pct"/>
            <w:tcBorders>
              <w:top w:val="single" w:color="auto" w:sz="4" w:space="0"/>
              <w:left w:val="single" w:color="auto" w:sz="4" w:space="0"/>
              <w:bottom w:val="single" w:color="auto" w:sz="4" w:space="0"/>
              <w:right w:val="single" w:color="auto" w:sz="4" w:space="0"/>
            </w:tcBorders>
            <w:shd w:val="clear" w:color="auto" w:fill="B3B3B3"/>
          </w:tcPr>
          <w:p w14:paraId="040CFF6F">
            <w:pPr>
              <w:spacing w:line="380" w:lineRule="exact"/>
              <w:jc w:val="center"/>
              <w:rPr>
                <w:rFonts w:hint="eastAsia" w:ascii="宋体" w:hAnsi="宋体" w:cs="宋体"/>
                <w:color w:val="auto"/>
                <w:sz w:val="22"/>
              </w:rPr>
            </w:pPr>
          </w:p>
        </w:tc>
        <w:tc>
          <w:tcPr>
            <w:tcW w:w="691" w:type="pct"/>
            <w:tcBorders>
              <w:top w:val="single" w:color="auto" w:sz="4" w:space="0"/>
              <w:left w:val="single" w:color="auto" w:sz="4" w:space="0"/>
              <w:bottom w:val="single" w:color="auto" w:sz="4" w:space="0"/>
              <w:right w:val="single" w:color="auto" w:sz="4" w:space="0"/>
            </w:tcBorders>
            <w:shd w:val="clear" w:color="auto" w:fill="B3B3B3"/>
            <w:vAlign w:val="center"/>
          </w:tcPr>
          <w:p w14:paraId="4C26A91A">
            <w:pPr>
              <w:spacing w:line="380" w:lineRule="exact"/>
              <w:jc w:val="center"/>
              <w:rPr>
                <w:rFonts w:hint="eastAsia" w:ascii="宋体" w:hAnsi="宋体" w:cs="宋体"/>
                <w:b/>
                <w:color w:val="auto"/>
                <w:sz w:val="22"/>
              </w:rPr>
            </w:pPr>
            <w:r>
              <w:rPr>
                <w:rFonts w:hint="eastAsia" w:ascii="宋体" w:hAnsi="宋体" w:cs="宋体"/>
                <w:b/>
                <w:color w:val="auto"/>
                <w:sz w:val="22"/>
              </w:rPr>
              <w:t>序号</w:t>
            </w:r>
          </w:p>
        </w:tc>
        <w:tc>
          <w:tcPr>
            <w:tcW w:w="1063" w:type="pct"/>
            <w:tcBorders>
              <w:top w:val="single" w:color="auto" w:sz="4" w:space="0"/>
              <w:left w:val="single" w:color="auto" w:sz="4" w:space="0"/>
              <w:bottom w:val="single" w:color="auto" w:sz="4" w:space="0"/>
              <w:right w:val="single" w:color="auto" w:sz="4" w:space="0"/>
            </w:tcBorders>
            <w:shd w:val="clear" w:color="auto" w:fill="B3B3B3"/>
            <w:vAlign w:val="center"/>
          </w:tcPr>
          <w:p w14:paraId="0F0206E8">
            <w:pPr>
              <w:spacing w:line="380" w:lineRule="exact"/>
              <w:jc w:val="center"/>
              <w:rPr>
                <w:rFonts w:hint="eastAsia" w:ascii="宋体" w:hAnsi="宋体" w:cs="宋体"/>
                <w:b/>
                <w:color w:val="auto"/>
                <w:sz w:val="22"/>
              </w:rPr>
            </w:pPr>
            <w:r>
              <w:rPr>
                <w:rFonts w:hint="eastAsia" w:ascii="宋体" w:hAnsi="宋体" w:cs="宋体"/>
                <w:b/>
                <w:color w:val="auto"/>
                <w:sz w:val="22"/>
              </w:rPr>
              <w:t>招标文件</w:t>
            </w:r>
          </w:p>
          <w:p w14:paraId="36889225">
            <w:pPr>
              <w:spacing w:line="380" w:lineRule="exact"/>
              <w:jc w:val="center"/>
              <w:rPr>
                <w:rFonts w:hint="eastAsia" w:ascii="宋体" w:hAnsi="宋体" w:cs="宋体"/>
                <w:b/>
                <w:color w:val="auto"/>
                <w:sz w:val="22"/>
              </w:rPr>
            </w:pPr>
            <w:r>
              <w:rPr>
                <w:rFonts w:hint="eastAsia" w:ascii="宋体" w:hAnsi="宋体" w:cs="宋体"/>
                <w:b/>
                <w:color w:val="auto"/>
                <w:sz w:val="22"/>
              </w:rPr>
              <w:t>条目号</w:t>
            </w:r>
          </w:p>
        </w:tc>
        <w:tc>
          <w:tcPr>
            <w:tcW w:w="1010" w:type="pct"/>
            <w:tcBorders>
              <w:top w:val="single" w:color="auto" w:sz="4" w:space="0"/>
              <w:left w:val="single" w:color="auto" w:sz="4" w:space="0"/>
              <w:bottom w:val="single" w:color="auto" w:sz="4" w:space="0"/>
              <w:right w:val="single" w:color="auto" w:sz="4" w:space="0"/>
            </w:tcBorders>
            <w:shd w:val="clear" w:color="auto" w:fill="B3B3B3"/>
            <w:vAlign w:val="center"/>
          </w:tcPr>
          <w:p w14:paraId="4A06AE14">
            <w:pPr>
              <w:spacing w:line="380" w:lineRule="exact"/>
              <w:jc w:val="center"/>
              <w:rPr>
                <w:rFonts w:hint="eastAsia" w:ascii="宋体" w:hAnsi="宋体" w:cs="宋体"/>
                <w:b/>
                <w:color w:val="auto"/>
                <w:sz w:val="22"/>
              </w:rPr>
            </w:pPr>
            <w:r>
              <w:rPr>
                <w:rFonts w:hint="eastAsia" w:ascii="宋体" w:hAnsi="宋体" w:cs="宋体"/>
                <w:b/>
                <w:color w:val="auto"/>
                <w:sz w:val="22"/>
              </w:rPr>
              <w:t>招标文件</w:t>
            </w:r>
          </w:p>
          <w:p w14:paraId="06CC9C40">
            <w:pPr>
              <w:spacing w:line="380" w:lineRule="exact"/>
              <w:jc w:val="center"/>
              <w:rPr>
                <w:rFonts w:hint="eastAsia" w:ascii="宋体" w:hAnsi="宋体" w:cs="宋体"/>
                <w:b/>
                <w:color w:val="auto"/>
                <w:sz w:val="22"/>
              </w:rPr>
            </w:pPr>
            <w:r>
              <w:rPr>
                <w:rFonts w:hint="eastAsia" w:ascii="宋体" w:hAnsi="宋体" w:cs="宋体"/>
                <w:b/>
                <w:color w:val="auto"/>
                <w:sz w:val="22"/>
              </w:rPr>
              <w:t>规范要求</w:t>
            </w:r>
          </w:p>
        </w:tc>
        <w:tc>
          <w:tcPr>
            <w:tcW w:w="947" w:type="pct"/>
            <w:tcBorders>
              <w:top w:val="single" w:color="auto" w:sz="4" w:space="0"/>
              <w:left w:val="single" w:color="auto" w:sz="4" w:space="0"/>
              <w:bottom w:val="single" w:color="auto" w:sz="4" w:space="0"/>
              <w:right w:val="single" w:color="auto" w:sz="4" w:space="0"/>
            </w:tcBorders>
            <w:shd w:val="clear" w:color="auto" w:fill="B3B3B3"/>
            <w:vAlign w:val="center"/>
          </w:tcPr>
          <w:p w14:paraId="6459953B">
            <w:pPr>
              <w:spacing w:line="380" w:lineRule="exact"/>
              <w:jc w:val="center"/>
              <w:rPr>
                <w:rFonts w:hint="eastAsia" w:ascii="宋体" w:hAnsi="宋体" w:cs="宋体"/>
                <w:b/>
                <w:color w:val="auto"/>
                <w:sz w:val="22"/>
              </w:rPr>
            </w:pPr>
            <w:r>
              <w:rPr>
                <w:rFonts w:hint="eastAsia" w:ascii="宋体" w:hAnsi="宋体" w:cs="宋体"/>
                <w:b/>
                <w:color w:val="auto"/>
                <w:sz w:val="22"/>
              </w:rPr>
              <w:t>投标文件</w:t>
            </w:r>
          </w:p>
          <w:p w14:paraId="739E2DC4">
            <w:pPr>
              <w:spacing w:line="380" w:lineRule="exact"/>
              <w:jc w:val="center"/>
              <w:rPr>
                <w:rFonts w:hint="eastAsia" w:ascii="宋体" w:hAnsi="宋体" w:cs="宋体"/>
                <w:b/>
                <w:color w:val="auto"/>
                <w:sz w:val="22"/>
              </w:rPr>
            </w:pPr>
            <w:r>
              <w:rPr>
                <w:rFonts w:hint="eastAsia" w:ascii="宋体" w:hAnsi="宋体" w:cs="宋体"/>
                <w:b/>
                <w:color w:val="auto"/>
                <w:sz w:val="22"/>
              </w:rPr>
              <w:t>对应规范</w:t>
            </w:r>
          </w:p>
        </w:tc>
        <w:tc>
          <w:tcPr>
            <w:tcW w:w="808" w:type="pct"/>
            <w:tcBorders>
              <w:top w:val="single" w:color="auto" w:sz="4" w:space="0"/>
              <w:left w:val="single" w:color="auto" w:sz="4" w:space="0"/>
              <w:bottom w:val="single" w:color="auto" w:sz="4" w:space="0"/>
              <w:right w:val="single" w:color="auto" w:sz="4" w:space="0"/>
            </w:tcBorders>
            <w:shd w:val="clear" w:color="auto" w:fill="B3B3B3"/>
            <w:vAlign w:val="center"/>
          </w:tcPr>
          <w:p w14:paraId="5FE53585">
            <w:pPr>
              <w:spacing w:line="380" w:lineRule="exact"/>
              <w:jc w:val="center"/>
              <w:rPr>
                <w:rFonts w:hint="eastAsia" w:ascii="宋体" w:hAnsi="宋体" w:cs="宋体"/>
                <w:b/>
                <w:color w:val="auto"/>
                <w:sz w:val="22"/>
              </w:rPr>
            </w:pPr>
            <w:r>
              <w:rPr>
                <w:rFonts w:hint="eastAsia" w:ascii="宋体" w:hAnsi="宋体" w:cs="宋体"/>
                <w:b/>
                <w:color w:val="auto"/>
                <w:sz w:val="22"/>
              </w:rPr>
              <w:t>说明</w:t>
            </w:r>
          </w:p>
        </w:tc>
      </w:tr>
      <w:tr w14:paraId="61A34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478" w:type="pct"/>
            <w:vMerge w:val="restart"/>
            <w:tcBorders>
              <w:top w:val="single" w:color="auto" w:sz="4" w:space="0"/>
              <w:left w:val="single" w:color="auto" w:sz="4" w:space="0"/>
              <w:bottom w:val="single" w:color="auto" w:sz="4" w:space="0"/>
              <w:right w:val="single" w:color="auto" w:sz="4" w:space="0"/>
            </w:tcBorders>
            <w:vAlign w:val="center"/>
          </w:tcPr>
          <w:p w14:paraId="14192CC3">
            <w:pPr>
              <w:spacing w:line="380" w:lineRule="exact"/>
              <w:jc w:val="center"/>
              <w:rPr>
                <w:rFonts w:hint="eastAsia" w:ascii="宋体" w:hAnsi="宋体" w:cs="宋体"/>
                <w:b/>
                <w:color w:val="auto"/>
                <w:sz w:val="22"/>
              </w:rPr>
            </w:pPr>
            <w:r>
              <w:rPr>
                <w:rFonts w:hint="eastAsia" w:ascii="宋体" w:hAnsi="宋体" w:cs="宋体"/>
                <w:b/>
                <w:color w:val="auto"/>
                <w:sz w:val="22"/>
              </w:rPr>
              <w:t>商</w:t>
            </w:r>
          </w:p>
          <w:p w14:paraId="25584211">
            <w:pPr>
              <w:spacing w:line="380" w:lineRule="exact"/>
              <w:jc w:val="center"/>
              <w:rPr>
                <w:rFonts w:hint="eastAsia" w:ascii="宋体" w:hAnsi="宋体" w:cs="宋体"/>
                <w:b/>
                <w:color w:val="auto"/>
                <w:sz w:val="22"/>
              </w:rPr>
            </w:pPr>
            <w:r>
              <w:rPr>
                <w:rFonts w:hint="eastAsia" w:ascii="宋体" w:hAnsi="宋体" w:cs="宋体"/>
                <w:b/>
                <w:color w:val="auto"/>
                <w:sz w:val="22"/>
              </w:rPr>
              <w:t>务</w:t>
            </w:r>
          </w:p>
          <w:p w14:paraId="16AC5504">
            <w:pPr>
              <w:spacing w:line="380" w:lineRule="exact"/>
              <w:jc w:val="center"/>
              <w:rPr>
                <w:rFonts w:hint="eastAsia" w:ascii="宋体" w:hAnsi="宋体" w:cs="宋体"/>
                <w:b/>
                <w:color w:val="auto"/>
                <w:sz w:val="22"/>
              </w:rPr>
            </w:pPr>
            <w:r>
              <w:rPr>
                <w:rFonts w:hint="eastAsia" w:ascii="宋体" w:hAnsi="宋体" w:cs="宋体"/>
                <w:b/>
                <w:color w:val="auto"/>
                <w:sz w:val="22"/>
              </w:rPr>
              <w:t>条</w:t>
            </w:r>
          </w:p>
          <w:p w14:paraId="5CDE60B1">
            <w:pPr>
              <w:spacing w:line="380" w:lineRule="exact"/>
              <w:jc w:val="center"/>
              <w:rPr>
                <w:rFonts w:hint="eastAsia" w:ascii="宋体" w:hAnsi="宋体" w:cs="宋体"/>
                <w:b/>
                <w:color w:val="auto"/>
                <w:sz w:val="22"/>
              </w:rPr>
            </w:pPr>
            <w:r>
              <w:rPr>
                <w:rFonts w:hint="eastAsia" w:ascii="宋体" w:hAnsi="宋体" w:cs="宋体"/>
                <w:b/>
                <w:color w:val="auto"/>
                <w:sz w:val="22"/>
              </w:rPr>
              <w:t>款</w:t>
            </w:r>
          </w:p>
        </w:tc>
        <w:tc>
          <w:tcPr>
            <w:tcW w:w="691" w:type="pct"/>
            <w:tcBorders>
              <w:top w:val="single" w:color="auto" w:sz="4" w:space="0"/>
              <w:left w:val="single" w:color="auto" w:sz="4" w:space="0"/>
              <w:bottom w:val="single" w:color="auto" w:sz="4" w:space="0"/>
              <w:right w:val="single" w:color="auto" w:sz="4" w:space="0"/>
            </w:tcBorders>
            <w:vAlign w:val="center"/>
          </w:tcPr>
          <w:p w14:paraId="45D17B49">
            <w:pPr>
              <w:spacing w:line="380" w:lineRule="exact"/>
              <w:jc w:val="center"/>
              <w:rPr>
                <w:rFonts w:hint="eastAsia" w:ascii="宋体" w:hAnsi="宋体" w:cs="宋体"/>
                <w:color w:val="auto"/>
                <w:sz w:val="22"/>
              </w:rPr>
            </w:pPr>
          </w:p>
        </w:tc>
        <w:tc>
          <w:tcPr>
            <w:tcW w:w="1063" w:type="pct"/>
            <w:tcBorders>
              <w:top w:val="single" w:color="auto" w:sz="4" w:space="0"/>
              <w:left w:val="single" w:color="auto" w:sz="4" w:space="0"/>
              <w:bottom w:val="single" w:color="auto" w:sz="4" w:space="0"/>
              <w:right w:val="single" w:color="auto" w:sz="4" w:space="0"/>
            </w:tcBorders>
            <w:vAlign w:val="center"/>
          </w:tcPr>
          <w:p w14:paraId="05A95DD1">
            <w:pPr>
              <w:spacing w:line="380" w:lineRule="exact"/>
              <w:jc w:val="center"/>
              <w:rPr>
                <w:rFonts w:hint="eastAsia" w:ascii="宋体" w:hAnsi="宋体" w:cs="宋体"/>
                <w:color w:val="auto"/>
                <w:sz w:val="22"/>
              </w:rPr>
            </w:pPr>
          </w:p>
        </w:tc>
        <w:tc>
          <w:tcPr>
            <w:tcW w:w="1010" w:type="pct"/>
            <w:tcBorders>
              <w:top w:val="single" w:color="auto" w:sz="4" w:space="0"/>
              <w:left w:val="single" w:color="auto" w:sz="4" w:space="0"/>
              <w:bottom w:val="single" w:color="auto" w:sz="4" w:space="0"/>
              <w:right w:val="single" w:color="auto" w:sz="4" w:space="0"/>
            </w:tcBorders>
            <w:vAlign w:val="center"/>
          </w:tcPr>
          <w:p w14:paraId="796DE40F">
            <w:pPr>
              <w:spacing w:line="380" w:lineRule="exact"/>
              <w:jc w:val="center"/>
              <w:rPr>
                <w:rFonts w:hint="eastAsia" w:ascii="宋体" w:hAnsi="宋体" w:cs="宋体"/>
                <w:color w:val="auto"/>
                <w:sz w:val="22"/>
              </w:rPr>
            </w:pPr>
          </w:p>
        </w:tc>
        <w:tc>
          <w:tcPr>
            <w:tcW w:w="947" w:type="pct"/>
            <w:tcBorders>
              <w:top w:val="single" w:color="auto" w:sz="4" w:space="0"/>
              <w:left w:val="single" w:color="auto" w:sz="4" w:space="0"/>
              <w:bottom w:val="single" w:color="auto" w:sz="4" w:space="0"/>
              <w:right w:val="single" w:color="auto" w:sz="4" w:space="0"/>
            </w:tcBorders>
            <w:vAlign w:val="center"/>
          </w:tcPr>
          <w:p w14:paraId="082A6368">
            <w:pPr>
              <w:spacing w:line="380" w:lineRule="exact"/>
              <w:jc w:val="center"/>
              <w:rPr>
                <w:rFonts w:hint="eastAsia" w:ascii="宋体" w:hAnsi="宋体" w:cs="宋体"/>
                <w:color w:val="auto"/>
                <w:sz w:val="22"/>
              </w:rPr>
            </w:pPr>
          </w:p>
        </w:tc>
        <w:tc>
          <w:tcPr>
            <w:tcW w:w="808" w:type="pct"/>
            <w:tcBorders>
              <w:top w:val="single" w:color="auto" w:sz="4" w:space="0"/>
              <w:left w:val="single" w:color="auto" w:sz="4" w:space="0"/>
              <w:bottom w:val="single" w:color="auto" w:sz="4" w:space="0"/>
              <w:right w:val="single" w:color="auto" w:sz="4" w:space="0"/>
            </w:tcBorders>
            <w:vAlign w:val="center"/>
          </w:tcPr>
          <w:p w14:paraId="703DC333">
            <w:pPr>
              <w:spacing w:line="380" w:lineRule="exact"/>
              <w:jc w:val="center"/>
              <w:rPr>
                <w:rFonts w:hint="eastAsia" w:ascii="宋体" w:hAnsi="宋体" w:cs="宋体"/>
                <w:color w:val="auto"/>
                <w:sz w:val="22"/>
              </w:rPr>
            </w:pPr>
          </w:p>
        </w:tc>
      </w:tr>
      <w:tr w14:paraId="1A174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478" w:type="pct"/>
            <w:vMerge w:val="continue"/>
            <w:tcBorders>
              <w:top w:val="single" w:color="auto" w:sz="4" w:space="0"/>
              <w:left w:val="single" w:color="auto" w:sz="4" w:space="0"/>
              <w:bottom w:val="single" w:color="auto" w:sz="4" w:space="0"/>
              <w:right w:val="single" w:color="auto" w:sz="4" w:space="0"/>
            </w:tcBorders>
            <w:vAlign w:val="center"/>
          </w:tcPr>
          <w:p w14:paraId="5581475B">
            <w:pPr>
              <w:widowControl/>
              <w:jc w:val="left"/>
              <w:rPr>
                <w:rFonts w:hint="eastAsia" w:ascii="宋体" w:hAnsi="宋体" w:cs="宋体"/>
                <w:b/>
                <w:color w:val="auto"/>
                <w:sz w:val="22"/>
              </w:rPr>
            </w:pPr>
          </w:p>
        </w:tc>
        <w:tc>
          <w:tcPr>
            <w:tcW w:w="691" w:type="pct"/>
            <w:tcBorders>
              <w:top w:val="single" w:color="auto" w:sz="4" w:space="0"/>
              <w:left w:val="single" w:color="auto" w:sz="4" w:space="0"/>
              <w:bottom w:val="single" w:color="auto" w:sz="4" w:space="0"/>
              <w:right w:val="single" w:color="auto" w:sz="4" w:space="0"/>
            </w:tcBorders>
            <w:vAlign w:val="center"/>
          </w:tcPr>
          <w:p w14:paraId="24C8E7EE">
            <w:pPr>
              <w:spacing w:line="380" w:lineRule="exact"/>
              <w:jc w:val="center"/>
              <w:rPr>
                <w:rFonts w:hint="eastAsia" w:ascii="宋体" w:hAnsi="宋体" w:cs="宋体"/>
                <w:color w:val="auto"/>
                <w:sz w:val="22"/>
              </w:rPr>
            </w:pPr>
          </w:p>
        </w:tc>
        <w:tc>
          <w:tcPr>
            <w:tcW w:w="1063" w:type="pct"/>
            <w:tcBorders>
              <w:top w:val="single" w:color="auto" w:sz="4" w:space="0"/>
              <w:left w:val="single" w:color="auto" w:sz="4" w:space="0"/>
              <w:bottom w:val="single" w:color="auto" w:sz="4" w:space="0"/>
              <w:right w:val="single" w:color="auto" w:sz="4" w:space="0"/>
            </w:tcBorders>
            <w:vAlign w:val="center"/>
          </w:tcPr>
          <w:p w14:paraId="5006ACD6">
            <w:pPr>
              <w:spacing w:line="380" w:lineRule="exact"/>
              <w:jc w:val="center"/>
              <w:rPr>
                <w:rFonts w:hint="eastAsia" w:ascii="宋体" w:hAnsi="宋体" w:cs="宋体"/>
                <w:color w:val="auto"/>
                <w:sz w:val="22"/>
              </w:rPr>
            </w:pPr>
          </w:p>
        </w:tc>
        <w:tc>
          <w:tcPr>
            <w:tcW w:w="1010" w:type="pct"/>
            <w:tcBorders>
              <w:top w:val="single" w:color="auto" w:sz="4" w:space="0"/>
              <w:left w:val="single" w:color="auto" w:sz="4" w:space="0"/>
              <w:bottom w:val="single" w:color="auto" w:sz="4" w:space="0"/>
              <w:right w:val="single" w:color="auto" w:sz="4" w:space="0"/>
            </w:tcBorders>
            <w:vAlign w:val="center"/>
          </w:tcPr>
          <w:p w14:paraId="03A238B1">
            <w:pPr>
              <w:spacing w:line="380" w:lineRule="exact"/>
              <w:jc w:val="center"/>
              <w:rPr>
                <w:rFonts w:hint="eastAsia" w:ascii="宋体" w:hAnsi="宋体" w:cs="宋体"/>
                <w:color w:val="auto"/>
                <w:sz w:val="22"/>
              </w:rPr>
            </w:pPr>
          </w:p>
        </w:tc>
        <w:tc>
          <w:tcPr>
            <w:tcW w:w="947" w:type="pct"/>
            <w:tcBorders>
              <w:top w:val="single" w:color="auto" w:sz="4" w:space="0"/>
              <w:left w:val="single" w:color="auto" w:sz="4" w:space="0"/>
              <w:bottom w:val="single" w:color="auto" w:sz="4" w:space="0"/>
              <w:right w:val="single" w:color="auto" w:sz="4" w:space="0"/>
            </w:tcBorders>
            <w:vAlign w:val="center"/>
          </w:tcPr>
          <w:p w14:paraId="30620B68">
            <w:pPr>
              <w:spacing w:line="380" w:lineRule="exact"/>
              <w:jc w:val="center"/>
              <w:rPr>
                <w:rFonts w:hint="eastAsia" w:ascii="宋体" w:hAnsi="宋体" w:cs="宋体"/>
                <w:color w:val="auto"/>
                <w:sz w:val="22"/>
              </w:rPr>
            </w:pPr>
          </w:p>
        </w:tc>
        <w:tc>
          <w:tcPr>
            <w:tcW w:w="808" w:type="pct"/>
            <w:tcBorders>
              <w:top w:val="single" w:color="auto" w:sz="4" w:space="0"/>
              <w:left w:val="single" w:color="auto" w:sz="4" w:space="0"/>
              <w:bottom w:val="single" w:color="auto" w:sz="4" w:space="0"/>
              <w:right w:val="single" w:color="auto" w:sz="4" w:space="0"/>
            </w:tcBorders>
            <w:vAlign w:val="center"/>
          </w:tcPr>
          <w:p w14:paraId="375EF50C">
            <w:pPr>
              <w:spacing w:line="380" w:lineRule="exact"/>
              <w:jc w:val="center"/>
              <w:rPr>
                <w:rFonts w:hint="eastAsia" w:ascii="宋体" w:hAnsi="宋体" w:cs="宋体"/>
                <w:color w:val="auto"/>
                <w:sz w:val="22"/>
              </w:rPr>
            </w:pPr>
          </w:p>
        </w:tc>
      </w:tr>
      <w:tr w14:paraId="1A6D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478" w:type="pct"/>
            <w:vMerge w:val="continue"/>
            <w:tcBorders>
              <w:top w:val="single" w:color="auto" w:sz="4" w:space="0"/>
              <w:left w:val="single" w:color="auto" w:sz="4" w:space="0"/>
              <w:bottom w:val="single" w:color="auto" w:sz="4" w:space="0"/>
              <w:right w:val="single" w:color="auto" w:sz="4" w:space="0"/>
            </w:tcBorders>
            <w:vAlign w:val="center"/>
          </w:tcPr>
          <w:p w14:paraId="3E7F5E0D">
            <w:pPr>
              <w:widowControl/>
              <w:jc w:val="left"/>
              <w:rPr>
                <w:rFonts w:hint="eastAsia" w:ascii="宋体" w:hAnsi="宋体" w:cs="宋体"/>
                <w:b/>
                <w:color w:val="auto"/>
                <w:sz w:val="22"/>
              </w:rPr>
            </w:pPr>
          </w:p>
        </w:tc>
        <w:tc>
          <w:tcPr>
            <w:tcW w:w="691" w:type="pct"/>
            <w:tcBorders>
              <w:top w:val="single" w:color="auto" w:sz="4" w:space="0"/>
              <w:left w:val="single" w:color="auto" w:sz="4" w:space="0"/>
              <w:bottom w:val="single" w:color="auto" w:sz="4" w:space="0"/>
              <w:right w:val="single" w:color="auto" w:sz="4" w:space="0"/>
            </w:tcBorders>
            <w:vAlign w:val="center"/>
          </w:tcPr>
          <w:p w14:paraId="4BC7C50B">
            <w:pPr>
              <w:spacing w:line="380" w:lineRule="exact"/>
              <w:jc w:val="center"/>
              <w:rPr>
                <w:rFonts w:hint="eastAsia" w:ascii="宋体" w:hAnsi="宋体" w:cs="宋体"/>
                <w:color w:val="auto"/>
                <w:sz w:val="22"/>
              </w:rPr>
            </w:pPr>
          </w:p>
        </w:tc>
        <w:tc>
          <w:tcPr>
            <w:tcW w:w="1063" w:type="pct"/>
            <w:tcBorders>
              <w:top w:val="single" w:color="auto" w:sz="4" w:space="0"/>
              <w:left w:val="single" w:color="auto" w:sz="4" w:space="0"/>
              <w:bottom w:val="single" w:color="auto" w:sz="4" w:space="0"/>
              <w:right w:val="single" w:color="auto" w:sz="4" w:space="0"/>
            </w:tcBorders>
            <w:vAlign w:val="center"/>
          </w:tcPr>
          <w:p w14:paraId="794B5012">
            <w:pPr>
              <w:spacing w:line="380" w:lineRule="exact"/>
              <w:jc w:val="center"/>
              <w:rPr>
                <w:rFonts w:hint="eastAsia" w:ascii="宋体" w:hAnsi="宋体" w:cs="宋体"/>
                <w:color w:val="auto"/>
                <w:sz w:val="22"/>
              </w:rPr>
            </w:pPr>
          </w:p>
        </w:tc>
        <w:tc>
          <w:tcPr>
            <w:tcW w:w="1010" w:type="pct"/>
            <w:tcBorders>
              <w:top w:val="single" w:color="auto" w:sz="4" w:space="0"/>
              <w:left w:val="single" w:color="auto" w:sz="4" w:space="0"/>
              <w:bottom w:val="single" w:color="auto" w:sz="4" w:space="0"/>
              <w:right w:val="single" w:color="auto" w:sz="4" w:space="0"/>
            </w:tcBorders>
            <w:vAlign w:val="center"/>
          </w:tcPr>
          <w:p w14:paraId="07F816D5">
            <w:pPr>
              <w:spacing w:line="380" w:lineRule="exact"/>
              <w:jc w:val="center"/>
              <w:rPr>
                <w:rFonts w:hint="eastAsia" w:ascii="宋体" w:hAnsi="宋体" w:cs="宋体"/>
                <w:color w:val="auto"/>
                <w:sz w:val="22"/>
              </w:rPr>
            </w:pPr>
          </w:p>
        </w:tc>
        <w:tc>
          <w:tcPr>
            <w:tcW w:w="947" w:type="pct"/>
            <w:tcBorders>
              <w:top w:val="single" w:color="auto" w:sz="4" w:space="0"/>
              <w:left w:val="single" w:color="auto" w:sz="4" w:space="0"/>
              <w:bottom w:val="single" w:color="auto" w:sz="4" w:space="0"/>
              <w:right w:val="single" w:color="auto" w:sz="4" w:space="0"/>
            </w:tcBorders>
            <w:vAlign w:val="center"/>
          </w:tcPr>
          <w:p w14:paraId="4A39DD9B">
            <w:pPr>
              <w:spacing w:line="380" w:lineRule="exact"/>
              <w:jc w:val="center"/>
              <w:rPr>
                <w:rFonts w:hint="eastAsia" w:ascii="宋体" w:hAnsi="宋体" w:cs="宋体"/>
                <w:color w:val="auto"/>
                <w:sz w:val="22"/>
              </w:rPr>
            </w:pPr>
          </w:p>
        </w:tc>
        <w:tc>
          <w:tcPr>
            <w:tcW w:w="808" w:type="pct"/>
            <w:tcBorders>
              <w:top w:val="single" w:color="auto" w:sz="4" w:space="0"/>
              <w:left w:val="single" w:color="auto" w:sz="4" w:space="0"/>
              <w:bottom w:val="single" w:color="auto" w:sz="4" w:space="0"/>
              <w:right w:val="single" w:color="auto" w:sz="4" w:space="0"/>
            </w:tcBorders>
            <w:vAlign w:val="center"/>
          </w:tcPr>
          <w:p w14:paraId="03EA5941">
            <w:pPr>
              <w:spacing w:line="380" w:lineRule="exact"/>
              <w:jc w:val="center"/>
              <w:rPr>
                <w:rFonts w:hint="eastAsia" w:ascii="宋体" w:hAnsi="宋体" w:cs="宋体"/>
                <w:color w:val="auto"/>
                <w:sz w:val="22"/>
              </w:rPr>
            </w:pPr>
          </w:p>
        </w:tc>
      </w:tr>
      <w:tr w14:paraId="4AA93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478" w:type="pct"/>
            <w:vMerge w:val="continue"/>
            <w:tcBorders>
              <w:top w:val="single" w:color="auto" w:sz="4" w:space="0"/>
              <w:left w:val="single" w:color="auto" w:sz="4" w:space="0"/>
              <w:bottom w:val="single" w:color="auto" w:sz="4" w:space="0"/>
              <w:right w:val="single" w:color="auto" w:sz="4" w:space="0"/>
            </w:tcBorders>
            <w:vAlign w:val="center"/>
          </w:tcPr>
          <w:p w14:paraId="3F79715E">
            <w:pPr>
              <w:widowControl/>
              <w:jc w:val="left"/>
              <w:rPr>
                <w:rFonts w:hint="eastAsia" w:ascii="宋体" w:hAnsi="宋体" w:cs="宋体"/>
                <w:b/>
                <w:color w:val="auto"/>
                <w:sz w:val="22"/>
              </w:rPr>
            </w:pPr>
          </w:p>
        </w:tc>
        <w:tc>
          <w:tcPr>
            <w:tcW w:w="691" w:type="pct"/>
            <w:tcBorders>
              <w:top w:val="single" w:color="auto" w:sz="4" w:space="0"/>
              <w:left w:val="single" w:color="auto" w:sz="4" w:space="0"/>
              <w:bottom w:val="single" w:color="auto" w:sz="4" w:space="0"/>
              <w:right w:val="single" w:color="auto" w:sz="4" w:space="0"/>
            </w:tcBorders>
            <w:vAlign w:val="center"/>
          </w:tcPr>
          <w:p w14:paraId="37AD8727">
            <w:pPr>
              <w:spacing w:line="380" w:lineRule="exact"/>
              <w:jc w:val="center"/>
              <w:rPr>
                <w:rFonts w:hint="eastAsia" w:ascii="宋体" w:hAnsi="宋体" w:cs="宋体"/>
                <w:color w:val="auto"/>
                <w:sz w:val="22"/>
              </w:rPr>
            </w:pPr>
          </w:p>
        </w:tc>
        <w:tc>
          <w:tcPr>
            <w:tcW w:w="1063" w:type="pct"/>
            <w:tcBorders>
              <w:top w:val="single" w:color="auto" w:sz="4" w:space="0"/>
              <w:left w:val="single" w:color="auto" w:sz="4" w:space="0"/>
              <w:bottom w:val="single" w:color="auto" w:sz="4" w:space="0"/>
              <w:right w:val="single" w:color="auto" w:sz="4" w:space="0"/>
            </w:tcBorders>
            <w:vAlign w:val="center"/>
          </w:tcPr>
          <w:p w14:paraId="45B6DFCE">
            <w:pPr>
              <w:spacing w:line="380" w:lineRule="exact"/>
              <w:jc w:val="center"/>
              <w:rPr>
                <w:rFonts w:hint="eastAsia" w:ascii="宋体" w:hAnsi="宋体" w:cs="宋体"/>
                <w:color w:val="auto"/>
                <w:sz w:val="22"/>
              </w:rPr>
            </w:pPr>
          </w:p>
        </w:tc>
        <w:tc>
          <w:tcPr>
            <w:tcW w:w="1010" w:type="pct"/>
            <w:tcBorders>
              <w:top w:val="single" w:color="auto" w:sz="4" w:space="0"/>
              <w:left w:val="single" w:color="auto" w:sz="4" w:space="0"/>
              <w:bottom w:val="single" w:color="auto" w:sz="4" w:space="0"/>
              <w:right w:val="single" w:color="auto" w:sz="4" w:space="0"/>
            </w:tcBorders>
            <w:vAlign w:val="center"/>
          </w:tcPr>
          <w:p w14:paraId="2BAFB882">
            <w:pPr>
              <w:spacing w:line="380" w:lineRule="exact"/>
              <w:jc w:val="center"/>
              <w:rPr>
                <w:rFonts w:hint="eastAsia" w:ascii="宋体" w:hAnsi="宋体" w:cs="宋体"/>
                <w:color w:val="auto"/>
                <w:sz w:val="22"/>
              </w:rPr>
            </w:pPr>
          </w:p>
        </w:tc>
        <w:tc>
          <w:tcPr>
            <w:tcW w:w="947" w:type="pct"/>
            <w:tcBorders>
              <w:top w:val="single" w:color="auto" w:sz="4" w:space="0"/>
              <w:left w:val="single" w:color="auto" w:sz="4" w:space="0"/>
              <w:bottom w:val="single" w:color="auto" w:sz="4" w:space="0"/>
              <w:right w:val="single" w:color="auto" w:sz="4" w:space="0"/>
            </w:tcBorders>
            <w:vAlign w:val="center"/>
          </w:tcPr>
          <w:p w14:paraId="54D63C27">
            <w:pPr>
              <w:spacing w:line="380" w:lineRule="exact"/>
              <w:jc w:val="center"/>
              <w:rPr>
                <w:rFonts w:hint="eastAsia" w:ascii="宋体" w:hAnsi="宋体" w:cs="宋体"/>
                <w:color w:val="auto"/>
                <w:sz w:val="22"/>
              </w:rPr>
            </w:pPr>
          </w:p>
        </w:tc>
        <w:tc>
          <w:tcPr>
            <w:tcW w:w="808" w:type="pct"/>
            <w:tcBorders>
              <w:top w:val="single" w:color="auto" w:sz="4" w:space="0"/>
              <w:left w:val="single" w:color="auto" w:sz="4" w:space="0"/>
              <w:bottom w:val="single" w:color="auto" w:sz="4" w:space="0"/>
              <w:right w:val="single" w:color="auto" w:sz="4" w:space="0"/>
            </w:tcBorders>
            <w:vAlign w:val="center"/>
          </w:tcPr>
          <w:p w14:paraId="17A1D6E0">
            <w:pPr>
              <w:spacing w:line="380" w:lineRule="exact"/>
              <w:jc w:val="center"/>
              <w:rPr>
                <w:rFonts w:hint="eastAsia" w:ascii="宋体" w:hAnsi="宋体" w:cs="宋体"/>
                <w:color w:val="auto"/>
                <w:sz w:val="22"/>
              </w:rPr>
            </w:pPr>
          </w:p>
        </w:tc>
      </w:tr>
      <w:tr w14:paraId="651F8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478" w:type="pct"/>
            <w:vMerge w:val="continue"/>
            <w:tcBorders>
              <w:top w:val="single" w:color="auto" w:sz="4" w:space="0"/>
              <w:left w:val="single" w:color="auto" w:sz="4" w:space="0"/>
              <w:bottom w:val="single" w:color="auto" w:sz="4" w:space="0"/>
              <w:right w:val="single" w:color="auto" w:sz="4" w:space="0"/>
            </w:tcBorders>
            <w:vAlign w:val="center"/>
          </w:tcPr>
          <w:p w14:paraId="7BE21EB0">
            <w:pPr>
              <w:widowControl/>
              <w:jc w:val="left"/>
              <w:rPr>
                <w:rFonts w:hint="eastAsia" w:ascii="宋体" w:hAnsi="宋体" w:cs="宋体"/>
                <w:b/>
                <w:color w:val="auto"/>
                <w:sz w:val="22"/>
              </w:rPr>
            </w:pPr>
          </w:p>
        </w:tc>
        <w:tc>
          <w:tcPr>
            <w:tcW w:w="691" w:type="pct"/>
            <w:tcBorders>
              <w:top w:val="single" w:color="auto" w:sz="4" w:space="0"/>
              <w:left w:val="single" w:color="auto" w:sz="4" w:space="0"/>
              <w:bottom w:val="single" w:color="auto" w:sz="4" w:space="0"/>
              <w:right w:val="single" w:color="auto" w:sz="4" w:space="0"/>
            </w:tcBorders>
            <w:vAlign w:val="center"/>
          </w:tcPr>
          <w:p w14:paraId="2F1A4B3E">
            <w:pPr>
              <w:spacing w:line="380" w:lineRule="exact"/>
              <w:jc w:val="center"/>
              <w:rPr>
                <w:rFonts w:hint="eastAsia" w:ascii="宋体" w:hAnsi="宋体" w:cs="宋体"/>
                <w:color w:val="auto"/>
                <w:sz w:val="22"/>
              </w:rPr>
            </w:pPr>
          </w:p>
        </w:tc>
        <w:tc>
          <w:tcPr>
            <w:tcW w:w="1063" w:type="pct"/>
            <w:tcBorders>
              <w:top w:val="single" w:color="auto" w:sz="4" w:space="0"/>
              <w:left w:val="single" w:color="auto" w:sz="4" w:space="0"/>
              <w:bottom w:val="single" w:color="auto" w:sz="4" w:space="0"/>
              <w:right w:val="single" w:color="auto" w:sz="4" w:space="0"/>
            </w:tcBorders>
            <w:vAlign w:val="center"/>
          </w:tcPr>
          <w:p w14:paraId="6A771321">
            <w:pPr>
              <w:spacing w:line="380" w:lineRule="exact"/>
              <w:jc w:val="center"/>
              <w:rPr>
                <w:rFonts w:hint="eastAsia" w:ascii="宋体" w:hAnsi="宋体" w:cs="宋体"/>
                <w:color w:val="auto"/>
                <w:sz w:val="22"/>
              </w:rPr>
            </w:pPr>
          </w:p>
        </w:tc>
        <w:tc>
          <w:tcPr>
            <w:tcW w:w="1010" w:type="pct"/>
            <w:tcBorders>
              <w:top w:val="single" w:color="auto" w:sz="4" w:space="0"/>
              <w:left w:val="single" w:color="auto" w:sz="4" w:space="0"/>
              <w:bottom w:val="single" w:color="auto" w:sz="4" w:space="0"/>
              <w:right w:val="single" w:color="auto" w:sz="4" w:space="0"/>
            </w:tcBorders>
            <w:vAlign w:val="center"/>
          </w:tcPr>
          <w:p w14:paraId="730E3C76">
            <w:pPr>
              <w:spacing w:line="380" w:lineRule="exact"/>
              <w:jc w:val="center"/>
              <w:rPr>
                <w:rFonts w:hint="eastAsia" w:ascii="宋体" w:hAnsi="宋体" w:cs="宋体"/>
                <w:color w:val="auto"/>
                <w:sz w:val="22"/>
              </w:rPr>
            </w:pPr>
          </w:p>
        </w:tc>
        <w:tc>
          <w:tcPr>
            <w:tcW w:w="947" w:type="pct"/>
            <w:tcBorders>
              <w:top w:val="single" w:color="auto" w:sz="4" w:space="0"/>
              <w:left w:val="single" w:color="auto" w:sz="4" w:space="0"/>
              <w:bottom w:val="single" w:color="auto" w:sz="4" w:space="0"/>
              <w:right w:val="single" w:color="auto" w:sz="4" w:space="0"/>
            </w:tcBorders>
            <w:vAlign w:val="center"/>
          </w:tcPr>
          <w:p w14:paraId="2409B551">
            <w:pPr>
              <w:spacing w:line="380" w:lineRule="exact"/>
              <w:jc w:val="center"/>
              <w:rPr>
                <w:rFonts w:hint="eastAsia" w:ascii="宋体" w:hAnsi="宋体" w:cs="宋体"/>
                <w:color w:val="auto"/>
                <w:sz w:val="22"/>
              </w:rPr>
            </w:pPr>
          </w:p>
        </w:tc>
        <w:tc>
          <w:tcPr>
            <w:tcW w:w="808" w:type="pct"/>
            <w:tcBorders>
              <w:top w:val="single" w:color="auto" w:sz="4" w:space="0"/>
              <w:left w:val="single" w:color="auto" w:sz="4" w:space="0"/>
              <w:bottom w:val="single" w:color="auto" w:sz="4" w:space="0"/>
              <w:right w:val="single" w:color="auto" w:sz="4" w:space="0"/>
            </w:tcBorders>
            <w:vAlign w:val="center"/>
          </w:tcPr>
          <w:p w14:paraId="4F0B1FB3">
            <w:pPr>
              <w:spacing w:line="380" w:lineRule="exact"/>
              <w:jc w:val="center"/>
              <w:rPr>
                <w:rFonts w:hint="eastAsia" w:ascii="宋体" w:hAnsi="宋体" w:cs="宋体"/>
                <w:color w:val="auto"/>
                <w:sz w:val="22"/>
              </w:rPr>
            </w:pPr>
          </w:p>
        </w:tc>
      </w:tr>
      <w:tr w14:paraId="3660E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trPr>
        <w:tc>
          <w:tcPr>
            <w:tcW w:w="478" w:type="pct"/>
            <w:vMerge w:val="restart"/>
            <w:tcBorders>
              <w:top w:val="single" w:color="auto" w:sz="4" w:space="0"/>
              <w:left w:val="single" w:color="auto" w:sz="4" w:space="0"/>
              <w:bottom w:val="single" w:color="auto" w:sz="4" w:space="0"/>
              <w:right w:val="single" w:color="auto" w:sz="4" w:space="0"/>
            </w:tcBorders>
            <w:vAlign w:val="center"/>
          </w:tcPr>
          <w:p w14:paraId="303568FD">
            <w:pPr>
              <w:spacing w:line="380" w:lineRule="exact"/>
              <w:jc w:val="center"/>
              <w:rPr>
                <w:rFonts w:hint="eastAsia" w:ascii="宋体" w:hAnsi="宋体" w:cs="宋体"/>
                <w:b/>
                <w:color w:val="auto"/>
                <w:sz w:val="22"/>
              </w:rPr>
            </w:pPr>
            <w:r>
              <w:rPr>
                <w:rFonts w:hint="eastAsia" w:ascii="宋体" w:hAnsi="宋体" w:cs="宋体"/>
                <w:b/>
                <w:color w:val="auto"/>
                <w:sz w:val="22"/>
              </w:rPr>
              <w:t>技</w:t>
            </w:r>
          </w:p>
          <w:p w14:paraId="314ED57C">
            <w:pPr>
              <w:spacing w:line="380" w:lineRule="exact"/>
              <w:jc w:val="center"/>
              <w:rPr>
                <w:rFonts w:hint="eastAsia" w:ascii="宋体" w:hAnsi="宋体" w:cs="宋体"/>
                <w:b/>
                <w:color w:val="auto"/>
                <w:sz w:val="22"/>
              </w:rPr>
            </w:pPr>
            <w:r>
              <w:rPr>
                <w:rFonts w:hint="eastAsia" w:ascii="宋体" w:hAnsi="宋体" w:cs="宋体"/>
                <w:b/>
                <w:color w:val="auto"/>
                <w:sz w:val="22"/>
              </w:rPr>
              <w:t>术</w:t>
            </w:r>
          </w:p>
          <w:p w14:paraId="45AD71D2">
            <w:pPr>
              <w:spacing w:line="380" w:lineRule="exact"/>
              <w:jc w:val="center"/>
              <w:rPr>
                <w:rFonts w:hint="eastAsia" w:ascii="宋体" w:hAnsi="宋体" w:cs="宋体"/>
                <w:b/>
                <w:color w:val="auto"/>
                <w:sz w:val="22"/>
              </w:rPr>
            </w:pPr>
            <w:r>
              <w:rPr>
                <w:rFonts w:hint="eastAsia" w:ascii="宋体" w:hAnsi="宋体" w:cs="宋体"/>
                <w:b/>
                <w:color w:val="auto"/>
                <w:sz w:val="22"/>
              </w:rPr>
              <w:t>规</w:t>
            </w:r>
          </w:p>
          <w:p w14:paraId="738FD4B1">
            <w:pPr>
              <w:spacing w:line="380" w:lineRule="exact"/>
              <w:jc w:val="center"/>
              <w:rPr>
                <w:rFonts w:hint="eastAsia" w:ascii="宋体" w:hAnsi="宋体" w:cs="宋体"/>
                <w:b/>
                <w:color w:val="auto"/>
                <w:sz w:val="22"/>
              </w:rPr>
            </w:pPr>
            <w:r>
              <w:rPr>
                <w:rFonts w:hint="eastAsia" w:ascii="宋体" w:hAnsi="宋体" w:cs="宋体"/>
                <w:b/>
                <w:color w:val="auto"/>
                <w:sz w:val="22"/>
              </w:rPr>
              <w:t>格</w:t>
            </w:r>
          </w:p>
        </w:tc>
        <w:tc>
          <w:tcPr>
            <w:tcW w:w="691" w:type="pct"/>
            <w:tcBorders>
              <w:top w:val="single" w:color="auto" w:sz="4" w:space="0"/>
              <w:left w:val="single" w:color="auto" w:sz="4" w:space="0"/>
              <w:bottom w:val="single" w:color="auto" w:sz="4" w:space="0"/>
              <w:right w:val="single" w:color="auto" w:sz="4" w:space="0"/>
            </w:tcBorders>
            <w:vAlign w:val="center"/>
          </w:tcPr>
          <w:p w14:paraId="6D9066EE">
            <w:pPr>
              <w:spacing w:line="380" w:lineRule="exact"/>
              <w:jc w:val="center"/>
              <w:rPr>
                <w:rFonts w:hint="eastAsia" w:ascii="宋体" w:hAnsi="宋体" w:cs="宋体"/>
                <w:color w:val="auto"/>
                <w:sz w:val="22"/>
              </w:rPr>
            </w:pPr>
          </w:p>
          <w:p w14:paraId="5F809CCA">
            <w:pPr>
              <w:spacing w:line="380" w:lineRule="exact"/>
              <w:jc w:val="center"/>
              <w:rPr>
                <w:rFonts w:hint="eastAsia" w:ascii="宋体" w:hAnsi="宋体" w:cs="宋体"/>
                <w:color w:val="auto"/>
                <w:sz w:val="22"/>
              </w:rPr>
            </w:pPr>
          </w:p>
        </w:tc>
        <w:tc>
          <w:tcPr>
            <w:tcW w:w="1063" w:type="pct"/>
            <w:tcBorders>
              <w:top w:val="single" w:color="auto" w:sz="4" w:space="0"/>
              <w:left w:val="single" w:color="auto" w:sz="4" w:space="0"/>
              <w:bottom w:val="single" w:color="auto" w:sz="4" w:space="0"/>
              <w:right w:val="single" w:color="auto" w:sz="4" w:space="0"/>
            </w:tcBorders>
            <w:vAlign w:val="center"/>
          </w:tcPr>
          <w:p w14:paraId="68ABD19C">
            <w:pPr>
              <w:spacing w:line="380" w:lineRule="exact"/>
              <w:jc w:val="center"/>
              <w:rPr>
                <w:rFonts w:hint="eastAsia" w:ascii="宋体" w:hAnsi="宋体" w:cs="宋体"/>
                <w:color w:val="auto"/>
                <w:sz w:val="22"/>
              </w:rPr>
            </w:pPr>
          </w:p>
        </w:tc>
        <w:tc>
          <w:tcPr>
            <w:tcW w:w="1010" w:type="pct"/>
            <w:tcBorders>
              <w:top w:val="single" w:color="auto" w:sz="4" w:space="0"/>
              <w:left w:val="single" w:color="auto" w:sz="4" w:space="0"/>
              <w:bottom w:val="single" w:color="auto" w:sz="4" w:space="0"/>
              <w:right w:val="single" w:color="auto" w:sz="4" w:space="0"/>
            </w:tcBorders>
            <w:vAlign w:val="center"/>
          </w:tcPr>
          <w:p w14:paraId="6A4D7B06">
            <w:pPr>
              <w:spacing w:line="380" w:lineRule="exact"/>
              <w:jc w:val="center"/>
              <w:rPr>
                <w:rFonts w:hint="eastAsia" w:ascii="宋体" w:hAnsi="宋体" w:cs="宋体"/>
                <w:color w:val="auto"/>
                <w:sz w:val="22"/>
              </w:rPr>
            </w:pPr>
          </w:p>
        </w:tc>
        <w:tc>
          <w:tcPr>
            <w:tcW w:w="947" w:type="pct"/>
            <w:tcBorders>
              <w:top w:val="single" w:color="auto" w:sz="4" w:space="0"/>
              <w:left w:val="single" w:color="auto" w:sz="4" w:space="0"/>
              <w:bottom w:val="single" w:color="auto" w:sz="4" w:space="0"/>
              <w:right w:val="single" w:color="auto" w:sz="4" w:space="0"/>
            </w:tcBorders>
            <w:vAlign w:val="center"/>
          </w:tcPr>
          <w:p w14:paraId="35AAF403">
            <w:pPr>
              <w:spacing w:line="380" w:lineRule="exact"/>
              <w:jc w:val="center"/>
              <w:rPr>
                <w:rFonts w:hint="eastAsia" w:ascii="宋体" w:hAnsi="宋体" w:cs="宋体"/>
                <w:color w:val="auto"/>
                <w:sz w:val="22"/>
              </w:rPr>
            </w:pPr>
          </w:p>
        </w:tc>
        <w:tc>
          <w:tcPr>
            <w:tcW w:w="808" w:type="pct"/>
            <w:tcBorders>
              <w:top w:val="single" w:color="auto" w:sz="4" w:space="0"/>
              <w:left w:val="single" w:color="auto" w:sz="4" w:space="0"/>
              <w:bottom w:val="single" w:color="auto" w:sz="4" w:space="0"/>
              <w:right w:val="single" w:color="auto" w:sz="4" w:space="0"/>
            </w:tcBorders>
            <w:vAlign w:val="center"/>
          </w:tcPr>
          <w:p w14:paraId="5C6EECA9">
            <w:pPr>
              <w:spacing w:line="380" w:lineRule="exact"/>
              <w:jc w:val="center"/>
              <w:rPr>
                <w:rFonts w:hint="eastAsia" w:ascii="宋体" w:hAnsi="宋体" w:cs="宋体"/>
                <w:color w:val="auto"/>
                <w:sz w:val="22"/>
              </w:rPr>
            </w:pPr>
          </w:p>
        </w:tc>
      </w:tr>
      <w:tr w14:paraId="29919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478" w:type="pct"/>
            <w:vMerge w:val="continue"/>
            <w:tcBorders>
              <w:top w:val="single" w:color="auto" w:sz="4" w:space="0"/>
              <w:left w:val="single" w:color="auto" w:sz="4" w:space="0"/>
              <w:bottom w:val="single" w:color="auto" w:sz="4" w:space="0"/>
              <w:right w:val="single" w:color="auto" w:sz="4" w:space="0"/>
            </w:tcBorders>
            <w:vAlign w:val="center"/>
          </w:tcPr>
          <w:p w14:paraId="69D377F5">
            <w:pPr>
              <w:widowControl/>
              <w:jc w:val="left"/>
              <w:rPr>
                <w:rFonts w:hint="eastAsia" w:ascii="宋体" w:hAnsi="宋体" w:cs="宋体"/>
                <w:b/>
                <w:color w:val="auto"/>
                <w:sz w:val="22"/>
              </w:rPr>
            </w:pPr>
          </w:p>
        </w:tc>
        <w:tc>
          <w:tcPr>
            <w:tcW w:w="691" w:type="pct"/>
            <w:tcBorders>
              <w:top w:val="single" w:color="auto" w:sz="4" w:space="0"/>
              <w:left w:val="single" w:color="auto" w:sz="4" w:space="0"/>
              <w:bottom w:val="single" w:color="auto" w:sz="4" w:space="0"/>
              <w:right w:val="single" w:color="auto" w:sz="4" w:space="0"/>
            </w:tcBorders>
            <w:vAlign w:val="center"/>
          </w:tcPr>
          <w:p w14:paraId="63450DBA">
            <w:pPr>
              <w:spacing w:line="380" w:lineRule="exact"/>
              <w:jc w:val="center"/>
              <w:rPr>
                <w:rFonts w:hint="eastAsia" w:ascii="宋体" w:hAnsi="宋体" w:cs="宋体"/>
                <w:color w:val="auto"/>
                <w:sz w:val="22"/>
              </w:rPr>
            </w:pPr>
          </w:p>
        </w:tc>
        <w:tc>
          <w:tcPr>
            <w:tcW w:w="1063" w:type="pct"/>
            <w:tcBorders>
              <w:top w:val="single" w:color="auto" w:sz="4" w:space="0"/>
              <w:left w:val="single" w:color="auto" w:sz="4" w:space="0"/>
              <w:bottom w:val="single" w:color="auto" w:sz="4" w:space="0"/>
              <w:right w:val="single" w:color="auto" w:sz="4" w:space="0"/>
            </w:tcBorders>
            <w:vAlign w:val="center"/>
          </w:tcPr>
          <w:p w14:paraId="6D003A66">
            <w:pPr>
              <w:spacing w:line="380" w:lineRule="exact"/>
              <w:jc w:val="center"/>
              <w:rPr>
                <w:rFonts w:hint="eastAsia" w:ascii="宋体" w:hAnsi="宋体" w:cs="宋体"/>
                <w:color w:val="auto"/>
                <w:sz w:val="22"/>
              </w:rPr>
            </w:pPr>
          </w:p>
        </w:tc>
        <w:tc>
          <w:tcPr>
            <w:tcW w:w="1010" w:type="pct"/>
            <w:tcBorders>
              <w:top w:val="single" w:color="auto" w:sz="4" w:space="0"/>
              <w:left w:val="single" w:color="auto" w:sz="4" w:space="0"/>
              <w:bottom w:val="single" w:color="auto" w:sz="4" w:space="0"/>
              <w:right w:val="single" w:color="auto" w:sz="4" w:space="0"/>
            </w:tcBorders>
            <w:vAlign w:val="center"/>
          </w:tcPr>
          <w:p w14:paraId="4C11A8E2">
            <w:pPr>
              <w:spacing w:line="380" w:lineRule="exact"/>
              <w:jc w:val="center"/>
              <w:rPr>
                <w:rFonts w:hint="eastAsia" w:ascii="宋体" w:hAnsi="宋体" w:cs="宋体"/>
                <w:color w:val="auto"/>
                <w:sz w:val="22"/>
              </w:rPr>
            </w:pPr>
          </w:p>
        </w:tc>
        <w:tc>
          <w:tcPr>
            <w:tcW w:w="947" w:type="pct"/>
            <w:tcBorders>
              <w:top w:val="single" w:color="auto" w:sz="4" w:space="0"/>
              <w:left w:val="single" w:color="auto" w:sz="4" w:space="0"/>
              <w:bottom w:val="single" w:color="auto" w:sz="4" w:space="0"/>
              <w:right w:val="single" w:color="auto" w:sz="4" w:space="0"/>
            </w:tcBorders>
            <w:vAlign w:val="center"/>
          </w:tcPr>
          <w:p w14:paraId="302D9B2A">
            <w:pPr>
              <w:spacing w:line="380" w:lineRule="exact"/>
              <w:jc w:val="center"/>
              <w:rPr>
                <w:rFonts w:hint="eastAsia" w:ascii="宋体" w:hAnsi="宋体" w:cs="宋体"/>
                <w:color w:val="auto"/>
                <w:sz w:val="22"/>
              </w:rPr>
            </w:pPr>
          </w:p>
        </w:tc>
        <w:tc>
          <w:tcPr>
            <w:tcW w:w="808" w:type="pct"/>
            <w:tcBorders>
              <w:top w:val="single" w:color="auto" w:sz="4" w:space="0"/>
              <w:left w:val="single" w:color="auto" w:sz="4" w:space="0"/>
              <w:bottom w:val="single" w:color="auto" w:sz="4" w:space="0"/>
              <w:right w:val="single" w:color="auto" w:sz="4" w:space="0"/>
            </w:tcBorders>
            <w:vAlign w:val="center"/>
          </w:tcPr>
          <w:p w14:paraId="727424EF">
            <w:pPr>
              <w:spacing w:line="380" w:lineRule="exact"/>
              <w:jc w:val="center"/>
              <w:rPr>
                <w:rFonts w:hint="eastAsia" w:ascii="宋体" w:hAnsi="宋体" w:cs="宋体"/>
                <w:color w:val="auto"/>
                <w:sz w:val="22"/>
              </w:rPr>
            </w:pPr>
          </w:p>
        </w:tc>
      </w:tr>
      <w:tr w14:paraId="083FF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478" w:type="pct"/>
            <w:vMerge w:val="continue"/>
            <w:tcBorders>
              <w:top w:val="single" w:color="auto" w:sz="4" w:space="0"/>
              <w:left w:val="single" w:color="auto" w:sz="4" w:space="0"/>
              <w:bottom w:val="single" w:color="auto" w:sz="4" w:space="0"/>
              <w:right w:val="single" w:color="auto" w:sz="4" w:space="0"/>
            </w:tcBorders>
            <w:vAlign w:val="center"/>
          </w:tcPr>
          <w:p w14:paraId="27FC1082">
            <w:pPr>
              <w:widowControl/>
              <w:jc w:val="left"/>
              <w:rPr>
                <w:rFonts w:hint="eastAsia" w:ascii="宋体" w:hAnsi="宋体" w:cs="宋体"/>
                <w:b/>
                <w:color w:val="auto"/>
                <w:sz w:val="22"/>
              </w:rPr>
            </w:pPr>
          </w:p>
        </w:tc>
        <w:tc>
          <w:tcPr>
            <w:tcW w:w="691" w:type="pct"/>
            <w:tcBorders>
              <w:top w:val="single" w:color="auto" w:sz="4" w:space="0"/>
              <w:left w:val="single" w:color="auto" w:sz="4" w:space="0"/>
              <w:bottom w:val="single" w:color="auto" w:sz="4" w:space="0"/>
              <w:right w:val="single" w:color="auto" w:sz="4" w:space="0"/>
            </w:tcBorders>
            <w:vAlign w:val="center"/>
          </w:tcPr>
          <w:p w14:paraId="7467A751">
            <w:pPr>
              <w:spacing w:line="380" w:lineRule="exact"/>
              <w:jc w:val="center"/>
              <w:rPr>
                <w:rFonts w:hint="eastAsia" w:ascii="宋体" w:hAnsi="宋体" w:cs="宋体"/>
                <w:color w:val="auto"/>
                <w:sz w:val="22"/>
              </w:rPr>
            </w:pPr>
          </w:p>
        </w:tc>
        <w:tc>
          <w:tcPr>
            <w:tcW w:w="1063" w:type="pct"/>
            <w:tcBorders>
              <w:top w:val="single" w:color="auto" w:sz="4" w:space="0"/>
              <w:left w:val="single" w:color="auto" w:sz="4" w:space="0"/>
              <w:bottom w:val="single" w:color="auto" w:sz="4" w:space="0"/>
              <w:right w:val="single" w:color="auto" w:sz="4" w:space="0"/>
            </w:tcBorders>
            <w:vAlign w:val="center"/>
          </w:tcPr>
          <w:p w14:paraId="5C0FB5BC">
            <w:pPr>
              <w:spacing w:line="380" w:lineRule="exact"/>
              <w:jc w:val="center"/>
              <w:rPr>
                <w:rFonts w:hint="eastAsia" w:ascii="宋体" w:hAnsi="宋体" w:cs="宋体"/>
                <w:color w:val="auto"/>
                <w:sz w:val="22"/>
              </w:rPr>
            </w:pPr>
          </w:p>
        </w:tc>
        <w:tc>
          <w:tcPr>
            <w:tcW w:w="1010" w:type="pct"/>
            <w:tcBorders>
              <w:top w:val="single" w:color="auto" w:sz="4" w:space="0"/>
              <w:left w:val="single" w:color="auto" w:sz="4" w:space="0"/>
              <w:bottom w:val="single" w:color="auto" w:sz="4" w:space="0"/>
              <w:right w:val="single" w:color="auto" w:sz="4" w:space="0"/>
            </w:tcBorders>
            <w:vAlign w:val="center"/>
          </w:tcPr>
          <w:p w14:paraId="620BAB45">
            <w:pPr>
              <w:spacing w:line="380" w:lineRule="exact"/>
              <w:jc w:val="center"/>
              <w:rPr>
                <w:rFonts w:hint="eastAsia" w:ascii="宋体" w:hAnsi="宋体" w:cs="宋体"/>
                <w:color w:val="auto"/>
                <w:sz w:val="22"/>
              </w:rPr>
            </w:pPr>
          </w:p>
        </w:tc>
        <w:tc>
          <w:tcPr>
            <w:tcW w:w="947" w:type="pct"/>
            <w:tcBorders>
              <w:top w:val="single" w:color="auto" w:sz="4" w:space="0"/>
              <w:left w:val="single" w:color="auto" w:sz="4" w:space="0"/>
              <w:bottom w:val="single" w:color="auto" w:sz="4" w:space="0"/>
              <w:right w:val="single" w:color="auto" w:sz="4" w:space="0"/>
            </w:tcBorders>
            <w:vAlign w:val="center"/>
          </w:tcPr>
          <w:p w14:paraId="719BBE97">
            <w:pPr>
              <w:spacing w:line="380" w:lineRule="exact"/>
              <w:jc w:val="center"/>
              <w:rPr>
                <w:rFonts w:hint="eastAsia" w:ascii="宋体" w:hAnsi="宋体" w:cs="宋体"/>
                <w:color w:val="auto"/>
                <w:sz w:val="22"/>
              </w:rPr>
            </w:pPr>
          </w:p>
        </w:tc>
        <w:tc>
          <w:tcPr>
            <w:tcW w:w="808" w:type="pct"/>
            <w:tcBorders>
              <w:top w:val="single" w:color="auto" w:sz="4" w:space="0"/>
              <w:left w:val="single" w:color="auto" w:sz="4" w:space="0"/>
              <w:bottom w:val="single" w:color="auto" w:sz="4" w:space="0"/>
              <w:right w:val="single" w:color="auto" w:sz="4" w:space="0"/>
            </w:tcBorders>
            <w:vAlign w:val="center"/>
          </w:tcPr>
          <w:p w14:paraId="4153137E">
            <w:pPr>
              <w:spacing w:line="380" w:lineRule="exact"/>
              <w:jc w:val="center"/>
              <w:rPr>
                <w:rFonts w:hint="eastAsia" w:ascii="宋体" w:hAnsi="宋体" w:cs="宋体"/>
                <w:color w:val="auto"/>
                <w:sz w:val="22"/>
              </w:rPr>
            </w:pPr>
          </w:p>
        </w:tc>
      </w:tr>
      <w:tr w14:paraId="705F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478" w:type="pct"/>
            <w:vMerge w:val="continue"/>
            <w:tcBorders>
              <w:top w:val="single" w:color="auto" w:sz="4" w:space="0"/>
              <w:left w:val="single" w:color="auto" w:sz="4" w:space="0"/>
              <w:bottom w:val="single" w:color="auto" w:sz="4" w:space="0"/>
              <w:right w:val="single" w:color="auto" w:sz="4" w:space="0"/>
            </w:tcBorders>
            <w:vAlign w:val="center"/>
          </w:tcPr>
          <w:p w14:paraId="516AED4A">
            <w:pPr>
              <w:widowControl/>
              <w:jc w:val="left"/>
              <w:rPr>
                <w:rFonts w:hint="eastAsia" w:ascii="宋体" w:hAnsi="宋体" w:cs="宋体"/>
                <w:b/>
                <w:color w:val="auto"/>
                <w:sz w:val="22"/>
              </w:rPr>
            </w:pPr>
          </w:p>
        </w:tc>
        <w:tc>
          <w:tcPr>
            <w:tcW w:w="691" w:type="pct"/>
            <w:tcBorders>
              <w:top w:val="single" w:color="auto" w:sz="4" w:space="0"/>
              <w:left w:val="single" w:color="auto" w:sz="4" w:space="0"/>
              <w:bottom w:val="single" w:color="auto" w:sz="4" w:space="0"/>
              <w:right w:val="single" w:color="auto" w:sz="4" w:space="0"/>
            </w:tcBorders>
            <w:vAlign w:val="center"/>
          </w:tcPr>
          <w:p w14:paraId="690F4A11">
            <w:pPr>
              <w:spacing w:line="380" w:lineRule="exact"/>
              <w:jc w:val="center"/>
              <w:rPr>
                <w:rFonts w:hint="eastAsia" w:ascii="宋体" w:hAnsi="宋体" w:cs="宋体"/>
                <w:color w:val="auto"/>
                <w:sz w:val="22"/>
              </w:rPr>
            </w:pPr>
          </w:p>
        </w:tc>
        <w:tc>
          <w:tcPr>
            <w:tcW w:w="1063" w:type="pct"/>
            <w:tcBorders>
              <w:top w:val="single" w:color="auto" w:sz="4" w:space="0"/>
              <w:left w:val="single" w:color="auto" w:sz="4" w:space="0"/>
              <w:bottom w:val="single" w:color="auto" w:sz="4" w:space="0"/>
              <w:right w:val="single" w:color="auto" w:sz="4" w:space="0"/>
            </w:tcBorders>
            <w:vAlign w:val="center"/>
          </w:tcPr>
          <w:p w14:paraId="45275461">
            <w:pPr>
              <w:spacing w:line="380" w:lineRule="exact"/>
              <w:jc w:val="center"/>
              <w:rPr>
                <w:rFonts w:hint="eastAsia" w:ascii="宋体" w:hAnsi="宋体" w:cs="宋体"/>
                <w:color w:val="auto"/>
                <w:sz w:val="22"/>
              </w:rPr>
            </w:pPr>
          </w:p>
        </w:tc>
        <w:tc>
          <w:tcPr>
            <w:tcW w:w="1010" w:type="pct"/>
            <w:tcBorders>
              <w:top w:val="single" w:color="auto" w:sz="4" w:space="0"/>
              <w:left w:val="single" w:color="auto" w:sz="4" w:space="0"/>
              <w:bottom w:val="single" w:color="auto" w:sz="4" w:space="0"/>
              <w:right w:val="single" w:color="auto" w:sz="4" w:space="0"/>
            </w:tcBorders>
            <w:vAlign w:val="center"/>
          </w:tcPr>
          <w:p w14:paraId="4E8674CA">
            <w:pPr>
              <w:spacing w:line="380" w:lineRule="exact"/>
              <w:jc w:val="center"/>
              <w:rPr>
                <w:rFonts w:hint="eastAsia" w:ascii="宋体" w:hAnsi="宋体" w:cs="宋体"/>
                <w:color w:val="auto"/>
                <w:sz w:val="22"/>
              </w:rPr>
            </w:pPr>
          </w:p>
        </w:tc>
        <w:tc>
          <w:tcPr>
            <w:tcW w:w="947" w:type="pct"/>
            <w:tcBorders>
              <w:top w:val="single" w:color="auto" w:sz="4" w:space="0"/>
              <w:left w:val="single" w:color="auto" w:sz="4" w:space="0"/>
              <w:bottom w:val="single" w:color="auto" w:sz="4" w:space="0"/>
              <w:right w:val="single" w:color="auto" w:sz="4" w:space="0"/>
            </w:tcBorders>
            <w:vAlign w:val="center"/>
          </w:tcPr>
          <w:p w14:paraId="5999E7DA">
            <w:pPr>
              <w:spacing w:line="380" w:lineRule="exact"/>
              <w:jc w:val="center"/>
              <w:rPr>
                <w:rFonts w:hint="eastAsia" w:ascii="宋体" w:hAnsi="宋体" w:cs="宋体"/>
                <w:color w:val="auto"/>
                <w:sz w:val="22"/>
              </w:rPr>
            </w:pPr>
          </w:p>
        </w:tc>
        <w:tc>
          <w:tcPr>
            <w:tcW w:w="808" w:type="pct"/>
            <w:tcBorders>
              <w:top w:val="single" w:color="auto" w:sz="4" w:space="0"/>
              <w:left w:val="single" w:color="auto" w:sz="4" w:space="0"/>
              <w:bottom w:val="single" w:color="auto" w:sz="4" w:space="0"/>
              <w:right w:val="single" w:color="auto" w:sz="4" w:space="0"/>
            </w:tcBorders>
            <w:vAlign w:val="center"/>
          </w:tcPr>
          <w:p w14:paraId="32383ED8">
            <w:pPr>
              <w:spacing w:line="380" w:lineRule="exact"/>
              <w:jc w:val="center"/>
              <w:rPr>
                <w:rFonts w:hint="eastAsia" w:ascii="宋体" w:hAnsi="宋体" w:cs="宋体"/>
                <w:color w:val="auto"/>
                <w:sz w:val="22"/>
              </w:rPr>
            </w:pPr>
          </w:p>
        </w:tc>
      </w:tr>
      <w:tr w14:paraId="25C6D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trPr>
        <w:tc>
          <w:tcPr>
            <w:tcW w:w="478" w:type="pct"/>
            <w:vMerge w:val="continue"/>
            <w:tcBorders>
              <w:top w:val="single" w:color="auto" w:sz="4" w:space="0"/>
              <w:left w:val="single" w:color="auto" w:sz="4" w:space="0"/>
              <w:bottom w:val="single" w:color="auto" w:sz="4" w:space="0"/>
              <w:right w:val="single" w:color="auto" w:sz="4" w:space="0"/>
            </w:tcBorders>
            <w:vAlign w:val="center"/>
          </w:tcPr>
          <w:p w14:paraId="4753351A">
            <w:pPr>
              <w:widowControl/>
              <w:jc w:val="left"/>
              <w:rPr>
                <w:rFonts w:hint="eastAsia" w:ascii="宋体" w:hAnsi="宋体" w:cs="宋体"/>
                <w:b/>
                <w:color w:val="auto"/>
                <w:sz w:val="22"/>
              </w:rPr>
            </w:pPr>
          </w:p>
        </w:tc>
        <w:tc>
          <w:tcPr>
            <w:tcW w:w="691" w:type="pct"/>
            <w:tcBorders>
              <w:top w:val="single" w:color="auto" w:sz="4" w:space="0"/>
              <w:left w:val="single" w:color="auto" w:sz="4" w:space="0"/>
              <w:bottom w:val="single" w:color="auto" w:sz="4" w:space="0"/>
              <w:right w:val="single" w:color="auto" w:sz="4" w:space="0"/>
            </w:tcBorders>
            <w:vAlign w:val="center"/>
          </w:tcPr>
          <w:p w14:paraId="461F4B9E">
            <w:pPr>
              <w:spacing w:line="380" w:lineRule="exact"/>
              <w:jc w:val="center"/>
              <w:rPr>
                <w:rFonts w:hint="eastAsia" w:ascii="宋体" w:hAnsi="宋体" w:cs="宋体"/>
                <w:color w:val="auto"/>
                <w:sz w:val="22"/>
              </w:rPr>
            </w:pPr>
          </w:p>
        </w:tc>
        <w:tc>
          <w:tcPr>
            <w:tcW w:w="1063" w:type="pct"/>
            <w:tcBorders>
              <w:top w:val="single" w:color="auto" w:sz="4" w:space="0"/>
              <w:left w:val="single" w:color="auto" w:sz="4" w:space="0"/>
              <w:bottom w:val="single" w:color="auto" w:sz="4" w:space="0"/>
              <w:right w:val="single" w:color="auto" w:sz="4" w:space="0"/>
            </w:tcBorders>
            <w:vAlign w:val="center"/>
          </w:tcPr>
          <w:p w14:paraId="2A801D32">
            <w:pPr>
              <w:spacing w:line="380" w:lineRule="exact"/>
              <w:jc w:val="center"/>
              <w:rPr>
                <w:rFonts w:hint="eastAsia" w:ascii="宋体" w:hAnsi="宋体" w:cs="宋体"/>
                <w:color w:val="auto"/>
                <w:sz w:val="22"/>
              </w:rPr>
            </w:pPr>
          </w:p>
        </w:tc>
        <w:tc>
          <w:tcPr>
            <w:tcW w:w="1010" w:type="pct"/>
            <w:tcBorders>
              <w:top w:val="single" w:color="auto" w:sz="4" w:space="0"/>
              <w:left w:val="single" w:color="auto" w:sz="4" w:space="0"/>
              <w:bottom w:val="single" w:color="auto" w:sz="4" w:space="0"/>
              <w:right w:val="single" w:color="auto" w:sz="4" w:space="0"/>
            </w:tcBorders>
            <w:vAlign w:val="center"/>
          </w:tcPr>
          <w:p w14:paraId="32AB89E7">
            <w:pPr>
              <w:spacing w:line="380" w:lineRule="exact"/>
              <w:jc w:val="center"/>
              <w:rPr>
                <w:rFonts w:hint="eastAsia" w:ascii="宋体" w:hAnsi="宋体" w:cs="宋体"/>
                <w:color w:val="auto"/>
                <w:sz w:val="22"/>
              </w:rPr>
            </w:pPr>
          </w:p>
        </w:tc>
        <w:tc>
          <w:tcPr>
            <w:tcW w:w="947" w:type="pct"/>
            <w:tcBorders>
              <w:top w:val="single" w:color="auto" w:sz="4" w:space="0"/>
              <w:left w:val="single" w:color="auto" w:sz="4" w:space="0"/>
              <w:bottom w:val="single" w:color="auto" w:sz="4" w:space="0"/>
              <w:right w:val="single" w:color="auto" w:sz="4" w:space="0"/>
            </w:tcBorders>
            <w:vAlign w:val="center"/>
          </w:tcPr>
          <w:p w14:paraId="6C18C65A">
            <w:pPr>
              <w:spacing w:line="380" w:lineRule="exact"/>
              <w:jc w:val="center"/>
              <w:rPr>
                <w:rFonts w:hint="eastAsia" w:ascii="宋体" w:hAnsi="宋体" w:cs="宋体"/>
                <w:color w:val="auto"/>
                <w:sz w:val="22"/>
              </w:rPr>
            </w:pPr>
          </w:p>
        </w:tc>
        <w:tc>
          <w:tcPr>
            <w:tcW w:w="808" w:type="pct"/>
            <w:tcBorders>
              <w:top w:val="single" w:color="auto" w:sz="4" w:space="0"/>
              <w:left w:val="single" w:color="auto" w:sz="4" w:space="0"/>
              <w:bottom w:val="single" w:color="auto" w:sz="4" w:space="0"/>
              <w:right w:val="single" w:color="auto" w:sz="4" w:space="0"/>
            </w:tcBorders>
            <w:vAlign w:val="center"/>
          </w:tcPr>
          <w:p w14:paraId="3FD0471D">
            <w:pPr>
              <w:spacing w:line="380" w:lineRule="exact"/>
              <w:jc w:val="center"/>
              <w:rPr>
                <w:rFonts w:hint="eastAsia" w:ascii="宋体" w:hAnsi="宋体" w:cs="宋体"/>
                <w:color w:val="auto"/>
                <w:sz w:val="22"/>
              </w:rPr>
            </w:pPr>
          </w:p>
        </w:tc>
      </w:tr>
    </w:tbl>
    <w:p w14:paraId="7BA69FCD">
      <w:pPr>
        <w:pStyle w:val="24"/>
        <w:spacing w:line="440" w:lineRule="exact"/>
        <w:ind w:left="537" w:hanging="537" w:hangingChars="243"/>
        <w:rPr>
          <w:rFonts w:hint="eastAsia" w:hAnsi="宋体" w:cs="宋体"/>
          <w:b/>
          <w:color w:val="auto"/>
          <w:sz w:val="22"/>
          <w:szCs w:val="22"/>
        </w:rPr>
      </w:pPr>
      <w:r>
        <w:rPr>
          <w:rFonts w:hint="eastAsia" w:hAnsi="宋体" w:cs="宋体"/>
          <w:b/>
          <w:color w:val="auto"/>
          <w:sz w:val="22"/>
          <w:szCs w:val="22"/>
        </w:rPr>
        <w:t>注： 如有偏离，必须在偏离表中进行详细对比说明并注明正偏离和负偏离，如不说明偏离情况，视为完全响应招标文件要求无偏离。</w:t>
      </w:r>
    </w:p>
    <w:p w14:paraId="37984E7A">
      <w:pPr>
        <w:spacing w:line="440" w:lineRule="exact"/>
        <w:jc w:val="center"/>
        <w:rPr>
          <w:rFonts w:hint="eastAsia" w:ascii="宋体" w:hAnsi="宋体" w:cs="宋体"/>
          <w:color w:val="auto"/>
          <w:sz w:val="22"/>
          <w:szCs w:val="22"/>
        </w:rPr>
      </w:pPr>
      <w:r>
        <w:rPr>
          <w:rFonts w:hint="eastAsia" w:ascii="宋体" w:hAnsi="宋体" w:cs="宋体"/>
          <w:color w:val="auto"/>
          <w:sz w:val="22"/>
          <w:szCs w:val="22"/>
        </w:rPr>
        <w:t xml:space="preserve">                 投标人全称（电子签名/公章）：</w:t>
      </w:r>
    </w:p>
    <w:p w14:paraId="4BDC19C9">
      <w:pPr>
        <w:spacing w:line="440" w:lineRule="exact"/>
        <w:ind w:firstLine="4180" w:firstLineChars="1900"/>
        <w:rPr>
          <w:rFonts w:hint="eastAsia" w:ascii="宋体" w:hAnsi="宋体" w:cs="宋体"/>
          <w:color w:val="auto"/>
          <w:sz w:val="22"/>
          <w:szCs w:val="22"/>
        </w:rPr>
      </w:pPr>
      <w:r>
        <w:rPr>
          <w:rFonts w:hint="eastAsia" w:ascii="宋体" w:hAnsi="宋体" w:cs="宋体"/>
          <w:color w:val="auto"/>
          <w:sz w:val="22"/>
          <w:szCs w:val="22"/>
        </w:rPr>
        <w:t>日期：     年    月    日</w:t>
      </w:r>
    </w:p>
    <w:p w14:paraId="5A46FB2A">
      <w:pPr>
        <w:pStyle w:val="19"/>
        <w:rPr>
          <w:color w:val="auto"/>
        </w:rPr>
      </w:pPr>
    </w:p>
    <w:p w14:paraId="6C32265A">
      <w:pPr>
        <w:pStyle w:val="5"/>
        <w:spacing w:line="240" w:lineRule="auto"/>
        <w:rPr>
          <w:rFonts w:hint="eastAsia" w:ascii="宋体" w:hAnsi="宋体" w:eastAsia="宋体" w:cs="宋体"/>
          <w:color w:val="auto"/>
          <w:sz w:val="24"/>
          <w:szCs w:val="24"/>
        </w:rPr>
      </w:pPr>
      <w:bookmarkStart w:id="87" w:name="_Toc8805"/>
      <w:r>
        <w:rPr>
          <w:rFonts w:hint="eastAsia" w:ascii="宋体" w:hAnsi="宋体" w:eastAsia="宋体" w:cs="宋体"/>
          <w:color w:val="auto"/>
          <w:sz w:val="24"/>
          <w:szCs w:val="24"/>
        </w:rPr>
        <w:t xml:space="preserve">附件六 </w:t>
      </w:r>
      <w:r>
        <w:rPr>
          <w:rFonts w:hint="eastAsia" w:ascii="宋体" w:hAnsi="宋体" w:eastAsia="宋体"/>
          <w:color w:val="auto"/>
          <w:sz w:val="24"/>
          <w:szCs w:val="24"/>
        </w:rPr>
        <w:t>货物成套供货清单</w:t>
      </w:r>
      <w:bookmarkEnd w:id="87"/>
    </w:p>
    <w:p w14:paraId="245F2B54">
      <w:pPr>
        <w:numPr>
          <w:ilvl w:val="0"/>
          <w:numId w:val="2"/>
        </w:numPr>
        <w:spacing w:line="440" w:lineRule="exact"/>
        <w:jc w:val="center"/>
        <w:rPr>
          <w:rFonts w:hint="eastAsia" w:ascii="宋体" w:hAnsi="宋体"/>
          <w:b/>
          <w:bCs/>
          <w:color w:val="auto"/>
          <w:sz w:val="28"/>
          <w:szCs w:val="28"/>
        </w:rPr>
      </w:pPr>
      <w:r>
        <w:rPr>
          <w:rFonts w:hint="eastAsia" w:ascii="宋体" w:hAnsi="宋体"/>
          <w:b/>
          <w:bCs/>
          <w:color w:val="auto"/>
          <w:sz w:val="28"/>
          <w:szCs w:val="28"/>
        </w:rPr>
        <w:t>货物成套供货清单（或详细配置清单）</w:t>
      </w:r>
    </w:p>
    <w:p w14:paraId="23DF7C48">
      <w:pPr>
        <w:spacing w:line="440" w:lineRule="exact"/>
        <w:rPr>
          <w:rFonts w:hint="eastAsia" w:ascii="宋体" w:hAnsi="宋体"/>
          <w:b/>
          <w:bCs/>
          <w:color w:val="auto"/>
          <w:sz w:val="22"/>
          <w:szCs w:val="22"/>
        </w:rPr>
      </w:pPr>
      <w:r>
        <w:rPr>
          <w:rFonts w:hint="eastAsia" w:ascii="宋体" w:hAnsi="宋体"/>
          <w:b/>
          <w:bCs/>
          <w:color w:val="auto"/>
          <w:sz w:val="22"/>
          <w:szCs w:val="22"/>
        </w:rPr>
        <w:t>项目名称：                                                     项目编号：</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260"/>
        <w:gridCol w:w="1980"/>
        <w:gridCol w:w="720"/>
        <w:gridCol w:w="900"/>
        <w:gridCol w:w="1440"/>
        <w:gridCol w:w="1440"/>
        <w:gridCol w:w="1080"/>
      </w:tblGrid>
      <w:tr w14:paraId="34200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shd w:val="clear" w:color="auto" w:fill="D9D9D9"/>
            <w:vAlign w:val="center"/>
          </w:tcPr>
          <w:p w14:paraId="7104FBDD">
            <w:pPr>
              <w:spacing w:line="380" w:lineRule="exact"/>
              <w:jc w:val="center"/>
              <w:rPr>
                <w:rFonts w:hint="eastAsia" w:ascii="宋体" w:hAnsi="宋体"/>
                <w:b/>
                <w:bCs/>
                <w:color w:val="auto"/>
                <w:sz w:val="22"/>
                <w:szCs w:val="22"/>
              </w:rPr>
            </w:pPr>
            <w:r>
              <w:rPr>
                <w:rFonts w:hint="eastAsia" w:ascii="宋体" w:hAnsi="宋体"/>
                <w:b/>
                <w:bCs/>
                <w:color w:val="auto"/>
                <w:sz w:val="22"/>
                <w:szCs w:val="22"/>
              </w:rPr>
              <w:t>序号</w:t>
            </w:r>
          </w:p>
        </w:tc>
        <w:tc>
          <w:tcPr>
            <w:tcW w:w="1260" w:type="dxa"/>
            <w:shd w:val="clear" w:color="auto" w:fill="D9D9D9"/>
            <w:vAlign w:val="center"/>
          </w:tcPr>
          <w:p w14:paraId="54966D1D">
            <w:pPr>
              <w:spacing w:line="380" w:lineRule="exact"/>
              <w:jc w:val="center"/>
              <w:rPr>
                <w:rFonts w:hint="eastAsia" w:ascii="宋体" w:hAnsi="宋体"/>
                <w:b/>
                <w:bCs/>
                <w:color w:val="auto"/>
                <w:sz w:val="22"/>
                <w:szCs w:val="22"/>
              </w:rPr>
            </w:pPr>
            <w:r>
              <w:rPr>
                <w:rFonts w:hint="eastAsia" w:ascii="宋体" w:hAnsi="宋体"/>
                <w:b/>
                <w:bCs/>
                <w:color w:val="auto"/>
                <w:sz w:val="22"/>
                <w:szCs w:val="22"/>
              </w:rPr>
              <w:t>名  称</w:t>
            </w:r>
          </w:p>
        </w:tc>
        <w:tc>
          <w:tcPr>
            <w:tcW w:w="1980" w:type="dxa"/>
            <w:shd w:val="clear" w:color="auto" w:fill="D9D9D9"/>
            <w:vAlign w:val="center"/>
          </w:tcPr>
          <w:p w14:paraId="1915CB96">
            <w:pPr>
              <w:spacing w:line="380" w:lineRule="exact"/>
              <w:jc w:val="center"/>
              <w:rPr>
                <w:rFonts w:hint="eastAsia" w:ascii="宋体" w:hAnsi="宋体"/>
                <w:b/>
                <w:bCs/>
                <w:color w:val="auto"/>
                <w:sz w:val="22"/>
                <w:szCs w:val="22"/>
              </w:rPr>
            </w:pPr>
            <w:r>
              <w:rPr>
                <w:rFonts w:hint="eastAsia" w:ascii="宋体" w:hAnsi="宋体"/>
                <w:b/>
                <w:bCs/>
                <w:color w:val="auto"/>
                <w:sz w:val="22"/>
                <w:szCs w:val="22"/>
              </w:rPr>
              <w:t>品牌、规格型号</w:t>
            </w:r>
          </w:p>
        </w:tc>
        <w:tc>
          <w:tcPr>
            <w:tcW w:w="720" w:type="dxa"/>
            <w:shd w:val="clear" w:color="auto" w:fill="D9D9D9"/>
            <w:vAlign w:val="center"/>
          </w:tcPr>
          <w:p w14:paraId="4233FBA1">
            <w:pPr>
              <w:spacing w:line="380" w:lineRule="exact"/>
              <w:jc w:val="center"/>
              <w:rPr>
                <w:rFonts w:hint="eastAsia" w:ascii="宋体" w:hAnsi="宋体"/>
                <w:b/>
                <w:bCs/>
                <w:color w:val="auto"/>
                <w:sz w:val="22"/>
                <w:szCs w:val="22"/>
              </w:rPr>
            </w:pPr>
            <w:r>
              <w:rPr>
                <w:rFonts w:hint="eastAsia" w:ascii="宋体" w:hAnsi="宋体"/>
                <w:b/>
                <w:bCs/>
                <w:color w:val="auto"/>
                <w:sz w:val="22"/>
                <w:szCs w:val="22"/>
              </w:rPr>
              <w:t>单位</w:t>
            </w:r>
          </w:p>
        </w:tc>
        <w:tc>
          <w:tcPr>
            <w:tcW w:w="900" w:type="dxa"/>
            <w:shd w:val="clear" w:color="auto" w:fill="D9D9D9"/>
            <w:vAlign w:val="center"/>
          </w:tcPr>
          <w:p w14:paraId="6278F2EE">
            <w:pPr>
              <w:spacing w:line="380" w:lineRule="exact"/>
              <w:jc w:val="center"/>
              <w:rPr>
                <w:rFonts w:hint="eastAsia" w:ascii="宋体" w:hAnsi="宋体"/>
                <w:b/>
                <w:bCs/>
                <w:color w:val="auto"/>
                <w:sz w:val="22"/>
                <w:szCs w:val="22"/>
              </w:rPr>
            </w:pPr>
            <w:r>
              <w:rPr>
                <w:rFonts w:hint="eastAsia" w:ascii="宋体" w:hAnsi="宋体"/>
                <w:b/>
                <w:bCs/>
                <w:color w:val="auto"/>
                <w:sz w:val="22"/>
                <w:szCs w:val="22"/>
              </w:rPr>
              <w:t>数量</w:t>
            </w:r>
          </w:p>
        </w:tc>
        <w:tc>
          <w:tcPr>
            <w:tcW w:w="1440" w:type="dxa"/>
            <w:shd w:val="clear" w:color="auto" w:fill="D9D9D9"/>
            <w:vAlign w:val="center"/>
          </w:tcPr>
          <w:p w14:paraId="5427B1A3">
            <w:pPr>
              <w:spacing w:line="380" w:lineRule="exact"/>
              <w:jc w:val="center"/>
              <w:rPr>
                <w:rFonts w:hint="eastAsia" w:ascii="宋体" w:hAnsi="宋体"/>
                <w:b/>
                <w:bCs/>
                <w:color w:val="auto"/>
                <w:sz w:val="22"/>
                <w:szCs w:val="22"/>
              </w:rPr>
            </w:pPr>
            <w:r>
              <w:rPr>
                <w:rFonts w:hint="eastAsia" w:ascii="宋体" w:hAnsi="宋体"/>
                <w:b/>
                <w:bCs/>
                <w:color w:val="auto"/>
                <w:sz w:val="22"/>
                <w:szCs w:val="22"/>
              </w:rPr>
              <w:t>原产地</w:t>
            </w:r>
          </w:p>
        </w:tc>
        <w:tc>
          <w:tcPr>
            <w:tcW w:w="1440" w:type="dxa"/>
            <w:shd w:val="clear" w:color="auto" w:fill="D9D9D9"/>
            <w:vAlign w:val="center"/>
          </w:tcPr>
          <w:p w14:paraId="03FEC0AF">
            <w:pPr>
              <w:spacing w:line="380" w:lineRule="exact"/>
              <w:jc w:val="center"/>
              <w:rPr>
                <w:rFonts w:hint="default" w:ascii="宋体" w:hAnsi="宋体" w:eastAsia="宋体"/>
                <w:b/>
                <w:bCs/>
                <w:color w:val="auto"/>
                <w:sz w:val="22"/>
                <w:szCs w:val="22"/>
                <w:lang w:val="en-US" w:eastAsia="zh-CN"/>
              </w:rPr>
            </w:pPr>
            <w:r>
              <w:rPr>
                <w:rFonts w:hint="eastAsia" w:ascii="宋体" w:hAnsi="宋体"/>
                <w:b/>
                <w:bCs/>
                <w:color w:val="auto"/>
                <w:sz w:val="22"/>
                <w:szCs w:val="22"/>
                <w:lang w:val="en-US" w:eastAsia="zh-CN"/>
              </w:rPr>
              <w:t>生产厂家</w:t>
            </w:r>
          </w:p>
        </w:tc>
        <w:tc>
          <w:tcPr>
            <w:tcW w:w="1080" w:type="dxa"/>
            <w:shd w:val="clear" w:color="auto" w:fill="D9D9D9"/>
            <w:vAlign w:val="center"/>
          </w:tcPr>
          <w:p w14:paraId="01CE90BE">
            <w:pPr>
              <w:spacing w:line="380" w:lineRule="exact"/>
              <w:jc w:val="center"/>
              <w:rPr>
                <w:rFonts w:hint="eastAsia" w:ascii="宋体" w:hAnsi="宋体"/>
                <w:b/>
                <w:bCs/>
                <w:color w:val="auto"/>
                <w:sz w:val="22"/>
                <w:szCs w:val="22"/>
              </w:rPr>
            </w:pPr>
            <w:r>
              <w:rPr>
                <w:rFonts w:hint="eastAsia" w:ascii="宋体" w:hAnsi="宋体"/>
                <w:b/>
                <w:bCs/>
                <w:color w:val="auto"/>
                <w:sz w:val="22"/>
                <w:szCs w:val="22"/>
              </w:rPr>
              <w:t>质保期</w:t>
            </w:r>
          </w:p>
        </w:tc>
      </w:tr>
      <w:tr w14:paraId="2D098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Align w:val="center"/>
          </w:tcPr>
          <w:p w14:paraId="6DF1CD8F">
            <w:pPr>
              <w:spacing w:line="380" w:lineRule="exact"/>
              <w:jc w:val="center"/>
              <w:rPr>
                <w:rFonts w:hint="eastAsia" w:ascii="宋体" w:hAnsi="宋体"/>
                <w:b/>
                <w:bCs/>
                <w:color w:val="auto"/>
                <w:sz w:val="22"/>
                <w:szCs w:val="22"/>
              </w:rPr>
            </w:pPr>
          </w:p>
        </w:tc>
        <w:tc>
          <w:tcPr>
            <w:tcW w:w="1260" w:type="dxa"/>
            <w:vAlign w:val="center"/>
          </w:tcPr>
          <w:p w14:paraId="6DAED28D">
            <w:pPr>
              <w:spacing w:line="380" w:lineRule="exact"/>
              <w:jc w:val="center"/>
              <w:rPr>
                <w:rFonts w:hint="eastAsia" w:ascii="宋体" w:hAnsi="宋体"/>
                <w:b/>
                <w:bCs/>
                <w:color w:val="auto"/>
                <w:sz w:val="22"/>
                <w:szCs w:val="22"/>
              </w:rPr>
            </w:pPr>
          </w:p>
        </w:tc>
        <w:tc>
          <w:tcPr>
            <w:tcW w:w="1980" w:type="dxa"/>
            <w:vAlign w:val="center"/>
          </w:tcPr>
          <w:p w14:paraId="5A170635">
            <w:pPr>
              <w:spacing w:line="380" w:lineRule="exact"/>
              <w:jc w:val="center"/>
              <w:rPr>
                <w:rFonts w:hint="eastAsia" w:ascii="宋体" w:hAnsi="宋体"/>
                <w:b/>
                <w:bCs/>
                <w:color w:val="auto"/>
                <w:sz w:val="22"/>
                <w:szCs w:val="22"/>
              </w:rPr>
            </w:pPr>
          </w:p>
        </w:tc>
        <w:tc>
          <w:tcPr>
            <w:tcW w:w="720" w:type="dxa"/>
            <w:vAlign w:val="center"/>
          </w:tcPr>
          <w:p w14:paraId="18519498">
            <w:pPr>
              <w:spacing w:line="380" w:lineRule="exact"/>
              <w:jc w:val="center"/>
              <w:rPr>
                <w:rFonts w:hint="eastAsia" w:ascii="宋体" w:hAnsi="宋体"/>
                <w:b/>
                <w:bCs/>
                <w:color w:val="auto"/>
                <w:sz w:val="22"/>
                <w:szCs w:val="22"/>
              </w:rPr>
            </w:pPr>
          </w:p>
        </w:tc>
        <w:tc>
          <w:tcPr>
            <w:tcW w:w="900" w:type="dxa"/>
            <w:vAlign w:val="center"/>
          </w:tcPr>
          <w:p w14:paraId="39D35B21">
            <w:pPr>
              <w:spacing w:line="380" w:lineRule="exact"/>
              <w:jc w:val="center"/>
              <w:rPr>
                <w:rFonts w:hint="eastAsia" w:ascii="宋体" w:hAnsi="宋体"/>
                <w:b/>
                <w:bCs/>
                <w:color w:val="auto"/>
                <w:sz w:val="22"/>
                <w:szCs w:val="22"/>
              </w:rPr>
            </w:pPr>
          </w:p>
        </w:tc>
        <w:tc>
          <w:tcPr>
            <w:tcW w:w="1440" w:type="dxa"/>
            <w:vAlign w:val="center"/>
          </w:tcPr>
          <w:p w14:paraId="67072E46">
            <w:pPr>
              <w:spacing w:line="380" w:lineRule="exact"/>
              <w:jc w:val="center"/>
              <w:rPr>
                <w:rFonts w:hint="eastAsia" w:ascii="宋体" w:hAnsi="宋体"/>
                <w:b/>
                <w:bCs/>
                <w:color w:val="auto"/>
                <w:sz w:val="22"/>
                <w:szCs w:val="22"/>
              </w:rPr>
            </w:pPr>
          </w:p>
        </w:tc>
        <w:tc>
          <w:tcPr>
            <w:tcW w:w="1440" w:type="dxa"/>
            <w:vAlign w:val="center"/>
          </w:tcPr>
          <w:p w14:paraId="184F4937">
            <w:pPr>
              <w:spacing w:line="380" w:lineRule="exact"/>
              <w:jc w:val="center"/>
              <w:rPr>
                <w:rFonts w:hint="eastAsia" w:ascii="宋体" w:hAnsi="宋体"/>
                <w:b/>
                <w:bCs/>
                <w:color w:val="auto"/>
                <w:sz w:val="22"/>
                <w:szCs w:val="22"/>
              </w:rPr>
            </w:pPr>
          </w:p>
        </w:tc>
        <w:tc>
          <w:tcPr>
            <w:tcW w:w="1080" w:type="dxa"/>
            <w:vAlign w:val="center"/>
          </w:tcPr>
          <w:p w14:paraId="53E6F7E8">
            <w:pPr>
              <w:spacing w:line="380" w:lineRule="exact"/>
              <w:jc w:val="center"/>
              <w:rPr>
                <w:rFonts w:hint="eastAsia" w:ascii="宋体" w:hAnsi="宋体"/>
                <w:b/>
                <w:bCs/>
                <w:color w:val="auto"/>
                <w:sz w:val="22"/>
                <w:szCs w:val="22"/>
              </w:rPr>
            </w:pPr>
          </w:p>
        </w:tc>
      </w:tr>
      <w:tr w14:paraId="2F70E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Align w:val="center"/>
          </w:tcPr>
          <w:p w14:paraId="26F1A6E1">
            <w:pPr>
              <w:spacing w:line="380" w:lineRule="exact"/>
              <w:jc w:val="center"/>
              <w:rPr>
                <w:rFonts w:hint="eastAsia" w:ascii="宋体" w:hAnsi="宋体"/>
                <w:b/>
                <w:bCs/>
                <w:color w:val="auto"/>
                <w:sz w:val="22"/>
                <w:szCs w:val="22"/>
              </w:rPr>
            </w:pPr>
          </w:p>
        </w:tc>
        <w:tc>
          <w:tcPr>
            <w:tcW w:w="1260" w:type="dxa"/>
            <w:vAlign w:val="center"/>
          </w:tcPr>
          <w:p w14:paraId="658F1890">
            <w:pPr>
              <w:spacing w:line="380" w:lineRule="exact"/>
              <w:jc w:val="center"/>
              <w:rPr>
                <w:rFonts w:hint="eastAsia" w:ascii="宋体" w:hAnsi="宋体"/>
                <w:b/>
                <w:bCs/>
                <w:color w:val="auto"/>
                <w:sz w:val="22"/>
                <w:szCs w:val="22"/>
              </w:rPr>
            </w:pPr>
          </w:p>
        </w:tc>
        <w:tc>
          <w:tcPr>
            <w:tcW w:w="1980" w:type="dxa"/>
            <w:vAlign w:val="center"/>
          </w:tcPr>
          <w:p w14:paraId="6F2C35FC">
            <w:pPr>
              <w:spacing w:line="380" w:lineRule="exact"/>
              <w:jc w:val="center"/>
              <w:rPr>
                <w:rFonts w:hint="eastAsia" w:ascii="宋体" w:hAnsi="宋体"/>
                <w:b/>
                <w:bCs/>
                <w:color w:val="auto"/>
                <w:sz w:val="22"/>
                <w:szCs w:val="22"/>
              </w:rPr>
            </w:pPr>
          </w:p>
        </w:tc>
        <w:tc>
          <w:tcPr>
            <w:tcW w:w="720" w:type="dxa"/>
            <w:vAlign w:val="center"/>
          </w:tcPr>
          <w:p w14:paraId="496867FD">
            <w:pPr>
              <w:spacing w:line="380" w:lineRule="exact"/>
              <w:jc w:val="center"/>
              <w:rPr>
                <w:rFonts w:hint="eastAsia" w:ascii="宋体" w:hAnsi="宋体"/>
                <w:b/>
                <w:bCs/>
                <w:color w:val="auto"/>
                <w:sz w:val="22"/>
                <w:szCs w:val="22"/>
              </w:rPr>
            </w:pPr>
          </w:p>
        </w:tc>
        <w:tc>
          <w:tcPr>
            <w:tcW w:w="900" w:type="dxa"/>
            <w:vAlign w:val="center"/>
          </w:tcPr>
          <w:p w14:paraId="23522B3A">
            <w:pPr>
              <w:spacing w:line="380" w:lineRule="exact"/>
              <w:jc w:val="center"/>
              <w:rPr>
                <w:rFonts w:hint="eastAsia" w:ascii="宋体" w:hAnsi="宋体"/>
                <w:b/>
                <w:bCs/>
                <w:color w:val="auto"/>
                <w:sz w:val="22"/>
                <w:szCs w:val="22"/>
              </w:rPr>
            </w:pPr>
          </w:p>
        </w:tc>
        <w:tc>
          <w:tcPr>
            <w:tcW w:w="1440" w:type="dxa"/>
            <w:vAlign w:val="center"/>
          </w:tcPr>
          <w:p w14:paraId="276A3D5B">
            <w:pPr>
              <w:spacing w:line="380" w:lineRule="exact"/>
              <w:jc w:val="center"/>
              <w:rPr>
                <w:rFonts w:hint="eastAsia" w:ascii="宋体" w:hAnsi="宋体"/>
                <w:b/>
                <w:bCs/>
                <w:color w:val="auto"/>
                <w:sz w:val="22"/>
                <w:szCs w:val="22"/>
              </w:rPr>
            </w:pPr>
          </w:p>
        </w:tc>
        <w:tc>
          <w:tcPr>
            <w:tcW w:w="1440" w:type="dxa"/>
            <w:vAlign w:val="center"/>
          </w:tcPr>
          <w:p w14:paraId="0F7F025A">
            <w:pPr>
              <w:spacing w:line="380" w:lineRule="exact"/>
              <w:jc w:val="center"/>
              <w:rPr>
                <w:rFonts w:hint="eastAsia" w:ascii="宋体" w:hAnsi="宋体"/>
                <w:b/>
                <w:bCs/>
                <w:color w:val="auto"/>
                <w:sz w:val="22"/>
                <w:szCs w:val="22"/>
              </w:rPr>
            </w:pPr>
          </w:p>
        </w:tc>
        <w:tc>
          <w:tcPr>
            <w:tcW w:w="1080" w:type="dxa"/>
            <w:vAlign w:val="center"/>
          </w:tcPr>
          <w:p w14:paraId="3E738975">
            <w:pPr>
              <w:spacing w:line="380" w:lineRule="exact"/>
              <w:jc w:val="center"/>
              <w:rPr>
                <w:rFonts w:hint="eastAsia" w:ascii="宋体" w:hAnsi="宋体"/>
                <w:b/>
                <w:bCs/>
                <w:color w:val="auto"/>
                <w:sz w:val="22"/>
                <w:szCs w:val="22"/>
              </w:rPr>
            </w:pPr>
          </w:p>
        </w:tc>
      </w:tr>
      <w:tr w14:paraId="0EDBD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Align w:val="center"/>
          </w:tcPr>
          <w:p w14:paraId="17F6167E">
            <w:pPr>
              <w:spacing w:line="380" w:lineRule="exact"/>
              <w:jc w:val="center"/>
              <w:rPr>
                <w:rFonts w:hint="eastAsia" w:ascii="宋体" w:hAnsi="宋体"/>
                <w:b/>
                <w:bCs/>
                <w:color w:val="auto"/>
                <w:sz w:val="22"/>
                <w:szCs w:val="22"/>
              </w:rPr>
            </w:pPr>
          </w:p>
        </w:tc>
        <w:tc>
          <w:tcPr>
            <w:tcW w:w="1260" w:type="dxa"/>
            <w:vAlign w:val="center"/>
          </w:tcPr>
          <w:p w14:paraId="11641255">
            <w:pPr>
              <w:spacing w:line="380" w:lineRule="exact"/>
              <w:jc w:val="center"/>
              <w:rPr>
                <w:rFonts w:hint="eastAsia" w:ascii="宋体" w:hAnsi="宋体"/>
                <w:b/>
                <w:bCs/>
                <w:color w:val="auto"/>
                <w:sz w:val="22"/>
                <w:szCs w:val="22"/>
              </w:rPr>
            </w:pPr>
          </w:p>
        </w:tc>
        <w:tc>
          <w:tcPr>
            <w:tcW w:w="1980" w:type="dxa"/>
            <w:vAlign w:val="center"/>
          </w:tcPr>
          <w:p w14:paraId="7FEB05C8">
            <w:pPr>
              <w:spacing w:line="380" w:lineRule="exact"/>
              <w:jc w:val="center"/>
              <w:rPr>
                <w:rFonts w:hint="eastAsia" w:ascii="宋体" w:hAnsi="宋体"/>
                <w:b/>
                <w:bCs/>
                <w:color w:val="auto"/>
                <w:sz w:val="22"/>
                <w:szCs w:val="22"/>
              </w:rPr>
            </w:pPr>
          </w:p>
        </w:tc>
        <w:tc>
          <w:tcPr>
            <w:tcW w:w="720" w:type="dxa"/>
            <w:vAlign w:val="center"/>
          </w:tcPr>
          <w:p w14:paraId="2D4AB3E8">
            <w:pPr>
              <w:spacing w:line="380" w:lineRule="exact"/>
              <w:jc w:val="center"/>
              <w:rPr>
                <w:rFonts w:hint="eastAsia" w:ascii="宋体" w:hAnsi="宋体"/>
                <w:b/>
                <w:bCs/>
                <w:color w:val="auto"/>
                <w:sz w:val="22"/>
                <w:szCs w:val="22"/>
              </w:rPr>
            </w:pPr>
          </w:p>
        </w:tc>
        <w:tc>
          <w:tcPr>
            <w:tcW w:w="900" w:type="dxa"/>
            <w:vAlign w:val="center"/>
          </w:tcPr>
          <w:p w14:paraId="30C7E63A">
            <w:pPr>
              <w:spacing w:line="380" w:lineRule="exact"/>
              <w:jc w:val="center"/>
              <w:rPr>
                <w:rFonts w:hint="eastAsia" w:ascii="宋体" w:hAnsi="宋体"/>
                <w:b/>
                <w:bCs/>
                <w:color w:val="auto"/>
                <w:sz w:val="22"/>
                <w:szCs w:val="22"/>
              </w:rPr>
            </w:pPr>
          </w:p>
        </w:tc>
        <w:tc>
          <w:tcPr>
            <w:tcW w:w="1440" w:type="dxa"/>
            <w:vAlign w:val="center"/>
          </w:tcPr>
          <w:p w14:paraId="333D0796">
            <w:pPr>
              <w:spacing w:line="380" w:lineRule="exact"/>
              <w:jc w:val="center"/>
              <w:rPr>
                <w:rFonts w:hint="eastAsia" w:ascii="宋体" w:hAnsi="宋体"/>
                <w:b/>
                <w:bCs/>
                <w:color w:val="auto"/>
                <w:sz w:val="22"/>
                <w:szCs w:val="22"/>
              </w:rPr>
            </w:pPr>
          </w:p>
        </w:tc>
        <w:tc>
          <w:tcPr>
            <w:tcW w:w="1440" w:type="dxa"/>
            <w:vAlign w:val="center"/>
          </w:tcPr>
          <w:p w14:paraId="03725AC6">
            <w:pPr>
              <w:spacing w:line="380" w:lineRule="exact"/>
              <w:jc w:val="center"/>
              <w:rPr>
                <w:rFonts w:hint="eastAsia" w:ascii="宋体" w:hAnsi="宋体"/>
                <w:b/>
                <w:bCs/>
                <w:color w:val="auto"/>
                <w:sz w:val="22"/>
                <w:szCs w:val="22"/>
              </w:rPr>
            </w:pPr>
          </w:p>
        </w:tc>
        <w:tc>
          <w:tcPr>
            <w:tcW w:w="1080" w:type="dxa"/>
            <w:vAlign w:val="center"/>
          </w:tcPr>
          <w:p w14:paraId="72073448">
            <w:pPr>
              <w:spacing w:line="380" w:lineRule="exact"/>
              <w:jc w:val="center"/>
              <w:rPr>
                <w:rFonts w:hint="eastAsia" w:ascii="宋体" w:hAnsi="宋体"/>
                <w:b/>
                <w:bCs/>
                <w:color w:val="auto"/>
                <w:sz w:val="22"/>
                <w:szCs w:val="22"/>
              </w:rPr>
            </w:pPr>
          </w:p>
        </w:tc>
      </w:tr>
      <w:tr w14:paraId="2799E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Align w:val="center"/>
          </w:tcPr>
          <w:p w14:paraId="7515C6AD">
            <w:pPr>
              <w:spacing w:line="380" w:lineRule="exact"/>
              <w:jc w:val="center"/>
              <w:rPr>
                <w:rFonts w:hint="eastAsia" w:ascii="宋体" w:hAnsi="宋体"/>
                <w:b/>
                <w:bCs/>
                <w:color w:val="auto"/>
                <w:sz w:val="22"/>
                <w:szCs w:val="22"/>
              </w:rPr>
            </w:pPr>
          </w:p>
        </w:tc>
        <w:tc>
          <w:tcPr>
            <w:tcW w:w="1260" w:type="dxa"/>
            <w:vAlign w:val="center"/>
          </w:tcPr>
          <w:p w14:paraId="13E02A15">
            <w:pPr>
              <w:spacing w:line="380" w:lineRule="exact"/>
              <w:jc w:val="center"/>
              <w:rPr>
                <w:rFonts w:hint="eastAsia" w:ascii="宋体" w:hAnsi="宋体"/>
                <w:b/>
                <w:bCs/>
                <w:color w:val="auto"/>
                <w:sz w:val="22"/>
                <w:szCs w:val="22"/>
              </w:rPr>
            </w:pPr>
          </w:p>
        </w:tc>
        <w:tc>
          <w:tcPr>
            <w:tcW w:w="1980" w:type="dxa"/>
            <w:vAlign w:val="center"/>
          </w:tcPr>
          <w:p w14:paraId="58EFAF7F">
            <w:pPr>
              <w:spacing w:line="380" w:lineRule="exact"/>
              <w:jc w:val="center"/>
              <w:rPr>
                <w:rFonts w:hint="eastAsia" w:ascii="宋体" w:hAnsi="宋体"/>
                <w:b/>
                <w:bCs/>
                <w:color w:val="auto"/>
                <w:sz w:val="22"/>
                <w:szCs w:val="22"/>
              </w:rPr>
            </w:pPr>
          </w:p>
        </w:tc>
        <w:tc>
          <w:tcPr>
            <w:tcW w:w="720" w:type="dxa"/>
            <w:vAlign w:val="center"/>
          </w:tcPr>
          <w:p w14:paraId="3B64E576">
            <w:pPr>
              <w:spacing w:line="380" w:lineRule="exact"/>
              <w:jc w:val="center"/>
              <w:rPr>
                <w:rFonts w:hint="eastAsia" w:ascii="宋体" w:hAnsi="宋体"/>
                <w:b/>
                <w:bCs/>
                <w:color w:val="auto"/>
                <w:sz w:val="22"/>
                <w:szCs w:val="22"/>
              </w:rPr>
            </w:pPr>
          </w:p>
        </w:tc>
        <w:tc>
          <w:tcPr>
            <w:tcW w:w="900" w:type="dxa"/>
            <w:vAlign w:val="center"/>
          </w:tcPr>
          <w:p w14:paraId="39651B03">
            <w:pPr>
              <w:spacing w:line="380" w:lineRule="exact"/>
              <w:jc w:val="center"/>
              <w:rPr>
                <w:rFonts w:hint="eastAsia" w:ascii="宋体" w:hAnsi="宋体"/>
                <w:b/>
                <w:bCs/>
                <w:color w:val="auto"/>
                <w:sz w:val="22"/>
                <w:szCs w:val="22"/>
              </w:rPr>
            </w:pPr>
          </w:p>
        </w:tc>
        <w:tc>
          <w:tcPr>
            <w:tcW w:w="1440" w:type="dxa"/>
            <w:vAlign w:val="center"/>
          </w:tcPr>
          <w:p w14:paraId="27852642">
            <w:pPr>
              <w:spacing w:line="380" w:lineRule="exact"/>
              <w:jc w:val="center"/>
              <w:rPr>
                <w:rFonts w:hint="eastAsia" w:ascii="宋体" w:hAnsi="宋体"/>
                <w:b/>
                <w:bCs/>
                <w:color w:val="auto"/>
                <w:sz w:val="22"/>
                <w:szCs w:val="22"/>
              </w:rPr>
            </w:pPr>
          </w:p>
        </w:tc>
        <w:tc>
          <w:tcPr>
            <w:tcW w:w="1440" w:type="dxa"/>
            <w:vAlign w:val="center"/>
          </w:tcPr>
          <w:p w14:paraId="190C33AC">
            <w:pPr>
              <w:spacing w:line="380" w:lineRule="exact"/>
              <w:jc w:val="center"/>
              <w:rPr>
                <w:rFonts w:hint="eastAsia" w:ascii="宋体" w:hAnsi="宋体"/>
                <w:b/>
                <w:bCs/>
                <w:color w:val="auto"/>
                <w:sz w:val="22"/>
                <w:szCs w:val="22"/>
              </w:rPr>
            </w:pPr>
          </w:p>
        </w:tc>
        <w:tc>
          <w:tcPr>
            <w:tcW w:w="1080" w:type="dxa"/>
            <w:vAlign w:val="center"/>
          </w:tcPr>
          <w:p w14:paraId="591410C5">
            <w:pPr>
              <w:spacing w:line="380" w:lineRule="exact"/>
              <w:jc w:val="center"/>
              <w:rPr>
                <w:rFonts w:hint="eastAsia" w:ascii="宋体" w:hAnsi="宋体"/>
                <w:b/>
                <w:bCs/>
                <w:color w:val="auto"/>
                <w:sz w:val="22"/>
                <w:szCs w:val="22"/>
              </w:rPr>
            </w:pPr>
          </w:p>
        </w:tc>
      </w:tr>
      <w:tr w14:paraId="3B96B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Align w:val="center"/>
          </w:tcPr>
          <w:p w14:paraId="07CEC784">
            <w:pPr>
              <w:spacing w:line="380" w:lineRule="exact"/>
              <w:jc w:val="center"/>
              <w:rPr>
                <w:rFonts w:hint="eastAsia" w:ascii="宋体" w:hAnsi="宋体"/>
                <w:b/>
                <w:bCs/>
                <w:color w:val="auto"/>
                <w:sz w:val="22"/>
                <w:szCs w:val="22"/>
              </w:rPr>
            </w:pPr>
          </w:p>
        </w:tc>
        <w:tc>
          <w:tcPr>
            <w:tcW w:w="1260" w:type="dxa"/>
            <w:vAlign w:val="center"/>
          </w:tcPr>
          <w:p w14:paraId="5BAE752B">
            <w:pPr>
              <w:spacing w:line="380" w:lineRule="exact"/>
              <w:jc w:val="center"/>
              <w:rPr>
                <w:rFonts w:hint="eastAsia" w:ascii="宋体" w:hAnsi="宋体"/>
                <w:b/>
                <w:bCs/>
                <w:color w:val="auto"/>
                <w:sz w:val="22"/>
                <w:szCs w:val="22"/>
              </w:rPr>
            </w:pPr>
          </w:p>
        </w:tc>
        <w:tc>
          <w:tcPr>
            <w:tcW w:w="1980" w:type="dxa"/>
            <w:vAlign w:val="center"/>
          </w:tcPr>
          <w:p w14:paraId="55E3AB54">
            <w:pPr>
              <w:spacing w:line="380" w:lineRule="exact"/>
              <w:jc w:val="center"/>
              <w:rPr>
                <w:rFonts w:hint="eastAsia" w:ascii="宋体" w:hAnsi="宋体"/>
                <w:b/>
                <w:bCs/>
                <w:color w:val="auto"/>
                <w:sz w:val="22"/>
                <w:szCs w:val="22"/>
              </w:rPr>
            </w:pPr>
          </w:p>
        </w:tc>
        <w:tc>
          <w:tcPr>
            <w:tcW w:w="720" w:type="dxa"/>
            <w:vAlign w:val="center"/>
          </w:tcPr>
          <w:p w14:paraId="0ABDB5EC">
            <w:pPr>
              <w:spacing w:line="380" w:lineRule="exact"/>
              <w:jc w:val="center"/>
              <w:rPr>
                <w:rFonts w:hint="eastAsia" w:ascii="宋体" w:hAnsi="宋体"/>
                <w:b/>
                <w:bCs/>
                <w:color w:val="auto"/>
                <w:sz w:val="22"/>
                <w:szCs w:val="22"/>
              </w:rPr>
            </w:pPr>
          </w:p>
        </w:tc>
        <w:tc>
          <w:tcPr>
            <w:tcW w:w="900" w:type="dxa"/>
            <w:vAlign w:val="center"/>
          </w:tcPr>
          <w:p w14:paraId="413A5D3C">
            <w:pPr>
              <w:spacing w:line="380" w:lineRule="exact"/>
              <w:jc w:val="center"/>
              <w:rPr>
                <w:rFonts w:hint="eastAsia" w:ascii="宋体" w:hAnsi="宋体"/>
                <w:b/>
                <w:bCs/>
                <w:color w:val="auto"/>
                <w:sz w:val="22"/>
                <w:szCs w:val="22"/>
              </w:rPr>
            </w:pPr>
          </w:p>
        </w:tc>
        <w:tc>
          <w:tcPr>
            <w:tcW w:w="1440" w:type="dxa"/>
            <w:vAlign w:val="center"/>
          </w:tcPr>
          <w:p w14:paraId="0EDCDBC7">
            <w:pPr>
              <w:spacing w:line="380" w:lineRule="exact"/>
              <w:jc w:val="center"/>
              <w:rPr>
                <w:rFonts w:hint="eastAsia" w:ascii="宋体" w:hAnsi="宋体"/>
                <w:b/>
                <w:bCs/>
                <w:color w:val="auto"/>
                <w:sz w:val="22"/>
                <w:szCs w:val="22"/>
              </w:rPr>
            </w:pPr>
          </w:p>
        </w:tc>
        <w:tc>
          <w:tcPr>
            <w:tcW w:w="1440" w:type="dxa"/>
            <w:vAlign w:val="center"/>
          </w:tcPr>
          <w:p w14:paraId="01F5E12D">
            <w:pPr>
              <w:spacing w:line="380" w:lineRule="exact"/>
              <w:jc w:val="center"/>
              <w:rPr>
                <w:rFonts w:hint="eastAsia" w:ascii="宋体" w:hAnsi="宋体"/>
                <w:b/>
                <w:bCs/>
                <w:color w:val="auto"/>
                <w:sz w:val="22"/>
                <w:szCs w:val="22"/>
              </w:rPr>
            </w:pPr>
          </w:p>
        </w:tc>
        <w:tc>
          <w:tcPr>
            <w:tcW w:w="1080" w:type="dxa"/>
            <w:vAlign w:val="center"/>
          </w:tcPr>
          <w:p w14:paraId="36F32894">
            <w:pPr>
              <w:spacing w:line="380" w:lineRule="exact"/>
              <w:jc w:val="center"/>
              <w:rPr>
                <w:rFonts w:hint="eastAsia" w:ascii="宋体" w:hAnsi="宋体"/>
                <w:b/>
                <w:bCs/>
                <w:color w:val="auto"/>
                <w:sz w:val="22"/>
                <w:szCs w:val="22"/>
              </w:rPr>
            </w:pPr>
          </w:p>
        </w:tc>
      </w:tr>
      <w:tr w14:paraId="7B4F5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Align w:val="center"/>
          </w:tcPr>
          <w:p w14:paraId="7E3DFAFB">
            <w:pPr>
              <w:spacing w:line="380" w:lineRule="exact"/>
              <w:jc w:val="center"/>
              <w:rPr>
                <w:rFonts w:hint="eastAsia" w:ascii="宋体" w:hAnsi="宋体"/>
                <w:b/>
                <w:bCs/>
                <w:color w:val="auto"/>
                <w:sz w:val="22"/>
                <w:szCs w:val="22"/>
              </w:rPr>
            </w:pPr>
          </w:p>
        </w:tc>
        <w:tc>
          <w:tcPr>
            <w:tcW w:w="1260" w:type="dxa"/>
            <w:vAlign w:val="center"/>
          </w:tcPr>
          <w:p w14:paraId="26F022E8">
            <w:pPr>
              <w:spacing w:line="380" w:lineRule="exact"/>
              <w:jc w:val="center"/>
              <w:rPr>
                <w:rFonts w:hint="eastAsia" w:ascii="宋体" w:hAnsi="宋体"/>
                <w:b/>
                <w:bCs/>
                <w:color w:val="auto"/>
                <w:sz w:val="22"/>
                <w:szCs w:val="22"/>
              </w:rPr>
            </w:pPr>
          </w:p>
        </w:tc>
        <w:tc>
          <w:tcPr>
            <w:tcW w:w="1980" w:type="dxa"/>
            <w:vAlign w:val="center"/>
          </w:tcPr>
          <w:p w14:paraId="732B1931">
            <w:pPr>
              <w:spacing w:line="380" w:lineRule="exact"/>
              <w:jc w:val="center"/>
              <w:rPr>
                <w:rFonts w:hint="eastAsia" w:ascii="宋体" w:hAnsi="宋体"/>
                <w:b/>
                <w:bCs/>
                <w:color w:val="auto"/>
                <w:sz w:val="22"/>
                <w:szCs w:val="22"/>
              </w:rPr>
            </w:pPr>
          </w:p>
        </w:tc>
        <w:tc>
          <w:tcPr>
            <w:tcW w:w="720" w:type="dxa"/>
            <w:vAlign w:val="center"/>
          </w:tcPr>
          <w:p w14:paraId="02E66567">
            <w:pPr>
              <w:spacing w:line="380" w:lineRule="exact"/>
              <w:jc w:val="center"/>
              <w:rPr>
                <w:rFonts w:hint="eastAsia" w:ascii="宋体" w:hAnsi="宋体"/>
                <w:b/>
                <w:bCs/>
                <w:color w:val="auto"/>
                <w:sz w:val="22"/>
                <w:szCs w:val="22"/>
              </w:rPr>
            </w:pPr>
          </w:p>
        </w:tc>
        <w:tc>
          <w:tcPr>
            <w:tcW w:w="900" w:type="dxa"/>
            <w:vAlign w:val="center"/>
          </w:tcPr>
          <w:p w14:paraId="33ACF9DE">
            <w:pPr>
              <w:spacing w:line="380" w:lineRule="exact"/>
              <w:jc w:val="center"/>
              <w:rPr>
                <w:rFonts w:hint="eastAsia" w:ascii="宋体" w:hAnsi="宋体"/>
                <w:b/>
                <w:bCs/>
                <w:color w:val="auto"/>
                <w:sz w:val="22"/>
                <w:szCs w:val="22"/>
              </w:rPr>
            </w:pPr>
          </w:p>
        </w:tc>
        <w:tc>
          <w:tcPr>
            <w:tcW w:w="1440" w:type="dxa"/>
            <w:vAlign w:val="center"/>
          </w:tcPr>
          <w:p w14:paraId="62E43B41">
            <w:pPr>
              <w:spacing w:line="380" w:lineRule="exact"/>
              <w:jc w:val="center"/>
              <w:rPr>
                <w:rFonts w:hint="eastAsia" w:ascii="宋体" w:hAnsi="宋体"/>
                <w:b/>
                <w:bCs/>
                <w:color w:val="auto"/>
                <w:sz w:val="22"/>
                <w:szCs w:val="22"/>
              </w:rPr>
            </w:pPr>
          </w:p>
        </w:tc>
        <w:tc>
          <w:tcPr>
            <w:tcW w:w="1440" w:type="dxa"/>
            <w:vAlign w:val="center"/>
          </w:tcPr>
          <w:p w14:paraId="5D731E6D">
            <w:pPr>
              <w:spacing w:line="380" w:lineRule="exact"/>
              <w:jc w:val="center"/>
              <w:rPr>
                <w:rFonts w:hint="eastAsia" w:ascii="宋体" w:hAnsi="宋体"/>
                <w:b/>
                <w:bCs/>
                <w:color w:val="auto"/>
                <w:sz w:val="22"/>
                <w:szCs w:val="22"/>
              </w:rPr>
            </w:pPr>
          </w:p>
        </w:tc>
        <w:tc>
          <w:tcPr>
            <w:tcW w:w="1080" w:type="dxa"/>
            <w:vAlign w:val="center"/>
          </w:tcPr>
          <w:p w14:paraId="01544942">
            <w:pPr>
              <w:spacing w:line="380" w:lineRule="exact"/>
              <w:jc w:val="center"/>
              <w:rPr>
                <w:rFonts w:hint="eastAsia" w:ascii="宋体" w:hAnsi="宋体"/>
                <w:b/>
                <w:bCs/>
                <w:color w:val="auto"/>
                <w:sz w:val="22"/>
                <w:szCs w:val="22"/>
              </w:rPr>
            </w:pPr>
          </w:p>
        </w:tc>
      </w:tr>
      <w:tr w14:paraId="15210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 w:type="dxa"/>
            <w:vAlign w:val="center"/>
          </w:tcPr>
          <w:p w14:paraId="2563448C">
            <w:pPr>
              <w:spacing w:line="380" w:lineRule="exact"/>
              <w:jc w:val="center"/>
              <w:rPr>
                <w:rFonts w:hint="eastAsia" w:ascii="宋体" w:hAnsi="宋体"/>
                <w:b/>
                <w:bCs/>
                <w:color w:val="auto"/>
                <w:sz w:val="22"/>
                <w:szCs w:val="22"/>
              </w:rPr>
            </w:pPr>
          </w:p>
        </w:tc>
        <w:tc>
          <w:tcPr>
            <w:tcW w:w="1260" w:type="dxa"/>
            <w:vAlign w:val="center"/>
          </w:tcPr>
          <w:p w14:paraId="0C9B43F0">
            <w:pPr>
              <w:spacing w:line="380" w:lineRule="exact"/>
              <w:jc w:val="center"/>
              <w:rPr>
                <w:rFonts w:hint="eastAsia" w:ascii="宋体" w:hAnsi="宋体"/>
                <w:b/>
                <w:bCs/>
                <w:color w:val="auto"/>
                <w:sz w:val="22"/>
                <w:szCs w:val="22"/>
              </w:rPr>
            </w:pPr>
          </w:p>
        </w:tc>
        <w:tc>
          <w:tcPr>
            <w:tcW w:w="1980" w:type="dxa"/>
            <w:vAlign w:val="center"/>
          </w:tcPr>
          <w:p w14:paraId="216667B2">
            <w:pPr>
              <w:spacing w:line="380" w:lineRule="exact"/>
              <w:jc w:val="center"/>
              <w:rPr>
                <w:rFonts w:hint="eastAsia" w:ascii="宋体" w:hAnsi="宋体"/>
                <w:b/>
                <w:bCs/>
                <w:color w:val="auto"/>
                <w:sz w:val="22"/>
                <w:szCs w:val="22"/>
              </w:rPr>
            </w:pPr>
          </w:p>
        </w:tc>
        <w:tc>
          <w:tcPr>
            <w:tcW w:w="720" w:type="dxa"/>
            <w:vAlign w:val="center"/>
          </w:tcPr>
          <w:p w14:paraId="44A563CE">
            <w:pPr>
              <w:spacing w:line="380" w:lineRule="exact"/>
              <w:jc w:val="center"/>
              <w:rPr>
                <w:rFonts w:hint="eastAsia" w:ascii="宋体" w:hAnsi="宋体"/>
                <w:b/>
                <w:bCs/>
                <w:color w:val="auto"/>
                <w:sz w:val="22"/>
                <w:szCs w:val="22"/>
              </w:rPr>
            </w:pPr>
          </w:p>
        </w:tc>
        <w:tc>
          <w:tcPr>
            <w:tcW w:w="900" w:type="dxa"/>
            <w:vAlign w:val="center"/>
          </w:tcPr>
          <w:p w14:paraId="733A6895">
            <w:pPr>
              <w:spacing w:line="380" w:lineRule="exact"/>
              <w:jc w:val="center"/>
              <w:rPr>
                <w:rFonts w:hint="eastAsia" w:ascii="宋体" w:hAnsi="宋体"/>
                <w:b/>
                <w:bCs/>
                <w:color w:val="auto"/>
                <w:sz w:val="22"/>
                <w:szCs w:val="22"/>
              </w:rPr>
            </w:pPr>
          </w:p>
        </w:tc>
        <w:tc>
          <w:tcPr>
            <w:tcW w:w="1440" w:type="dxa"/>
            <w:vAlign w:val="center"/>
          </w:tcPr>
          <w:p w14:paraId="58E92A1D">
            <w:pPr>
              <w:spacing w:line="380" w:lineRule="exact"/>
              <w:jc w:val="center"/>
              <w:rPr>
                <w:rFonts w:hint="eastAsia" w:ascii="宋体" w:hAnsi="宋体"/>
                <w:b/>
                <w:bCs/>
                <w:color w:val="auto"/>
                <w:sz w:val="22"/>
                <w:szCs w:val="22"/>
              </w:rPr>
            </w:pPr>
          </w:p>
        </w:tc>
        <w:tc>
          <w:tcPr>
            <w:tcW w:w="1440" w:type="dxa"/>
            <w:vAlign w:val="center"/>
          </w:tcPr>
          <w:p w14:paraId="3402B0D1">
            <w:pPr>
              <w:spacing w:line="380" w:lineRule="exact"/>
              <w:jc w:val="center"/>
              <w:rPr>
                <w:rFonts w:hint="eastAsia" w:ascii="宋体" w:hAnsi="宋体"/>
                <w:b/>
                <w:bCs/>
                <w:color w:val="auto"/>
                <w:sz w:val="22"/>
                <w:szCs w:val="22"/>
              </w:rPr>
            </w:pPr>
          </w:p>
        </w:tc>
        <w:tc>
          <w:tcPr>
            <w:tcW w:w="1080" w:type="dxa"/>
            <w:vAlign w:val="center"/>
          </w:tcPr>
          <w:p w14:paraId="19C1FE51">
            <w:pPr>
              <w:spacing w:line="380" w:lineRule="exact"/>
              <w:jc w:val="center"/>
              <w:rPr>
                <w:rFonts w:hint="eastAsia" w:ascii="宋体" w:hAnsi="宋体"/>
                <w:b/>
                <w:bCs/>
                <w:color w:val="auto"/>
                <w:sz w:val="22"/>
                <w:szCs w:val="22"/>
              </w:rPr>
            </w:pPr>
          </w:p>
        </w:tc>
      </w:tr>
    </w:tbl>
    <w:p w14:paraId="31935E9B">
      <w:pPr>
        <w:spacing w:line="380" w:lineRule="exact"/>
        <w:ind w:firstLine="5963" w:firstLineChars="2700"/>
        <w:rPr>
          <w:rFonts w:hint="eastAsia" w:ascii="宋体" w:hAnsi="宋体"/>
          <w:b/>
          <w:bCs/>
          <w:color w:val="auto"/>
          <w:sz w:val="22"/>
          <w:szCs w:val="22"/>
        </w:rPr>
      </w:pPr>
    </w:p>
    <w:p w14:paraId="70934CA8">
      <w:pPr>
        <w:spacing w:line="440" w:lineRule="exact"/>
        <w:jc w:val="center"/>
        <w:rPr>
          <w:rFonts w:hint="eastAsia" w:ascii="宋体" w:hAnsi="宋体"/>
          <w:b/>
          <w:bCs/>
          <w:color w:val="auto"/>
          <w:sz w:val="28"/>
          <w:szCs w:val="28"/>
        </w:rPr>
      </w:pPr>
      <w:r>
        <w:rPr>
          <w:rFonts w:hint="eastAsia" w:ascii="宋体" w:hAnsi="宋体"/>
          <w:b/>
          <w:bCs/>
          <w:color w:val="auto"/>
          <w:sz w:val="28"/>
          <w:szCs w:val="28"/>
        </w:rPr>
        <w:t>（2）随机备品备件、易损易耗件和专用工具清单（如有）</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328"/>
        <w:gridCol w:w="1470"/>
        <w:gridCol w:w="931"/>
        <w:gridCol w:w="2340"/>
        <w:gridCol w:w="1570"/>
      </w:tblGrid>
      <w:tr w14:paraId="542B8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Align w:val="center"/>
          </w:tcPr>
          <w:p w14:paraId="36E13213">
            <w:pPr>
              <w:spacing w:line="380" w:lineRule="exact"/>
              <w:jc w:val="center"/>
              <w:rPr>
                <w:rFonts w:hint="eastAsia" w:ascii="宋体" w:hAnsi="宋体"/>
                <w:b/>
                <w:bCs/>
                <w:color w:val="auto"/>
                <w:sz w:val="22"/>
                <w:szCs w:val="22"/>
              </w:rPr>
            </w:pPr>
            <w:r>
              <w:rPr>
                <w:rFonts w:hint="eastAsia" w:ascii="宋体" w:hAnsi="宋体"/>
                <w:b/>
                <w:bCs/>
                <w:color w:val="auto"/>
                <w:sz w:val="22"/>
                <w:szCs w:val="22"/>
              </w:rPr>
              <w:t>序号</w:t>
            </w:r>
          </w:p>
        </w:tc>
        <w:tc>
          <w:tcPr>
            <w:tcW w:w="2328" w:type="dxa"/>
            <w:vAlign w:val="center"/>
          </w:tcPr>
          <w:p w14:paraId="38470B68">
            <w:pPr>
              <w:spacing w:line="380" w:lineRule="exact"/>
              <w:jc w:val="center"/>
              <w:rPr>
                <w:rFonts w:hint="eastAsia" w:ascii="宋体" w:hAnsi="宋体"/>
                <w:b/>
                <w:bCs/>
                <w:color w:val="auto"/>
                <w:sz w:val="22"/>
                <w:szCs w:val="22"/>
              </w:rPr>
            </w:pPr>
            <w:r>
              <w:rPr>
                <w:rFonts w:hint="eastAsia" w:ascii="宋体" w:hAnsi="宋体"/>
                <w:b/>
                <w:bCs/>
                <w:color w:val="auto"/>
                <w:sz w:val="22"/>
                <w:szCs w:val="22"/>
              </w:rPr>
              <w:t>名  称</w:t>
            </w:r>
          </w:p>
        </w:tc>
        <w:tc>
          <w:tcPr>
            <w:tcW w:w="1470" w:type="dxa"/>
            <w:vAlign w:val="center"/>
          </w:tcPr>
          <w:p w14:paraId="1CE4B92E">
            <w:pPr>
              <w:spacing w:line="380" w:lineRule="exact"/>
              <w:jc w:val="center"/>
              <w:rPr>
                <w:rFonts w:hint="eastAsia" w:ascii="宋体" w:hAnsi="宋体"/>
                <w:b/>
                <w:bCs/>
                <w:color w:val="auto"/>
                <w:sz w:val="22"/>
                <w:szCs w:val="22"/>
              </w:rPr>
            </w:pPr>
            <w:r>
              <w:rPr>
                <w:rFonts w:hint="eastAsia" w:ascii="宋体" w:hAnsi="宋体"/>
                <w:b/>
                <w:bCs/>
                <w:color w:val="auto"/>
                <w:sz w:val="22"/>
                <w:szCs w:val="22"/>
              </w:rPr>
              <w:t>型号规格</w:t>
            </w:r>
          </w:p>
        </w:tc>
        <w:tc>
          <w:tcPr>
            <w:tcW w:w="931" w:type="dxa"/>
            <w:vAlign w:val="center"/>
          </w:tcPr>
          <w:p w14:paraId="11EC6B78">
            <w:pPr>
              <w:spacing w:line="380" w:lineRule="exact"/>
              <w:jc w:val="center"/>
              <w:rPr>
                <w:rFonts w:hint="eastAsia" w:ascii="宋体" w:hAnsi="宋体"/>
                <w:b/>
                <w:bCs/>
                <w:color w:val="auto"/>
                <w:sz w:val="22"/>
                <w:szCs w:val="22"/>
              </w:rPr>
            </w:pPr>
            <w:r>
              <w:rPr>
                <w:rFonts w:hint="eastAsia" w:ascii="宋体" w:hAnsi="宋体"/>
                <w:b/>
                <w:bCs/>
                <w:color w:val="auto"/>
                <w:sz w:val="22"/>
                <w:szCs w:val="22"/>
              </w:rPr>
              <w:t>数量</w:t>
            </w:r>
          </w:p>
        </w:tc>
        <w:tc>
          <w:tcPr>
            <w:tcW w:w="2340" w:type="dxa"/>
            <w:vAlign w:val="center"/>
          </w:tcPr>
          <w:p w14:paraId="29BEC89A">
            <w:pPr>
              <w:spacing w:line="380" w:lineRule="exact"/>
              <w:jc w:val="center"/>
              <w:rPr>
                <w:rFonts w:hint="eastAsia" w:ascii="宋体" w:hAnsi="宋体"/>
                <w:b/>
                <w:bCs/>
                <w:color w:val="auto"/>
                <w:sz w:val="22"/>
                <w:szCs w:val="22"/>
              </w:rPr>
            </w:pPr>
            <w:r>
              <w:rPr>
                <w:rFonts w:hint="eastAsia" w:ascii="宋体" w:hAnsi="宋体"/>
                <w:b/>
                <w:bCs/>
                <w:color w:val="auto"/>
                <w:sz w:val="22"/>
                <w:szCs w:val="22"/>
              </w:rPr>
              <w:t>原产地/</w:t>
            </w:r>
            <w:r>
              <w:rPr>
                <w:rFonts w:hint="eastAsia" w:ascii="宋体" w:hAnsi="宋体"/>
                <w:b/>
                <w:bCs/>
                <w:color w:val="auto"/>
                <w:sz w:val="22"/>
                <w:szCs w:val="22"/>
                <w:lang w:val="en-US" w:eastAsia="zh-CN"/>
              </w:rPr>
              <w:t>生产厂家</w:t>
            </w:r>
          </w:p>
        </w:tc>
        <w:tc>
          <w:tcPr>
            <w:tcW w:w="1570" w:type="dxa"/>
            <w:vAlign w:val="center"/>
          </w:tcPr>
          <w:p w14:paraId="2AF3FC5C">
            <w:pPr>
              <w:spacing w:line="380" w:lineRule="exact"/>
              <w:jc w:val="center"/>
              <w:rPr>
                <w:rFonts w:hint="eastAsia" w:ascii="宋体" w:hAnsi="宋体"/>
                <w:b/>
                <w:bCs/>
                <w:color w:val="auto"/>
                <w:sz w:val="22"/>
                <w:szCs w:val="22"/>
              </w:rPr>
            </w:pPr>
            <w:r>
              <w:rPr>
                <w:rFonts w:hint="eastAsia" w:ascii="宋体" w:hAnsi="宋体"/>
                <w:b/>
                <w:bCs/>
                <w:color w:val="auto"/>
                <w:sz w:val="22"/>
                <w:szCs w:val="22"/>
              </w:rPr>
              <w:t>备注</w:t>
            </w:r>
          </w:p>
        </w:tc>
      </w:tr>
      <w:tr w14:paraId="0DECE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Align w:val="center"/>
          </w:tcPr>
          <w:p w14:paraId="47DC4E9E">
            <w:pPr>
              <w:spacing w:line="380" w:lineRule="exact"/>
              <w:jc w:val="center"/>
              <w:rPr>
                <w:rFonts w:hint="eastAsia" w:ascii="宋体" w:hAnsi="宋体"/>
                <w:b/>
                <w:bCs/>
                <w:color w:val="auto"/>
                <w:sz w:val="22"/>
                <w:szCs w:val="22"/>
              </w:rPr>
            </w:pPr>
          </w:p>
        </w:tc>
        <w:tc>
          <w:tcPr>
            <w:tcW w:w="2328" w:type="dxa"/>
            <w:vAlign w:val="center"/>
          </w:tcPr>
          <w:p w14:paraId="5C0F2EC9">
            <w:pPr>
              <w:spacing w:line="380" w:lineRule="exact"/>
              <w:jc w:val="center"/>
              <w:rPr>
                <w:rFonts w:hint="eastAsia" w:ascii="宋体" w:hAnsi="宋体"/>
                <w:b/>
                <w:bCs/>
                <w:color w:val="auto"/>
                <w:sz w:val="22"/>
                <w:szCs w:val="22"/>
              </w:rPr>
            </w:pPr>
          </w:p>
        </w:tc>
        <w:tc>
          <w:tcPr>
            <w:tcW w:w="1470" w:type="dxa"/>
            <w:vAlign w:val="center"/>
          </w:tcPr>
          <w:p w14:paraId="4722C0E1">
            <w:pPr>
              <w:spacing w:line="380" w:lineRule="exact"/>
              <w:jc w:val="center"/>
              <w:rPr>
                <w:rFonts w:hint="eastAsia" w:ascii="宋体" w:hAnsi="宋体"/>
                <w:b/>
                <w:bCs/>
                <w:color w:val="auto"/>
                <w:sz w:val="22"/>
                <w:szCs w:val="22"/>
              </w:rPr>
            </w:pPr>
          </w:p>
        </w:tc>
        <w:tc>
          <w:tcPr>
            <w:tcW w:w="931" w:type="dxa"/>
            <w:vAlign w:val="center"/>
          </w:tcPr>
          <w:p w14:paraId="2CA3C2D5">
            <w:pPr>
              <w:spacing w:line="380" w:lineRule="exact"/>
              <w:jc w:val="center"/>
              <w:rPr>
                <w:rFonts w:hint="eastAsia" w:ascii="宋体" w:hAnsi="宋体"/>
                <w:b/>
                <w:bCs/>
                <w:color w:val="auto"/>
                <w:sz w:val="22"/>
                <w:szCs w:val="22"/>
              </w:rPr>
            </w:pPr>
          </w:p>
        </w:tc>
        <w:tc>
          <w:tcPr>
            <w:tcW w:w="2340" w:type="dxa"/>
            <w:vAlign w:val="center"/>
          </w:tcPr>
          <w:p w14:paraId="2D73B1EC">
            <w:pPr>
              <w:spacing w:line="380" w:lineRule="exact"/>
              <w:jc w:val="center"/>
              <w:rPr>
                <w:rFonts w:hint="eastAsia" w:ascii="宋体" w:hAnsi="宋体"/>
                <w:b/>
                <w:bCs/>
                <w:color w:val="auto"/>
                <w:sz w:val="22"/>
                <w:szCs w:val="22"/>
              </w:rPr>
            </w:pPr>
          </w:p>
        </w:tc>
        <w:tc>
          <w:tcPr>
            <w:tcW w:w="1570" w:type="dxa"/>
            <w:vAlign w:val="center"/>
          </w:tcPr>
          <w:p w14:paraId="6DB29692">
            <w:pPr>
              <w:spacing w:line="380" w:lineRule="exact"/>
              <w:jc w:val="center"/>
              <w:rPr>
                <w:rFonts w:hint="eastAsia" w:ascii="宋体" w:hAnsi="宋体"/>
                <w:b/>
                <w:bCs/>
                <w:color w:val="auto"/>
                <w:sz w:val="22"/>
                <w:szCs w:val="22"/>
              </w:rPr>
            </w:pPr>
          </w:p>
        </w:tc>
      </w:tr>
      <w:tr w14:paraId="3CFD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Align w:val="center"/>
          </w:tcPr>
          <w:p w14:paraId="661456CD">
            <w:pPr>
              <w:spacing w:line="380" w:lineRule="exact"/>
              <w:jc w:val="center"/>
              <w:rPr>
                <w:rFonts w:hint="eastAsia" w:ascii="宋体" w:hAnsi="宋体"/>
                <w:b/>
                <w:bCs/>
                <w:color w:val="auto"/>
                <w:sz w:val="22"/>
                <w:szCs w:val="22"/>
              </w:rPr>
            </w:pPr>
          </w:p>
        </w:tc>
        <w:tc>
          <w:tcPr>
            <w:tcW w:w="2328" w:type="dxa"/>
            <w:vAlign w:val="center"/>
          </w:tcPr>
          <w:p w14:paraId="4E71E365">
            <w:pPr>
              <w:spacing w:line="380" w:lineRule="exact"/>
              <w:jc w:val="center"/>
              <w:rPr>
                <w:rFonts w:hint="eastAsia" w:ascii="宋体" w:hAnsi="宋体"/>
                <w:b/>
                <w:bCs/>
                <w:color w:val="auto"/>
                <w:sz w:val="22"/>
                <w:szCs w:val="22"/>
              </w:rPr>
            </w:pPr>
          </w:p>
        </w:tc>
        <w:tc>
          <w:tcPr>
            <w:tcW w:w="1470" w:type="dxa"/>
            <w:vAlign w:val="center"/>
          </w:tcPr>
          <w:p w14:paraId="17EFC005">
            <w:pPr>
              <w:spacing w:line="380" w:lineRule="exact"/>
              <w:jc w:val="center"/>
              <w:rPr>
                <w:rFonts w:hint="eastAsia" w:ascii="宋体" w:hAnsi="宋体"/>
                <w:b/>
                <w:bCs/>
                <w:color w:val="auto"/>
                <w:sz w:val="22"/>
                <w:szCs w:val="22"/>
              </w:rPr>
            </w:pPr>
          </w:p>
        </w:tc>
        <w:tc>
          <w:tcPr>
            <w:tcW w:w="931" w:type="dxa"/>
            <w:vAlign w:val="center"/>
          </w:tcPr>
          <w:p w14:paraId="2BA866C0">
            <w:pPr>
              <w:spacing w:line="380" w:lineRule="exact"/>
              <w:jc w:val="center"/>
              <w:rPr>
                <w:rFonts w:hint="eastAsia" w:ascii="宋体" w:hAnsi="宋体"/>
                <w:b/>
                <w:bCs/>
                <w:color w:val="auto"/>
                <w:sz w:val="22"/>
                <w:szCs w:val="22"/>
              </w:rPr>
            </w:pPr>
          </w:p>
        </w:tc>
        <w:tc>
          <w:tcPr>
            <w:tcW w:w="2340" w:type="dxa"/>
            <w:vAlign w:val="center"/>
          </w:tcPr>
          <w:p w14:paraId="552F04BB">
            <w:pPr>
              <w:spacing w:line="380" w:lineRule="exact"/>
              <w:jc w:val="center"/>
              <w:rPr>
                <w:rFonts w:hint="eastAsia" w:ascii="宋体" w:hAnsi="宋体"/>
                <w:b/>
                <w:bCs/>
                <w:color w:val="auto"/>
                <w:sz w:val="22"/>
                <w:szCs w:val="22"/>
              </w:rPr>
            </w:pPr>
          </w:p>
        </w:tc>
        <w:tc>
          <w:tcPr>
            <w:tcW w:w="1570" w:type="dxa"/>
            <w:vAlign w:val="center"/>
          </w:tcPr>
          <w:p w14:paraId="26A0D9E9">
            <w:pPr>
              <w:spacing w:line="380" w:lineRule="exact"/>
              <w:jc w:val="center"/>
              <w:rPr>
                <w:rFonts w:hint="eastAsia" w:ascii="宋体" w:hAnsi="宋体"/>
                <w:b/>
                <w:bCs/>
                <w:color w:val="auto"/>
                <w:sz w:val="22"/>
                <w:szCs w:val="22"/>
              </w:rPr>
            </w:pPr>
          </w:p>
        </w:tc>
      </w:tr>
      <w:tr w14:paraId="17452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Align w:val="center"/>
          </w:tcPr>
          <w:p w14:paraId="62F96FBD">
            <w:pPr>
              <w:spacing w:line="380" w:lineRule="exact"/>
              <w:jc w:val="center"/>
              <w:rPr>
                <w:rFonts w:hint="eastAsia" w:ascii="宋体" w:hAnsi="宋体"/>
                <w:b/>
                <w:bCs/>
                <w:color w:val="auto"/>
                <w:sz w:val="22"/>
                <w:szCs w:val="22"/>
              </w:rPr>
            </w:pPr>
          </w:p>
        </w:tc>
        <w:tc>
          <w:tcPr>
            <w:tcW w:w="2328" w:type="dxa"/>
            <w:vAlign w:val="center"/>
          </w:tcPr>
          <w:p w14:paraId="50C31FE9">
            <w:pPr>
              <w:spacing w:line="380" w:lineRule="exact"/>
              <w:jc w:val="center"/>
              <w:rPr>
                <w:rFonts w:hint="eastAsia" w:ascii="宋体" w:hAnsi="宋体"/>
                <w:b/>
                <w:bCs/>
                <w:color w:val="auto"/>
                <w:sz w:val="22"/>
                <w:szCs w:val="22"/>
              </w:rPr>
            </w:pPr>
          </w:p>
        </w:tc>
        <w:tc>
          <w:tcPr>
            <w:tcW w:w="1470" w:type="dxa"/>
            <w:vAlign w:val="center"/>
          </w:tcPr>
          <w:p w14:paraId="352CB494">
            <w:pPr>
              <w:spacing w:line="380" w:lineRule="exact"/>
              <w:jc w:val="center"/>
              <w:rPr>
                <w:rFonts w:hint="eastAsia" w:ascii="宋体" w:hAnsi="宋体"/>
                <w:b/>
                <w:bCs/>
                <w:color w:val="auto"/>
                <w:sz w:val="22"/>
                <w:szCs w:val="22"/>
              </w:rPr>
            </w:pPr>
          </w:p>
        </w:tc>
        <w:tc>
          <w:tcPr>
            <w:tcW w:w="931" w:type="dxa"/>
            <w:vAlign w:val="center"/>
          </w:tcPr>
          <w:p w14:paraId="4D02E1A9">
            <w:pPr>
              <w:spacing w:line="380" w:lineRule="exact"/>
              <w:jc w:val="center"/>
              <w:rPr>
                <w:rFonts w:hint="eastAsia" w:ascii="宋体" w:hAnsi="宋体"/>
                <w:b/>
                <w:bCs/>
                <w:color w:val="auto"/>
                <w:sz w:val="22"/>
                <w:szCs w:val="22"/>
              </w:rPr>
            </w:pPr>
          </w:p>
        </w:tc>
        <w:tc>
          <w:tcPr>
            <w:tcW w:w="2340" w:type="dxa"/>
            <w:vAlign w:val="center"/>
          </w:tcPr>
          <w:p w14:paraId="440DD88C">
            <w:pPr>
              <w:spacing w:line="380" w:lineRule="exact"/>
              <w:jc w:val="center"/>
              <w:rPr>
                <w:rFonts w:hint="eastAsia" w:ascii="宋体" w:hAnsi="宋体"/>
                <w:b/>
                <w:bCs/>
                <w:color w:val="auto"/>
                <w:sz w:val="22"/>
                <w:szCs w:val="22"/>
              </w:rPr>
            </w:pPr>
          </w:p>
        </w:tc>
        <w:tc>
          <w:tcPr>
            <w:tcW w:w="1570" w:type="dxa"/>
            <w:vAlign w:val="center"/>
          </w:tcPr>
          <w:p w14:paraId="13DAF929">
            <w:pPr>
              <w:spacing w:line="380" w:lineRule="exact"/>
              <w:jc w:val="center"/>
              <w:rPr>
                <w:rFonts w:hint="eastAsia" w:ascii="宋体" w:hAnsi="宋体"/>
                <w:b/>
                <w:bCs/>
                <w:color w:val="auto"/>
                <w:sz w:val="22"/>
                <w:szCs w:val="22"/>
              </w:rPr>
            </w:pPr>
          </w:p>
        </w:tc>
      </w:tr>
      <w:tr w14:paraId="1C396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Align w:val="center"/>
          </w:tcPr>
          <w:p w14:paraId="0CFC4B08">
            <w:pPr>
              <w:spacing w:line="380" w:lineRule="exact"/>
              <w:jc w:val="center"/>
              <w:rPr>
                <w:rFonts w:hint="eastAsia" w:ascii="宋体" w:hAnsi="宋体"/>
                <w:b/>
                <w:bCs/>
                <w:color w:val="auto"/>
                <w:sz w:val="22"/>
                <w:szCs w:val="22"/>
              </w:rPr>
            </w:pPr>
          </w:p>
        </w:tc>
        <w:tc>
          <w:tcPr>
            <w:tcW w:w="2328" w:type="dxa"/>
            <w:vAlign w:val="center"/>
          </w:tcPr>
          <w:p w14:paraId="7561D395">
            <w:pPr>
              <w:spacing w:line="380" w:lineRule="exact"/>
              <w:jc w:val="center"/>
              <w:rPr>
                <w:rFonts w:hint="eastAsia" w:ascii="宋体" w:hAnsi="宋体"/>
                <w:b/>
                <w:bCs/>
                <w:color w:val="auto"/>
                <w:sz w:val="22"/>
                <w:szCs w:val="22"/>
              </w:rPr>
            </w:pPr>
          </w:p>
        </w:tc>
        <w:tc>
          <w:tcPr>
            <w:tcW w:w="1470" w:type="dxa"/>
            <w:vAlign w:val="center"/>
          </w:tcPr>
          <w:p w14:paraId="250EC5B8">
            <w:pPr>
              <w:spacing w:line="380" w:lineRule="exact"/>
              <w:jc w:val="center"/>
              <w:rPr>
                <w:rFonts w:hint="eastAsia" w:ascii="宋体" w:hAnsi="宋体"/>
                <w:b/>
                <w:bCs/>
                <w:color w:val="auto"/>
                <w:sz w:val="22"/>
                <w:szCs w:val="22"/>
              </w:rPr>
            </w:pPr>
          </w:p>
        </w:tc>
        <w:tc>
          <w:tcPr>
            <w:tcW w:w="931" w:type="dxa"/>
            <w:vAlign w:val="center"/>
          </w:tcPr>
          <w:p w14:paraId="20032FC6">
            <w:pPr>
              <w:spacing w:line="380" w:lineRule="exact"/>
              <w:jc w:val="center"/>
              <w:rPr>
                <w:rFonts w:hint="eastAsia" w:ascii="宋体" w:hAnsi="宋体"/>
                <w:b/>
                <w:bCs/>
                <w:color w:val="auto"/>
                <w:sz w:val="22"/>
                <w:szCs w:val="22"/>
              </w:rPr>
            </w:pPr>
          </w:p>
        </w:tc>
        <w:tc>
          <w:tcPr>
            <w:tcW w:w="2340" w:type="dxa"/>
            <w:vAlign w:val="center"/>
          </w:tcPr>
          <w:p w14:paraId="7A7C6453">
            <w:pPr>
              <w:spacing w:line="380" w:lineRule="exact"/>
              <w:jc w:val="center"/>
              <w:rPr>
                <w:rFonts w:hint="eastAsia" w:ascii="宋体" w:hAnsi="宋体"/>
                <w:b/>
                <w:bCs/>
                <w:color w:val="auto"/>
                <w:sz w:val="22"/>
                <w:szCs w:val="22"/>
              </w:rPr>
            </w:pPr>
          </w:p>
        </w:tc>
        <w:tc>
          <w:tcPr>
            <w:tcW w:w="1570" w:type="dxa"/>
            <w:vAlign w:val="center"/>
          </w:tcPr>
          <w:p w14:paraId="6CE07BB8">
            <w:pPr>
              <w:spacing w:line="380" w:lineRule="exact"/>
              <w:jc w:val="center"/>
              <w:rPr>
                <w:rFonts w:hint="eastAsia" w:ascii="宋体" w:hAnsi="宋体"/>
                <w:b/>
                <w:bCs/>
                <w:color w:val="auto"/>
                <w:sz w:val="22"/>
                <w:szCs w:val="22"/>
              </w:rPr>
            </w:pPr>
          </w:p>
        </w:tc>
      </w:tr>
      <w:tr w14:paraId="4A85A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Align w:val="center"/>
          </w:tcPr>
          <w:p w14:paraId="1876E03E">
            <w:pPr>
              <w:spacing w:line="380" w:lineRule="exact"/>
              <w:jc w:val="center"/>
              <w:rPr>
                <w:rFonts w:hint="eastAsia" w:ascii="宋体" w:hAnsi="宋体"/>
                <w:b/>
                <w:bCs/>
                <w:color w:val="auto"/>
                <w:sz w:val="22"/>
                <w:szCs w:val="22"/>
              </w:rPr>
            </w:pPr>
          </w:p>
        </w:tc>
        <w:tc>
          <w:tcPr>
            <w:tcW w:w="2328" w:type="dxa"/>
            <w:vAlign w:val="center"/>
          </w:tcPr>
          <w:p w14:paraId="28C0A2EF">
            <w:pPr>
              <w:spacing w:line="380" w:lineRule="exact"/>
              <w:jc w:val="center"/>
              <w:rPr>
                <w:rFonts w:hint="eastAsia" w:ascii="宋体" w:hAnsi="宋体"/>
                <w:b/>
                <w:bCs/>
                <w:color w:val="auto"/>
                <w:sz w:val="22"/>
                <w:szCs w:val="22"/>
              </w:rPr>
            </w:pPr>
          </w:p>
        </w:tc>
        <w:tc>
          <w:tcPr>
            <w:tcW w:w="1470" w:type="dxa"/>
            <w:vAlign w:val="center"/>
          </w:tcPr>
          <w:p w14:paraId="3B884685">
            <w:pPr>
              <w:spacing w:line="380" w:lineRule="exact"/>
              <w:jc w:val="center"/>
              <w:rPr>
                <w:rFonts w:hint="eastAsia" w:ascii="宋体" w:hAnsi="宋体"/>
                <w:b/>
                <w:bCs/>
                <w:color w:val="auto"/>
                <w:sz w:val="22"/>
                <w:szCs w:val="22"/>
              </w:rPr>
            </w:pPr>
          </w:p>
        </w:tc>
        <w:tc>
          <w:tcPr>
            <w:tcW w:w="931" w:type="dxa"/>
            <w:vAlign w:val="center"/>
          </w:tcPr>
          <w:p w14:paraId="1B0A7173">
            <w:pPr>
              <w:spacing w:line="380" w:lineRule="exact"/>
              <w:jc w:val="center"/>
              <w:rPr>
                <w:rFonts w:hint="eastAsia" w:ascii="宋体" w:hAnsi="宋体"/>
                <w:b/>
                <w:bCs/>
                <w:color w:val="auto"/>
                <w:sz w:val="22"/>
                <w:szCs w:val="22"/>
              </w:rPr>
            </w:pPr>
          </w:p>
        </w:tc>
        <w:tc>
          <w:tcPr>
            <w:tcW w:w="2340" w:type="dxa"/>
            <w:vAlign w:val="center"/>
          </w:tcPr>
          <w:p w14:paraId="2D6867C3">
            <w:pPr>
              <w:spacing w:line="380" w:lineRule="exact"/>
              <w:jc w:val="center"/>
              <w:rPr>
                <w:rFonts w:hint="eastAsia" w:ascii="宋体" w:hAnsi="宋体"/>
                <w:b/>
                <w:bCs/>
                <w:color w:val="auto"/>
                <w:sz w:val="22"/>
                <w:szCs w:val="22"/>
              </w:rPr>
            </w:pPr>
          </w:p>
        </w:tc>
        <w:tc>
          <w:tcPr>
            <w:tcW w:w="1570" w:type="dxa"/>
            <w:vAlign w:val="center"/>
          </w:tcPr>
          <w:p w14:paraId="164B8670">
            <w:pPr>
              <w:spacing w:line="380" w:lineRule="exact"/>
              <w:jc w:val="center"/>
              <w:rPr>
                <w:rFonts w:hint="eastAsia" w:ascii="宋体" w:hAnsi="宋体"/>
                <w:b/>
                <w:bCs/>
                <w:color w:val="auto"/>
                <w:sz w:val="22"/>
                <w:szCs w:val="22"/>
              </w:rPr>
            </w:pPr>
          </w:p>
        </w:tc>
      </w:tr>
      <w:tr w14:paraId="30429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Align w:val="center"/>
          </w:tcPr>
          <w:p w14:paraId="1EFC700D">
            <w:pPr>
              <w:spacing w:line="380" w:lineRule="exact"/>
              <w:jc w:val="center"/>
              <w:rPr>
                <w:rFonts w:hint="eastAsia" w:ascii="宋体" w:hAnsi="宋体"/>
                <w:b/>
                <w:bCs/>
                <w:color w:val="auto"/>
                <w:sz w:val="22"/>
                <w:szCs w:val="22"/>
              </w:rPr>
            </w:pPr>
          </w:p>
        </w:tc>
        <w:tc>
          <w:tcPr>
            <w:tcW w:w="2328" w:type="dxa"/>
            <w:vAlign w:val="center"/>
          </w:tcPr>
          <w:p w14:paraId="016151C5">
            <w:pPr>
              <w:spacing w:line="380" w:lineRule="exact"/>
              <w:jc w:val="center"/>
              <w:rPr>
                <w:rFonts w:hint="eastAsia" w:ascii="宋体" w:hAnsi="宋体"/>
                <w:b/>
                <w:bCs/>
                <w:color w:val="auto"/>
                <w:sz w:val="22"/>
                <w:szCs w:val="22"/>
              </w:rPr>
            </w:pPr>
          </w:p>
        </w:tc>
        <w:tc>
          <w:tcPr>
            <w:tcW w:w="1470" w:type="dxa"/>
            <w:vAlign w:val="center"/>
          </w:tcPr>
          <w:p w14:paraId="27113A75">
            <w:pPr>
              <w:spacing w:line="380" w:lineRule="exact"/>
              <w:jc w:val="center"/>
              <w:rPr>
                <w:rFonts w:hint="eastAsia" w:ascii="宋体" w:hAnsi="宋体"/>
                <w:b/>
                <w:bCs/>
                <w:color w:val="auto"/>
                <w:sz w:val="22"/>
                <w:szCs w:val="22"/>
              </w:rPr>
            </w:pPr>
          </w:p>
        </w:tc>
        <w:tc>
          <w:tcPr>
            <w:tcW w:w="931" w:type="dxa"/>
            <w:vAlign w:val="center"/>
          </w:tcPr>
          <w:p w14:paraId="0A495477">
            <w:pPr>
              <w:spacing w:line="380" w:lineRule="exact"/>
              <w:jc w:val="center"/>
              <w:rPr>
                <w:rFonts w:hint="eastAsia" w:ascii="宋体" w:hAnsi="宋体"/>
                <w:b/>
                <w:bCs/>
                <w:color w:val="auto"/>
                <w:sz w:val="22"/>
                <w:szCs w:val="22"/>
              </w:rPr>
            </w:pPr>
          </w:p>
        </w:tc>
        <w:tc>
          <w:tcPr>
            <w:tcW w:w="2340" w:type="dxa"/>
            <w:vAlign w:val="center"/>
          </w:tcPr>
          <w:p w14:paraId="6F61062A">
            <w:pPr>
              <w:spacing w:line="380" w:lineRule="exact"/>
              <w:jc w:val="center"/>
              <w:rPr>
                <w:rFonts w:hint="eastAsia" w:ascii="宋体" w:hAnsi="宋体"/>
                <w:b/>
                <w:bCs/>
                <w:color w:val="auto"/>
                <w:sz w:val="22"/>
                <w:szCs w:val="22"/>
              </w:rPr>
            </w:pPr>
          </w:p>
        </w:tc>
        <w:tc>
          <w:tcPr>
            <w:tcW w:w="1570" w:type="dxa"/>
            <w:vAlign w:val="center"/>
          </w:tcPr>
          <w:p w14:paraId="27342369">
            <w:pPr>
              <w:spacing w:line="380" w:lineRule="exact"/>
              <w:jc w:val="center"/>
              <w:rPr>
                <w:rFonts w:hint="eastAsia" w:ascii="宋体" w:hAnsi="宋体"/>
                <w:b/>
                <w:bCs/>
                <w:color w:val="auto"/>
                <w:sz w:val="22"/>
                <w:szCs w:val="22"/>
              </w:rPr>
            </w:pPr>
          </w:p>
        </w:tc>
      </w:tr>
      <w:tr w14:paraId="79966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59" w:type="dxa"/>
            <w:vAlign w:val="center"/>
          </w:tcPr>
          <w:p w14:paraId="7B517D9A">
            <w:pPr>
              <w:spacing w:line="380" w:lineRule="exact"/>
              <w:jc w:val="center"/>
              <w:rPr>
                <w:rFonts w:hint="eastAsia" w:ascii="宋体" w:hAnsi="宋体"/>
                <w:b/>
                <w:bCs/>
                <w:color w:val="auto"/>
                <w:sz w:val="22"/>
                <w:szCs w:val="22"/>
              </w:rPr>
            </w:pPr>
          </w:p>
        </w:tc>
        <w:tc>
          <w:tcPr>
            <w:tcW w:w="2328" w:type="dxa"/>
            <w:vAlign w:val="center"/>
          </w:tcPr>
          <w:p w14:paraId="1BC10495">
            <w:pPr>
              <w:spacing w:line="380" w:lineRule="exact"/>
              <w:jc w:val="center"/>
              <w:rPr>
                <w:rFonts w:hint="eastAsia" w:ascii="宋体" w:hAnsi="宋体"/>
                <w:b/>
                <w:bCs/>
                <w:color w:val="auto"/>
                <w:sz w:val="22"/>
                <w:szCs w:val="22"/>
              </w:rPr>
            </w:pPr>
          </w:p>
        </w:tc>
        <w:tc>
          <w:tcPr>
            <w:tcW w:w="1470" w:type="dxa"/>
            <w:vAlign w:val="center"/>
          </w:tcPr>
          <w:p w14:paraId="58E39EBC">
            <w:pPr>
              <w:spacing w:line="380" w:lineRule="exact"/>
              <w:jc w:val="center"/>
              <w:rPr>
                <w:rFonts w:hint="eastAsia" w:ascii="宋体" w:hAnsi="宋体"/>
                <w:b/>
                <w:bCs/>
                <w:color w:val="auto"/>
                <w:sz w:val="22"/>
                <w:szCs w:val="22"/>
              </w:rPr>
            </w:pPr>
          </w:p>
        </w:tc>
        <w:tc>
          <w:tcPr>
            <w:tcW w:w="931" w:type="dxa"/>
            <w:vAlign w:val="center"/>
          </w:tcPr>
          <w:p w14:paraId="398F8DC0">
            <w:pPr>
              <w:spacing w:line="380" w:lineRule="exact"/>
              <w:jc w:val="center"/>
              <w:rPr>
                <w:rFonts w:hint="eastAsia" w:ascii="宋体" w:hAnsi="宋体"/>
                <w:b/>
                <w:bCs/>
                <w:color w:val="auto"/>
                <w:sz w:val="22"/>
                <w:szCs w:val="22"/>
              </w:rPr>
            </w:pPr>
          </w:p>
        </w:tc>
        <w:tc>
          <w:tcPr>
            <w:tcW w:w="2340" w:type="dxa"/>
            <w:vAlign w:val="center"/>
          </w:tcPr>
          <w:p w14:paraId="2075277D">
            <w:pPr>
              <w:spacing w:line="380" w:lineRule="exact"/>
              <w:jc w:val="center"/>
              <w:rPr>
                <w:rFonts w:hint="eastAsia" w:ascii="宋体" w:hAnsi="宋体"/>
                <w:b/>
                <w:bCs/>
                <w:color w:val="auto"/>
                <w:sz w:val="22"/>
                <w:szCs w:val="22"/>
              </w:rPr>
            </w:pPr>
          </w:p>
        </w:tc>
        <w:tc>
          <w:tcPr>
            <w:tcW w:w="1570" w:type="dxa"/>
            <w:vAlign w:val="center"/>
          </w:tcPr>
          <w:p w14:paraId="21435E28">
            <w:pPr>
              <w:spacing w:line="380" w:lineRule="exact"/>
              <w:jc w:val="center"/>
              <w:rPr>
                <w:rFonts w:hint="eastAsia" w:ascii="宋体" w:hAnsi="宋体"/>
                <w:b/>
                <w:bCs/>
                <w:color w:val="auto"/>
                <w:sz w:val="22"/>
                <w:szCs w:val="22"/>
              </w:rPr>
            </w:pPr>
          </w:p>
        </w:tc>
      </w:tr>
    </w:tbl>
    <w:p w14:paraId="01AF6624">
      <w:pPr>
        <w:spacing w:line="440" w:lineRule="exact"/>
        <w:jc w:val="left"/>
        <w:rPr>
          <w:rFonts w:hint="eastAsia" w:ascii="宋体" w:hAnsi="宋体"/>
          <w:b/>
          <w:bCs/>
          <w:color w:val="auto"/>
          <w:sz w:val="22"/>
          <w:szCs w:val="22"/>
        </w:rPr>
      </w:pPr>
      <w:r>
        <w:rPr>
          <w:rFonts w:hint="eastAsia" w:ascii="宋体" w:hAnsi="宋体"/>
          <w:b/>
          <w:bCs/>
          <w:color w:val="auto"/>
          <w:sz w:val="22"/>
          <w:szCs w:val="22"/>
        </w:rPr>
        <w:t>注：投标人可按以上表格形式进行复制、附在技术标内。</w:t>
      </w:r>
    </w:p>
    <w:p w14:paraId="1FF6E779">
      <w:pPr>
        <w:spacing w:line="440" w:lineRule="exact"/>
        <w:jc w:val="left"/>
        <w:rPr>
          <w:rFonts w:hint="eastAsia" w:ascii="宋体" w:hAnsi="宋体"/>
          <w:b/>
          <w:bCs/>
          <w:color w:val="auto"/>
          <w:sz w:val="22"/>
          <w:szCs w:val="22"/>
        </w:rPr>
      </w:pPr>
    </w:p>
    <w:p w14:paraId="5CF4D84A">
      <w:pPr>
        <w:spacing w:line="440" w:lineRule="exact"/>
        <w:jc w:val="center"/>
        <w:rPr>
          <w:rFonts w:hint="eastAsia" w:ascii="宋体" w:hAnsi="宋体" w:cs="宋体"/>
          <w:color w:val="auto"/>
          <w:sz w:val="22"/>
          <w:szCs w:val="22"/>
        </w:rPr>
      </w:pPr>
      <w:r>
        <w:rPr>
          <w:rFonts w:hint="eastAsia" w:ascii="宋体" w:hAnsi="宋体" w:cs="宋体"/>
          <w:color w:val="auto"/>
          <w:sz w:val="22"/>
          <w:szCs w:val="22"/>
        </w:rPr>
        <w:t xml:space="preserve"> </w:t>
      </w:r>
      <w:r>
        <w:rPr>
          <w:rFonts w:ascii="宋体" w:hAnsi="宋体" w:cs="宋体"/>
          <w:color w:val="auto"/>
          <w:sz w:val="22"/>
          <w:szCs w:val="22"/>
        </w:rPr>
        <w:t xml:space="preserve">                </w:t>
      </w:r>
      <w:r>
        <w:rPr>
          <w:rFonts w:hint="eastAsia" w:ascii="宋体" w:hAnsi="宋体" w:cs="宋体"/>
          <w:color w:val="auto"/>
          <w:sz w:val="22"/>
          <w:szCs w:val="22"/>
        </w:rPr>
        <w:t>投标人全称（电子签名/公章）：</w:t>
      </w:r>
    </w:p>
    <w:p w14:paraId="1B2BA301">
      <w:pPr>
        <w:spacing w:line="440" w:lineRule="exact"/>
        <w:ind w:firstLine="4180" w:firstLineChars="1900"/>
        <w:rPr>
          <w:rFonts w:hint="eastAsia" w:ascii="宋体" w:hAnsi="宋体" w:cs="宋体"/>
          <w:color w:val="auto"/>
          <w:sz w:val="22"/>
          <w:szCs w:val="22"/>
        </w:rPr>
      </w:pPr>
      <w:r>
        <w:rPr>
          <w:rFonts w:hint="eastAsia" w:ascii="宋体" w:hAnsi="宋体" w:cs="宋体"/>
          <w:color w:val="auto"/>
          <w:sz w:val="22"/>
          <w:szCs w:val="22"/>
        </w:rPr>
        <w:t>日期：     年    月    日</w:t>
      </w:r>
    </w:p>
    <w:p w14:paraId="659411CF">
      <w:pPr>
        <w:spacing w:line="440" w:lineRule="exact"/>
        <w:ind w:firstLine="4400" w:firstLineChars="2000"/>
        <w:rPr>
          <w:rFonts w:hint="eastAsia" w:ascii="宋体" w:hAnsi="宋体" w:cs="宋体"/>
          <w:color w:val="auto"/>
          <w:sz w:val="22"/>
          <w:szCs w:val="22"/>
        </w:rPr>
        <w:sectPr>
          <w:headerReference r:id="rId9" w:type="default"/>
          <w:headerReference r:id="rId10" w:type="even"/>
          <w:pgSz w:w="11906" w:h="16838"/>
          <w:pgMar w:top="1134" w:right="1134" w:bottom="1134" w:left="1134" w:header="851" w:footer="992" w:gutter="0"/>
          <w:cols w:space="720" w:num="1"/>
          <w:docGrid w:linePitch="312" w:charSpace="0"/>
        </w:sectPr>
      </w:pPr>
    </w:p>
    <w:p w14:paraId="1D0EB6ED">
      <w:pPr>
        <w:pStyle w:val="5"/>
        <w:spacing w:line="240" w:lineRule="auto"/>
        <w:rPr>
          <w:rFonts w:hint="eastAsia" w:ascii="宋体" w:hAnsi="宋体" w:eastAsia="宋体" w:cs="宋体"/>
          <w:color w:val="auto"/>
          <w:sz w:val="24"/>
          <w:szCs w:val="24"/>
        </w:rPr>
      </w:pPr>
      <w:bookmarkStart w:id="88" w:name="_Toc460707936"/>
      <w:bookmarkStart w:id="89" w:name="_Toc2259"/>
      <w:bookmarkStart w:id="90" w:name="_Toc405195141"/>
      <w:r>
        <w:rPr>
          <w:rFonts w:hint="eastAsia" w:ascii="宋体" w:hAnsi="宋体" w:eastAsia="宋体" w:cs="宋体"/>
          <w:color w:val="auto"/>
          <w:sz w:val="24"/>
          <w:szCs w:val="24"/>
        </w:rPr>
        <w:t>附件七 同类项目业绩一览表</w:t>
      </w:r>
      <w:bookmarkEnd w:id="88"/>
      <w:bookmarkEnd w:id="89"/>
    </w:p>
    <w:p w14:paraId="0A29BBB6">
      <w:pPr>
        <w:spacing w:line="440" w:lineRule="exact"/>
        <w:rPr>
          <w:rFonts w:hint="eastAsia" w:ascii="宋体" w:hAnsi="宋体"/>
          <w:b/>
          <w:bCs/>
          <w:color w:val="auto"/>
          <w:sz w:val="24"/>
        </w:rPr>
      </w:pPr>
    </w:p>
    <w:p w14:paraId="5EF005DF">
      <w:pPr>
        <w:spacing w:line="440" w:lineRule="exact"/>
        <w:jc w:val="center"/>
        <w:rPr>
          <w:rFonts w:hint="eastAsia" w:ascii="宋体" w:hAnsi="宋体" w:cs="宋体"/>
          <w:b/>
          <w:bCs/>
          <w:color w:val="auto"/>
          <w:sz w:val="28"/>
          <w:szCs w:val="28"/>
        </w:rPr>
      </w:pPr>
      <w:r>
        <w:rPr>
          <w:rFonts w:hint="eastAsia" w:ascii="宋体" w:hAnsi="宋体" w:cs="宋体"/>
          <w:b/>
          <w:bCs/>
          <w:color w:val="auto"/>
          <w:sz w:val="28"/>
          <w:szCs w:val="28"/>
        </w:rPr>
        <w:t>同类项目业绩一览表</w:t>
      </w:r>
    </w:p>
    <w:p w14:paraId="6D2CD137">
      <w:pPr>
        <w:spacing w:line="380" w:lineRule="exact"/>
        <w:ind w:left="-357" w:leftChars="-170" w:firstLine="216" w:firstLineChars="98"/>
        <w:rPr>
          <w:rFonts w:hint="eastAsia" w:ascii="宋体" w:hAnsi="宋体" w:cs="宋体"/>
          <w:b/>
          <w:bCs/>
          <w:color w:val="auto"/>
          <w:sz w:val="22"/>
          <w:szCs w:val="22"/>
        </w:rPr>
      </w:pPr>
    </w:p>
    <w:p w14:paraId="30CB77DD">
      <w:pPr>
        <w:spacing w:line="380" w:lineRule="exact"/>
        <w:ind w:left="-357" w:leftChars="-170" w:firstLine="216" w:firstLineChars="98"/>
        <w:rPr>
          <w:rFonts w:hint="eastAsia" w:ascii="宋体" w:hAnsi="宋体" w:cs="宋体"/>
          <w:b/>
          <w:bCs/>
          <w:color w:val="auto"/>
          <w:sz w:val="22"/>
          <w:szCs w:val="22"/>
        </w:rPr>
      </w:pPr>
      <w:r>
        <w:rPr>
          <w:rFonts w:hint="eastAsia" w:ascii="宋体" w:hAnsi="宋体" w:cs="宋体"/>
          <w:b/>
          <w:bCs/>
          <w:color w:val="auto"/>
          <w:sz w:val="22"/>
          <w:szCs w:val="22"/>
        </w:rPr>
        <w:t>项目名称：                                              项目编号：</w:t>
      </w:r>
    </w:p>
    <w:tbl>
      <w:tblPr>
        <w:tblStyle w:val="3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2197"/>
        <w:gridCol w:w="1640"/>
        <w:gridCol w:w="1263"/>
        <w:gridCol w:w="1348"/>
        <w:gridCol w:w="2624"/>
      </w:tblGrid>
      <w:tr w14:paraId="619CB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shd w:val="clear" w:color="auto" w:fill="D9D9D9"/>
            <w:vAlign w:val="center"/>
          </w:tcPr>
          <w:p w14:paraId="58A2A106">
            <w:pPr>
              <w:spacing w:line="380" w:lineRule="exact"/>
              <w:jc w:val="center"/>
              <w:rPr>
                <w:rFonts w:hint="eastAsia" w:ascii="宋体" w:hAnsi="宋体" w:cs="宋体"/>
                <w:b/>
                <w:bCs/>
                <w:color w:val="auto"/>
                <w:sz w:val="22"/>
                <w:szCs w:val="22"/>
              </w:rPr>
            </w:pPr>
            <w:r>
              <w:rPr>
                <w:rFonts w:hint="eastAsia" w:ascii="宋体" w:hAnsi="宋体" w:cs="宋体"/>
                <w:b/>
                <w:bCs/>
                <w:color w:val="auto"/>
                <w:sz w:val="22"/>
                <w:szCs w:val="22"/>
              </w:rPr>
              <w:t>序号</w:t>
            </w:r>
          </w:p>
        </w:tc>
        <w:tc>
          <w:tcPr>
            <w:tcW w:w="1115" w:type="pct"/>
            <w:shd w:val="clear" w:color="auto" w:fill="D9D9D9"/>
            <w:vAlign w:val="center"/>
          </w:tcPr>
          <w:p w14:paraId="2101C218">
            <w:pPr>
              <w:spacing w:line="380" w:lineRule="exact"/>
              <w:jc w:val="center"/>
              <w:rPr>
                <w:rFonts w:hint="eastAsia" w:ascii="宋体" w:hAnsi="宋体" w:cs="宋体"/>
                <w:b/>
                <w:bCs/>
                <w:color w:val="auto"/>
                <w:sz w:val="22"/>
                <w:szCs w:val="22"/>
              </w:rPr>
            </w:pPr>
            <w:r>
              <w:rPr>
                <w:rFonts w:hint="eastAsia" w:ascii="宋体" w:hAnsi="宋体" w:cs="宋体"/>
                <w:b/>
                <w:bCs/>
                <w:color w:val="auto"/>
                <w:sz w:val="22"/>
                <w:szCs w:val="22"/>
              </w:rPr>
              <w:t>用户名称</w:t>
            </w:r>
          </w:p>
        </w:tc>
        <w:tc>
          <w:tcPr>
            <w:tcW w:w="832" w:type="pct"/>
            <w:shd w:val="clear" w:color="auto" w:fill="D9D9D9"/>
            <w:vAlign w:val="center"/>
          </w:tcPr>
          <w:p w14:paraId="7CB34409">
            <w:pPr>
              <w:spacing w:line="380" w:lineRule="exact"/>
              <w:jc w:val="center"/>
              <w:rPr>
                <w:rFonts w:hint="eastAsia" w:ascii="宋体" w:hAnsi="宋体" w:cs="宋体"/>
                <w:b/>
                <w:bCs/>
                <w:color w:val="auto"/>
                <w:sz w:val="22"/>
                <w:szCs w:val="22"/>
              </w:rPr>
            </w:pPr>
            <w:r>
              <w:rPr>
                <w:rFonts w:hint="eastAsia" w:ascii="宋体" w:hAnsi="宋体" w:cs="宋体"/>
                <w:b/>
                <w:bCs/>
                <w:color w:val="auto"/>
                <w:sz w:val="22"/>
                <w:szCs w:val="22"/>
              </w:rPr>
              <w:t>项目名称</w:t>
            </w:r>
          </w:p>
        </w:tc>
        <w:tc>
          <w:tcPr>
            <w:tcW w:w="641" w:type="pct"/>
            <w:shd w:val="clear" w:color="auto" w:fill="D9D9D9"/>
            <w:vAlign w:val="center"/>
          </w:tcPr>
          <w:p w14:paraId="34CFBA04">
            <w:pPr>
              <w:spacing w:line="380" w:lineRule="exact"/>
              <w:jc w:val="center"/>
              <w:rPr>
                <w:rFonts w:hint="eastAsia" w:ascii="宋体" w:hAnsi="宋体" w:cs="宋体"/>
                <w:b/>
                <w:bCs/>
                <w:color w:val="auto"/>
                <w:sz w:val="22"/>
                <w:szCs w:val="22"/>
              </w:rPr>
            </w:pPr>
            <w:r>
              <w:rPr>
                <w:rFonts w:hint="eastAsia" w:ascii="宋体" w:hAnsi="宋体" w:cs="宋体"/>
                <w:b/>
                <w:bCs/>
                <w:color w:val="auto"/>
                <w:sz w:val="22"/>
                <w:szCs w:val="22"/>
              </w:rPr>
              <w:t>合同金额</w:t>
            </w:r>
          </w:p>
        </w:tc>
        <w:tc>
          <w:tcPr>
            <w:tcW w:w="684" w:type="pct"/>
            <w:shd w:val="clear" w:color="auto" w:fill="D9D9D9"/>
            <w:vAlign w:val="center"/>
          </w:tcPr>
          <w:p w14:paraId="3C7C3F33">
            <w:pPr>
              <w:spacing w:line="380" w:lineRule="exact"/>
              <w:jc w:val="center"/>
              <w:rPr>
                <w:rFonts w:hint="eastAsia" w:ascii="宋体" w:hAnsi="宋体" w:cs="宋体"/>
                <w:b/>
                <w:bCs/>
                <w:color w:val="auto"/>
                <w:sz w:val="22"/>
                <w:szCs w:val="22"/>
              </w:rPr>
            </w:pPr>
            <w:r>
              <w:rPr>
                <w:rFonts w:hint="eastAsia" w:ascii="宋体" w:hAnsi="宋体" w:cs="宋体"/>
                <w:b/>
                <w:bCs/>
                <w:color w:val="auto"/>
                <w:sz w:val="22"/>
                <w:szCs w:val="22"/>
              </w:rPr>
              <w:t>签订时间</w:t>
            </w:r>
          </w:p>
        </w:tc>
        <w:tc>
          <w:tcPr>
            <w:tcW w:w="1331" w:type="pct"/>
            <w:shd w:val="clear" w:color="auto" w:fill="D9D9D9"/>
            <w:vAlign w:val="center"/>
          </w:tcPr>
          <w:p w14:paraId="5675FEB9">
            <w:pPr>
              <w:spacing w:line="380" w:lineRule="exact"/>
              <w:jc w:val="center"/>
              <w:rPr>
                <w:rFonts w:hint="eastAsia" w:ascii="宋体" w:hAnsi="宋体" w:cs="宋体"/>
                <w:b/>
                <w:bCs/>
                <w:color w:val="auto"/>
                <w:sz w:val="22"/>
                <w:szCs w:val="22"/>
              </w:rPr>
            </w:pPr>
            <w:r>
              <w:rPr>
                <w:rFonts w:hint="eastAsia" w:ascii="宋体" w:hAnsi="宋体" w:cs="宋体"/>
                <w:b/>
                <w:bCs/>
                <w:color w:val="auto"/>
                <w:sz w:val="22"/>
                <w:szCs w:val="22"/>
              </w:rPr>
              <w:t>用户联系人/联系方式</w:t>
            </w:r>
          </w:p>
        </w:tc>
      </w:tr>
      <w:tr w14:paraId="32A66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vAlign w:val="center"/>
          </w:tcPr>
          <w:p w14:paraId="7B81DC49">
            <w:pPr>
              <w:spacing w:line="380" w:lineRule="exact"/>
              <w:jc w:val="center"/>
              <w:rPr>
                <w:rFonts w:hint="eastAsia" w:ascii="宋体" w:hAnsi="宋体" w:cs="宋体"/>
                <w:b/>
                <w:bCs/>
                <w:color w:val="auto"/>
                <w:sz w:val="22"/>
                <w:szCs w:val="22"/>
              </w:rPr>
            </w:pPr>
          </w:p>
        </w:tc>
        <w:tc>
          <w:tcPr>
            <w:tcW w:w="1115" w:type="pct"/>
            <w:vAlign w:val="center"/>
          </w:tcPr>
          <w:p w14:paraId="6EF8A858">
            <w:pPr>
              <w:spacing w:line="380" w:lineRule="exact"/>
              <w:jc w:val="center"/>
              <w:rPr>
                <w:rFonts w:hint="eastAsia" w:ascii="宋体" w:hAnsi="宋体" w:cs="宋体"/>
                <w:b/>
                <w:bCs/>
                <w:color w:val="auto"/>
                <w:sz w:val="22"/>
                <w:szCs w:val="22"/>
              </w:rPr>
            </w:pPr>
          </w:p>
        </w:tc>
        <w:tc>
          <w:tcPr>
            <w:tcW w:w="832" w:type="pct"/>
            <w:vAlign w:val="center"/>
          </w:tcPr>
          <w:p w14:paraId="6FCEF0BB">
            <w:pPr>
              <w:spacing w:line="380" w:lineRule="exact"/>
              <w:jc w:val="center"/>
              <w:rPr>
                <w:rFonts w:hint="eastAsia" w:ascii="宋体" w:hAnsi="宋体" w:cs="宋体"/>
                <w:b/>
                <w:bCs/>
                <w:color w:val="auto"/>
                <w:sz w:val="22"/>
                <w:szCs w:val="22"/>
              </w:rPr>
            </w:pPr>
          </w:p>
        </w:tc>
        <w:tc>
          <w:tcPr>
            <w:tcW w:w="641" w:type="pct"/>
            <w:vAlign w:val="center"/>
          </w:tcPr>
          <w:p w14:paraId="13F79F0E">
            <w:pPr>
              <w:spacing w:line="380" w:lineRule="exact"/>
              <w:jc w:val="center"/>
              <w:rPr>
                <w:rFonts w:hint="eastAsia" w:ascii="宋体" w:hAnsi="宋体" w:cs="宋体"/>
                <w:b/>
                <w:bCs/>
                <w:color w:val="auto"/>
                <w:sz w:val="22"/>
                <w:szCs w:val="22"/>
              </w:rPr>
            </w:pPr>
          </w:p>
        </w:tc>
        <w:tc>
          <w:tcPr>
            <w:tcW w:w="684" w:type="pct"/>
            <w:vAlign w:val="center"/>
          </w:tcPr>
          <w:p w14:paraId="5653E3B7">
            <w:pPr>
              <w:spacing w:line="380" w:lineRule="exact"/>
              <w:jc w:val="center"/>
              <w:rPr>
                <w:rFonts w:hint="eastAsia" w:ascii="宋体" w:hAnsi="宋体" w:cs="宋体"/>
                <w:b/>
                <w:bCs/>
                <w:color w:val="auto"/>
                <w:sz w:val="22"/>
                <w:szCs w:val="22"/>
              </w:rPr>
            </w:pPr>
          </w:p>
        </w:tc>
        <w:tc>
          <w:tcPr>
            <w:tcW w:w="1331" w:type="pct"/>
            <w:vAlign w:val="center"/>
          </w:tcPr>
          <w:p w14:paraId="6BC38E67">
            <w:pPr>
              <w:spacing w:line="380" w:lineRule="exact"/>
              <w:jc w:val="center"/>
              <w:rPr>
                <w:rFonts w:hint="eastAsia" w:ascii="宋体" w:hAnsi="宋体" w:cs="宋体"/>
                <w:b/>
                <w:bCs/>
                <w:color w:val="auto"/>
                <w:sz w:val="22"/>
                <w:szCs w:val="22"/>
              </w:rPr>
            </w:pPr>
          </w:p>
        </w:tc>
      </w:tr>
      <w:tr w14:paraId="1087A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vAlign w:val="center"/>
          </w:tcPr>
          <w:p w14:paraId="16A7639A">
            <w:pPr>
              <w:spacing w:line="380" w:lineRule="exact"/>
              <w:jc w:val="center"/>
              <w:rPr>
                <w:rFonts w:hint="eastAsia" w:ascii="宋体" w:hAnsi="宋体" w:cs="宋体"/>
                <w:b/>
                <w:bCs/>
                <w:color w:val="auto"/>
                <w:sz w:val="22"/>
                <w:szCs w:val="22"/>
              </w:rPr>
            </w:pPr>
          </w:p>
        </w:tc>
        <w:tc>
          <w:tcPr>
            <w:tcW w:w="1115" w:type="pct"/>
            <w:vAlign w:val="center"/>
          </w:tcPr>
          <w:p w14:paraId="68C18138">
            <w:pPr>
              <w:spacing w:line="380" w:lineRule="exact"/>
              <w:jc w:val="center"/>
              <w:rPr>
                <w:rFonts w:hint="eastAsia" w:ascii="宋体" w:hAnsi="宋体" w:cs="宋体"/>
                <w:b/>
                <w:bCs/>
                <w:color w:val="auto"/>
                <w:sz w:val="22"/>
                <w:szCs w:val="22"/>
              </w:rPr>
            </w:pPr>
          </w:p>
        </w:tc>
        <w:tc>
          <w:tcPr>
            <w:tcW w:w="832" w:type="pct"/>
            <w:vAlign w:val="center"/>
          </w:tcPr>
          <w:p w14:paraId="130A511A">
            <w:pPr>
              <w:spacing w:line="380" w:lineRule="exact"/>
              <w:jc w:val="center"/>
              <w:rPr>
                <w:rFonts w:hint="eastAsia" w:ascii="宋体" w:hAnsi="宋体" w:cs="宋体"/>
                <w:b/>
                <w:bCs/>
                <w:color w:val="auto"/>
                <w:sz w:val="22"/>
                <w:szCs w:val="22"/>
              </w:rPr>
            </w:pPr>
          </w:p>
        </w:tc>
        <w:tc>
          <w:tcPr>
            <w:tcW w:w="641" w:type="pct"/>
            <w:vAlign w:val="center"/>
          </w:tcPr>
          <w:p w14:paraId="7FAC96E5">
            <w:pPr>
              <w:spacing w:line="380" w:lineRule="exact"/>
              <w:jc w:val="center"/>
              <w:rPr>
                <w:rFonts w:hint="eastAsia" w:ascii="宋体" w:hAnsi="宋体" w:cs="宋体"/>
                <w:b/>
                <w:bCs/>
                <w:color w:val="auto"/>
                <w:sz w:val="22"/>
                <w:szCs w:val="22"/>
              </w:rPr>
            </w:pPr>
          </w:p>
        </w:tc>
        <w:tc>
          <w:tcPr>
            <w:tcW w:w="684" w:type="pct"/>
            <w:vAlign w:val="center"/>
          </w:tcPr>
          <w:p w14:paraId="3E5A8948">
            <w:pPr>
              <w:spacing w:line="380" w:lineRule="exact"/>
              <w:jc w:val="center"/>
              <w:rPr>
                <w:rFonts w:hint="eastAsia" w:ascii="宋体" w:hAnsi="宋体" w:cs="宋体"/>
                <w:b/>
                <w:bCs/>
                <w:color w:val="auto"/>
                <w:sz w:val="22"/>
                <w:szCs w:val="22"/>
              </w:rPr>
            </w:pPr>
          </w:p>
        </w:tc>
        <w:tc>
          <w:tcPr>
            <w:tcW w:w="1331" w:type="pct"/>
            <w:vAlign w:val="center"/>
          </w:tcPr>
          <w:p w14:paraId="66ABFAE3">
            <w:pPr>
              <w:spacing w:line="380" w:lineRule="exact"/>
              <w:jc w:val="center"/>
              <w:rPr>
                <w:rFonts w:hint="eastAsia" w:ascii="宋体" w:hAnsi="宋体" w:cs="宋体"/>
                <w:b/>
                <w:bCs/>
                <w:color w:val="auto"/>
                <w:sz w:val="22"/>
                <w:szCs w:val="22"/>
              </w:rPr>
            </w:pPr>
          </w:p>
        </w:tc>
      </w:tr>
      <w:tr w14:paraId="4160E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vAlign w:val="center"/>
          </w:tcPr>
          <w:p w14:paraId="6096D6C5">
            <w:pPr>
              <w:spacing w:line="380" w:lineRule="exact"/>
              <w:jc w:val="center"/>
              <w:rPr>
                <w:rFonts w:hint="eastAsia" w:ascii="宋体" w:hAnsi="宋体" w:cs="宋体"/>
                <w:b/>
                <w:bCs/>
                <w:color w:val="auto"/>
                <w:sz w:val="22"/>
                <w:szCs w:val="22"/>
              </w:rPr>
            </w:pPr>
          </w:p>
        </w:tc>
        <w:tc>
          <w:tcPr>
            <w:tcW w:w="1115" w:type="pct"/>
            <w:vAlign w:val="center"/>
          </w:tcPr>
          <w:p w14:paraId="36D78250">
            <w:pPr>
              <w:spacing w:line="380" w:lineRule="exact"/>
              <w:jc w:val="center"/>
              <w:rPr>
                <w:rFonts w:hint="eastAsia" w:ascii="宋体" w:hAnsi="宋体" w:cs="宋体"/>
                <w:b/>
                <w:bCs/>
                <w:color w:val="auto"/>
                <w:sz w:val="22"/>
                <w:szCs w:val="22"/>
              </w:rPr>
            </w:pPr>
          </w:p>
        </w:tc>
        <w:tc>
          <w:tcPr>
            <w:tcW w:w="832" w:type="pct"/>
            <w:vAlign w:val="center"/>
          </w:tcPr>
          <w:p w14:paraId="7651A2F9">
            <w:pPr>
              <w:spacing w:line="380" w:lineRule="exact"/>
              <w:jc w:val="center"/>
              <w:rPr>
                <w:rFonts w:hint="eastAsia" w:ascii="宋体" w:hAnsi="宋体" w:cs="宋体"/>
                <w:b/>
                <w:bCs/>
                <w:color w:val="auto"/>
                <w:sz w:val="22"/>
                <w:szCs w:val="22"/>
              </w:rPr>
            </w:pPr>
          </w:p>
        </w:tc>
        <w:tc>
          <w:tcPr>
            <w:tcW w:w="641" w:type="pct"/>
            <w:vAlign w:val="center"/>
          </w:tcPr>
          <w:p w14:paraId="2F30F71A">
            <w:pPr>
              <w:spacing w:line="380" w:lineRule="exact"/>
              <w:jc w:val="center"/>
              <w:rPr>
                <w:rFonts w:hint="eastAsia" w:ascii="宋体" w:hAnsi="宋体" w:cs="宋体"/>
                <w:b/>
                <w:bCs/>
                <w:color w:val="auto"/>
                <w:sz w:val="22"/>
                <w:szCs w:val="22"/>
              </w:rPr>
            </w:pPr>
          </w:p>
        </w:tc>
        <w:tc>
          <w:tcPr>
            <w:tcW w:w="684" w:type="pct"/>
            <w:vAlign w:val="center"/>
          </w:tcPr>
          <w:p w14:paraId="12187AEB">
            <w:pPr>
              <w:spacing w:line="380" w:lineRule="exact"/>
              <w:jc w:val="center"/>
              <w:rPr>
                <w:rFonts w:hint="eastAsia" w:ascii="宋体" w:hAnsi="宋体" w:cs="宋体"/>
                <w:b/>
                <w:bCs/>
                <w:color w:val="auto"/>
                <w:sz w:val="22"/>
                <w:szCs w:val="22"/>
              </w:rPr>
            </w:pPr>
          </w:p>
        </w:tc>
        <w:tc>
          <w:tcPr>
            <w:tcW w:w="1331" w:type="pct"/>
            <w:vAlign w:val="center"/>
          </w:tcPr>
          <w:p w14:paraId="6F3BDF70">
            <w:pPr>
              <w:spacing w:line="380" w:lineRule="exact"/>
              <w:jc w:val="center"/>
              <w:rPr>
                <w:rFonts w:hint="eastAsia" w:ascii="宋体" w:hAnsi="宋体" w:cs="宋体"/>
                <w:b/>
                <w:bCs/>
                <w:color w:val="auto"/>
                <w:sz w:val="22"/>
                <w:szCs w:val="22"/>
              </w:rPr>
            </w:pPr>
          </w:p>
        </w:tc>
      </w:tr>
      <w:tr w14:paraId="473E3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vAlign w:val="center"/>
          </w:tcPr>
          <w:p w14:paraId="224FFE7A">
            <w:pPr>
              <w:spacing w:line="380" w:lineRule="exact"/>
              <w:jc w:val="center"/>
              <w:rPr>
                <w:rFonts w:hint="eastAsia" w:ascii="宋体" w:hAnsi="宋体" w:cs="宋体"/>
                <w:b/>
                <w:bCs/>
                <w:color w:val="auto"/>
                <w:sz w:val="22"/>
                <w:szCs w:val="22"/>
              </w:rPr>
            </w:pPr>
          </w:p>
        </w:tc>
        <w:tc>
          <w:tcPr>
            <w:tcW w:w="1115" w:type="pct"/>
            <w:vAlign w:val="center"/>
          </w:tcPr>
          <w:p w14:paraId="1D402B1F">
            <w:pPr>
              <w:spacing w:line="380" w:lineRule="exact"/>
              <w:jc w:val="center"/>
              <w:rPr>
                <w:rFonts w:hint="eastAsia" w:ascii="宋体" w:hAnsi="宋体" w:cs="宋体"/>
                <w:b/>
                <w:bCs/>
                <w:color w:val="auto"/>
                <w:sz w:val="22"/>
                <w:szCs w:val="22"/>
              </w:rPr>
            </w:pPr>
          </w:p>
        </w:tc>
        <w:tc>
          <w:tcPr>
            <w:tcW w:w="832" w:type="pct"/>
            <w:vAlign w:val="center"/>
          </w:tcPr>
          <w:p w14:paraId="238281EB">
            <w:pPr>
              <w:spacing w:line="380" w:lineRule="exact"/>
              <w:jc w:val="center"/>
              <w:rPr>
                <w:rFonts w:hint="eastAsia" w:ascii="宋体" w:hAnsi="宋体" w:cs="宋体"/>
                <w:b/>
                <w:bCs/>
                <w:color w:val="auto"/>
                <w:sz w:val="22"/>
                <w:szCs w:val="22"/>
              </w:rPr>
            </w:pPr>
          </w:p>
        </w:tc>
        <w:tc>
          <w:tcPr>
            <w:tcW w:w="641" w:type="pct"/>
            <w:vAlign w:val="center"/>
          </w:tcPr>
          <w:p w14:paraId="626832AD">
            <w:pPr>
              <w:spacing w:line="380" w:lineRule="exact"/>
              <w:jc w:val="center"/>
              <w:rPr>
                <w:rFonts w:hint="eastAsia" w:ascii="宋体" w:hAnsi="宋体" w:cs="宋体"/>
                <w:b/>
                <w:bCs/>
                <w:color w:val="auto"/>
                <w:sz w:val="22"/>
                <w:szCs w:val="22"/>
              </w:rPr>
            </w:pPr>
          </w:p>
        </w:tc>
        <w:tc>
          <w:tcPr>
            <w:tcW w:w="684" w:type="pct"/>
            <w:vAlign w:val="center"/>
          </w:tcPr>
          <w:p w14:paraId="0650C712">
            <w:pPr>
              <w:spacing w:line="380" w:lineRule="exact"/>
              <w:jc w:val="center"/>
              <w:rPr>
                <w:rFonts w:hint="eastAsia" w:ascii="宋体" w:hAnsi="宋体" w:cs="宋体"/>
                <w:b/>
                <w:bCs/>
                <w:color w:val="auto"/>
                <w:sz w:val="22"/>
                <w:szCs w:val="22"/>
              </w:rPr>
            </w:pPr>
          </w:p>
        </w:tc>
        <w:tc>
          <w:tcPr>
            <w:tcW w:w="1331" w:type="pct"/>
            <w:vAlign w:val="center"/>
          </w:tcPr>
          <w:p w14:paraId="6839A29F">
            <w:pPr>
              <w:spacing w:line="380" w:lineRule="exact"/>
              <w:jc w:val="center"/>
              <w:rPr>
                <w:rFonts w:hint="eastAsia" w:ascii="宋体" w:hAnsi="宋体" w:cs="宋体"/>
                <w:b/>
                <w:bCs/>
                <w:color w:val="auto"/>
                <w:sz w:val="22"/>
                <w:szCs w:val="22"/>
              </w:rPr>
            </w:pPr>
          </w:p>
        </w:tc>
      </w:tr>
      <w:tr w14:paraId="36AC4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vAlign w:val="center"/>
          </w:tcPr>
          <w:p w14:paraId="307BAB64">
            <w:pPr>
              <w:spacing w:line="380" w:lineRule="exact"/>
              <w:jc w:val="center"/>
              <w:rPr>
                <w:rFonts w:hint="eastAsia" w:ascii="宋体" w:hAnsi="宋体" w:cs="宋体"/>
                <w:b/>
                <w:bCs/>
                <w:color w:val="auto"/>
                <w:sz w:val="22"/>
                <w:szCs w:val="22"/>
              </w:rPr>
            </w:pPr>
          </w:p>
        </w:tc>
        <w:tc>
          <w:tcPr>
            <w:tcW w:w="1115" w:type="pct"/>
            <w:vAlign w:val="center"/>
          </w:tcPr>
          <w:p w14:paraId="561CDE04">
            <w:pPr>
              <w:spacing w:line="380" w:lineRule="exact"/>
              <w:jc w:val="center"/>
              <w:rPr>
                <w:rFonts w:hint="eastAsia" w:ascii="宋体" w:hAnsi="宋体" w:cs="宋体"/>
                <w:b/>
                <w:bCs/>
                <w:color w:val="auto"/>
                <w:sz w:val="22"/>
                <w:szCs w:val="22"/>
              </w:rPr>
            </w:pPr>
          </w:p>
        </w:tc>
        <w:tc>
          <w:tcPr>
            <w:tcW w:w="832" w:type="pct"/>
            <w:vAlign w:val="center"/>
          </w:tcPr>
          <w:p w14:paraId="7591A2A6">
            <w:pPr>
              <w:spacing w:line="380" w:lineRule="exact"/>
              <w:jc w:val="center"/>
              <w:rPr>
                <w:rFonts w:hint="eastAsia" w:ascii="宋体" w:hAnsi="宋体" w:cs="宋体"/>
                <w:b/>
                <w:bCs/>
                <w:color w:val="auto"/>
                <w:sz w:val="22"/>
                <w:szCs w:val="22"/>
              </w:rPr>
            </w:pPr>
          </w:p>
        </w:tc>
        <w:tc>
          <w:tcPr>
            <w:tcW w:w="641" w:type="pct"/>
            <w:vAlign w:val="center"/>
          </w:tcPr>
          <w:p w14:paraId="24EA83A8">
            <w:pPr>
              <w:spacing w:line="380" w:lineRule="exact"/>
              <w:jc w:val="center"/>
              <w:rPr>
                <w:rFonts w:hint="eastAsia" w:ascii="宋体" w:hAnsi="宋体" w:cs="宋体"/>
                <w:b/>
                <w:bCs/>
                <w:color w:val="auto"/>
                <w:sz w:val="22"/>
                <w:szCs w:val="22"/>
              </w:rPr>
            </w:pPr>
          </w:p>
        </w:tc>
        <w:tc>
          <w:tcPr>
            <w:tcW w:w="684" w:type="pct"/>
            <w:vAlign w:val="center"/>
          </w:tcPr>
          <w:p w14:paraId="11545F08">
            <w:pPr>
              <w:spacing w:line="380" w:lineRule="exact"/>
              <w:jc w:val="center"/>
              <w:rPr>
                <w:rFonts w:hint="eastAsia" w:ascii="宋体" w:hAnsi="宋体" w:cs="宋体"/>
                <w:b/>
                <w:bCs/>
                <w:color w:val="auto"/>
                <w:sz w:val="22"/>
                <w:szCs w:val="22"/>
              </w:rPr>
            </w:pPr>
          </w:p>
        </w:tc>
        <w:tc>
          <w:tcPr>
            <w:tcW w:w="1331" w:type="pct"/>
            <w:vAlign w:val="center"/>
          </w:tcPr>
          <w:p w14:paraId="3697222E">
            <w:pPr>
              <w:spacing w:line="380" w:lineRule="exact"/>
              <w:jc w:val="center"/>
              <w:rPr>
                <w:rFonts w:hint="eastAsia" w:ascii="宋体" w:hAnsi="宋体" w:cs="宋体"/>
                <w:b/>
                <w:bCs/>
                <w:color w:val="auto"/>
                <w:sz w:val="22"/>
                <w:szCs w:val="22"/>
              </w:rPr>
            </w:pPr>
          </w:p>
        </w:tc>
      </w:tr>
      <w:tr w14:paraId="3C2DA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vAlign w:val="center"/>
          </w:tcPr>
          <w:p w14:paraId="104382D8">
            <w:pPr>
              <w:spacing w:line="380" w:lineRule="exact"/>
              <w:jc w:val="center"/>
              <w:rPr>
                <w:rFonts w:hint="eastAsia" w:ascii="宋体" w:hAnsi="宋体" w:cs="宋体"/>
                <w:b/>
                <w:bCs/>
                <w:color w:val="auto"/>
                <w:sz w:val="22"/>
                <w:szCs w:val="22"/>
              </w:rPr>
            </w:pPr>
          </w:p>
        </w:tc>
        <w:tc>
          <w:tcPr>
            <w:tcW w:w="1115" w:type="pct"/>
            <w:vAlign w:val="center"/>
          </w:tcPr>
          <w:p w14:paraId="2BDD820D">
            <w:pPr>
              <w:spacing w:line="380" w:lineRule="exact"/>
              <w:jc w:val="center"/>
              <w:rPr>
                <w:rFonts w:hint="eastAsia" w:ascii="宋体" w:hAnsi="宋体" w:cs="宋体"/>
                <w:b/>
                <w:bCs/>
                <w:color w:val="auto"/>
                <w:sz w:val="22"/>
                <w:szCs w:val="22"/>
              </w:rPr>
            </w:pPr>
          </w:p>
        </w:tc>
        <w:tc>
          <w:tcPr>
            <w:tcW w:w="832" w:type="pct"/>
            <w:vAlign w:val="center"/>
          </w:tcPr>
          <w:p w14:paraId="550C84F4">
            <w:pPr>
              <w:spacing w:line="380" w:lineRule="exact"/>
              <w:jc w:val="center"/>
              <w:rPr>
                <w:rFonts w:hint="eastAsia" w:ascii="宋体" w:hAnsi="宋体" w:cs="宋体"/>
                <w:b/>
                <w:bCs/>
                <w:color w:val="auto"/>
                <w:sz w:val="22"/>
                <w:szCs w:val="22"/>
              </w:rPr>
            </w:pPr>
          </w:p>
        </w:tc>
        <w:tc>
          <w:tcPr>
            <w:tcW w:w="641" w:type="pct"/>
            <w:vAlign w:val="center"/>
          </w:tcPr>
          <w:p w14:paraId="458393ED">
            <w:pPr>
              <w:spacing w:line="380" w:lineRule="exact"/>
              <w:jc w:val="center"/>
              <w:rPr>
                <w:rFonts w:hint="eastAsia" w:ascii="宋体" w:hAnsi="宋体" w:cs="宋体"/>
                <w:b/>
                <w:bCs/>
                <w:color w:val="auto"/>
                <w:sz w:val="22"/>
                <w:szCs w:val="22"/>
              </w:rPr>
            </w:pPr>
          </w:p>
        </w:tc>
        <w:tc>
          <w:tcPr>
            <w:tcW w:w="684" w:type="pct"/>
            <w:vAlign w:val="center"/>
          </w:tcPr>
          <w:p w14:paraId="3E94EDAC">
            <w:pPr>
              <w:spacing w:line="380" w:lineRule="exact"/>
              <w:jc w:val="center"/>
              <w:rPr>
                <w:rFonts w:hint="eastAsia" w:ascii="宋体" w:hAnsi="宋体" w:cs="宋体"/>
                <w:b/>
                <w:bCs/>
                <w:color w:val="auto"/>
                <w:sz w:val="22"/>
                <w:szCs w:val="22"/>
              </w:rPr>
            </w:pPr>
          </w:p>
        </w:tc>
        <w:tc>
          <w:tcPr>
            <w:tcW w:w="1331" w:type="pct"/>
            <w:vAlign w:val="center"/>
          </w:tcPr>
          <w:p w14:paraId="0D408F79">
            <w:pPr>
              <w:spacing w:line="380" w:lineRule="exact"/>
              <w:jc w:val="center"/>
              <w:rPr>
                <w:rFonts w:hint="eastAsia" w:ascii="宋体" w:hAnsi="宋体" w:cs="宋体"/>
                <w:b/>
                <w:bCs/>
                <w:color w:val="auto"/>
                <w:sz w:val="22"/>
                <w:szCs w:val="22"/>
              </w:rPr>
            </w:pPr>
          </w:p>
        </w:tc>
      </w:tr>
      <w:tr w14:paraId="18D1F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vAlign w:val="center"/>
          </w:tcPr>
          <w:p w14:paraId="06570525">
            <w:pPr>
              <w:spacing w:line="380" w:lineRule="exact"/>
              <w:jc w:val="center"/>
              <w:rPr>
                <w:rFonts w:hint="eastAsia" w:ascii="宋体" w:hAnsi="宋体" w:cs="宋体"/>
                <w:b/>
                <w:bCs/>
                <w:color w:val="auto"/>
                <w:sz w:val="22"/>
                <w:szCs w:val="22"/>
              </w:rPr>
            </w:pPr>
          </w:p>
        </w:tc>
        <w:tc>
          <w:tcPr>
            <w:tcW w:w="1115" w:type="pct"/>
            <w:vAlign w:val="center"/>
          </w:tcPr>
          <w:p w14:paraId="34916838">
            <w:pPr>
              <w:spacing w:line="380" w:lineRule="exact"/>
              <w:jc w:val="center"/>
              <w:rPr>
                <w:rFonts w:hint="eastAsia" w:ascii="宋体" w:hAnsi="宋体" w:cs="宋体"/>
                <w:b/>
                <w:bCs/>
                <w:color w:val="auto"/>
                <w:sz w:val="22"/>
                <w:szCs w:val="22"/>
              </w:rPr>
            </w:pPr>
          </w:p>
        </w:tc>
        <w:tc>
          <w:tcPr>
            <w:tcW w:w="832" w:type="pct"/>
            <w:vAlign w:val="center"/>
          </w:tcPr>
          <w:p w14:paraId="46F3F450">
            <w:pPr>
              <w:spacing w:line="380" w:lineRule="exact"/>
              <w:jc w:val="center"/>
              <w:rPr>
                <w:rFonts w:hint="eastAsia" w:ascii="宋体" w:hAnsi="宋体" w:cs="宋体"/>
                <w:b/>
                <w:bCs/>
                <w:color w:val="auto"/>
                <w:sz w:val="22"/>
                <w:szCs w:val="22"/>
              </w:rPr>
            </w:pPr>
          </w:p>
        </w:tc>
        <w:tc>
          <w:tcPr>
            <w:tcW w:w="641" w:type="pct"/>
            <w:vAlign w:val="center"/>
          </w:tcPr>
          <w:p w14:paraId="5EEF8EF2">
            <w:pPr>
              <w:spacing w:line="380" w:lineRule="exact"/>
              <w:jc w:val="center"/>
              <w:rPr>
                <w:rFonts w:hint="eastAsia" w:ascii="宋体" w:hAnsi="宋体" w:cs="宋体"/>
                <w:b/>
                <w:bCs/>
                <w:color w:val="auto"/>
                <w:sz w:val="22"/>
                <w:szCs w:val="22"/>
              </w:rPr>
            </w:pPr>
          </w:p>
        </w:tc>
        <w:tc>
          <w:tcPr>
            <w:tcW w:w="684" w:type="pct"/>
            <w:vAlign w:val="center"/>
          </w:tcPr>
          <w:p w14:paraId="42CA7022">
            <w:pPr>
              <w:spacing w:line="380" w:lineRule="exact"/>
              <w:jc w:val="center"/>
              <w:rPr>
                <w:rFonts w:hint="eastAsia" w:ascii="宋体" w:hAnsi="宋体" w:cs="宋体"/>
                <w:b/>
                <w:bCs/>
                <w:color w:val="auto"/>
                <w:sz w:val="22"/>
                <w:szCs w:val="22"/>
              </w:rPr>
            </w:pPr>
          </w:p>
        </w:tc>
        <w:tc>
          <w:tcPr>
            <w:tcW w:w="1331" w:type="pct"/>
            <w:vAlign w:val="center"/>
          </w:tcPr>
          <w:p w14:paraId="1A0A19D9">
            <w:pPr>
              <w:spacing w:line="380" w:lineRule="exact"/>
              <w:jc w:val="center"/>
              <w:rPr>
                <w:rFonts w:hint="eastAsia" w:ascii="宋体" w:hAnsi="宋体" w:cs="宋体"/>
                <w:b/>
                <w:bCs/>
                <w:color w:val="auto"/>
                <w:sz w:val="22"/>
                <w:szCs w:val="22"/>
              </w:rPr>
            </w:pPr>
          </w:p>
        </w:tc>
      </w:tr>
      <w:tr w14:paraId="5E9E7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vAlign w:val="center"/>
          </w:tcPr>
          <w:p w14:paraId="2C049A4F">
            <w:pPr>
              <w:spacing w:line="380" w:lineRule="exact"/>
              <w:jc w:val="center"/>
              <w:rPr>
                <w:rFonts w:hint="eastAsia" w:ascii="宋体" w:hAnsi="宋体" w:cs="宋体"/>
                <w:b/>
                <w:bCs/>
                <w:color w:val="auto"/>
                <w:sz w:val="22"/>
                <w:szCs w:val="22"/>
              </w:rPr>
            </w:pPr>
          </w:p>
        </w:tc>
        <w:tc>
          <w:tcPr>
            <w:tcW w:w="1115" w:type="pct"/>
            <w:vAlign w:val="center"/>
          </w:tcPr>
          <w:p w14:paraId="4E184E7F">
            <w:pPr>
              <w:spacing w:line="380" w:lineRule="exact"/>
              <w:jc w:val="center"/>
              <w:rPr>
                <w:rFonts w:hint="eastAsia" w:ascii="宋体" w:hAnsi="宋体" w:cs="宋体"/>
                <w:b/>
                <w:bCs/>
                <w:color w:val="auto"/>
                <w:sz w:val="22"/>
                <w:szCs w:val="22"/>
              </w:rPr>
            </w:pPr>
          </w:p>
        </w:tc>
        <w:tc>
          <w:tcPr>
            <w:tcW w:w="832" w:type="pct"/>
            <w:vAlign w:val="center"/>
          </w:tcPr>
          <w:p w14:paraId="0CB58822">
            <w:pPr>
              <w:spacing w:line="380" w:lineRule="exact"/>
              <w:jc w:val="center"/>
              <w:rPr>
                <w:rFonts w:hint="eastAsia" w:ascii="宋体" w:hAnsi="宋体" w:cs="宋体"/>
                <w:b/>
                <w:bCs/>
                <w:color w:val="auto"/>
                <w:sz w:val="22"/>
                <w:szCs w:val="22"/>
              </w:rPr>
            </w:pPr>
          </w:p>
        </w:tc>
        <w:tc>
          <w:tcPr>
            <w:tcW w:w="641" w:type="pct"/>
            <w:vAlign w:val="center"/>
          </w:tcPr>
          <w:p w14:paraId="5E6A3CF7">
            <w:pPr>
              <w:spacing w:line="380" w:lineRule="exact"/>
              <w:jc w:val="center"/>
              <w:rPr>
                <w:rFonts w:hint="eastAsia" w:ascii="宋体" w:hAnsi="宋体" w:cs="宋体"/>
                <w:b/>
                <w:bCs/>
                <w:color w:val="auto"/>
                <w:sz w:val="22"/>
                <w:szCs w:val="22"/>
              </w:rPr>
            </w:pPr>
          </w:p>
        </w:tc>
        <w:tc>
          <w:tcPr>
            <w:tcW w:w="684" w:type="pct"/>
            <w:vAlign w:val="center"/>
          </w:tcPr>
          <w:p w14:paraId="3E7AC3E2">
            <w:pPr>
              <w:spacing w:line="380" w:lineRule="exact"/>
              <w:jc w:val="center"/>
              <w:rPr>
                <w:rFonts w:hint="eastAsia" w:ascii="宋体" w:hAnsi="宋体" w:cs="宋体"/>
                <w:b/>
                <w:bCs/>
                <w:color w:val="auto"/>
                <w:sz w:val="22"/>
                <w:szCs w:val="22"/>
              </w:rPr>
            </w:pPr>
          </w:p>
        </w:tc>
        <w:tc>
          <w:tcPr>
            <w:tcW w:w="1331" w:type="pct"/>
            <w:vAlign w:val="center"/>
          </w:tcPr>
          <w:p w14:paraId="31E14448">
            <w:pPr>
              <w:spacing w:line="380" w:lineRule="exact"/>
              <w:jc w:val="center"/>
              <w:rPr>
                <w:rFonts w:hint="eastAsia" w:ascii="宋体" w:hAnsi="宋体" w:cs="宋体"/>
                <w:b/>
                <w:bCs/>
                <w:color w:val="auto"/>
                <w:sz w:val="22"/>
                <w:szCs w:val="22"/>
              </w:rPr>
            </w:pPr>
          </w:p>
        </w:tc>
      </w:tr>
      <w:tr w14:paraId="22A1A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vAlign w:val="center"/>
          </w:tcPr>
          <w:p w14:paraId="17CB9284">
            <w:pPr>
              <w:spacing w:line="380" w:lineRule="exact"/>
              <w:jc w:val="center"/>
              <w:rPr>
                <w:rFonts w:hint="eastAsia" w:ascii="宋体" w:hAnsi="宋体" w:cs="宋体"/>
                <w:b/>
                <w:bCs/>
                <w:color w:val="auto"/>
                <w:sz w:val="22"/>
                <w:szCs w:val="22"/>
              </w:rPr>
            </w:pPr>
          </w:p>
        </w:tc>
        <w:tc>
          <w:tcPr>
            <w:tcW w:w="1115" w:type="pct"/>
            <w:vAlign w:val="center"/>
          </w:tcPr>
          <w:p w14:paraId="69224D35">
            <w:pPr>
              <w:spacing w:line="380" w:lineRule="exact"/>
              <w:jc w:val="center"/>
              <w:rPr>
                <w:rFonts w:hint="eastAsia" w:ascii="宋体" w:hAnsi="宋体" w:cs="宋体"/>
                <w:b/>
                <w:bCs/>
                <w:color w:val="auto"/>
                <w:sz w:val="22"/>
                <w:szCs w:val="22"/>
              </w:rPr>
            </w:pPr>
          </w:p>
        </w:tc>
        <w:tc>
          <w:tcPr>
            <w:tcW w:w="832" w:type="pct"/>
            <w:vAlign w:val="center"/>
          </w:tcPr>
          <w:p w14:paraId="6769EB82">
            <w:pPr>
              <w:spacing w:line="380" w:lineRule="exact"/>
              <w:jc w:val="center"/>
              <w:rPr>
                <w:rFonts w:hint="eastAsia" w:ascii="宋体" w:hAnsi="宋体" w:cs="宋体"/>
                <w:b/>
                <w:bCs/>
                <w:color w:val="auto"/>
                <w:sz w:val="22"/>
                <w:szCs w:val="22"/>
              </w:rPr>
            </w:pPr>
          </w:p>
        </w:tc>
        <w:tc>
          <w:tcPr>
            <w:tcW w:w="641" w:type="pct"/>
            <w:vAlign w:val="center"/>
          </w:tcPr>
          <w:p w14:paraId="3A7FF67F">
            <w:pPr>
              <w:spacing w:line="380" w:lineRule="exact"/>
              <w:jc w:val="center"/>
              <w:rPr>
                <w:rFonts w:hint="eastAsia" w:ascii="宋体" w:hAnsi="宋体" w:cs="宋体"/>
                <w:b/>
                <w:bCs/>
                <w:color w:val="auto"/>
                <w:sz w:val="22"/>
                <w:szCs w:val="22"/>
              </w:rPr>
            </w:pPr>
          </w:p>
        </w:tc>
        <w:tc>
          <w:tcPr>
            <w:tcW w:w="684" w:type="pct"/>
            <w:vAlign w:val="center"/>
          </w:tcPr>
          <w:p w14:paraId="705E7AB1">
            <w:pPr>
              <w:spacing w:line="380" w:lineRule="exact"/>
              <w:jc w:val="center"/>
              <w:rPr>
                <w:rFonts w:hint="eastAsia" w:ascii="宋体" w:hAnsi="宋体" w:cs="宋体"/>
                <w:b/>
                <w:bCs/>
                <w:color w:val="auto"/>
                <w:sz w:val="22"/>
                <w:szCs w:val="22"/>
              </w:rPr>
            </w:pPr>
          </w:p>
        </w:tc>
        <w:tc>
          <w:tcPr>
            <w:tcW w:w="1331" w:type="pct"/>
            <w:vAlign w:val="center"/>
          </w:tcPr>
          <w:p w14:paraId="22BC196F">
            <w:pPr>
              <w:spacing w:line="380" w:lineRule="exact"/>
              <w:jc w:val="center"/>
              <w:rPr>
                <w:rFonts w:hint="eastAsia" w:ascii="宋体" w:hAnsi="宋体" w:cs="宋体"/>
                <w:b/>
                <w:bCs/>
                <w:color w:val="auto"/>
                <w:sz w:val="22"/>
                <w:szCs w:val="22"/>
              </w:rPr>
            </w:pPr>
          </w:p>
        </w:tc>
      </w:tr>
      <w:tr w14:paraId="3CB82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vAlign w:val="center"/>
          </w:tcPr>
          <w:p w14:paraId="2E50F709">
            <w:pPr>
              <w:spacing w:line="380" w:lineRule="exact"/>
              <w:jc w:val="center"/>
              <w:rPr>
                <w:rFonts w:hint="eastAsia" w:ascii="宋体" w:hAnsi="宋体" w:cs="宋体"/>
                <w:b/>
                <w:bCs/>
                <w:color w:val="auto"/>
                <w:sz w:val="22"/>
                <w:szCs w:val="22"/>
              </w:rPr>
            </w:pPr>
          </w:p>
        </w:tc>
        <w:tc>
          <w:tcPr>
            <w:tcW w:w="1115" w:type="pct"/>
            <w:vAlign w:val="center"/>
          </w:tcPr>
          <w:p w14:paraId="32B48DB0">
            <w:pPr>
              <w:spacing w:line="380" w:lineRule="exact"/>
              <w:jc w:val="center"/>
              <w:rPr>
                <w:rFonts w:hint="eastAsia" w:ascii="宋体" w:hAnsi="宋体" w:cs="宋体"/>
                <w:b/>
                <w:bCs/>
                <w:color w:val="auto"/>
                <w:sz w:val="22"/>
                <w:szCs w:val="22"/>
              </w:rPr>
            </w:pPr>
          </w:p>
        </w:tc>
        <w:tc>
          <w:tcPr>
            <w:tcW w:w="832" w:type="pct"/>
            <w:vAlign w:val="center"/>
          </w:tcPr>
          <w:p w14:paraId="470F6085">
            <w:pPr>
              <w:spacing w:line="380" w:lineRule="exact"/>
              <w:jc w:val="center"/>
              <w:rPr>
                <w:rFonts w:hint="eastAsia" w:ascii="宋体" w:hAnsi="宋体" w:cs="宋体"/>
                <w:b/>
                <w:bCs/>
                <w:color w:val="auto"/>
                <w:sz w:val="22"/>
                <w:szCs w:val="22"/>
              </w:rPr>
            </w:pPr>
          </w:p>
        </w:tc>
        <w:tc>
          <w:tcPr>
            <w:tcW w:w="641" w:type="pct"/>
            <w:vAlign w:val="center"/>
          </w:tcPr>
          <w:p w14:paraId="78D99826">
            <w:pPr>
              <w:spacing w:line="380" w:lineRule="exact"/>
              <w:jc w:val="center"/>
              <w:rPr>
                <w:rFonts w:hint="eastAsia" w:ascii="宋体" w:hAnsi="宋体" w:cs="宋体"/>
                <w:b/>
                <w:bCs/>
                <w:color w:val="auto"/>
                <w:sz w:val="22"/>
                <w:szCs w:val="22"/>
              </w:rPr>
            </w:pPr>
          </w:p>
        </w:tc>
        <w:tc>
          <w:tcPr>
            <w:tcW w:w="684" w:type="pct"/>
            <w:vAlign w:val="center"/>
          </w:tcPr>
          <w:p w14:paraId="00AFF916">
            <w:pPr>
              <w:spacing w:line="380" w:lineRule="exact"/>
              <w:jc w:val="center"/>
              <w:rPr>
                <w:rFonts w:hint="eastAsia" w:ascii="宋体" w:hAnsi="宋体" w:cs="宋体"/>
                <w:b/>
                <w:bCs/>
                <w:color w:val="auto"/>
                <w:sz w:val="22"/>
                <w:szCs w:val="22"/>
              </w:rPr>
            </w:pPr>
          </w:p>
        </w:tc>
        <w:tc>
          <w:tcPr>
            <w:tcW w:w="1331" w:type="pct"/>
            <w:vAlign w:val="center"/>
          </w:tcPr>
          <w:p w14:paraId="40F92A87">
            <w:pPr>
              <w:spacing w:line="380" w:lineRule="exact"/>
              <w:jc w:val="center"/>
              <w:rPr>
                <w:rFonts w:hint="eastAsia" w:ascii="宋体" w:hAnsi="宋体" w:cs="宋体"/>
                <w:b/>
                <w:bCs/>
                <w:color w:val="auto"/>
                <w:sz w:val="22"/>
                <w:szCs w:val="22"/>
              </w:rPr>
            </w:pPr>
          </w:p>
        </w:tc>
      </w:tr>
      <w:tr w14:paraId="21E0F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395" w:type="pct"/>
            <w:vAlign w:val="center"/>
          </w:tcPr>
          <w:p w14:paraId="3A6779EA">
            <w:pPr>
              <w:spacing w:line="380" w:lineRule="exact"/>
              <w:jc w:val="center"/>
              <w:rPr>
                <w:rFonts w:hint="eastAsia" w:ascii="宋体" w:hAnsi="宋体" w:cs="宋体"/>
                <w:b/>
                <w:bCs/>
                <w:color w:val="auto"/>
                <w:sz w:val="22"/>
                <w:szCs w:val="22"/>
              </w:rPr>
            </w:pPr>
          </w:p>
        </w:tc>
        <w:tc>
          <w:tcPr>
            <w:tcW w:w="1115" w:type="pct"/>
            <w:vAlign w:val="center"/>
          </w:tcPr>
          <w:p w14:paraId="21493D22">
            <w:pPr>
              <w:spacing w:line="380" w:lineRule="exact"/>
              <w:jc w:val="center"/>
              <w:rPr>
                <w:rFonts w:hint="eastAsia" w:ascii="宋体" w:hAnsi="宋体" w:cs="宋体"/>
                <w:b/>
                <w:bCs/>
                <w:color w:val="auto"/>
                <w:sz w:val="22"/>
                <w:szCs w:val="22"/>
              </w:rPr>
            </w:pPr>
          </w:p>
        </w:tc>
        <w:tc>
          <w:tcPr>
            <w:tcW w:w="832" w:type="pct"/>
            <w:vAlign w:val="center"/>
          </w:tcPr>
          <w:p w14:paraId="6F975758">
            <w:pPr>
              <w:spacing w:line="380" w:lineRule="exact"/>
              <w:jc w:val="center"/>
              <w:rPr>
                <w:rFonts w:hint="eastAsia" w:ascii="宋体" w:hAnsi="宋体" w:cs="宋体"/>
                <w:b/>
                <w:bCs/>
                <w:color w:val="auto"/>
                <w:sz w:val="22"/>
                <w:szCs w:val="22"/>
              </w:rPr>
            </w:pPr>
          </w:p>
        </w:tc>
        <w:tc>
          <w:tcPr>
            <w:tcW w:w="641" w:type="pct"/>
            <w:vAlign w:val="center"/>
          </w:tcPr>
          <w:p w14:paraId="44B19607">
            <w:pPr>
              <w:spacing w:line="380" w:lineRule="exact"/>
              <w:jc w:val="center"/>
              <w:rPr>
                <w:rFonts w:hint="eastAsia" w:ascii="宋体" w:hAnsi="宋体" w:cs="宋体"/>
                <w:b/>
                <w:bCs/>
                <w:color w:val="auto"/>
                <w:sz w:val="22"/>
                <w:szCs w:val="22"/>
              </w:rPr>
            </w:pPr>
          </w:p>
        </w:tc>
        <w:tc>
          <w:tcPr>
            <w:tcW w:w="684" w:type="pct"/>
            <w:vAlign w:val="center"/>
          </w:tcPr>
          <w:p w14:paraId="3AD8F636">
            <w:pPr>
              <w:spacing w:line="380" w:lineRule="exact"/>
              <w:jc w:val="center"/>
              <w:rPr>
                <w:rFonts w:hint="eastAsia" w:ascii="宋体" w:hAnsi="宋体" w:cs="宋体"/>
                <w:b/>
                <w:bCs/>
                <w:color w:val="auto"/>
                <w:sz w:val="22"/>
                <w:szCs w:val="22"/>
              </w:rPr>
            </w:pPr>
          </w:p>
        </w:tc>
        <w:tc>
          <w:tcPr>
            <w:tcW w:w="1331" w:type="pct"/>
            <w:vAlign w:val="center"/>
          </w:tcPr>
          <w:p w14:paraId="416C0AB1">
            <w:pPr>
              <w:spacing w:line="380" w:lineRule="exact"/>
              <w:jc w:val="center"/>
              <w:rPr>
                <w:rFonts w:hint="eastAsia" w:ascii="宋体" w:hAnsi="宋体" w:cs="宋体"/>
                <w:b/>
                <w:bCs/>
                <w:color w:val="auto"/>
                <w:sz w:val="22"/>
                <w:szCs w:val="22"/>
              </w:rPr>
            </w:pPr>
          </w:p>
        </w:tc>
      </w:tr>
    </w:tbl>
    <w:p w14:paraId="0DA4D8B9">
      <w:pPr>
        <w:spacing w:line="440" w:lineRule="exact"/>
        <w:rPr>
          <w:rFonts w:hint="eastAsia" w:ascii="宋体" w:hAnsi="宋体" w:cs="宋体"/>
          <w:b/>
          <w:color w:val="auto"/>
          <w:sz w:val="22"/>
          <w:szCs w:val="22"/>
        </w:rPr>
      </w:pPr>
      <w:bookmarkStart w:id="91" w:name="_Toc480204650"/>
      <w:bookmarkStart w:id="92" w:name="_Toc82417917"/>
      <w:bookmarkStart w:id="93" w:name="_Toc469730741"/>
      <w:bookmarkStart w:id="94" w:name="_Toc54034498"/>
      <w:bookmarkStart w:id="95" w:name="_Toc13603237"/>
      <w:r>
        <w:rPr>
          <w:rFonts w:hint="eastAsia" w:ascii="宋体" w:hAnsi="宋体" w:cs="宋体"/>
          <w:b/>
          <w:color w:val="auto"/>
          <w:sz w:val="22"/>
          <w:szCs w:val="22"/>
        </w:rPr>
        <w:t>注：根据商务技术评分要求提供证明材料。</w:t>
      </w:r>
    </w:p>
    <w:p w14:paraId="6FBFB7D0">
      <w:pPr>
        <w:tabs>
          <w:tab w:val="left" w:pos="720"/>
          <w:tab w:val="left" w:pos="1260"/>
          <w:tab w:val="left" w:pos="5355"/>
        </w:tabs>
        <w:spacing w:line="430" w:lineRule="exact"/>
        <w:rPr>
          <w:rFonts w:hint="eastAsia" w:ascii="宋体" w:hAnsi="宋体" w:cs="宋体"/>
          <w:bCs/>
          <w:color w:val="auto"/>
          <w:sz w:val="22"/>
          <w:szCs w:val="22"/>
        </w:rPr>
      </w:pPr>
    </w:p>
    <w:p w14:paraId="520279D4">
      <w:pPr>
        <w:spacing w:line="440" w:lineRule="exact"/>
        <w:ind w:firstLine="4400" w:firstLineChars="2000"/>
        <w:rPr>
          <w:rFonts w:hint="eastAsia" w:ascii="宋体" w:hAnsi="宋体" w:cs="宋体"/>
          <w:color w:val="auto"/>
          <w:sz w:val="22"/>
          <w:szCs w:val="22"/>
        </w:rPr>
      </w:pPr>
    </w:p>
    <w:p w14:paraId="117F3B12">
      <w:pPr>
        <w:spacing w:line="440" w:lineRule="exact"/>
        <w:rPr>
          <w:rFonts w:hint="eastAsia" w:ascii="宋体" w:hAnsi="宋体" w:cs="宋体"/>
          <w:color w:val="auto"/>
          <w:sz w:val="22"/>
          <w:szCs w:val="22"/>
        </w:rPr>
      </w:pPr>
    </w:p>
    <w:p w14:paraId="2470B493">
      <w:pPr>
        <w:spacing w:line="440" w:lineRule="exact"/>
        <w:ind w:firstLine="4400" w:firstLineChars="2000"/>
        <w:rPr>
          <w:rFonts w:hint="eastAsia" w:ascii="宋体" w:hAnsi="宋体" w:cs="宋体"/>
          <w:color w:val="auto"/>
          <w:sz w:val="22"/>
          <w:szCs w:val="22"/>
        </w:rPr>
      </w:pPr>
    </w:p>
    <w:p w14:paraId="2AE7F17C">
      <w:pPr>
        <w:spacing w:line="440" w:lineRule="exact"/>
        <w:jc w:val="center"/>
        <w:rPr>
          <w:rFonts w:hint="eastAsia" w:ascii="宋体" w:hAnsi="宋体" w:cs="宋体"/>
          <w:color w:val="auto"/>
          <w:sz w:val="22"/>
          <w:szCs w:val="22"/>
        </w:rPr>
      </w:pPr>
      <w:r>
        <w:rPr>
          <w:rFonts w:hint="eastAsia" w:ascii="宋体" w:hAnsi="宋体" w:cs="宋体"/>
          <w:color w:val="auto"/>
          <w:sz w:val="22"/>
          <w:szCs w:val="22"/>
        </w:rPr>
        <w:t xml:space="preserve"> </w:t>
      </w:r>
      <w:r>
        <w:rPr>
          <w:rFonts w:ascii="宋体" w:hAnsi="宋体" w:cs="宋体"/>
          <w:color w:val="auto"/>
          <w:sz w:val="22"/>
          <w:szCs w:val="22"/>
        </w:rPr>
        <w:t xml:space="preserve">                 </w:t>
      </w:r>
      <w:r>
        <w:rPr>
          <w:rFonts w:hint="eastAsia" w:ascii="宋体" w:hAnsi="宋体" w:cs="宋体"/>
          <w:color w:val="auto"/>
          <w:sz w:val="22"/>
          <w:szCs w:val="22"/>
        </w:rPr>
        <w:t>投标人全称（电子签名/公章）：</w:t>
      </w:r>
    </w:p>
    <w:p w14:paraId="739F439A">
      <w:pPr>
        <w:spacing w:line="440" w:lineRule="exact"/>
        <w:ind w:firstLine="4180" w:firstLineChars="1900"/>
        <w:rPr>
          <w:rFonts w:hint="eastAsia" w:ascii="宋体" w:hAnsi="宋体" w:cs="宋体"/>
          <w:color w:val="auto"/>
          <w:sz w:val="22"/>
          <w:szCs w:val="22"/>
        </w:rPr>
      </w:pPr>
      <w:r>
        <w:rPr>
          <w:rFonts w:hint="eastAsia" w:ascii="宋体" w:hAnsi="宋体" w:cs="宋体"/>
          <w:color w:val="auto"/>
          <w:sz w:val="22"/>
          <w:szCs w:val="22"/>
        </w:rPr>
        <w:t>日期：     年    月    日</w:t>
      </w:r>
    </w:p>
    <w:bookmarkEnd w:id="91"/>
    <w:bookmarkEnd w:id="92"/>
    <w:bookmarkEnd w:id="93"/>
    <w:bookmarkEnd w:id="94"/>
    <w:bookmarkEnd w:id="95"/>
    <w:p w14:paraId="7622711E">
      <w:pPr>
        <w:pStyle w:val="89"/>
        <w:rPr>
          <w:color w:val="auto"/>
        </w:rPr>
      </w:pPr>
    </w:p>
    <w:p w14:paraId="127FBFFA">
      <w:pPr>
        <w:pStyle w:val="5"/>
        <w:spacing w:line="240" w:lineRule="auto"/>
        <w:rPr>
          <w:rFonts w:hint="eastAsia" w:ascii="宋体" w:hAnsi="宋体" w:eastAsia="宋体"/>
          <w:color w:val="auto"/>
          <w:sz w:val="24"/>
          <w:szCs w:val="24"/>
        </w:rPr>
      </w:pPr>
      <w:r>
        <w:rPr>
          <w:rFonts w:hint="eastAsia" w:ascii="宋体" w:hAnsi="宋体" w:cs="宋体"/>
          <w:color w:val="auto"/>
          <w:sz w:val="22"/>
          <w:szCs w:val="22"/>
        </w:rPr>
        <w:br w:type="page"/>
      </w:r>
      <w:bookmarkStart w:id="96" w:name="_Toc11385"/>
      <w:bookmarkStart w:id="97" w:name="_Toc20385"/>
      <w:bookmarkStart w:id="98" w:name="_Toc10560"/>
      <w:bookmarkStart w:id="99" w:name="_Toc524273184"/>
      <w:bookmarkStart w:id="100" w:name="_Toc40035657"/>
      <w:r>
        <w:rPr>
          <w:rFonts w:ascii="宋体" w:hAnsi="宋体" w:eastAsia="宋体"/>
          <w:color w:val="auto"/>
          <w:sz w:val="24"/>
          <w:szCs w:val="24"/>
        </w:rPr>
        <w:t>附件</w:t>
      </w:r>
      <w:r>
        <w:rPr>
          <w:rFonts w:hint="eastAsia" w:ascii="宋体" w:hAnsi="宋体" w:eastAsia="宋体"/>
          <w:color w:val="auto"/>
          <w:sz w:val="24"/>
          <w:szCs w:val="24"/>
        </w:rPr>
        <w:t>八 政府采购政策功能相关说明</w:t>
      </w:r>
      <w:bookmarkEnd w:id="96"/>
      <w:bookmarkEnd w:id="97"/>
      <w:bookmarkEnd w:id="98"/>
      <w:bookmarkEnd w:id="99"/>
      <w:bookmarkEnd w:id="100"/>
    </w:p>
    <w:p w14:paraId="490B0BF4">
      <w:pPr>
        <w:spacing w:line="440" w:lineRule="exact"/>
        <w:ind w:left="708" w:hanging="708" w:hangingChars="294"/>
        <w:jc w:val="center"/>
        <w:rPr>
          <w:rFonts w:hint="eastAsia" w:ascii="宋体" w:hAnsi="宋体" w:cs="宋体"/>
          <w:b/>
          <w:color w:val="auto"/>
          <w:sz w:val="24"/>
        </w:rPr>
      </w:pPr>
      <w:r>
        <w:rPr>
          <w:rFonts w:hint="eastAsia" w:ascii="宋体" w:hAnsi="宋体" w:cs="宋体"/>
          <w:b/>
          <w:color w:val="auto"/>
          <w:sz w:val="24"/>
        </w:rPr>
        <w:t>（1）小、微企业（含监狱企业、残疾人福利性单位）扶持政策说明</w:t>
      </w:r>
    </w:p>
    <w:p w14:paraId="71198499">
      <w:pPr>
        <w:spacing w:line="440" w:lineRule="atLeast"/>
        <w:jc w:val="left"/>
        <w:rPr>
          <w:rFonts w:hint="eastAsia" w:ascii="宋体" w:hAnsi="宋体"/>
          <w:color w:val="auto"/>
          <w:sz w:val="22"/>
        </w:rPr>
      </w:pPr>
      <w:r>
        <w:rPr>
          <w:rFonts w:ascii="宋体" w:hAnsi="宋体"/>
          <w:color w:val="auto"/>
          <w:sz w:val="22"/>
        </w:rPr>
        <w:t xml:space="preserve">1.   </w:t>
      </w:r>
      <w:r>
        <w:rPr>
          <w:rFonts w:hint="eastAsia" w:ascii="宋体" w:hAnsi="宋体"/>
          <w:color w:val="auto"/>
          <w:sz w:val="22"/>
        </w:rPr>
        <w:t>文件依据</w:t>
      </w:r>
    </w:p>
    <w:p w14:paraId="02EC07E2">
      <w:pPr>
        <w:spacing w:line="440" w:lineRule="atLeast"/>
        <w:jc w:val="left"/>
        <w:rPr>
          <w:rFonts w:hint="eastAsia" w:ascii="宋体" w:hAnsi="宋体"/>
          <w:color w:val="auto"/>
          <w:sz w:val="22"/>
        </w:rPr>
      </w:pPr>
      <w:r>
        <w:rPr>
          <w:rFonts w:hint="eastAsia" w:ascii="宋体" w:hAnsi="宋体"/>
          <w:color w:val="auto"/>
          <w:sz w:val="22"/>
        </w:rPr>
        <w:t>（1）关于印发《政府采购促进中小企业发展暂行办法》的通知（财库〔2020〕46号）</w:t>
      </w:r>
    </w:p>
    <w:p w14:paraId="0DD46B4A">
      <w:pPr>
        <w:spacing w:line="440" w:lineRule="atLeast"/>
        <w:jc w:val="left"/>
        <w:rPr>
          <w:rFonts w:hint="eastAsia" w:ascii="宋体" w:hAnsi="宋体"/>
          <w:color w:val="auto"/>
          <w:sz w:val="22"/>
        </w:rPr>
      </w:pPr>
      <w:r>
        <w:rPr>
          <w:rFonts w:hint="eastAsia" w:ascii="宋体" w:hAnsi="宋体"/>
          <w:color w:val="auto"/>
          <w:sz w:val="22"/>
        </w:rPr>
        <w:t>（</w:t>
      </w:r>
      <w:r>
        <w:rPr>
          <w:rFonts w:hint="eastAsia" w:ascii="宋体" w:hAnsi="宋体"/>
          <w:color w:val="auto"/>
          <w:sz w:val="22"/>
          <w:lang w:val="en-US" w:eastAsia="zh-CN"/>
        </w:rPr>
        <w:t>2</w:t>
      </w:r>
      <w:r>
        <w:rPr>
          <w:rFonts w:hint="eastAsia" w:ascii="宋体" w:hAnsi="宋体"/>
          <w:color w:val="auto"/>
          <w:sz w:val="22"/>
        </w:rPr>
        <w:t>）《工业和信息化部、国家统计局、国家发展和改革委员会、财政部关于印发中小企业划型标准规定的通知》（</w:t>
      </w:r>
      <w:r>
        <w:rPr>
          <w:rFonts w:ascii="宋体" w:hAnsi="宋体"/>
          <w:color w:val="auto"/>
          <w:sz w:val="22"/>
        </w:rPr>
        <w:t>工信部联企业[2011]300号</w:t>
      </w:r>
      <w:r>
        <w:rPr>
          <w:rFonts w:hint="eastAsia" w:ascii="宋体" w:hAnsi="宋体"/>
          <w:color w:val="auto"/>
          <w:sz w:val="22"/>
        </w:rPr>
        <w:t>）</w:t>
      </w:r>
    </w:p>
    <w:p w14:paraId="18ECF15B">
      <w:pPr>
        <w:spacing w:line="440" w:lineRule="atLeast"/>
        <w:jc w:val="left"/>
        <w:rPr>
          <w:rFonts w:hint="eastAsia" w:ascii="宋体" w:hAnsi="宋体"/>
          <w:color w:val="auto"/>
          <w:sz w:val="22"/>
        </w:rPr>
      </w:pPr>
      <w:r>
        <w:rPr>
          <w:rFonts w:hint="eastAsia" w:ascii="宋体" w:hAnsi="宋体"/>
          <w:color w:val="auto"/>
          <w:sz w:val="22"/>
        </w:rPr>
        <w:t>（</w:t>
      </w:r>
      <w:r>
        <w:rPr>
          <w:rFonts w:ascii="宋体" w:hAnsi="宋体"/>
          <w:color w:val="auto"/>
          <w:sz w:val="22"/>
        </w:rPr>
        <w:t>3</w:t>
      </w:r>
      <w:r>
        <w:rPr>
          <w:rFonts w:hint="eastAsia" w:ascii="宋体" w:hAnsi="宋体"/>
          <w:color w:val="auto"/>
          <w:sz w:val="22"/>
        </w:rPr>
        <w:t>）财政部、司法部《关于政府采购支持监狱企业发展有关问题的通知》（财库〔2014〕68号）</w:t>
      </w:r>
    </w:p>
    <w:p w14:paraId="684B5060">
      <w:pPr>
        <w:spacing w:line="440" w:lineRule="atLeast"/>
        <w:jc w:val="left"/>
        <w:rPr>
          <w:rFonts w:hint="eastAsia" w:ascii="宋体" w:hAnsi="宋体"/>
          <w:color w:val="auto"/>
          <w:sz w:val="22"/>
        </w:rPr>
      </w:pPr>
      <w:r>
        <w:rPr>
          <w:rFonts w:hint="eastAsia" w:ascii="宋体" w:hAnsi="宋体"/>
          <w:color w:val="auto"/>
          <w:sz w:val="22"/>
        </w:rPr>
        <w:t>（</w:t>
      </w:r>
      <w:r>
        <w:rPr>
          <w:rFonts w:ascii="宋体" w:hAnsi="宋体"/>
          <w:color w:val="auto"/>
          <w:sz w:val="22"/>
        </w:rPr>
        <w:t>4</w:t>
      </w:r>
      <w:r>
        <w:rPr>
          <w:rFonts w:hint="eastAsia" w:ascii="宋体" w:hAnsi="宋体"/>
          <w:color w:val="auto"/>
          <w:sz w:val="22"/>
        </w:rPr>
        <w:t>）《财政部 民政部 中国残疾人联合会关于促进残疾人就业政府采购政策的通知》（财库〔2017〕 141号）</w:t>
      </w:r>
    </w:p>
    <w:p w14:paraId="62CF9735">
      <w:pPr>
        <w:spacing w:line="440" w:lineRule="atLeast"/>
        <w:jc w:val="left"/>
        <w:rPr>
          <w:rFonts w:hint="eastAsia" w:ascii="宋体" w:hAnsi="宋体"/>
          <w:color w:val="auto"/>
          <w:sz w:val="22"/>
        </w:rPr>
      </w:pPr>
      <w:r>
        <w:rPr>
          <w:rFonts w:hint="eastAsia" w:ascii="宋体" w:hAnsi="宋体"/>
          <w:color w:val="auto"/>
          <w:sz w:val="22"/>
        </w:rPr>
        <w:t>（</w:t>
      </w:r>
      <w:r>
        <w:rPr>
          <w:rFonts w:ascii="宋体" w:hAnsi="宋体"/>
          <w:color w:val="auto"/>
          <w:sz w:val="22"/>
        </w:rPr>
        <w:t>5）《浙江省财政厅  浙江省经济和信息化委员会关于简化中小企业类别确认流程有关事项的通知》（浙财采监〔2018〕2号)</w:t>
      </w:r>
    </w:p>
    <w:p w14:paraId="14EA9ABA">
      <w:pPr>
        <w:spacing w:line="440" w:lineRule="atLeast"/>
        <w:jc w:val="left"/>
        <w:rPr>
          <w:rFonts w:hint="eastAsia" w:ascii="宋体" w:hAnsi="宋体"/>
          <w:color w:val="auto"/>
          <w:sz w:val="22"/>
        </w:rPr>
      </w:pPr>
      <w:r>
        <w:rPr>
          <w:rFonts w:ascii="宋体" w:hAnsi="宋体"/>
          <w:color w:val="auto"/>
          <w:sz w:val="22"/>
        </w:rPr>
        <w:t xml:space="preserve">2.   </w:t>
      </w:r>
      <w:r>
        <w:rPr>
          <w:rFonts w:hint="eastAsia" w:ascii="宋体" w:hAnsi="宋体"/>
          <w:color w:val="auto"/>
          <w:sz w:val="22"/>
        </w:rPr>
        <w:t>享受小微企业价格折扣应具备的条件与价格折扣比例：</w:t>
      </w:r>
    </w:p>
    <w:p w14:paraId="7C0B5818">
      <w:pPr>
        <w:spacing w:line="440" w:lineRule="atLeast"/>
        <w:jc w:val="left"/>
        <w:rPr>
          <w:rFonts w:hint="eastAsia" w:ascii="宋体" w:hAnsi="宋体"/>
          <w:b/>
          <w:color w:val="auto"/>
          <w:sz w:val="22"/>
        </w:rPr>
      </w:pPr>
      <w:r>
        <w:rPr>
          <w:rFonts w:hint="eastAsia" w:ascii="宋体" w:hAnsi="宋体"/>
          <w:b/>
          <w:color w:val="auto"/>
          <w:sz w:val="22"/>
        </w:rPr>
        <w:t>（1）符合中小企业划分标准；</w:t>
      </w:r>
    </w:p>
    <w:p w14:paraId="79060CDC">
      <w:pPr>
        <w:spacing w:line="440" w:lineRule="atLeast"/>
        <w:jc w:val="left"/>
        <w:rPr>
          <w:rFonts w:hint="eastAsia" w:ascii="宋体" w:hAnsi="宋体"/>
          <w:b/>
          <w:color w:val="auto"/>
          <w:sz w:val="22"/>
        </w:rPr>
      </w:pPr>
      <w:r>
        <w:rPr>
          <w:rFonts w:ascii="宋体" w:hAnsi="宋体"/>
          <w:b/>
          <w:color w:val="auto"/>
          <w:sz w:val="22"/>
        </w:rPr>
        <w:t>（</w:t>
      </w:r>
      <w:r>
        <w:rPr>
          <w:rFonts w:hint="eastAsia" w:ascii="宋体" w:hAnsi="宋体"/>
          <w:b/>
          <w:color w:val="auto"/>
          <w:sz w:val="22"/>
        </w:rPr>
        <w:t>2</w:t>
      </w:r>
      <w:r>
        <w:rPr>
          <w:rFonts w:ascii="宋体" w:hAnsi="宋体"/>
          <w:b/>
          <w:color w:val="auto"/>
          <w:sz w:val="22"/>
        </w:rPr>
        <w:t>）在货物采购项目中，货物由中小企业制造，即货物由中小企业生产且使用该中小企业商号或者注册商标；</w:t>
      </w:r>
    </w:p>
    <w:p w14:paraId="68F6DDFA">
      <w:pPr>
        <w:spacing w:line="440" w:lineRule="atLeast"/>
        <w:jc w:val="left"/>
        <w:rPr>
          <w:rFonts w:hint="eastAsia" w:ascii="宋体" w:hAnsi="宋体"/>
          <w:b/>
          <w:color w:val="auto"/>
          <w:sz w:val="22"/>
        </w:rPr>
      </w:pPr>
      <w:r>
        <w:rPr>
          <w:rFonts w:ascii="宋体" w:hAnsi="宋体"/>
          <w:b/>
          <w:color w:val="auto"/>
          <w:sz w:val="22"/>
        </w:rPr>
        <w:t>（</w:t>
      </w:r>
      <w:r>
        <w:rPr>
          <w:rFonts w:hint="eastAsia" w:ascii="宋体" w:hAnsi="宋体"/>
          <w:b/>
          <w:color w:val="auto"/>
          <w:sz w:val="22"/>
        </w:rPr>
        <w:t>3</w:t>
      </w:r>
      <w:r>
        <w:rPr>
          <w:rFonts w:ascii="宋体" w:hAnsi="宋体"/>
          <w:b/>
          <w:color w:val="auto"/>
          <w:sz w:val="22"/>
        </w:rPr>
        <w:t>）在工程采购项目中，工程由中小企业承建，即工程施工单位为中小企业；</w:t>
      </w:r>
    </w:p>
    <w:p w14:paraId="26ED5269">
      <w:pPr>
        <w:spacing w:line="440" w:lineRule="atLeast"/>
        <w:jc w:val="left"/>
        <w:rPr>
          <w:rFonts w:hint="eastAsia" w:ascii="宋体" w:hAnsi="宋体"/>
          <w:b/>
          <w:color w:val="auto"/>
          <w:sz w:val="22"/>
        </w:rPr>
      </w:pPr>
      <w:r>
        <w:rPr>
          <w:rFonts w:ascii="宋体" w:hAnsi="宋体"/>
          <w:b/>
          <w:color w:val="auto"/>
          <w:sz w:val="22"/>
        </w:rPr>
        <w:t>（</w:t>
      </w:r>
      <w:r>
        <w:rPr>
          <w:rFonts w:hint="eastAsia" w:ascii="宋体" w:hAnsi="宋体"/>
          <w:b/>
          <w:color w:val="auto"/>
          <w:sz w:val="22"/>
        </w:rPr>
        <w:t>4</w:t>
      </w:r>
      <w:r>
        <w:rPr>
          <w:rFonts w:ascii="宋体" w:hAnsi="宋体"/>
          <w:b/>
          <w:color w:val="auto"/>
          <w:sz w:val="22"/>
        </w:rPr>
        <w:t>）在服务采购项目中，服务由中小企业承接，即</w:t>
      </w:r>
      <w:r>
        <w:rPr>
          <w:rFonts w:hint="eastAsia" w:ascii="宋体" w:hAnsi="宋体"/>
          <w:b/>
          <w:color w:val="auto"/>
          <w:sz w:val="22"/>
        </w:rPr>
        <w:t>提供</w:t>
      </w:r>
      <w:r>
        <w:rPr>
          <w:rFonts w:ascii="宋体" w:hAnsi="宋体"/>
          <w:b/>
          <w:color w:val="auto"/>
          <w:sz w:val="22"/>
        </w:rPr>
        <w:t>服务的人员为中小企业依照《中华人民共和国劳动合同法》订立劳动合同的从业人员。</w:t>
      </w:r>
    </w:p>
    <w:p w14:paraId="1B1FF707">
      <w:pPr>
        <w:spacing w:line="440" w:lineRule="atLeast"/>
        <w:jc w:val="left"/>
        <w:rPr>
          <w:rFonts w:hint="eastAsia" w:ascii="宋体" w:hAnsi="宋体"/>
          <w:b/>
          <w:color w:val="auto"/>
          <w:sz w:val="22"/>
        </w:rPr>
      </w:pPr>
      <w:r>
        <w:rPr>
          <w:rFonts w:hint="eastAsia" w:ascii="宋体" w:hAnsi="宋体"/>
          <w:b/>
          <w:color w:val="auto"/>
          <w:sz w:val="22"/>
        </w:rPr>
        <w:t>（5）</w:t>
      </w:r>
      <w:r>
        <w:rPr>
          <w:rFonts w:ascii="宋体" w:hAnsi="宋体"/>
          <w:b/>
          <w:color w:val="auto"/>
          <w:sz w:val="22"/>
        </w:rPr>
        <w:t>在货物采购项目中，</w:t>
      </w:r>
      <w:r>
        <w:rPr>
          <w:rFonts w:hint="eastAsia" w:ascii="宋体" w:hAnsi="宋体"/>
          <w:b/>
          <w:color w:val="auto"/>
          <w:sz w:val="22"/>
          <w:lang w:eastAsia="zh-CN"/>
        </w:rPr>
        <w:t>投标人</w:t>
      </w:r>
      <w:r>
        <w:rPr>
          <w:rFonts w:ascii="宋体" w:hAnsi="宋体"/>
          <w:b/>
          <w:color w:val="auto"/>
          <w:sz w:val="22"/>
        </w:rPr>
        <w:t>提供的货物既有中小企业制造货物，也有大型企业制造货物的，不享受本办法规定的中小企业扶持政策。</w:t>
      </w:r>
    </w:p>
    <w:p w14:paraId="3DE31ECC">
      <w:pPr>
        <w:spacing w:line="440" w:lineRule="atLeast"/>
        <w:jc w:val="left"/>
        <w:rPr>
          <w:rFonts w:hint="eastAsia" w:ascii="宋体" w:hAnsi="宋体"/>
          <w:b/>
          <w:color w:val="auto"/>
          <w:sz w:val="22"/>
        </w:rPr>
      </w:pPr>
      <w:r>
        <w:rPr>
          <w:rFonts w:hint="eastAsia" w:ascii="宋体" w:hAnsi="宋体"/>
          <w:b/>
          <w:color w:val="auto"/>
          <w:sz w:val="22"/>
        </w:rPr>
        <w:t>（6）</w:t>
      </w:r>
      <w:r>
        <w:rPr>
          <w:rFonts w:ascii="宋体" w:hAnsi="宋体"/>
          <w:b/>
          <w:color w:val="auto"/>
          <w:sz w:val="22"/>
        </w:rPr>
        <w:t>以联合体形式参加政府采购活动，联合体各方均为中小企业的，联合体视同中小企业。其中，联合体各方均为小微企业的，联合体视同小微企业。</w:t>
      </w:r>
    </w:p>
    <w:p w14:paraId="37B931AA">
      <w:pPr>
        <w:spacing w:line="440" w:lineRule="atLeast"/>
        <w:jc w:val="left"/>
        <w:rPr>
          <w:rFonts w:hint="eastAsia" w:ascii="宋体" w:hAnsi="宋体"/>
          <w:color w:val="auto"/>
          <w:sz w:val="22"/>
        </w:rPr>
      </w:pPr>
      <w:r>
        <w:rPr>
          <w:rFonts w:ascii="宋体" w:hAnsi="宋体"/>
          <w:color w:val="auto"/>
          <w:sz w:val="22"/>
        </w:rPr>
        <w:t xml:space="preserve">3.   </w:t>
      </w:r>
      <w:r>
        <w:rPr>
          <w:rFonts w:hint="eastAsia" w:ascii="宋体" w:hAnsi="宋体"/>
          <w:color w:val="auto"/>
          <w:sz w:val="22"/>
          <w:u w:val="single"/>
        </w:rPr>
        <w:t>享受小微企业价格折扣应提供以下证明材料（资格文件中）</w:t>
      </w:r>
      <w:r>
        <w:rPr>
          <w:rFonts w:hint="eastAsia" w:ascii="宋体" w:hAnsi="宋体"/>
          <w:color w:val="auto"/>
          <w:sz w:val="22"/>
        </w:rPr>
        <w:t>：</w:t>
      </w:r>
    </w:p>
    <w:p w14:paraId="2E768476">
      <w:pPr>
        <w:spacing w:line="440" w:lineRule="exact"/>
        <w:ind w:firstLine="440" w:firstLineChars="200"/>
        <w:jc w:val="left"/>
        <w:rPr>
          <w:rFonts w:hint="eastAsia" w:ascii="宋体" w:hAnsi="宋体"/>
          <w:color w:val="auto"/>
          <w:sz w:val="22"/>
        </w:rPr>
      </w:pPr>
      <w:r>
        <w:rPr>
          <w:rFonts w:hint="eastAsia" w:ascii="宋体" w:hAnsi="宋体"/>
          <w:color w:val="auto"/>
          <w:sz w:val="22"/>
        </w:rPr>
        <w:t>《中小企业声明函》（加盖</w:t>
      </w:r>
      <w:r>
        <w:rPr>
          <w:rFonts w:hint="eastAsia" w:ascii="宋体" w:hAnsi="宋体"/>
          <w:color w:val="auto"/>
          <w:sz w:val="22"/>
          <w:lang w:eastAsia="zh-CN"/>
        </w:rPr>
        <w:t>投标人</w:t>
      </w:r>
      <w:r>
        <w:rPr>
          <w:rFonts w:hint="eastAsia" w:ascii="宋体" w:hAnsi="宋体"/>
          <w:color w:val="auto"/>
          <w:sz w:val="22"/>
        </w:rPr>
        <w:t>公章，格式见附件1）</w:t>
      </w:r>
    </w:p>
    <w:p w14:paraId="6498BAC7">
      <w:pPr>
        <w:spacing w:line="440" w:lineRule="atLeast"/>
        <w:ind w:left="550" w:hanging="550" w:hangingChars="250"/>
        <w:jc w:val="left"/>
        <w:rPr>
          <w:rFonts w:hint="eastAsia" w:ascii="宋体" w:hAnsi="宋体"/>
          <w:color w:val="auto"/>
          <w:sz w:val="22"/>
        </w:rPr>
      </w:pPr>
      <w:r>
        <w:rPr>
          <w:rFonts w:ascii="宋体" w:hAnsi="宋体"/>
          <w:color w:val="auto"/>
          <w:sz w:val="22"/>
        </w:rPr>
        <w:t>4</w:t>
      </w:r>
      <w:r>
        <w:rPr>
          <w:rFonts w:hint="eastAsia" w:ascii="宋体" w:hAnsi="宋体"/>
          <w:color w:val="auto"/>
          <w:sz w:val="22"/>
        </w:rPr>
        <w:t>.   享受监狱企业价格折扣应提供以下证明材料（</w:t>
      </w:r>
      <w:r>
        <w:rPr>
          <w:rFonts w:hint="eastAsia" w:ascii="宋体" w:hAnsi="宋体"/>
          <w:color w:val="auto"/>
          <w:sz w:val="22"/>
          <w:u w:val="single"/>
        </w:rPr>
        <w:t>资格文件中）</w:t>
      </w:r>
      <w:r>
        <w:rPr>
          <w:rFonts w:hint="eastAsia" w:ascii="宋体" w:hAnsi="宋体"/>
          <w:color w:val="auto"/>
          <w:sz w:val="22"/>
        </w:rPr>
        <w:t>：</w:t>
      </w:r>
    </w:p>
    <w:p w14:paraId="1DDB9FFA">
      <w:pPr>
        <w:spacing w:line="440" w:lineRule="atLeast"/>
        <w:ind w:left="550" w:hanging="550" w:hangingChars="250"/>
        <w:jc w:val="left"/>
        <w:rPr>
          <w:rFonts w:hint="eastAsia" w:ascii="宋体" w:hAnsi="宋体"/>
          <w:color w:val="auto"/>
          <w:sz w:val="22"/>
        </w:rPr>
      </w:pPr>
      <w:r>
        <w:rPr>
          <w:rFonts w:hint="eastAsia" w:ascii="宋体" w:hAnsi="宋体"/>
          <w:color w:val="auto"/>
          <w:sz w:val="22"/>
        </w:rPr>
        <w:t>（</w:t>
      </w:r>
      <w:r>
        <w:rPr>
          <w:rFonts w:ascii="宋体" w:hAnsi="宋体"/>
          <w:color w:val="auto"/>
          <w:sz w:val="22"/>
        </w:rPr>
        <w:t>1</w:t>
      </w:r>
      <w:r>
        <w:rPr>
          <w:rFonts w:hint="eastAsia" w:ascii="宋体" w:hAnsi="宋体"/>
          <w:color w:val="auto"/>
          <w:sz w:val="22"/>
        </w:rPr>
        <w:t>）</w:t>
      </w:r>
      <w:r>
        <w:rPr>
          <w:rFonts w:ascii="宋体" w:hAnsi="宋体"/>
          <w:color w:val="auto"/>
          <w:sz w:val="22"/>
        </w:rPr>
        <w:t>监狱企业参加政府采购活动时，应当提供由省级以上监狱管理局、戒毒管理局(含新疆生产建设兵团)出具的属于监狱企业的证明文件</w:t>
      </w:r>
      <w:r>
        <w:rPr>
          <w:rFonts w:hint="eastAsia" w:ascii="宋体" w:hAnsi="宋体"/>
          <w:color w:val="auto"/>
          <w:sz w:val="22"/>
        </w:rPr>
        <w:t>（加盖</w:t>
      </w:r>
      <w:r>
        <w:rPr>
          <w:rFonts w:hint="eastAsia" w:ascii="宋体" w:hAnsi="宋体"/>
          <w:color w:val="auto"/>
          <w:sz w:val="22"/>
          <w:lang w:eastAsia="zh-CN"/>
        </w:rPr>
        <w:t>投标人</w:t>
      </w:r>
      <w:r>
        <w:rPr>
          <w:rFonts w:hint="eastAsia" w:ascii="宋体" w:hAnsi="宋体"/>
          <w:color w:val="auto"/>
          <w:sz w:val="22"/>
        </w:rPr>
        <w:t>公章）</w:t>
      </w:r>
      <w:r>
        <w:rPr>
          <w:rFonts w:ascii="宋体" w:hAnsi="宋体"/>
          <w:color w:val="auto"/>
          <w:sz w:val="22"/>
        </w:rPr>
        <w:t>。在政府采购活动中，监狱企业视同小型、微型企业，享受评审中价格扣除政策</w:t>
      </w:r>
      <w:r>
        <w:rPr>
          <w:rFonts w:hint="eastAsia" w:ascii="宋体" w:hAnsi="宋体"/>
          <w:color w:val="auto"/>
          <w:sz w:val="22"/>
        </w:rPr>
        <w:t>。</w:t>
      </w:r>
    </w:p>
    <w:p w14:paraId="4E9F47A3">
      <w:pPr>
        <w:spacing w:line="440" w:lineRule="atLeast"/>
        <w:ind w:left="550" w:hanging="550" w:hangingChars="250"/>
        <w:jc w:val="left"/>
        <w:rPr>
          <w:rFonts w:hint="eastAsia" w:ascii="宋体" w:hAnsi="宋体"/>
          <w:color w:val="auto"/>
          <w:sz w:val="22"/>
        </w:rPr>
      </w:pPr>
      <w:r>
        <w:rPr>
          <w:rFonts w:ascii="宋体" w:hAnsi="宋体"/>
          <w:color w:val="auto"/>
          <w:sz w:val="22"/>
        </w:rPr>
        <w:t xml:space="preserve">5.   </w:t>
      </w:r>
      <w:r>
        <w:rPr>
          <w:rFonts w:hint="eastAsia" w:ascii="宋体" w:hAnsi="宋体"/>
          <w:color w:val="auto"/>
          <w:sz w:val="22"/>
          <w:u w:val="single"/>
        </w:rPr>
        <w:t>享受残疾人福利性单位格折扣应提供以下证明材料（资格文件中）</w:t>
      </w:r>
      <w:r>
        <w:rPr>
          <w:rFonts w:hint="eastAsia" w:ascii="宋体" w:hAnsi="宋体"/>
          <w:color w:val="auto"/>
          <w:sz w:val="22"/>
        </w:rPr>
        <w:t>：</w:t>
      </w:r>
    </w:p>
    <w:p w14:paraId="6EB9C908">
      <w:pPr>
        <w:spacing w:line="440" w:lineRule="atLeast"/>
        <w:jc w:val="left"/>
        <w:rPr>
          <w:color w:val="auto"/>
        </w:rPr>
      </w:pPr>
      <w:r>
        <w:rPr>
          <w:rFonts w:hint="eastAsia" w:ascii="宋体" w:hAnsi="宋体"/>
          <w:color w:val="auto"/>
          <w:sz w:val="22"/>
        </w:rPr>
        <w:t>（</w:t>
      </w:r>
      <w:r>
        <w:rPr>
          <w:rFonts w:ascii="宋体" w:hAnsi="宋体"/>
          <w:color w:val="auto"/>
          <w:sz w:val="22"/>
        </w:rPr>
        <w:t>1</w:t>
      </w:r>
      <w:r>
        <w:rPr>
          <w:rFonts w:hint="eastAsia" w:ascii="宋体" w:hAnsi="宋体"/>
          <w:color w:val="auto"/>
          <w:sz w:val="22"/>
        </w:rPr>
        <w:t>）残疾人福利性单位声明函（加盖</w:t>
      </w:r>
      <w:r>
        <w:rPr>
          <w:rFonts w:hint="eastAsia" w:ascii="宋体" w:hAnsi="宋体"/>
          <w:color w:val="auto"/>
          <w:sz w:val="22"/>
          <w:lang w:eastAsia="zh-CN"/>
        </w:rPr>
        <w:t>投标人</w:t>
      </w:r>
      <w:r>
        <w:rPr>
          <w:rFonts w:hint="eastAsia" w:ascii="宋体" w:hAnsi="宋体"/>
          <w:color w:val="auto"/>
          <w:sz w:val="22"/>
        </w:rPr>
        <w:t>公章，格式见附件2）。</w:t>
      </w:r>
    </w:p>
    <w:p w14:paraId="1B3D5780">
      <w:pPr>
        <w:spacing w:line="440" w:lineRule="atLeast"/>
        <w:rPr>
          <w:rFonts w:hint="eastAsia" w:ascii="宋体" w:hAnsi="宋体"/>
          <w:color w:val="auto"/>
          <w:sz w:val="22"/>
        </w:rPr>
      </w:pPr>
      <w:r>
        <w:rPr>
          <w:rFonts w:ascii="宋体" w:hAnsi="宋体"/>
          <w:color w:val="auto"/>
          <w:sz w:val="22"/>
        </w:rPr>
        <w:br w:type="page"/>
      </w:r>
      <w:r>
        <w:rPr>
          <w:rFonts w:hint="eastAsia" w:ascii="宋体" w:hAnsi="宋体"/>
          <w:color w:val="auto"/>
          <w:sz w:val="22"/>
        </w:rPr>
        <w:t>附件1：</w:t>
      </w:r>
    </w:p>
    <w:p w14:paraId="31C0EDF9">
      <w:pPr>
        <w:pStyle w:val="19"/>
        <w:spacing w:line="440" w:lineRule="exact"/>
        <w:ind w:left="860"/>
        <w:jc w:val="center"/>
        <w:rPr>
          <w:rFonts w:hint="eastAsia" w:ascii="宋体" w:hAnsi="宋体"/>
          <w:b/>
          <w:bCs/>
          <w:color w:val="auto"/>
          <w:sz w:val="24"/>
        </w:rPr>
      </w:pPr>
      <w:r>
        <w:rPr>
          <w:rFonts w:ascii="宋体" w:hAnsi="宋体"/>
          <w:b/>
          <w:bCs/>
          <w:color w:val="auto"/>
          <w:sz w:val="24"/>
        </w:rPr>
        <w:t>中小企业声明函（货物）</w:t>
      </w:r>
    </w:p>
    <w:p w14:paraId="1610395C">
      <w:pPr>
        <w:pStyle w:val="19"/>
        <w:spacing w:line="440" w:lineRule="exact"/>
        <w:rPr>
          <w:rFonts w:hint="eastAsia" w:ascii="宋体" w:hAnsi="宋体"/>
          <w:b/>
          <w:color w:val="auto"/>
          <w:sz w:val="22"/>
          <w:szCs w:val="22"/>
        </w:rPr>
      </w:pPr>
    </w:p>
    <w:p w14:paraId="599861B8">
      <w:pPr>
        <w:pStyle w:val="19"/>
        <w:spacing w:before="55" w:line="480" w:lineRule="exact"/>
        <w:ind w:right="-1" w:firstLine="660" w:firstLineChars="300"/>
        <w:rPr>
          <w:rFonts w:hint="eastAsia" w:ascii="宋体" w:hAnsi="宋体"/>
          <w:color w:val="auto"/>
          <w:sz w:val="22"/>
          <w:szCs w:val="22"/>
        </w:rPr>
      </w:pPr>
      <w:r>
        <w:rPr>
          <w:rFonts w:ascii="宋体" w:hAnsi="宋体"/>
          <w:color w:val="auto"/>
          <w:sz w:val="22"/>
          <w:szCs w:val="22"/>
        </w:rPr>
        <w:t>本公司（联合体）郑重声明，根据《政府采购促进中小企业发展管理办法》（财库</w:t>
      </w:r>
      <w:r>
        <w:rPr>
          <w:rFonts w:hint="eastAsia" w:ascii="宋体" w:hAnsi="宋体"/>
          <w:color w:val="auto"/>
          <w:sz w:val="22"/>
          <w:szCs w:val="22"/>
        </w:rPr>
        <w:t>﹝</w:t>
      </w:r>
      <w:r>
        <w:rPr>
          <w:rFonts w:ascii="宋体" w:hAnsi="宋体"/>
          <w:color w:val="auto"/>
          <w:sz w:val="22"/>
          <w:szCs w:val="22"/>
        </w:rPr>
        <w:t>2020</w:t>
      </w:r>
      <w:r>
        <w:rPr>
          <w:rFonts w:hint="eastAsia" w:ascii="宋体" w:hAnsi="宋体"/>
          <w:color w:val="auto"/>
          <w:sz w:val="22"/>
          <w:szCs w:val="22"/>
        </w:rPr>
        <w:t>﹞</w:t>
      </w:r>
      <w:r>
        <w:rPr>
          <w:rFonts w:ascii="宋体" w:hAnsi="宋体"/>
          <w:color w:val="auto"/>
          <w:sz w:val="22"/>
          <w:szCs w:val="22"/>
        </w:rPr>
        <w:t>46号）的规定，本公司（联合体）参加</w:t>
      </w:r>
      <w:r>
        <w:rPr>
          <w:rFonts w:ascii="宋体" w:hAnsi="宋体"/>
          <w:color w:val="auto"/>
          <w:sz w:val="22"/>
          <w:szCs w:val="22"/>
          <w:u w:val="single"/>
        </w:rPr>
        <w:t>（单位名称）</w:t>
      </w:r>
      <w:r>
        <w:rPr>
          <w:rFonts w:ascii="宋体" w:hAnsi="宋体"/>
          <w:color w:val="auto"/>
          <w:sz w:val="22"/>
          <w:szCs w:val="22"/>
        </w:rPr>
        <w:t>的</w:t>
      </w:r>
      <w:r>
        <w:rPr>
          <w:rFonts w:ascii="宋体" w:hAnsi="宋体"/>
          <w:color w:val="auto"/>
          <w:sz w:val="22"/>
          <w:szCs w:val="22"/>
          <w:u w:val="single"/>
        </w:rPr>
        <w:t>（项目名称）</w:t>
      </w:r>
      <w:r>
        <w:rPr>
          <w:rFonts w:ascii="宋体" w:hAnsi="宋体"/>
          <w:color w:val="auto"/>
          <w:sz w:val="22"/>
          <w:szCs w:val="22"/>
        </w:rPr>
        <w:t>采购活动，提供的货物全部由符合政策要求的中小企业制造。相关企业（含联合体中的中小企业、签订分包意向协议的中小企业）的具体情况如下：</w:t>
      </w:r>
    </w:p>
    <w:p w14:paraId="39FE601B">
      <w:pPr>
        <w:tabs>
          <w:tab w:val="left" w:pos="1183"/>
          <w:tab w:val="left" w:pos="1484"/>
          <w:tab w:val="left" w:pos="3825"/>
        </w:tabs>
        <w:spacing w:line="480" w:lineRule="exact"/>
        <w:ind w:firstLine="440" w:firstLineChars="200"/>
        <w:rPr>
          <w:rFonts w:hint="eastAsia" w:ascii="宋体" w:hAnsi="宋体"/>
          <w:color w:val="auto"/>
          <w:sz w:val="22"/>
          <w:szCs w:val="22"/>
        </w:rPr>
      </w:pPr>
      <w:r>
        <w:rPr>
          <w:rFonts w:ascii="宋体" w:hAnsi="宋体"/>
          <w:color w:val="auto"/>
          <w:sz w:val="22"/>
          <w:szCs w:val="22"/>
        </w:rPr>
        <w:t>1.</w:t>
      </w:r>
      <w:r>
        <w:rPr>
          <w:rFonts w:ascii="宋体" w:hAnsi="宋体"/>
          <w:color w:val="auto"/>
          <w:sz w:val="22"/>
          <w:szCs w:val="22"/>
          <w:u w:val="single"/>
        </w:rPr>
        <w:t>（标的名称）</w:t>
      </w:r>
      <w:r>
        <w:rPr>
          <w:rFonts w:ascii="宋体" w:hAnsi="宋体"/>
          <w:color w:val="auto"/>
          <w:sz w:val="22"/>
          <w:szCs w:val="22"/>
        </w:rPr>
        <w:t>，属于</w:t>
      </w:r>
      <w:r>
        <w:rPr>
          <w:rFonts w:ascii="宋体" w:hAnsi="宋体"/>
          <w:color w:val="auto"/>
          <w:sz w:val="22"/>
          <w:szCs w:val="22"/>
          <w:u w:val="single"/>
        </w:rPr>
        <w:t>（采购文件中明确的所属行业）行业</w:t>
      </w:r>
      <w:r>
        <w:rPr>
          <w:rFonts w:ascii="宋体" w:hAnsi="宋体"/>
          <w:color w:val="auto"/>
          <w:sz w:val="22"/>
          <w:szCs w:val="22"/>
        </w:rPr>
        <w:t>；制造商为</w:t>
      </w:r>
      <w:r>
        <w:rPr>
          <w:rFonts w:ascii="宋体" w:hAnsi="宋体"/>
          <w:color w:val="auto"/>
          <w:sz w:val="22"/>
          <w:szCs w:val="22"/>
          <w:u w:val="single"/>
        </w:rPr>
        <w:t>（企业名称）</w:t>
      </w:r>
      <w:r>
        <w:rPr>
          <w:rFonts w:ascii="宋体" w:hAnsi="宋体"/>
          <w:color w:val="auto"/>
          <w:sz w:val="22"/>
          <w:szCs w:val="22"/>
        </w:rPr>
        <w:t>，从业人员</w:t>
      </w:r>
      <w:r>
        <w:rPr>
          <w:rFonts w:hint="eastAsia" w:ascii="宋体" w:hAnsi="宋体"/>
          <w:color w:val="auto"/>
          <w:sz w:val="22"/>
          <w:szCs w:val="22"/>
          <w:u w:val="single"/>
        </w:rPr>
        <w:t xml:space="preserve"> </w:t>
      </w:r>
      <w:r>
        <w:rPr>
          <w:rFonts w:ascii="宋体" w:hAnsi="宋体"/>
          <w:color w:val="auto"/>
          <w:sz w:val="22"/>
          <w:szCs w:val="22"/>
          <w:u w:val="single"/>
        </w:rPr>
        <w:t xml:space="preserve"> </w:t>
      </w:r>
      <w:r>
        <w:rPr>
          <w:rFonts w:ascii="宋体" w:hAnsi="宋体"/>
          <w:color w:val="auto"/>
          <w:sz w:val="22"/>
          <w:szCs w:val="22"/>
        </w:rPr>
        <w:t>人，营业收入为</w:t>
      </w:r>
      <w:r>
        <w:rPr>
          <w:rFonts w:hint="eastAsia" w:ascii="宋体" w:hAnsi="宋体"/>
          <w:color w:val="auto"/>
          <w:sz w:val="22"/>
          <w:szCs w:val="22"/>
          <w:u w:val="single"/>
        </w:rPr>
        <w:t xml:space="preserve"> </w:t>
      </w:r>
      <w:r>
        <w:rPr>
          <w:rFonts w:ascii="宋体" w:hAnsi="宋体"/>
          <w:color w:val="auto"/>
          <w:sz w:val="22"/>
          <w:szCs w:val="22"/>
          <w:u w:val="single"/>
        </w:rPr>
        <w:t xml:space="preserve"> </w:t>
      </w:r>
      <w:r>
        <w:rPr>
          <w:rFonts w:ascii="宋体" w:hAnsi="宋体"/>
          <w:color w:val="auto"/>
          <w:sz w:val="22"/>
          <w:szCs w:val="22"/>
        </w:rPr>
        <w:t>万元，资产总额为</w:t>
      </w:r>
      <w:r>
        <w:rPr>
          <w:rFonts w:hint="eastAsia" w:ascii="宋体" w:hAnsi="宋体"/>
          <w:color w:val="auto"/>
          <w:sz w:val="22"/>
          <w:szCs w:val="22"/>
          <w:u w:val="single"/>
        </w:rPr>
        <w:t xml:space="preserve"> </w:t>
      </w:r>
      <w:r>
        <w:rPr>
          <w:rFonts w:ascii="宋体" w:hAnsi="宋体"/>
          <w:color w:val="auto"/>
          <w:sz w:val="22"/>
          <w:szCs w:val="22"/>
          <w:u w:val="single"/>
        </w:rPr>
        <w:t xml:space="preserve"> </w:t>
      </w:r>
      <w:r>
        <w:rPr>
          <w:rFonts w:ascii="宋体" w:hAnsi="宋体"/>
          <w:color w:val="auto"/>
          <w:sz w:val="22"/>
          <w:szCs w:val="22"/>
        </w:rPr>
        <w:t>万元，属于</w:t>
      </w:r>
      <w:r>
        <w:rPr>
          <w:rFonts w:ascii="宋体" w:hAnsi="宋体"/>
          <w:color w:val="auto"/>
          <w:sz w:val="22"/>
          <w:szCs w:val="22"/>
          <w:u w:val="single"/>
        </w:rPr>
        <w:t>（中型企业、小型企业、微型企业）</w:t>
      </w:r>
      <w:r>
        <w:rPr>
          <w:rFonts w:hint="eastAsia" w:ascii="宋体" w:hAnsi="宋体"/>
          <w:color w:val="auto"/>
          <w:sz w:val="22"/>
          <w:szCs w:val="22"/>
        </w:rPr>
        <w:t>；</w:t>
      </w:r>
    </w:p>
    <w:p w14:paraId="2EDC43A8">
      <w:pPr>
        <w:pStyle w:val="19"/>
        <w:spacing w:before="55" w:line="480" w:lineRule="exact"/>
        <w:ind w:right="415" w:firstLine="440" w:firstLineChars="200"/>
        <w:rPr>
          <w:rFonts w:hint="eastAsia" w:ascii="宋体" w:hAnsi="宋体"/>
          <w:color w:val="auto"/>
          <w:sz w:val="22"/>
          <w:szCs w:val="22"/>
        </w:rPr>
      </w:pPr>
      <w:r>
        <w:rPr>
          <w:rFonts w:ascii="宋体" w:hAnsi="宋体"/>
          <w:color w:val="auto"/>
          <w:sz w:val="22"/>
          <w:szCs w:val="22"/>
        </w:rPr>
        <w:t>2.</w:t>
      </w:r>
      <w:r>
        <w:rPr>
          <w:rFonts w:ascii="宋体" w:hAnsi="宋体"/>
          <w:color w:val="auto"/>
          <w:sz w:val="22"/>
          <w:szCs w:val="22"/>
          <w:u w:val="single"/>
        </w:rPr>
        <w:t>（标的名称）</w:t>
      </w:r>
      <w:r>
        <w:rPr>
          <w:rFonts w:ascii="宋体" w:hAnsi="宋体"/>
          <w:color w:val="auto"/>
          <w:sz w:val="22"/>
          <w:szCs w:val="22"/>
        </w:rPr>
        <w:t>，属于</w:t>
      </w:r>
      <w:r>
        <w:rPr>
          <w:rFonts w:ascii="宋体" w:hAnsi="宋体"/>
          <w:color w:val="auto"/>
          <w:sz w:val="22"/>
          <w:szCs w:val="22"/>
          <w:u w:val="single"/>
        </w:rPr>
        <w:t>（采购文件中明确的所属行业）行业</w:t>
      </w:r>
      <w:r>
        <w:rPr>
          <w:rFonts w:ascii="宋体" w:hAnsi="宋体"/>
          <w:color w:val="auto"/>
          <w:sz w:val="22"/>
          <w:szCs w:val="22"/>
        </w:rPr>
        <w:t>；制造商为</w:t>
      </w:r>
      <w:r>
        <w:rPr>
          <w:rFonts w:ascii="宋体" w:hAnsi="宋体"/>
          <w:color w:val="auto"/>
          <w:sz w:val="22"/>
          <w:szCs w:val="22"/>
          <w:u w:val="single"/>
        </w:rPr>
        <w:t>（企业名称）</w:t>
      </w:r>
      <w:r>
        <w:rPr>
          <w:rFonts w:ascii="宋体" w:hAnsi="宋体"/>
          <w:color w:val="auto"/>
          <w:sz w:val="22"/>
          <w:szCs w:val="22"/>
        </w:rPr>
        <w:t>，从业人员</w:t>
      </w:r>
      <w:r>
        <w:rPr>
          <w:rFonts w:ascii="宋体" w:hAnsi="宋体"/>
          <w:color w:val="auto"/>
          <w:sz w:val="22"/>
          <w:szCs w:val="22"/>
          <w:u w:val="single"/>
        </w:rPr>
        <w:tab/>
      </w:r>
      <w:r>
        <w:rPr>
          <w:rFonts w:ascii="宋体" w:hAnsi="宋体"/>
          <w:color w:val="auto"/>
          <w:sz w:val="22"/>
          <w:szCs w:val="22"/>
        </w:rPr>
        <w:t>人，营业收入为</w:t>
      </w:r>
      <w:r>
        <w:rPr>
          <w:rFonts w:ascii="宋体" w:hAnsi="宋体"/>
          <w:color w:val="auto"/>
          <w:sz w:val="22"/>
          <w:szCs w:val="22"/>
          <w:u w:val="single"/>
        </w:rPr>
        <w:tab/>
      </w:r>
      <w:r>
        <w:rPr>
          <w:rFonts w:ascii="宋体" w:hAnsi="宋体"/>
          <w:color w:val="auto"/>
          <w:sz w:val="22"/>
          <w:szCs w:val="22"/>
          <w:u w:val="single"/>
        </w:rPr>
        <w:t xml:space="preserve"> </w:t>
      </w:r>
      <w:r>
        <w:rPr>
          <w:rFonts w:ascii="宋体" w:hAnsi="宋体"/>
          <w:color w:val="auto"/>
          <w:sz w:val="22"/>
          <w:szCs w:val="22"/>
        </w:rPr>
        <w:t>万元，资产总额为</w:t>
      </w:r>
      <w:r>
        <w:rPr>
          <w:rFonts w:hint="eastAsia" w:ascii="宋体" w:hAnsi="宋体"/>
          <w:color w:val="auto"/>
          <w:sz w:val="22"/>
          <w:szCs w:val="22"/>
          <w:u w:val="single"/>
        </w:rPr>
        <w:t xml:space="preserve"> </w:t>
      </w:r>
      <w:r>
        <w:rPr>
          <w:rFonts w:ascii="宋体" w:hAnsi="宋体"/>
          <w:color w:val="auto"/>
          <w:sz w:val="22"/>
          <w:szCs w:val="22"/>
          <w:u w:val="single"/>
        </w:rPr>
        <w:t xml:space="preserve"> </w:t>
      </w:r>
      <w:r>
        <w:rPr>
          <w:rFonts w:ascii="宋体" w:hAnsi="宋体"/>
          <w:color w:val="auto"/>
          <w:sz w:val="22"/>
          <w:szCs w:val="22"/>
        </w:rPr>
        <w:t>万元，属于</w:t>
      </w:r>
      <w:r>
        <w:rPr>
          <w:rFonts w:ascii="宋体" w:hAnsi="宋体"/>
          <w:color w:val="auto"/>
          <w:sz w:val="22"/>
          <w:szCs w:val="22"/>
          <w:u w:val="single"/>
        </w:rPr>
        <w:t>（中型企业、小型企业、微型企业）</w:t>
      </w:r>
      <w:r>
        <w:rPr>
          <w:rFonts w:ascii="宋体" w:hAnsi="宋体"/>
          <w:color w:val="auto"/>
          <w:sz w:val="22"/>
          <w:szCs w:val="22"/>
        </w:rPr>
        <w:t>；</w:t>
      </w:r>
    </w:p>
    <w:p w14:paraId="08A2B7F1">
      <w:pPr>
        <w:pStyle w:val="19"/>
        <w:spacing w:line="480" w:lineRule="exact"/>
        <w:ind w:left="860"/>
        <w:rPr>
          <w:rFonts w:hint="eastAsia" w:ascii="宋体" w:hAnsi="宋体"/>
          <w:color w:val="auto"/>
          <w:sz w:val="22"/>
          <w:szCs w:val="22"/>
        </w:rPr>
      </w:pPr>
      <w:r>
        <w:rPr>
          <w:rFonts w:ascii="宋体" w:hAnsi="宋体"/>
          <w:color w:val="auto"/>
          <w:sz w:val="22"/>
          <w:szCs w:val="22"/>
        </w:rPr>
        <w:t>……</w:t>
      </w:r>
    </w:p>
    <w:p w14:paraId="2151828B">
      <w:pPr>
        <w:pStyle w:val="19"/>
        <w:spacing w:line="480" w:lineRule="exact"/>
        <w:ind w:left="860"/>
        <w:rPr>
          <w:rFonts w:hint="eastAsia" w:ascii="宋体" w:hAnsi="宋体"/>
          <w:color w:val="auto"/>
          <w:sz w:val="22"/>
          <w:szCs w:val="22"/>
        </w:rPr>
      </w:pPr>
      <w:r>
        <w:rPr>
          <w:rFonts w:hint="eastAsia" w:ascii="宋体" w:hAnsi="宋体"/>
          <w:b/>
          <w:bCs/>
          <w:color w:val="auto"/>
          <w:sz w:val="22"/>
          <w:szCs w:val="22"/>
        </w:rPr>
        <w:t>注：（根据采购标的分别逐项列出）</w:t>
      </w:r>
    </w:p>
    <w:p w14:paraId="25AE5D3E">
      <w:pPr>
        <w:pStyle w:val="19"/>
        <w:spacing w:before="105" w:line="480" w:lineRule="exact"/>
        <w:ind w:right="417" w:firstLine="645"/>
        <w:rPr>
          <w:rFonts w:hint="eastAsia" w:ascii="宋体" w:hAnsi="宋体"/>
          <w:color w:val="auto"/>
          <w:sz w:val="22"/>
          <w:szCs w:val="22"/>
        </w:rPr>
      </w:pPr>
      <w:r>
        <w:rPr>
          <w:rFonts w:ascii="宋体" w:hAnsi="宋体"/>
          <w:color w:val="auto"/>
          <w:sz w:val="22"/>
          <w:szCs w:val="22"/>
        </w:rPr>
        <w:t>以上企业，不属于大企业的分支机构，不存在控股股东为大企业的情形，也不存在与大企业的负责人为同一人的情形。</w:t>
      </w:r>
    </w:p>
    <w:p w14:paraId="27FE3194">
      <w:pPr>
        <w:pStyle w:val="19"/>
        <w:spacing w:line="480" w:lineRule="exact"/>
        <w:ind w:right="372" w:firstLine="645"/>
        <w:rPr>
          <w:rFonts w:hint="eastAsia" w:ascii="宋体" w:hAnsi="宋体"/>
          <w:color w:val="auto"/>
          <w:sz w:val="22"/>
          <w:szCs w:val="22"/>
        </w:rPr>
      </w:pPr>
      <w:r>
        <w:rPr>
          <w:rFonts w:ascii="宋体" w:hAnsi="宋体"/>
          <w:color w:val="auto"/>
          <w:sz w:val="22"/>
          <w:szCs w:val="22"/>
        </w:rPr>
        <w:t>本企业对上述声明内容的真实性负责。如有虚假，将依法承担相应责任。</w:t>
      </w:r>
    </w:p>
    <w:p w14:paraId="06883194">
      <w:pPr>
        <w:pStyle w:val="19"/>
        <w:spacing w:before="105" w:line="480" w:lineRule="exact"/>
        <w:ind w:right="417" w:firstLine="2860" w:firstLineChars="1300"/>
        <w:rPr>
          <w:rFonts w:hint="eastAsia" w:ascii="宋体" w:hAnsi="宋体"/>
          <w:color w:val="auto"/>
          <w:sz w:val="22"/>
          <w:szCs w:val="22"/>
        </w:rPr>
      </w:pPr>
    </w:p>
    <w:p w14:paraId="560EAF63">
      <w:pPr>
        <w:pStyle w:val="19"/>
        <w:spacing w:before="105" w:line="480" w:lineRule="exact"/>
        <w:ind w:right="417" w:firstLine="3740" w:firstLineChars="1700"/>
        <w:rPr>
          <w:rFonts w:hint="eastAsia" w:ascii="宋体" w:hAnsi="宋体"/>
          <w:color w:val="auto"/>
          <w:sz w:val="22"/>
          <w:szCs w:val="22"/>
        </w:rPr>
      </w:pPr>
      <w:r>
        <w:rPr>
          <w:rFonts w:ascii="宋体" w:hAnsi="宋体"/>
          <w:color w:val="auto"/>
          <w:sz w:val="22"/>
          <w:szCs w:val="22"/>
        </w:rPr>
        <w:t>企业名称（盖章）：</w:t>
      </w:r>
    </w:p>
    <w:p w14:paraId="47A3C1E8">
      <w:pPr>
        <w:pStyle w:val="19"/>
        <w:spacing w:before="105" w:line="480" w:lineRule="exact"/>
        <w:ind w:right="417" w:firstLine="3740" w:firstLineChars="1700"/>
        <w:rPr>
          <w:rFonts w:hint="eastAsia" w:ascii="宋体" w:hAnsi="宋体"/>
          <w:color w:val="auto"/>
          <w:sz w:val="22"/>
          <w:szCs w:val="22"/>
        </w:rPr>
      </w:pPr>
      <w:r>
        <w:rPr>
          <w:rFonts w:ascii="宋体" w:hAnsi="宋体"/>
          <w:color w:val="auto"/>
          <w:sz w:val="22"/>
          <w:szCs w:val="22"/>
        </w:rPr>
        <w:t>日期：</w:t>
      </w:r>
    </w:p>
    <w:p w14:paraId="495E6771">
      <w:pPr>
        <w:spacing w:line="440" w:lineRule="exact"/>
        <w:rPr>
          <w:rFonts w:hint="eastAsia" w:ascii="宋体" w:hAnsi="宋体"/>
          <w:color w:val="auto"/>
          <w:sz w:val="22"/>
          <w:szCs w:val="22"/>
        </w:rPr>
      </w:pPr>
    </w:p>
    <w:p w14:paraId="25BA8836">
      <w:pPr>
        <w:spacing w:line="440" w:lineRule="exact"/>
        <w:rPr>
          <w:rFonts w:hint="eastAsia" w:ascii="宋体" w:hAnsi="宋体"/>
          <w:color w:val="auto"/>
        </w:rPr>
      </w:pPr>
    </w:p>
    <w:p w14:paraId="7370EED7">
      <w:pPr>
        <w:spacing w:line="440" w:lineRule="exact"/>
        <w:rPr>
          <w:rFonts w:hint="eastAsia" w:ascii="宋体" w:hAnsi="宋体"/>
          <w:color w:val="auto"/>
        </w:rPr>
      </w:pPr>
    </w:p>
    <w:p w14:paraId="5BE3C170">
      <w:pPr>
        <w:spacing w:line="440" w:lineRule="exact"/>
        <w:rPr>
          <w:rFonts w:hint="eastAsia" w:ascii="宋体" w:hAnsi="宋体"/>
          <w:color w:val="auto"/>
        </w:rPr>
      </w:pPr>
    </w:p>
    <w:p w14:paraId="1C5861A2">
      <w:pPr>
        <w:spacing w:line="440" w:lineRule="exact"/>
        <w:rPr>
          <w:rFonts w:hint="eastAsia" w:ascii="宋体" w:hAnsi="宋体"/>
          <w:color w:val="auto"/>
        </w:rPr>
      </w:pPr>
    </w:p>
    <w:p w14:paraId="32B7301C">
      <w:pPr>
        <w:spacing w:line="440" w:lineRule="exact"/>
        <w:rPr>
          <w:rFonts w:hint="eastAsia" w:ascii="宋体" w:hAnsi="宋体"/>
          <w:color w:val="auto"/>
        </w:rPr>
      </w:pPr>
      <w:r>
        <w:rPr>
          <w:rFonts w:hint="eastAsia" w:ascii="宋体" w:hAnsi="宋体"/>
          <w:color w:val="auto"/>
        </w:rPr>
        <w:t>说明：</w:t>
      </w:r>
    </w:p>
    <w:p w14:paraId="40A06187">
      <w:pPr>
        <w:spacing w:line="440" w:lineRule="exact"/>
        <w:rPr>
          <w:rFonts w:hint="eastAsia" w:ascii="宋体" w:hAnsi="宋体"/>
          <w:color w:val="auto"/>
        </w:rPr>
      </w:pPr>
      <w:r>
        <w:rPr>
          <w:rFonts w:hint="eastAsia" w:ascii="宋体" w:hAnsi="宋体"/>
          <w:color w:val="auto"/>
        </w:rPr>
        <w:t>从业人员、营业收入、资产总额填报上一年度数据，无上一年度数据的新成立企业可不填报。</w:t>
      </w:r>
    </w:p>
    <w:p w14:paraId="340388A6">
      <w:pPr>
        <w:pStyle w:val="19"/>
        <w:rPr>
          <w:rFonts w:hint="eastAsia" w:ascii="宋体" w:hAnsi="宋体"/>
          <w:color w:val="auto"/>
        </w:rPr>
      </w:pPr>
    </w:p>
    <w:p w14:paraId="2EEC0616">
      <w:pPr>
        <w:pStyle w:val="51"/>
        <w:rPr>
          <w:color w:val="auto"/>
        </w:rPr>
      </w:pPr>
    </w:p>
    <w:p w14:paraId="535FCFD5">
      <w:pPr>
        <w:spacing w:line="440" w:lineRule="exact"/>
        <w:rPr>
          <w:rFonts w:hint="eastAsia" w:ascii="宋体" w:hAnsi="宋体"/>
          <w:color w:val="auto"/>
          <w:sz w:val="22"/>
        </w:rPr>
      </w:pPr>
      <w:r>
        <w:rPr>
          <w:rFonts w:ascii="宋体" w:hAnsi="宋体"/>
          <w:b/>
          <w:bCs/>
          <w:color w:val="auto"/>
          <w:sz w:val="24"/>
        </w:rPr>
        <w:br w:type="page"/>
      </w:r>
      <w:r>
        <w:rPr>
          <w:rFonts w:hint="eastAsia" w:ascii="宋体" w:hAnsi="宋体"/>
          <w:color w:val="auto"/>
          <w:sz w:val="22"/>
        </w:rPr>
        <w:t>附件2：</w:t>
      </w:r>
    </w:p>
    <w:p w14:paraId="7FB01336">
      <w:pPr>
        <w:spacing w:line="380" w:lineRule="exact"/>
        <w:jc w:val="center"/>
        <w:rPr>
          <w:rFonts w:hint="eastAsia" w:ascii="宋体" w:hAnsi="宋体" w:cs="宋体"/>
          <w:b/>
          <w:color w:val="auto"/>
          <w:sz w:val="24"/>
        </w:rPr>
      </w:pPr>
      <w:r>
        <w:rPr>
          <w:rFonts w:hint="eastAsia" w:ascii="宋体" w:hAnsi="宋体" w:cs="宋体"/>
          <w:b/>
          <w:color w:val="auto"/>
          <w:sz w:val="24"/>
        </w:rPr>
        <w:t>残疾人福利性单位声明函</w:t>
      </w:r>
    </w:p>
    <w:p w14:paraId="3E768608">
      <w:pPr>
        <w:spacing w:line="588" w:lineRule="exact"/>
        <w:rPr>
          <w:rFonts w:hint="eastAsia" w:ascii="新宋体" w:hAnsi="新宋体" w:eastAsia="新宋体"/>
          <w:b/>
          <w:color w:val="auto"/>
          <w:spacing w:val="6"/>
          <w:sz w:val="30"/>
          <w:szCs w:val="30"/>
        </w:rPr>
      </w:pPr>
    </w:p>
    <w:p w14:paraId="0C5CF432">
      <w:pPr>
        <w:spacing w:line="588" w:lineRule="exact"/>
        <w:ind w:firstLine="440" w:firstLineChars="200"/>
        <w:rPr>
          <w:rFonts w:hint="eastAsia" w:ascii="宋体" w:hAnsi="宋体" w:cs="宋体"/>
          <w:color w:val="auto"/>
          <w:sz w:val="22"/>
          <w:szCs w:val="22"/>
        </w:rPr>
      </w:pPr>
      <w:r>
        <w:rPr>
          <w:rFonts w:hint="eastAsia" w:ascii="宋体" w:hAnsi="宋体" w:cs="宋体"/>
          <w:color w:val="auto"/>
          <w:sz w:val="22"/>
          <w:szCs w:val="22"/>
        </w:rPr>
        <w:t>本单位郑重声明，根据《财政部民政部中国残疾人联合会关于促进残疾人就业政府采购政策的通知》（财库〔2017〕141号）的规定，本单位为符合条件的残疾人福利性单位，且本单位参加</w:t>
      </w:r>
      <w:r>
        <w:rPr>
          <w:rFonts w:hint="eastAsia" w:ascii="宋体" w:hAnsi="宋体" w:cs="宋体"/>
          <w:color w:val="auto"/>
          <w:sz w:val="22"/>
          <w:szCs w:val="22"/>
          <w:u w:val="single"/>
        </w:rPr>
        <w:t xml:space="preserve"> </w:t>
      </w:r>
      <w:r>
        <w:rPr>
          <w:rFonts w:ascii="宋体" w:hAnsi="宋体" w:cs="宋体"/>
          <w:color w:val="auto"/>
          <w:sz w:val="22"/>
          <w:szCs w:val="22"/>
          <w:u w:val="single"/>
        </w:rPr>
        <w:t xml:space="preserve">    </w:t>
      </w:r>
      <w:r>
        <w:rPr>
          <w:rFonts w:hint="eastAsia" w:ascii="宋体" w:hAnsi="宋体" w:cs="宋体"/>
          <w:color w:val="auto"/>
          <w:sz w:val="22"/>
          <w:szCs w:val="22"/>
        </w:rPr>
        <w:t>单位的</w:t>
      </w:r>
      <w:r>
        <w:rPr>
          <w:rFonts w:hint="eastAsia" w:ascii="宋体" w:hAnsi="宋体" w:cs="宋体"/>
          <w:color w:val="auto"/>
          <w:sz w:val="22"/>
          <w:szCs w:val="22"/>
          <w:u w:val="single"/>
        </w:rPr>
        <w:t xml:space="preserve"> </w:t>
      </w:r>
      <w:r>
        <w:rPr>
          <w:rFonts w:ascii="宋体" w:hAnsi="宋体" w:cs="宋体"/>
          <w:color w:val="auto"/>
          <w:sz w:val="22"/>
          <w:szCs w:val="22"/>
          <w:u w:val="single"/>
        </w:rPr>
        <w:t xml:space="preserve">    </w:t>
      </w:r>
      <w:r>
        <w:rPr>
          <w:rFonts w:hint="eastAsia" w:ascii="宋体" w:hAnsi="宋体" w:cs="宋体"/>
          <w:color w:val="auto"/>
          <w:sz w:val="22"/>
          <w:szCs w:val="22"/>
        </w:rPr>
        <w:t>项目（编号：</w:t>
      </w:r>
      <w:r>
        <w:rPr>
          <w:rFonts w:ascii="宋体" w:hAnsi="宋体"/>
          <w:color w:val="auto"/>
          <w:u w:val="single"/>
        </w:rPr>
        <w:tab/>
      </w:r>
      <w:r>
        <w:rPr>
          <w:rFonts w:ascii="宋体" w:hAnsi="宋体"/>
          <w:color w:val="auto"/>
          <w:u w:val="single"/>
        </w:rPr>
        <w:t xml:space="preserve">  </w:t>
      </w:r>
      <w:r>
        <w:rPr>
          <w:rFonts w:hint="eastAsia" w:ascii="宋体" w:hAnsi="宋体" w:cs="宋体"/>
          <w:color w:val="auto"/>
          <w:sz w:val="22"/>
          <w:szCs w:val="22"/>
        </w:rPr>
        <w:t>）采购活动提供本单位制造的货物，或者提供其他残疾人福利性单位制造的货物（不包括使用非残疾人福利性单位注册商标的货物）。</w:t>
      </w:r>
    </w:p>
    <w:p w14:paraId="58BDAFB4">
      <w:pPr>
        <w:spacing w:line="588" w:lineRule="exact"/>
        <w:ind w:firstLine="440" w:firstLineChars="200"/>
        <w:rPr>
          <w:rFonts w:hint="eastAsia" w:ascii="宋体" w:hAnsi="宋体" w:cs="宋体"/>
          <w:color w:val="auto"/>
          <w:sz w:val="22"/>
          <w:szCs w:val="22"/>
        </w:rPr>
      </w:pPr>
      <w:r>
        <w:rPr>
          <w:rFonts w:hint="eastAsia" w:ascii="宋体" w:hAnsi="宋体" w:cs="宋体"/>
          <w:color w:val="auto"/>
          <w:sz w:val="22"/>
          <w:szCs w:val="22"/>
        </w:rPr>
        <w:t>本单位对上述声明的真实性负责。如有虚假，将依法承担相应责任。</w:t>
      </w:r>
    </w:p>
    <w:p w14:paraId="22A78597">
      <w:pPr>
        <w:spacing w:line="588" w:lineRule="exact"/>
        <w:ind w:firstLine="440" w:firstLineChars="200"/>
        <w:rPr>
          <w:rFonts w:hint="eastAsia" w:ascii="宋体" w:hAnsi="宋体" w:cs="宋体"/>
          <w:color w:val="auto"/>
          <w:sz w:val="22"/>
          <w:szCs w:val="22"/>
        </w:rPr>
      </w:pPr>
    </w:p>
    <w:p w14:paraId="218CE22C">
      <w:pPr>
        <w:spacing w:line="588" w:lineRule="exact"/>
        <w:ind w:firstLine="440" w:firstLineChars="200"/>
        <w:rPr>
          <w:rFonts w:hint="eastAsia" w:ascii="宋体" w:hAnsi="宋体" w:cs="宋体"/>
          <w:color w:val="auto"/>
          <w:sz w:val="22"/>
          <w:szCs w:val="22"/>
        </w:rPr>
      </w:pPr>
    </w:p>
    <w:p w14:paraId="150F900E">
      <w:pPr>
        <w:tabs>
          <w:tab w:val="left" w:pos="4860"/>
        </w:tabs>
        <w:spacing w:line="588" w:lineRule="exact"/>
        <w:ind w:right="1560" w:firstLine="440" w:firstLineChars="200"/>
        <w:jc w:val="center"/>
        <w:rPr>
          <w:rFonts w:hint="eastAsia" w:ascii="宋体" w:hAnsi="宋体" w:cs="宋体"/>
          <w:color w:val="auto"/>
          <w:sz w:val="22"/>
          <w:szCs w:val="22"/>
        </w:rPr>
      </w:pPr>
      <w:r>
        <w:rPr>
          <w:rFonts w:hint="eastAsia" w:ascii="宋体" w:hAnsi="宋体" w:cs="宋体"/>
          <w:color w:val="auto"/>
          <w:sz w:val="22"/>
          <w:szCs w:val="22"/>
        </w:rPr>
        <w:t xml:space="preserve">                                  </w:t>
      </w:r>
      <w:r>
        <w:rPr>
          <w:rFonts w:hint="eastAsia" w:ascii="宋体" w:hAnsi="宋体" w:cs="宋体"/>
          <w:color w:val="auto"/>
          <w:sz w:val="22"/>
          <w:szCs w:val="22"/>
          <w:lang w:eastAsia="zh-CN"/>
        </w:rPr>
        <w:t>投标人</w:t>
      </w:r>
      <w:r>
        <w:rPr>
          <w:rFonts w:hint="eastAsia" w:ascii="宋体" w:hAnsi="宋体" w:cs="宋体"/>
          <w:color w:val="auto"/>
          <w:sz w:val="22"/>
          <w:szCs w:val="22"/>
        </w:rPr>
        <w:t>名称（盖章）：</w:t>
      </w:r>
    </w:p>
    <w:p w14:paraId="121CF86A">
      <w:pPr>
        <w:widowControl/>
        <w:adjustRightInd w:val="0"/>
        <w:snapToGrid w:val="0"/>
        <w:spacing w:line="400" w:lineRule="exact"/>
        <w:jc w:val="left"/>
        <w:rPr>
          <w:rFonts w:hint="eastAsia" w:ascii="宋体" w:hAnsi="宋体" w:cs="宋体"/>
          <w:color w:val="auto"/>
          <w:sz w:val="22"/>
          <w:szCs w:val="22"/>
        </w:rPr>
      </w:pPr>
      <w:r>
        <w:rPr>
          <w:rFonts w:hint="eastAsia" w:ascii="宋体" w:hAnsi="宋体" w:cs="宋体"/>
          <w:color w:val="auto"/>
          <w:sz w:val="22"/>
          <w:szCs w:val="22"/>
        </w:rPr>
        <w:t xml:space="preserve">        日  期：    年  月  日</w:t>
      </w:r>
    </w:p>
    <w:p w14:paraId="6F097688">
      <w:pPr>
        <w:pStyle w:val="19"/>
        <w:rPr>
          <w:color w:val="auto"/>
        </w:rPr>
      </w:pPr>
    </w:p>
    <w:p w14:paraId="394BE10A">
      <w:pPr>
        <w:pStyle w:val="19"/>
        <w:rPr>
          <w:color w:val="auto"/>
        </w:rPr>
      </w:pPr>
    </w:p>
    <w:p w14:paraId="051A8826">
      <w:pPr>
        <w:spacing w:line="588" w:lineRule="exact"/>
        <w:rPr>
          <w:rFonts w:hint="eastAsia" w:ascii="宋体" w:hAnsi="宋体" w:cs="宋体"/>
          <w:color w:val="auto"/>
          <w:sz w:val="22"/>
          <w:szCs w:val="22"/>
        </w:rPr>
      </w:pPr>
      <w:r>
        <w:rPr>
          <w:rFonts w:hint="eastAsia" w:ascii="宋体" w:hAnsi="宋体" w:cs="宋体"/>
          <w:color w:val="auto"/>
          <w:sz w:val="22"/>
          <w:szCs w:val="22"/>
        </w:rPr>
        <w:t>备注说明：</w:t>
      </w:r>
    </w:p>
    <w:p w14:paraId="3DC2CAC6">
      <w:pPr>
        <w:spacing w:line="588" w:lineRule="exact"/>
        <w:ind w:firstLine="440" w:firstLineChars="200"/>
        <w:rPr>
          <w:rFonts w:hint="eastAsia" w:ascii="宋体" w:hAnsi="宋体" w:cs="宋体"/>
          <w:color w:val="auto"/>
          <w:sz w:val="22"/>
          <w:szCs w:val="22"/>
        </w:rPr>
      </w:pPr>
      <w:r>
        <w:rPr>
          <w:rFonts w:hint="eastAsia" w:ascii="宋体" w:hAnsi="宋体" w:cs="宋体"/>
          <w:color w:val="auto"/>
          <w:sz w:val="22"/>
          <w:szCs w:val="22"/>
        </w:rPr>
        <w:t>1、如中标，将在中标公告中将此残疾人福利性单位声明函予以公示，接受社会监督；</w:t>
      </w:r>
    </w:p>
    <w:p w14:paraId="19B6D9DE">
      <w:pPr>
        <w:spacing w:line="588" w:lineRule="exact"/>
        <w:ind w:firstLine="440" w:firstLineChars="200"/>
        <w:rPr>
          <w:rFonts w:hint="eastAsia" w:ascii="宋体" w:hAnsi="宋体" w:cs="宋体"/>
          <w:color w:val="auto"/>
          <w:sz w:val="22"/>
          <w:szCs w:val="22"/>
        </w:rPr>
      </w:pPr>
      <w:r>
        <w:rPr>
          <w:rFonts w:ascii="宋体" w:hAnsi="宋体" w:cs="宋体"/>
          <w:color w:val="auto"/>
          <w:sz w:val="22"/>
          <w:szCs w:val="22"/>
        </w:rPr>
        <w:t>2</w:t>
      </w:r>
      <w:r>
        <w:rPr>
          <w:rFonts w:hint="eastAsia" w:ascii="宋体" w:hAnsi="宋体" w:cs="宋体"/>
          <w:color w:val="auto"/>
          <w:sz w:val="22"/>
          <w:szCs w:val="22"/>
        </w:rPr>
        <w:t>、</w:t>
      </w:r>
      <w:r>
        <w:rPr>
          <w:rFonts w:hint="eastAsia" w:ascii="宋体" w:hAnsi="宋体" w:cs="宋体"/>
          <w:color w:val="auto"/>
          <w:sz w:val="22"/>
          <w:szCs w:val="22"/>
          <w:lang w:eastAsia="zh-CN"/>
        </w:rPr>
        <w:t>投标人</w:t>
      </w:r>
      <w:r>
        <w:rPr>
          <w:rFonts w:hint="eastAsia" w:ascii="宋体" w:hAnsi="宋体" w:cs="宋体"/>
          <w:color w:val="auto"/>
          <w:sz w:val="22"/>
          <w:szCs w:val="22"/>
        </w:rPr>
        <w:t>提供的《残疾人福利性单位声明函》与事实不符的，依照《政府采购法》第七十七条第一款的规定追究法律责任。</w:t>
      </w:r>
    </w:p>
    <w:p w14:paraId="02C6198D">
      <w:pPr>
        <w:spacing w:line="420" w:lineRule="exact"/>
        <w:rPr>
          <w:color w:val="auto"/>
        </w:rPr>
      </w:pPr>
    </w:p>
    <w:p w14:paraId="26290528">
      <w:pPr>
        <w:pStyle w:val="19"/>
        <w:rPr>
          <w:color w:val="auto"/>
        </w:rPr>
      </w:pPr>
    </w:p>
    <w:p w14:paraId="1105C67E">
      <w:pPr>
        <w:pStyle w:val="19"/>
        <w:rPr>
          <w:color w:val="auto"/>
        </w:rPr>
      </w:pPr>
    </w:p>
    <w:p w14:paraId="4E9BC155">
      <w:pPr>
        <w:spacing w:line="440" w:lineRule="exact"/>
        <w:rPr>
          <w:rFonts w:hint="eastAsia" w:ascii="宋体" w:hAnsi="宋体" w:cs="宋体"/>
          <w:b/>
          <w:color w:val="auto"/>
          <w:sz w:val="24"/>
        </w:rPr>
      </w:pPr>
    </w:p>
    <w:p w14:paraId="1DF7D014">
      <w:pPr>
        <w:pStyle w:val="19"/>
        <w:rPr>
          <w:color w:val="auto"/>
        </w:rPr>
      </w:pPr>
    </w:p>
    <w:p w14:paraId="66DE4379">
      <w:pPr>
        <w:pStyle w:val="19"/>
        <w:rPr>
          <w:color w:val="auto"/>
        </w:rPr>
      </w:pPr>
    </w:p>
    <w:p w14:paraId="6FA467EA">
      <w:pPr>
        <w:pStyle w:val="19"/>
        <w:rPr>
          <w:color w:val="auto"/>
        </w:rPr>
      </w:pPr>
    </w:p>
    <w:p w14:paraId="04F1BFB7">
      <w:pPr>
        <w:pStyle w:val="19"/>
        <w:rPr>
          <w:color w:val="auto"/>
        </w:rPr>
      </w:pPr>
    </w:p>
    <w:p w14:paraId="2132BD91">
      <w:pPr>
        <w:pStyle w:val="19"/>
        <w:rPr>
          <w:color w:val="auto"/>
        </w:rPr>
      </w:pPr>
    </w:p>
    <w:p w14:paraId="476BFA3B">
      <w:pPr>
        <w:pStyle w:val="19"/>
        <w:rPr>
          <w:color w:val="auto"/>
        </w:rPr>
      </w:pPr>
    </w:p>
    <w:p w14:paraId="74EB5DE8">
      <w:pPr>
        <w:spacing w:line="440" w:lineRule="exact"/>
        <w:ind w:left="708" w:hanging="708" w:hangingChars="294"/>
        <w:jc w:val="center"/>
        <w:rPr>
          <w:rFonts w:hint="eastAsia" w:ascii="宋体" w:hAnsi="宋体" w:cs="宋体"/>
          <w:b/>
          <w:color w:val="auto"/>
          <w:sz w:val="24"/>
        </w:rPr>
      </w:pPr>
      <w:r>
        <w:rPr>
          <w:rFonts w:ascii="宋体" w:hAnsi="宋体" w:cs="宋体"/>
          <w:b/>
          <w:color w:val="auto"/>
          <w:sz w:val="24"/>
        </w:rPr>
        <w:br w:type="page"/>
      </w:r>
      <w:r>
        <w:rPr>
          <w:rFonts w:hint="eastAsia" w:ascii="宋体" w:hAnsi="宋体" w:cs="宋体"/>
          <w:b/>
          <w:color w:val="auto"/>
          <w:sz w:val="24"/>
        </w:rPr>
        <w:t>（2）节能、环保产品优先（强制）采购政策说明</w:t>
      </w:r>
    </w:p>
    <w:p w14:paraId="04676EB5">
      <w:pPr>
        <w:spacing w:line="440" w:lineRule="exact"/>
        <w:rPr>
          <w:rFonts w:hint="eastAsia" w:ascii="宋体" w:hAnsi="宋体" w:cs="宋体"/>
          <w:color w:val="auto"/>
          <w:sz w:val="22"/>
          <w:szCs w:val="22"/>
        </w:rPr>
      </w:pPr>
      <w:r>
        <w:rPr>
          <w:rFonts w:hint="eastAsia" w:ascii="宋体" w:hAnsi="宋体" w:cs="宋体"/>
          <w:color w:val="auto"/>
          <w:sz w:val="22"/>
          <w:szCs w:val="22"/>
        </w:rPr>
        <w:t>1、政策依据</w:t>
      </w:r>
    </w:p>
    <w:p w14:paraId="36A3C490">
      <w:pPr>
        <w:spacing w:line="440" w:lineRule="exact"/>
        <w:rPr>
          <w:rFonts w:hint="eastAsia" w:ascii="宋体" w:hAnsi="宋体" w:cs="宋体"/>
          <w:color w:val="auto"/>
          <w:sz w:val="22"/>
          <w:szCs w:val="22"/>
        </w:rPr>
      </w:pPr>
      <w:r>
        <w:rPr>
          <w:rFonts w:hint="eastAsia" w:ascii="宋体" w:hAnsi="宋体" w:cs="宋体"/>
          <w:color w:val="auto"/>
          <w:sz w:val="22"/>
          <w:szCs w:val="22"/>
        </w:rPr>
        <w:t>（一）《国务院办公厅关于建立政府强制采购节能产品制度的通知》(国办发[2007]51号)</w:t>
      </w:r>
    </w:p>
    <w:p w14:paraId="6846CD4E">
      <w:pPr>
        <w:spacing w:line="440" w:lineRule="exact"/>
        <w:rPr>
          <w:rFonts w:hint="eastAsia" w:ascii="宋体" w:hAnsi="宋体" w:cs="宋体"/>
          <w:color w:val="auto"/>
          <w:sz w:val="22"/>
          <w:szCs w:val="22"/>
        </w:rPr>
      </w:pPr>
      <w:r>
        <w:rPr>
          <w:rFonts w:hint="eastAsia" w:ascii="宋体" w:hAnsi="宋体" w:cs="宋体"/>
          <w:color w:val="auto"/>
          <w:sz w:val="22"/>
          <w:szCs w:val="22"/>
        </w:rPr>
        <w:t>（二）财政部、发展改革委发布的《节能产品政府采购实施意见》(财库[2004]185号)</w:t>
      </w:r>
    </w:p>
    <w:p w14:paraId="23D7F532">
      <w:pPr>
        <w:spacing w:line="440" w:lineRule="exact"/>
        <w:rPr>
          <w:rFonts w:hint="eastAsia" w:ascii="宋体" w:hAnsi="宋体" w:cs="宋体"/>
          <w:color w:val="auto"/>
          <w:sz w:val="22"/>
          <w:szCs w:val="22"/>
        </w:rPr>
      </w:pPr>
      <w:r>
        <w:rPr>
          <w:rFonts w:hint="eastAsia" w:ascii="宋体" w:hAnsi="宋体" w:cs="宋体"/>
          <w:color w:val="auto"/>
          <w:sz w:val="22"/>
          <w:szCs w:val="22"/>
        </w:rPr>
        <w:t>（三）财政部、原环保总局印发的《环境标志产品政府采购实施的意见》（财库 [2006]90号）</w:t>
      </w:r>
    </w:p>
    <w:p w14:paraId="0BB5C829">
      <w:pPr>
        <w:spacing w:line="440" w:lineRule="exact"/>
        <w:rPr>
          <w:rFonts w:hint="eastAsia" w:ascii="宋体" w:hAnsi="宋体" w:cs="宋体"/>
          <w:color w:val="auto"/>
          <w:sz w:val="22"/>
          <w:szCs w:val="22"/>
        </w:rPr>
      </w:pPr>
      <w:r>
        <w:rPr>
          <w:rFonts w:hint="eastAsia" w:ascii="宋体" w:hAnsi="宋体" w:cs="宋体"/>
          <w:color w:val="auto"/>
          <w:sz w:val="22"/>
          <w:szCs w:val="22"/>
        </w:rPr>
        <w:t>（四）关于调整优化节能产品、环境标志产品政府采购执行机制的通知（财库〔2019〕9号）</w:t>
      </w:r>
    </w:p>
    <w:p w14:paraId="137BBF35">
      <w:pPr>
        <w:spacing w:line="440" w:lineRule="exact"/>
        <w:rPr>
          <w:rFonts w:hint="eastAsia" w:ascii="宋体" w:hAnsi="宋体" w:cs="宋体"/>
          <w:color w:val="auto"/>
          <w:sz w:val="22"/>
          <w:szCs w:val="22"/>
        </w:rPr>
      </w:pPr>
      <w:r>
        <w:rPr>
          <w:rFonts w:hint="eastAsia" w:ascii="宋体" w:hAnsi="宋体" w:cs="宋体"/>
          <w:color w:val="auto"/>
          <w:sz w:val="22"/>
          <w:szCs w:val="22"/>
        </w:rPr>
        <w:t>（五）关于印发环境标志产品政府采购品目清单的通知（财库〔2019〕18号）</w:t>
      </w:r>
    </w:p>
    <w:p w14:paraId="2BED53B2">
      <w:pPr>
        <w:spacing w:line="440" w:lineRule="exact"/>
        <w:rPr>
          <w:rFonts w:hint="eastAsia" w:ascii="宋体" w:hAnsi="宋体" w:cs="宋体"/>
          <w:color w:val="auto"/>
          <w:sz w:val="22"/>
          <w:szCs w:val="22"/>
        </w:rPr>
      </w:pPr>
      <w:r>
        <w:rPr>
          <w:rFonts w:hint="eastAsia" w:ascii="宋体" w:hAnsi="宋体" w:cs="宋体"/>
          <w:color w:val="auto"/>
          <w:sz w:val="22"/>
          <w:szCs w:val="22"/>
        </w:rPr>
        <w:t>（六）关于印发节能产品政府采购品目清单的通知（财库〔2019〕19号）</w:t>
      </w:r>
    </w:p>
    <w:p w14:paraId="5623ACA7">
      <w:pPr>
        <w:spacing w:line="440" w:lineRule="exact"/>
        <w:rPr>
          <w:rFonts w:hint="eastAsia" w:ascii="宋体" w:hAnsi="宋体" w:cs="宋体"/>
          <w:color w:val="auto"/>
          <w:sz w:val="22"/>
          <w:szCs w:val="22"/>
        </w:rPr>
      </w:pPr>
      <w:r>
        <w:rPr>
          <w:rFonts w:hint="eastAsia" w:ascii="宋体" w:hAnsi="宋体" w:cs="宋体"/>
          <w:color w:val="auto"/>
          <w:sz w:val="22"/>
          <w:szCs w:val="22"/>
        </w:rPr>
        <w:t>（七）市场监管总局关于发布参与实施政府采购节能产品、环境标志产品认证机构名录的公告（2019年第16号）</w:t>
      </w:r>
    </w:p>
    <w:p w14:paraId="2D892FD5">
      <w:pPr>
        <w:spacing w:line="440" w:lineRule="exact"/>
        <w:rPr>
          <w:rFonts w:hint="eastAsia" w:ascii="宋体" w:hAnsi="宋体" w:cs="宋体"/>
          <w:color w:val="auto"/>
          <w:sz w:val="22"/>
          <w:szCs w:val="22"/>
        </w:rPr>
      </w:pPr>
      <w:r>
        <w:rPr>
          <w:rFonts w:hint="eastAsia" w:ascii="宋体" w:hAnsi="宋体" w:cs="宋体"/>
          <w:color w:val="auto"/>
          <w:sz w:val="22"/>
          <w:szCs w:val="22"/>
        </w:rPr>
        <w:t>2、</w:t>
      </w:r>
      <w:r>
        <w:rPr>
          <w:rFonts w:hint="eastAsia" w:ascii="宋体" w:hAnsi="宋体" w:cs="宋体"/>
          <w:color w:val="auto"/>
          <w:sz w:val="22"/>
          <w:szCs w:val="22"/>
          <w:lang w:eastAsia="zh-CN"/>
        </w:rPr>
        <w:t>投标人</w:t>
      </w:r>
      <w:r>
        <w:rPr>
          <w:rFonts w:hint="eastAsia" w:ascii="宋体" w:hAnsi="宋体" w:cs="宋体"/>
          <w:color w:val="auto"/>
          <w:sz w:val="22"/>
          <w:szCs w:val="22"/>
        </w:rPr>
        <w:t>投标货物属于节能、环保优先（强制）采购范围的，须提供相关证明材料。</w:t>
      </w:r>
    </w:p>
    <w:p w14:paraId="252DF98A">
      <w:pPr>
        <w:pStyle w:val="19"/>
        <w:rPr>
          <w:color w:val="auto"/>
        </w:rPr>
      </w:pPr>
    </w:p>
    <w:p w14:paraId="47AD864E">
      <w:pPr>
        <w:spacing w:line="380" w:lineRule="exact"/>
        <w:jc w:val="left"/>
        <w:rPr>
          <w:rFonts w:hint="eastAsia" w:ascii="宋体" w:hAnsi="宋体"/>
          <w:color w:val="auto"/>
          <w:sz w:val="22"/>
        </w:rPr>
      </w:pPr>
      <w:r>
        <w:rPr>
          <w:color w:val="auto"/>
        </w:rPr>
        <w:br w:type="page"/>
      </w:r>
      <w:r>
        <w:rPr>
          <w:rFonts w:hint="eastAsia" w:ascii="宋体" w:hAnsi="宋体"/>
          <w:color w:val="auto"/>
          <w:sz w:val="22"/>
        </w:rPr>
        <w:t>附件2：</w:t>
      </w:r>
    </w:p>
    <w:p w14:paraId="39609033">
      <w:pPr>
        <w:spacing w:line="360" w:lineRule="auto"/>
        <w:jc w:val="center"/>
        <w:rPr>
          <w:rFonts w:hint="eastAsia" w:ascii="宋体" w:hAnsi="宋体"/>
          <w:b/>
          <w:bCs/>
          <w:color w:val="auto"/>
          <w:sz w:val="24"/>
        </w:rPr>
      </w:pPr>
      <w:r>
        <w:rPr>
          <w:rFonts w:hint="eastAsia" w:ascii="宋体" w:hAnsi="宋体"/>
          <w:b/>
          <w:bCs/>
          <w:color w:val="auto"/>
          <w:sz w:val="24"/>
        </w:rPr>
        <w:t>节能环保产品声明函</w:t>
      </w:r>
    </w:p>
    <w:p w14:paraId="53A92D42">
      <w:pPr>
        <w:autoSpaceDE w:val="0"/>
        <w:autoSpaceDN w:val="0"/>
        <w:adjustRightInd w:val="0"/>
        <w:spacing w:line="460" w:lineRule="atLeast"/>
        <w:jc w:val="center"/>
        <w:rPr>
          <w:rFonts w:hint="eastAsia" w:ascii="宋体" w:hAnsi="宋体"/>
          <w:color w:val="auto"/>
          <w:sz w:val="36"/>
          <w:szCs w:val="20"/>
          <w:lang w:val="zh-CN"/>
        </w:rPr>
      </w:pPr>
      <w:r>
        <w:rPr>
          <w:rFonts w:hint="eastAsia" w:ascii="宋体" w:hAnsi="宋体"/>
          <w:color w:val="auto"/>
          <w:sz w:val="22"/>
        </w:rPr>
        <w:t>（如有则提供）</w:t>
      </w:r>
    </w:p>
    <w:p w14:paraId="6B2D6F88">
      <w:pPr>
        <w:spacing w:line="460" w:lineRule="atLeast"/>
        <w:ind w:firstLine="440" w:firstLineChars="200"/>
        <w:rPr>
          <w:rFonts w:hint="eastAsia" w:ascii="宋体" w:hAnsi="宋体"/>
          <w:color w:val="auto"/>
          <w:sz w:val="22"/>
        </w:rPr>
      </w:pPr>
      <w:r>
        <w:rPr>
          <w:rFonts w:hint="eastAsia" w:ascii="宋体" w:hAnsi="宋体"/>
          <w:color w:val="auto"/>
          <w:sz w:val="22"/>
        </w:rPr>
        <w:t>本公司郑重声明，根据《节能产品政府采购实施意见》（财库〔2004〕185号，不含该期清单）、《关于环境标志产品政府采购实施的意见》（财库〔2006〕90号，不含该期清单）、《关于调整优化节能产品、环境标志产品政府采购执行机制的通知》（财库〔</w:t>
      </w:r>
      <w:r>
        <w:rPr>
          <w:rFonts w:ascii="宋体" w:hAnsi="宋体"/>
          <w:color w:val="auto"/>
          <w:sz w:val="22"/>
        </w:rPr>
        <w:t>2019〕9号）</w:t>
      </w:r>
      <w:r>
        <w:rPr>
          <w:rFonts w:hint="eastAsia" w:ascii="宋体" w:hAnsi="宋体"/>
          <w:color w:val="auto"/>
          <w:sz w:val="22"/>
        </w:rPr>
        <w:t>、《关于印发节能产品政府采购品目清单的通知》（财库〔</w:t>
      </w:r>
      <w:r>
        <w:rPr>
          <w:rFonts w:ascii="宋体" w:hAnsi="宋体"/>
          <w:color w:val="auto"/>
          <w:sz w:val="22"/>
        </w:rPr>
        <w:t>2019〕19号）</w:t>
      </w:r>
      <w:r>
        <w:rPr>
          <w:rFonts w:hint="eastAsia" w:ascii="宋体" w:hAnsi="宋体"/>
          <w:color w:val="auto"/>
          <w:sz w:val="22"/>
        </w:rPr>
        <w:t>、《关于印发环境标志产品政府采购品目清单的通知》（财库〔</w:t>
      </w:r>
      <w:r>
        <w:rPr>
          <w:rFonts w:ascii="宋体" w:hAnsi="宋体"/>
          <w:color w:val="auto"/>
          <w:sz w:val="22"/>
        </w:rPr>
        <w:t>2019〕18号）</w:t>
      </w:r>
      <w:r>
        <w:rPr>
          <w:rFonts w:hint="eastAsia" w:ascii="宋体" w:hAnsi="宋体"/>
          <w:color w:val="auto"/>
          <w:sz w:val="22"/>
        </w:rPr>
        <w:t>的规定，本公司声明如下：</w:t>
      </w:r>
    </w:p>
    <w:p w14:paraId="28641472">
      <w:pPr>
        <w:spacing w:line="460" w:lineRule="atLeast"/>
        <w:ind w:firstLine="440" w:firstLineChars="200"/>
        <w:rPr>
          <w:rFonts w:hint="eastAsia" w:ascii="宋体" w:hAnsi="宋体"/>
          <w:color w:val="auto"/>
          <w:sz w:val="22"/>
        </w:rPr>
      </w:pPr>
      <w:r>
        <w:rPr>
          <w:rFonts w:hint="eastAsia" w:ascii="宋体" w:hAnsi="宋体"/>
          <w:color w:val="auto"/>
          <w:sz w:val="22"/>
        </w:rPr>
        <w:t>1.本公司参加</w:t>
      </w:r>
      <w:r>
        <w:rPr>
          <w:rFonts w:hint="eastAsia" w:ascii="宋体" w:hAnsi="宋体"/>
          <w:color w:val="auto"/>
          <w:sz w:val="22"/>
          <w:u w:val="single"/>
        </w:rPr>
        <w:t>（采购项目名称，项目编号）</w:t>
      </w:r>
      <w:r>
        <w:rPr>
          <w:rFonts w:hint="eastAsia" w:ascii="宋体" w:hAnsi="宋体"/>
          <w:color w:val="auto"/>
          <w:sz w:val="22"/>
        </w:rPr>
        <w:t>的采购活动提供的产品已列入《节能产品政府采购品目清单》。</w:t>
      </w:r>
    </w:p>
    <w:p w14:paraId="353273A1">
      <w:pPr>
        <w:spacing w:line="460" w:lineRule="atLeast"/>
        <w:ind w:firstLine="440" w:firstLineChars="200"/>
        <w:rPr>
          <w:rFonts w:hint="eastAsia" w:ascii="宋体" w:hAnsi="宋体"/>
          <w:color w:val="auto"/>
          <w:sz w:val="22"/>
        </w:rPr>
      </w:pPr>
      <w:r>
        <w:rPr>
          <w:rFonts w:hint="eastAsia" w:ascii="宋体" w:hAnsi="宋体"/>
          <w:color w:val="auto"/>
          <w:sz w:val="22"/>
        </w:rPr>
        <w:t>2.本公司参加</w:t>
      </w:r>
      <w:r>
        <w:rPr>
          <w:rFonts w:hint="eastAsia" w:ascii="宋体" w:hAnsi="宋体"/>
          <w:color w:val="auto"/>
          <w:sz w:val="22"/>
          <w:u w:val="single"/>
        </w:rPr>
        <w:t>（采购项目名称，项目编号）</w:t>
      </w:r>
      <w:r>
        <w:rPr>
          <w:rFonts w:hint="eastAsia" w:ascii="宋体" w:hAnsi="宋体"/>
          <w:color w:val="auto"/>
          <w:sz w:val="22"/>
        </w:rPr>
        <w:t>的采购活动提供的产品已列入《环境标志产品政府采购品目清单》。</w:t>
      </w:r>
    </w:p>
    <w:p w14:paraId="39D9A705">
      <w:pPr>
        <w:spacing w:line="460" w:lineRule="atLeast"/>
        <w:ind w:firstLine="440" w:firstLineChars="200"/>
        <w:rPr>
          <w:rFonts w:hint="eastAsia" w:ascii="宋体" w:hAnsi="宋体"/>
          <w:color w:val="auto"/>
          <w:sz w:val="22"/>
        </w:rPr>
      </w:pPr>
      <w:r>
        <w:rPr>
          <w:rFonts w:hint="eastAsia" w:ascii="宋体" w:hAnsi="宋体"/>
          <w:color w:val="auto"/>
          <w:sz w:val="22"/>
        </w:rPr>
        <w:t>本公司对上述声明的真实性负责。如有虚假，将依法承担相应法律责任。</w:t>
      </w:r>
    </w:p>
    <w:p w14:paraId="587A828C">
      <w:pPr>
        <w:spacing w:line="460" w:lineRule="atLeast"/>
        <w:rPr>
          <w:rFonts w:hint="eastAsia" w:ascii="宋体" w:hAnsi="宋体"/>
          <w:color w:val="auto"/>
          <w:sz w:val="22"/>
        </w:rPr>
      </w:pPr>
    </w:p>
    <w:p w14:paraId="6E30202F">
      <w:pPr>
        <w:pStyle w:val="19"/>
        <w:rPr>
          <w:color w:val="auto"/>
        </w:rPr>
      </w:pPr>
    </w:p>
    <w:p w14:paraId="39885A40">
      <w:pPr>
        <w:autoSpaceDE w:val="0"/>
        <w:autoSpaceDN w:val="0"/>
        <w:adjustRightInd w:val="0"/>
        <w:spacing w:line="460" w:lineRule="atLeast"/>
        <w:rPr>
          <w:rFonts w:hint="eastAsia" w:ascii="宋体" w:hAnsi="宋体" w:cs="Arial"/>
          <w:color w:val="auto"/>
          <w:sz w:val="22"/>
          <w:szCs w:val="20"/>
          <w:lang w:val="zh-CN"/>
        </w:rPr>
      </w:pPr>
      <w:r>
        <w:rPr>
          <w:rFonts w:hint="eastAsia" w:ascii="宋体" w:hAnsi="宋体" w:cs="Arial"/>
          <w:color w:val="auto"/>
          <w:sz w:val="22"/>
          <w:szCs w:val="20"/>
        </w:rPr>
        <w:t>投标人</w:t>
      </w:r>
      <w:r>
        <w:rPr>
          <w:rFonts w:hint="eastAsia" w:ascii="宋体" w:hAnsi="宋体" w:cs="Arial"/>
          <w:color w:val="auto"/>
          <w:sz w:val="22"/>
          <w:szCs w:val="20"/>
          <w:lang w:val="zh-CN"/>
        </w:rPr>
        <w:t xml:space="preserve">盖章：        </w:t>
      </w:r>
    </w:p>
    <w:p w14:paraId="21D7CD18">
      <w:pPr>
        <w:spacing w:line="460" w:lineRule="atLeast"/>
        <w:rPr>
          <w:rFonts w:hint="eastAsia" w:ascii="宋体" w:hAnsi="宋体"/>
          <w:color w:val="auto"/>
          <w:sz w:val="28"/>
          <w:szCs w:val="28"/>
        </w:rPr>
      </w:pPr>
      <w:r>
        <w:rPr>
          <w:rFonts w:hint="eastAsia" w:ascii="宋体" w:hAnsi="宋体"/>
          <w:color w:val="auto"/>
          <w:sz w:val="22"/>
        </w:rPr>
        <w:t xml:space="preserve">日 期：                  </w:t>
      </w:r>
    </w:p>
    <w:p w14:paraId="4A118095">
      <w:pPr>
        <w:spacing w:line="380" w:lineRule="exact"/>
        <w:jc w:val="left"/>
        <w:rPr>
          <w:rFonts w:hint="eastAsia" w:ascii="宋体" w:hAnsi="宋体"/>
          <w:color w:val="auto"/>
          <w:sz w:val="22"/>
        </w:rPr>
      </w:pPr>
      <w:r>
        <w:rPr>
          <w:rFonts w:ascii="宋体" w:hAnsi="宋体"/>
          <w:color w:val="auto"/>
          <w:sz w:val="28"/>
          <w:szCs w:val="28"/>
        </w:rPr>
        <w:br w:type="page"/>
      </w:r>
      <w:r>
        <w:rPr>
          <w:rFonts w:hint="eastAsia" w:ascii="宋体" w:hAnsi="宋体"/>
          <w:color w:val="auto"/>
          <w:sz w:val="22"/>
        </w:rPr>
        <w:t>附件</w:t>
      </w:r>
      <w:r>
        <w:rPr>
          <w:rFonts w:ascii="宋体" w:hAnsi="宋体"/>
          <w:color w:val="auto"/>
          <w:sz w:val="22"/>
        </w:rPr>
        <w:t>2</w:t>
      </w:r>
      <w:r>
        <w:rPr>
          <w:rFonts w:hint="eastAsia" w:ascii="宋体" w:hAnsi="宋体"/>
          <w:color w:val="auto"/>
          <w:sz w:val="22"/>
        </w:rPr>
        <w:t>：</w:t>
      </w:r>
    </w:p>
    <w:p w14:paraId="476C90C6">
      <w:pPr>
        <w:spacing w:line="360" w:lineRule="auto"/>
        <w:jc w:val="center"/>
        <w:rPr>
          <w:rFonts w:hint="eastAsia" w:ascii="宋体" w:hAnsi="宋体"/>
          <w:b/>
          <w:bCs/>
          <w:color w:val="auto"/>
          <w:sz w:val="24"/>
        </w:rPr>
      </w:pPr>
      <w:r>
        <w:rPr>
          <w:rFonts w:hint="eastAsia" w:ascii="宋体" w:hAnsi="宋体"/>
          <w:b/>
          <w:bCs/>
          <w:color w:val="auto"/>
          <w:sz w:val="24"/>
        </w:rPr>
        <w:t>节能（环保）产品清单</w:t>
      </w:r>
    </w:p>
    <w:p w14:paraId="04B4DB21">
      <w:pPr>
        <w:autoSpaceDE w:val="0"/>
        <w:autoSpaceDN w:val="0"/>
        <w:adjustRightInd w:val="0"/>
        <w:spacing w:line="460" w:lineRule="atLeast"/>
        <w:jc w:val="center"/>
        <w:rPr>
          <w:rFonts w:hint="eastAsia" w:ascii="宋体" w:hAnsi="宋体"/>
          <w:color w:val="auto"/>
          <w:sz w:val="22"/>
        </w:rPr>
      </w:pPr>
      <w:r>
        <w:rPr>
          <w:rFonts w:hint="eastAsia" w:ascii="宋体" w:hAnsi="宋体"/>
          <w:color w:val="auto"/>
          <w:sz w:val="22"/>
        </w:rPr>
        <w:t>（如有则提供）</w:t>
      </w:r>
    </w:p>
    <w:p w14:paraId="3454ACFA">
      <w:pPr>
        <w:pStyle w:val="19"/>
        <w:rPr>
          <w:color w:val="auto"/>
        </w:rPr>
      </w:pPr>
    </w:p>
    <w:p w14:paraId="215C81E5">
      <w:pPr>
        <w:rPr>
          <w:rFonts w:hint="eastAsia" w:ascii="宋体" w:hAnsi="宋体"/>
          <w:color w:val="auto"/>
          <w:sz w:val="22"/>
        </w:rPr>
      </w:pPr>
      <w:r>
        <w:rPr>
          <w:rFonts w:hint="eastAsia" w:ascii="宋体" w:hAnsi="宋体"/>
          <w:color w:val="auto"/>
          <w:sz w:val="22"/>
        </w:rPr>
        <w:t>（1）所投产品中已列入《节能产品政府采购品目清单》明细</w:t>
      </w:r>
    </w:p>
    <w:tbl>
      <w:tblPr>
        <w:tblStyle w:val="3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993"/>
        <w:gridCol w:w="1417"/>
        <w:gridCol w:w="1418"/>
        <w:gridCol w:w="1559"/>
        <w:gridCol w:w="1134"/>
        <w:gridCol w:w="1937"/>
      </w:tblGrid>
      <w:tr w14:paraId="5C242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134" w:type="dxa"/>
            <w:tcBorders>
              <w:top w:val="single" w:color="auto" w:sz="4" w:space="0"/>
              <w:left w:val="single" w:color="auto" w:sz="4" w:space="0"/>
              <w:bottom w:val="single" w:color="auto" w:sz="4" w:space="0"/>
              <w:right w:val="single" w:color="auto" w:sz="4" w:space="0"/>
            </w:tcBorders>
            <w:vAlign w:val="center"/>
          </w:tcPr>
          <w:p w14:paraId="50CC1EB8">
            <w:pPr>
              <w:spacing w:line="460" w:lineRule="exact"/>
              <w:jc w:val="center"/>
              <w:rPr>
                <w:rFonts w:hint="eastAsia" w:ascii="宋体" w:hAnsi="宋体"/>
                <w:color w:val="auto"/>
                <w:sz w:val="22"/>
                <w:szCs w:val="20"/>
              </w:rPr>
            </w:pPr>
            <w:r>
              <w:rPr>
                <w:rFonts w:hint="eastAsia" w:ascii="宋体" w:hAnsi="宋体"/>
                <w:color w:val="auto"/>
                <w:sz w:val="22"/>
                <w:szCs w:val="20"/>
              </w:rPr>
              <w:t>制造商</w:t>
            </w:r>
          </w:p>
        </w:tc>
        <w:tc>
          <w:tcPr>
            <w:tcW w:w="993" w:type="dxa"/>
            <w:tcBorders>
              <w:top w:val="single" w:color="auto" w:sz="4" w:space="0"/>
              <w:left w:val="single" w:color="auto" w:sz="4" w:space="0"/>
              <w:bottom w:val="single" w:color="auto" w:sz="4" w:space="0"/>
              <w:right w:val="single" w:color="auto" w:sz="4" w:space="0"/>
            </w:tcBorders>
            <w:vAlign w:val="center"/>
          </w:tcPr>
          <w:p w14:paraId="15AAA9D5">
            <w:pPr>
              <w:spacing w:line="460" w:lineRule="exact"/>
              <w:jc w:val="center"/>
              <w:rPr>
                <w:rFonts w:hint="eastAsia" w:ascii="宋体" w:hAnsi="宋体"/>
                <w:color w:val="auto"/>
                <w:sz w:val="22"/>
                <w:szCs w:val="20"/>
              </w:rPr>
            </w:pPr>
            <w:r>
              <w:rPr>
                <w:rFonts w:hint="eastAsia" w:ascii="宋体" w:hAnsi="宋体"/>
                <w:color w:val="auto"/>
                <w:sz w:val="22"/>
                <w:szCs w:val="20"/>
              </w:rPr>
              <w:t>品牌</w:t>
            </w:r>
          </w:p>
        </w:tc>
        <w:tc>
          <w:tcPr>
            <w:tcW w:w="1417" w:type="dxa"/>
            <w:tcBorders>
              <w:top w:val="single" w:color="auto" w:sz="4" w:space="0"/>
              <w:left w:val="single" w:color="auto" w:sz="4" w:space="0"/>
              <w:bottom w:val="single" w:color="auto" w:sz="4" w:space="0"/>
              <w:right w:val="single" w:color="auto" w:sz="4" w:space="0"/>
            </w:tcBorders>
            <w:vAlign w:val="center"/>
          </w:tcPr>
          <w:p w14:paraId="2CB40B94">
            <w:pPr>
              <w:spacing w:line="460" w:lineRule="exact"/>
              <w:jc w:val="center"/>
              <w:rPr>
                <w:rFonts w:hint="eastAsia" w:ascii="宋体" w:hAnsi="宋体"/>
                <w:color w:val="auto"/>
                <w:sz w:val="22"/>
                <w:szCs w:val="20"/>
              </w:rPr>
            </w:pPr>
            <w:r>
              <w:rPr>
                <w:rFonts w:hint="eastAsia" w:ascii="宋体" w:hAnsi="宋体"/>
                <w:color w:val="auto"/>
                <w:sz w:val="22"/>
                <w:szCs w:val="20"/>
              </w:rPr>
              <w:t>产品名称、</w:t>
            </w:r>
          </w:p>
          <w:p w14:paraId="6779A191">
            <w:pPr>
              <w:spacing w:line="460" w:lineRule="exact"/>
              <w:jc w:val="center"/>
              <w:rPr>
                <w:rFonts w:hint="eastAsia" w:ascii="宋体" w:hAnsi="宋体"/>
                <w:color w:val="auto"/>
                <w:sz w:val="22"/>
                <w:szCs w:val="20"/>
              </w:rPr>
            </w:pPr>
            <w:r>
              <w:rPr>
                <w:rFonts w:hint="eastAsia" w:ascii="宋体" w:hAnsi="宋体"/>
                <w:color w:val="auto"/>
                <w:sz w:val="22"/>
                <w:szCs w:val="20"/>
              </w:rPr>
              <w:t>规格型号</w:t>
            </w:r>
          </w:p>
        </w:tc>
        <w:tc>
          <w:tcPr>
            <w:tcW w:w="1418" w:type="dxa"/>
            <w:tcBorders>
              <w:top w:val="single" w:color="auto" w:sz="4" w:space="0"/>
              <w:left w:val="single" w:color="auto" w:sz="4" w:space="0"/>
              <w:bottom w:val="single" w:color="auto" w:sz="4" w:space="0"/>
              <w:right w:val="single" w:color="auto" w:sz="4" w:space="0"/>
            </w:tcBorders>
            <w:vAlign w:val="center"/>
          </w:tcPr>
          <w:p w14:paraId="49064B4F">
            <w:pPr>
              <w:spacing w:line="460" w:lineRule="exact"/>
              <w:jc w:val="center"/>
              <w:rPr>
                <w:rFonts w:hint="eastAsia" w:ascii="宋体" w:hAnsi="宋体"/>
                <w:color w:val="auto"/>
                <w:sz w:val="22"/>
                <w:szCs w:val="20"/>
              </w:rPr>
            </w:pPr>
            <w:r>
              <w:rPr>
                <w:rFonts w:hint="eastAsia" w:ascii="宋体" w:hAnsi="宋体"/>
                <w:color w:val="auto"/>
                <w:sz w:val="22"/>
                <w:szCs w:val="20"/>
              </w:rPr>
              <w:t>节字标志认证证书号</w:t>
            </w:r>
          </w:p>
        </w:tc>
        <w:tc>
          <w:tcPr>
            <w:tcW w:w="1559" w:type="dxa"/>
            <w:tcBorders>
              <w:top w:val="single" w:color="auto" w:sz="4" w:space="0"/>
              <w:left w:val="single" w:color="auto" w:sz="4" w:space="0"/>
              <w:bottom w:val="single" w:color="auto" w:sz="4" w:space="0"/>
              <w:right w:val="single" w:color="auto" w:sz="4" w:space="0"/>
            </w:tcBorders>
            <w:vAlign w:val="center"/>
          </w:tcPr>
          <w:p w14:paraId="13B25579">
            <w:pPr>
              <w:spacing w:line="460" w:lineRule="exact"/>
              <w:jc w:val="center"/>
              <w:rPr>
                <w:rFonts w:hint="eastAsia" w:ascii="宋体" w:hAnsi="宋体"/>
                <w:color w:val="auto"/>
                <w:sz w:val="22"/>
                <w:szCs w:val="20"/>
              </w:rPr>
            </w:pPr>
            <w:r>
              <w:rPr>
                <w:rFonts w:hint="eastAsia" w:ascii="宋体" w:hAnsi="宋体"/>
                <w:color w:val="auto"/>
                <w:sz w:val="22"/>
                <w:szCs w:val="20"/>
              </w:rPr>
              <w:t>认证证书有效截止日期</w:t>
            </w:r>
          </w:p>
        </w:tc>
        <w:tc>
          <w:tcPr>
            <w:tcW w:w="1134" w:type="dxa"/>
            <w:tcBorders>
              <w:top w:val="single" w:color="auto" w:sz="4" w:space="0"/>
              <w:left w:val="single" w:color="auto" w:sz="4" w:space="0"/>
              <w:bottom w:val="single" w:color="auto" w:sz="4" w:space="0"/>
              <w:right w:val="single" w:color="auto" w:sz="4" w:space="0"/>
            </w:tcBorders>
            <w:vAlign w:val="center"/>
          </w:tcPr>
          <w:p w14:paraId="741D6336">
            <w:pPr>
              <w:spacing w:line="460" w:lineRule="exact"/>
              <w:jc w:val="center"/>
              <w:rPr>
                <w:rFonts w:hint="eastAsia" w:ascii="宋体" w:hAnsi="宋体"/>
                <w:color w:val="auto"/>
                <w:sz w:val="22"/>
                <w:szCs w:val="20"/>
              </w:rPr>
            </w:pPr>
            <w:r>
              <w:rPr>
                <w:rFonts w:hint="eastAsia" w:ascii="宋体" w:hAnsi="宋体"/>
                <w:color w:val="auto"/>
                <w:sz w:val="22"/>
                <w:szCs w:val="20"/>
              </w:rPr>
              <w:t>依据的标准</w:t>
            </w:r>
          </w:p>
        </w:tc>
        <w:tc>
          <w:tcPr>
            <w:tcW w:w="1937" w:type="dxa"/>
            <w:tcBorders>
              <w:top w:val="single" w:color="auto" w:sz="4" w:space="0"/>
              <w:left w:val="single" w:color="auto" w:sz="4" w:space="0"/>
              <w:bottom w:val="single" w:color="auto" w:sz="4" w:space="0"/>
              <w:right w:val="single" w:color="auto" w:sz="4" w:space="0"/>
            </w:tcBorders>
            <w:vAlign w:val="center"/>
          </w:tcPr>
          <w:p w14:paraId="55A963BC">
            <w:pPr>
              <w:spacing w:line="460" w:lineRule="exact"/>
              <w:jc w:val="center"/>
              <w:rPr>
                <w:rFonts w:hint="eastAsia" w:ascii="宋体" w:hAnsi="宋体"/>
                <w:color w:val="auto"/>
                <w:sz w:val="22"/>
                <w:szCs w:val="20"/>
              </w:rPr>
            </w:pPr>
            <w:r>
              <w:rPr>
                <w:rFonts w:ascii="宋体" w:hAnsi="宋体"/>
                <w:color w:val="auto"/>
                <w:sz w:val="22"/>
                <w:szCs w:val="20"/>
              </w:rPr>
              <w:t>认证机构名称</w:t>
            </w:r>
          </w:p>
        </w:tc>
      </w:tr>
      <w:tr w14:paraId="6F592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6B09CC09">
            <w:pPr>
              <w:spacing w:line="460" w:lineRule="exact"/>
              <w:rPr>
                <w:rFonts w:hint="eastAsia" w:ascii="宋体" w:hAnsi="宋体"/>
                <w:color w:val="auto"/>
                <w:sz w:val="22"/>
                <w:szCs w:val="20"/>
              </w:rPr>
            </w:pPr>
          </w:p>
        </w:tc>
        <w:tc>
          <w:tcPr>
            <w:tcW w:w="993" w:type="dxa"/>
            <w:tcBorders>
              <w:top w:val="single" w:color="auto" w:sz="4" w:space="0"/>
              <w:left w:val="single" w:color="auto" w:sz="4" w:space="0"/>
              <w:bottom w:val="single" w:color="auto" w:sz="4" w:space="0"/>
              <w:right w:val="single" w:color="auto" w:sz="4" w:space="0"/>
            </w:tcBorders>
          </w:tcPr>
          <w:p w14:paraId="3BD2A4DC">
            <w:pPr>
              <w:spacing w:line="460" w:lineRule="exact"/>
              <w:rPr>
                <w:rFonts w:hint="eastAsia" w:ascii="宋体" w:hAnsi="宋体"/>
                <w:color w:val="auto"/>
                <w:sz w:val="22"/>
                <w:szCs w:val="20"/>
              </w:rPr>
            </w:pPr>
          </w:p>
        </w:tc>
        <w:tc>
          <w:tcPr>
            <w:tcW w:w="1417" w:type="dxa"/>
            <w:tcBorders>
              <w:top w:val="single" w:color="auto" w:sz="4" w:space="0"/>
              <w:left w:val="single" w:color="auto" w:sz="4" w:space="0"/>
              <w:bottom w:val="single" w:color="auto" w:sz="4" w:space="0"/>
              <w:right w:val="single" w:color="auto" w:sz="4" w:space="0"/>
            </w:tcBorders>
          </w:tcPr>
          <w:p w14:paraId="24DAD0FF">
            <w:pPr>
              <w:spacing w:line="460" w:lineRule="exact"/>
              <w:rPr>
                <w:rFonts w:hint="eastAsia" w:ascii="宋体" w:hAnsi="宋体"/>
                <w:color w:val="auto"/>
                <w:sz w:val="22"/>
                <w:szCs w:val="20"/>
              </w:rPr>
            </w:pPr>
          </w:p>
        </w:tc>
        <w:tc>
          <w:tcPr>
            <w:tcW w:w="1418" w:type="dxa"/>
            <w:tcBorders>
              <w:top w:val="single" w:color="auto" w:sz="4" w:space="0"/>
              <w:left w:val="single" w:color="auto" w:sz="4" w:space="0"/>
              <w:bottom w:val="single" w:color="auto" w:sz="4" w:space="0"/>
              <w:right w:val="single" w:color="auto" w:sz="4" w:space="0"/>
            </w:tcBorders>
          </w:tcPr>
          <w:p w14:paraId="50BBDB7D">
            <w:pPr>
              <w:spacing w:line="460" w:lineRule="exact"/>
              <w:rPr>
                <w:rFonts w:hint="eastAsia" w:ascii="宋体" w:hAnsi="宋体"/>
                <w:color w:val="auto"/>
                <w:sz w:val="22"/>
                <w:szCs w:val="20"/>
              </w:rPr>
            </w:pPr>
          </w:p>
        </w:tc>
        <w:tc>
          <w:tcPr>
            <w:tcW w:w="1559" w:type="dxa"/>
            <w:tcBorders>
              <w:top w:val="single" w:color="auto" w:sz="4" w:space="0"/>
              <w:left w:val="single" w:color="auto" w:sz="4" w:space="0"/>
              <w:bottom w:val="single" w:color="auto" w:sz="4" w:space="0"/>
              <w:right w:val="single" w:color="auto" w:sz="4" w:space="0"/>
            </w:tcBorders>
          </w:tcPr>
          <w:p w14:paraId="04585473">
            <w:pPr>
              <w:spacing w:line="460" w:lineRule="exact"/>
              <w:rPr>
                <w:rFonts w:hint="eastAsia" w:ascii="宋体" w:hAnsi="宋体"/>
                <w:color w:val="auto"/>
                <w:sz w:val="22"/>
                <w:szCs w:val="20"/>
              </w:rPr>
            </w:pPr>
          </w:p>
        </w:tc>
        <w:tc>
          <w:tcPr>
            <w:tcW w:w="1134" w:type="dxa"/>
            <w:tcBorders>
              <w:top w:val="single" w:color="auto" w:sz="4" w:space="0"/>
              <w:left w:val="single" w:color="auto" w:sz="4" w:space="0"/>
              <w:bottom w:val="single" w:color="auto" w:sz="4" w:space="0"/>
              <w:right w:val="single" w:color="auto" w:sz="4" w:space="0"/>
            </w:tcBorders>
          </w:tcPr>
          <w:p w14:paraId="7B6D09CF">
            <w:pPr>
              <w:spacing w:line="460" w:lineRule="exact"/>
              <w:rPr>
                <w:rFonts w:hint="eastAsia" w:ascii="宋体" w:hAnsi="宋体"/>
                <w:color w:val="auto"/>
                <w:sz w:val="22"/>
                <w:szCs w:val="20"/>
              </w:rPr>
            </w:pPr>
          </w:p>
        </w:tc>
        <w:tc>
          <w:tcPr>
            <w:tcW w:w="1937" w:type="dxa"/>
            <w:tcBorders>
              <w:top w:val="single" w:color="auto" w:sz="4" w:space="0"/>
              <w:left w:val="single" w:color="auto" w:sz="4" w:space="0"/>
              <w:bottom w:val="single" w:color="auto" w:sz="4" w:space="0"/>
              <w:right w:val="single" w:color="auto" w:sz="4" w:space="0"/>
            </w:tcBorders>
          </w:tcPr>
          <w:p w14:paraId="0E24C1EA">
            <w:pPr>
              <w:spacing w:line="460" w:lineRule="exact"/>
              <w:rPr>
                <w:rFonts w:hint="eastAsia" w:ascii="宋体" w:hAnsi="宋体"/>
                <w:color w:val="auto"/>
                <w:sz w:val="22"/>
                <w:szCs w:val="20"/>
              </w:rPr>
            </w:pPr>
          </w:p>
        </w:tc>
      </w:tr>
      <w:tr w14:paraId="1A08F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5947873B">
            <w:pPr>
              <w:spacing w:line="460" w:lineRule="exact"/>
              <w:rPr>
                <w:rFonts w:hint="eastAsia" w:ascii="宋体" w:hAnsi="宋体"/>
                <w:color w:val="auto"/>
                <w:sz w:val="22"/>
                <w:szCs w:val="20"/>
              </w:rPr>
            </w:pPr>
          </w:p>
        </w:tc>
        <w:tc>
          <w:tcPr>
            <w:tcW w:w="993" w:type="dxa"/>
            <w:tcBorders>
              <w:top w:val="single" w:color="auto" w:sz="4" w:space="0"/>
              <w:left w:val="single" w:color="auto" w:sz="4" w:space="0"/>
              <w:bottom w:val="single" w:color="auto" w:sz="4" w:space="0"/>
              <w:right w:val="single" w:color="auto" w:sz="4" w:space="0"/>
            </w:tcBorders>
          </w:tcPr>
          <w:p w14:paraId="0B00D46F">
            <w:pPr>
              <w:spacing w:line="460" w:lineRule="exact"/>
              <w:rPr>
                <w:rFonts w:hint="eastAsia" w:ascii="宋体" w:hAnsi="宋体"/>
                <w:color w:val="auto"/>
                <w:sz w:val="22"/>
                <w:szCs w:val="20"/>
              </w:rPr>
            </w:pPr>
          </w:p>
        </w:tc>
        <w:tc>
          <w:tcPr>
            <w:tcW w:w="1417" w:type="dxa"/>
            <w:tcBorders>
              <w:top w:val="single" w:color="auto" w:sz="4" w:space="0"/>
              <w:left w:val="single" w:color="auto" w:sz="4" w:space="0"/>
              <w:bottom w:val="single" w:color="auto" w:sz="4" w:space="0"/>
              <w:right w:val="single" w:color="auto" w:sz="4" w:space="0"/>
            </w:tcBorders>
          </w:tcPr>
          <w:p w14:paraId="7404F868">
            <w:pPr>
              <w:spacing w:line="460" w:lineRule="exact"/>
              <w:rPr>
                <w:rFonts w:hint="eastAsia" w:ascii="宋体" w:hAnsi="宋体"/>
                <w:color w:val="auto"/>
                <w:sz w:val="22"/>
                <w:szCs w:val="20"/>
              </w:rPr>
            </w:pPr>
          </w:p>
        </w:tc>
        <w:tc>
          <w:tcPr>
            <w:tcW w:w="1418" w:type="dxa"/>
            <w:tcBorders>
              <w:top w:val="single" w:color="auto" w:sz="4" w:space="0"/>
              <w:left w:val="single" w:color="auto" w:sz="4" w:space="0"/>
              <w:bottom w:val="single" w:color="auto" w:sz="4" w:space="0"/>
              <w:right w:val="single" w:color="auto" w:sz="4" w:space="0"/>
            </w:tcBorders>
          </w:tcPr>
          <w:p w14:paraId="2CCEDDBB">
            <w:pPr>
              <w:spacing w:line="460" w:lineRule="exact"/>
              <w:rPr>
                <w:rFonts w:hint="eastAsia" w:ascii="宋体" w:hAnsi="宋体"/>
                <w:color w:val="auto"/>
                <w:sz w:val="22"/>
                <w:szCs w:val="20"/>
              </w:rPr>
            </w:pPr>
          </w:p>
        </w:tc>
        <w:tc>
          <w:tcPr>
            <w:tcW w:w="1559" w:type="dxa"/>
            <w:tcBorders>
              <w:top w:val="single" w:color="auto" w:sz="4" w:space="0"/>
              <w:left w:val="single" w:color="auto" w:sz="4" w:space="0"/>
              <w:bottom w:val="single" w:color="auto" w:sz="4" w:space="0"/>
              <w:right w:val="single" w:color="auto" w:sz="4" w:space="0"/>
            </w:tcBorders>
          </w:tcPr>
          <w:p w14:paraId="0EB87332">
            <w:pPr>
              <w:spacing w:line="460" w:lineRule="exact"/>
              <w:rPr>
                <w:rFonts w:hint="eastAsia" w:ascii="宋体" w:hAnsi="宋体"/>
                <w:color w:val="auto"/>
                <w:sz w:val="22"/>
                <w:szCs w:val="20"/>
              </w:rPr>
            </w:pPr>
          </w:p>
        </w:tc>
        <w:tc>
          <w:tcPr>
            <w:tcW w:w="1134" w:type="dxa"/>
            <w:tcBorders>
              <w:top w:val="single" w:color="auto" w:sz="4" w:space="0"/>
              <w:left w:val="single" w:color="auto" w:sz="4" w:space="0"/>
              <w:bottom w:val="single" w:color="auto" w:sz="4" w:space="0"/>
              <w:right w:val="single" w:color="auto" w:sz="4" w:space="0"/>
            </w:tcBorders>
          </w:tcPr>
          <w:p w14:paraId="531ADBF5">
            <w:pPr>
              <w:spacing w:line="460" w:lineRule="exact"/>
              <w:rPr>
                <w:rFonts w:hint="eastAsia" w:ascii="宋体" w:hAnsi="宋体"/>
                <w:color w:val="auto"/>
                <w:sz w:val="22"/>
                <w:szCs w:val="20"/>
              </w:rPr>
            </w:pPr>
          </w:p>
        </w:tc>
        <w:tc>
          <w:tcPr>
            <w:tcW w:w="1937" w:type="dxa"/>
            <w:tcBorders>
              <w:top w:val="single" w:color="auto" w:sz="4" w:space="0"/>
              <w:left w:val="single" w:color="auto" w:sz="4" w:space="0"/>
              <w:bottom w:val="single" w:color="auto" w:sz="4" w:space="0"/>
              <w:right w:val="single" w:color="auto" w:sz="4" w:space="0"/>
            </w:tcBorders>
          </w:tcPr>
          <w:p w14:paraId="04C1FAB7">
            <w:pPr>
              <w:spacing w:line="460" w:lineRule="exact"/>
              <w:rPr>
                <w:rFonts w:hint="eastAsia" w:ascii="宋体" w:hAnsi="宋体"/>
                <w:color w:val="auto"/>
                <w:sz w:val="22"/>
                <w:szCs w:val="20"/>
              </w:rPr>
            </w:pPr>
          </w:p>
        </w:tc>
      </w:tr>
      <w:tr w14:paraId="0022B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04F69C5F">
            <w:pPr>
              <w:spacing w:line="460" w:lineRule="exact"/>
              <w:rPr>
                <w:rFonts w:hint="eastAsia" w:ascii="宋体" w:hAnsi="宋体"/>
                <w:color w:val="auto"/>
                <w:sz w:val="22"/>
                <w:szCs w:val="20"/>
              </w:rPr>
            </w:pPr>
          </w:p>
        </w:tc>
        <w:tc>
          <w:tcPr>
            <w:tcW w:w="993" w:type="dxa"/>
            <w:tcBorders>
              <w:top w:val="single" w:color="auto" w:sz="4" w:space="0"/>
              <w:left w:val="single" w:color="auto" w:sz="4" w:space="0"/>
              <w:bottom w:val="single" w:color="auto" w:sz="4" w:space="0"/>
              <w:right w:val="single" w:color="auto" w:sz="4" w:space="0"/>
            </w:tcBorders>
          </w:tcPr>
          <w:p w14:paraId="3C9135A9">
            <w:pPr>
              <w:spacing w:line="460" w:lineRule="exact"/>
              <w:rPr>
                <w:rFonts w:hint="eastAsia" w:ascii="宋体" w:hAnsi="宋体"/>
                <w:color w:val="auto"/>
                <w:sz w:val="22"/>
                <w:szCs w:val="20"/>
              </w:rPr>
            </w:pPr>
          </w:p>
        </w:tc>
        <w:tc>
          <w:tcPr>
            <w:tcW w:w="1417" w:type="dxa"/>
            <w:tcBorders>
              <w:top w:val="single" w:color="auto" w:sz="4" w:space="0"/>
              <w:left w:val="single" w:color="auto" w:sz="4" w:space="0"/>
              <w:bottom w:val="single" w:color="auto" w:sz="4" w:space="0"/>
              <w:right w:val="single" w:color="auto" w:sz="4" w:space="0"/>
            </w:tcBorders>
          </w:tcPr>
          <w:p w14:paraId="06AAED1B">
            <w:pPr>
              <w:spacing w:line="460" w:lineRule="exact"/>
              <w:rPr>
                <w:rFonts w:hint="eastAsia" w:ascii="宋体" w:hAnsi="宋体"/>
                <w:color w:val="auto"/>
                <w:sz w:val="22"/>
                <w:szCs w:val="20"/>
              </w:rPr>
            </w:pPr>
          </w:p>
        </w:tc>
        <w:tc>
          <w:tcPr>
            <w:tcW w:w="1418" w:type="dxa"/>
            <w:tcBorders>
              <w:top w:val="single" w:color="auto" w:sz="4" w:space="0"/>
              <w:left w:val="single" w:color="auto" w:sz="4" w:space="0"/>
              <w:bottom w:val="single" w:color="auto" w:sz="4" w:space="0"/>
              <w:right w:val="single" w:color="auto" w:sz="4" w:space="0"/>
            </w:tcBorders>
          </w:tcPr>
          <w:p w14:paraId="15AEEDBB">
            <w:pPr>
              <w:spacing w:line="460" w:lineRule="exact"/>
              <w:rPr>
                <w:rFonts w:hint="eastAsia" w:ascii="宋体" w:hAnsi="宋体"/>
                <w:color w:val="auto"/>
                <w:sz w:val="22"/>
                <w:szCs w:val="20"/>
              </w:rPr>
            </w:pPr>
          </w:p>
        </w:tc>
        <w:tc>
          <w:tcPr>
            <w:tcW w:w="1559" w:type="dxa"/>
            <w:tcBorders>
              <w:top w:val="single" w:color="auto" w:sz="4" w:space="0"/>
              <w:left w:val="single" w:color="auto" w:sz="4" w:space="0"/>
              <w:bottom w:val="single" w:color="auto" w:sz="4" w:space="0"/>
              <w:right w:val="single" w:color="auto" w:sz="4" w:space="0"/>
            </w:tcBorders>
          </w:tcPr>
          <w:p w14:paraId="0E373315">
            <w:pPr>
              <w:spacing w:line="460" w:lineRule="exact"/>
              <w:rPr>
                <w:rFonts w:hint="eastAsia" w:ascii="宋体" w:hAnsi="宋体"/>
                <w:color w:val="auto"/>
                <w:sz w:val="22"/>
                <w:szCs w:val="20"/>
              </w:rPr>
            </w:pPr>
          </w:p>
        </w:tc>
        <w:tc>
          <w:tcPr>
            <w:tcW w:w="1134" w:type="dxa"/>
            <w:tcBorders>
              <w:top w:val="single" w:color="auto" w:sz="4" w:space="0"/>
              <w:left w:val="single" w:color="auto" w:sz="4" w:space="0"/>
              <w:bottom w:val="single" w:color="auto" w:sz="4" w:space="0"/>
              <w:right w:val="single" w:color="auto" w:sz="4" w:space="0"/>
            </w:tcBorders>
          </w:tcPr>
          <w:p w14:paraId="31FF0442">
            <w:pPr>
              <w:spacing w:line="460" w:lineRule="exact"/>
              <w:rPr>
                <w:rFonts w:hint="eastAsia" w:ascii="宋体" w:hAnsi="宋体"/>
                <w:color w:val="auto"/>
                <w:sz w:val="22"/>
                <w:szCs w:val="20"/>
              </w:rPr>
            </w:pPr>
          </w:p>
        </w:tc>
        <w:tc>
          <w:tcPr>
            <w:tcW w:w="1937" w:type="dxa"/>
            <w:tcBorders>
              <w:top w:val="single" w:color="auto" w:sz="4" w:space="0"/>
              <w:left w:val="single" w:color="auto" w:sz="4" w:space="0"/>
              <w:bottom w:val="single" w:color="auto" w:sz="4" w:space="0"/>
              <w:right w:val="single" w:color="auto" w:sz="4" w:space="0"/>
            </w:tcBorders>
          </w:tcPr>
          <w:p w14:paraId="430CFF03">
            <w:pPr>
              <w:spacing w:line="460" w:lineRule="exact"/>
              <w:rPr>
                <w:rFonts w:hint="eastAsia" w:ascii="宋体" w:hAnsi="宋体"/>
                <w:color w:val="auto"/>
                <w:sz w:val="22"/>
                <w:szCs w:val="20"/>
              </w:rPr>
            </w:pPr>
          </w:p>
        </w:tc>
      </w:tr>
      <w:tr w14:paraId="265D1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5CD81B4A">
            <w:pPr>
              <w:spacing w:line="460" w:lineRule="exact"/>
              <w:rPr>
                <w:rFonts w:hint="eastAsia" w:ascii="宋体" w:hAnsi="宋体"/>
                <w:color w:val="auto"/>
                <w:sz w:val="22"/>
                <w:szCs w:val="20"/>
              </w:rPr>
            </w:pPr>
          </w:p>
          <w:p w14:paraId="76723811">
            <w:pPr>
              <w:spacing w:line="460" w:lineRule="exact"/>
              <w:rPr>
                <w:rFonts w:hint="eastAsia" w:ascii="宋体" w:hAnsi="宋体"/>
                <w:color w:val="auto"/>
                <w:sz w:val="22"/>
                <w:szCs w:val="20"/>
              </w:rPr>
            </w:pPr>
          </w:p>
        </w:tc>
        <w:tc>
          <w:tcPr>
            <w:tcW w:w="993" w:type="dxa"/>
            <w:tcBorders>
              <w:top w:val="single" w:color="auto" w:sz="4" w:space="0"/>
              <w:left w:val="single" w:color="auto" w:sz="4" w:space="0"/>
              <w:bottom w:val="single" w:color="auto" w:sz="4" w:space="0"/>
              <w:right w:val="single" w:color="auto" w:sz="4" w:space="0"/>
            </w:tcBorders>
          </w:tcPr>
          <w:p w14:paraId="16268E8A">
            <w:pPr>
              <w:spacing w:line="460" w:lineRule="exact"/>
              <w:rPr>
                <w:rFonts w:hint="eastAsia" w:ascii="宋体" w:hAnsi="宋体"/>
                <w:color w:val="auto"/>
                <w:sz w:val="22"/>
                <w:szCs w:val="20"/>
              </w:rPr>
            </w:pPr>
          </w:p>
        </w:tc>
        <w:tc>
          <w:tcPr>
            <w:tcW w:w="1417" w:type="dxa"/>
            <w:tcBorders>
              <w:top w:val="single" w:color="auto" w:sz="4" w:space="0"/>
              <w:left w:val="single" w:color="auto" w:sz="4" w:space="0"/>
              <w:bottom w:val="single" w:color="auto" w:sz="4" w:space="0"/>
              <w:right w:val="single" w:color="auto" w:sz="4" w:space="0"/>
            </w:tcBorders>
          </w:tcPr>
          <w:p w14:paraId="05C3DBD9">
            <w:pPr>
              <w:spacing w:line="460" w:lineRule="exact"/>
              <w:rPr>
                <w:rFonts w:hint="eastAsia" w:ascii="宋体" w:hAnsi="宋体"/>
                <w:color w:val="auto"/>
                <w:sz w:val="22"/>
                <w:szCs w:val="20"/>
              </w:rPr>
            </w:pPr>
          </w:p>
        </w:tc>
        <w:tc>
          <w:tcPr>
            <w:tcW w:w="1418" w:type="dxa"/>
            <w:tcBorders>
              <w:top w:val="single" w:color="auto" w:sz="4" w:space="0"/>
              <w:left w:val="single" w:color="auto" w:sz="4" w:space="0"/>
              <w:bottom w:val="single" w:color="auto" w:sz="4" w:space="0"/>
              <w:right w:val="single" w:color="auto" w:sz="4" w:space="0"/>
            </w:tcBorders>
          </w:tcPr>
          <w:p w14:paraId="2C84DB18">
            <w:pPr>
              <w:spacing w:line="460" w:lineRule="exact"/>
              <w:rPr>
                <w:rFonts w:hint="eastAsia" w:ascii="宋体" w:hAnsi="宋体"/>
                <w:color w:val="auto"/>
                <w:sz w:val="22"/>
                <w:szCs w:val="20"/>
              </w:rPr>
            </w:pPr>
          </w:p>
        </w:tc>
        <w:tc>
          <w:tcPr>
            <w:tcW w:w="1559" w:type="dxa"/>
            <w:tcBorders>
              <w:top w:val="single" w:color="auto" w:sz="4" w:space="0"/>
              <w:left w:val="single" w:color="auto" w:sz="4" w:space="0"/>
              <w:bottom w:val="single" w:color="auto" w:sz="4" w:space="0"/>
              <w:right w:val="single" w:color="auto" w:sz="4" w:space="0"/>
            </w:tcBorders>
          </w:tcPr>
          <w:p w14:paraId="49A66F48">
            <w:pPr>
              <w:spacing w:line="460" w:lineRule="exact"/>
              <w:rPr>
                <w:rFonts w:hint="eastAsia" w:ascii="宋体" w:hAnsi="宋体"/>
                <w:color w:val="auto"/>
                <w:sz w:val="22"/>
                <w:szCs w:val="20"/>
              </w:rPr>
            </w:pPr>
          </w:p>
        </w:tc>
        <w:tc>
          <w:tcPr>
            <w:tcW w:w="1134" w:type="dxa"/>
            <w:tcBorders>
              <w:top w:val="single" w:color="auto" w:sz="4" w:space="0"/>
              <w:left w:val="single" w:color="auto" w:sz="4" w:space="0"/>
              <w:bottom w:val="single" w:color="auto" w:sz="4" w:space="0"/>
              <w:right w:val="single" w:color="auto" w:sz="4" w:space="0"/>
            </w:tcBorders>
          </w:tcPr>
          <w:p w14:paraId="4255CF4E">
            <w:pPr>
              <w:spacing w:line="460" w:lineRule="exact"/>
              <w:rPr>
                <w:rFonts w:hint="eastAsia" w:ascii="宋体" w:hAnsi="宋体"/>
                <w:color w:val="auto"/>
                <w:sz w:val="22"/>
                <w:szCs w:val="20"/>
              </w:rPr>
            </w:pPr>
          </w:p>
        </w:tc>
        <w:tc>
          <w:tcPr>
            <w:tcW w:w="1937" w:type="dxa"/>
            <w:tcBorders>
              <w:top w:val="single" w:color="auto" w:sz="4" w:space="0"/>
              <w:left w:val="single" w:color="auto" w:sz="4" w:space="0"/>
              <w:bottom w:val="single" w:color="auto" w:sz="4" w:space="0"/>
              <w:right w:val="single" w:color="auto" w:sz="4" w:space="0"/>
            </w:tcBorders>
          </w:tcPr>
          <w:p w14:paraId="79D0CA84">
            <w:pPr>
              <w:spacing w:line="460" w:lineRule="exact"/>
              <w:rPr>
                <w:rFonts w:hint="eastAsia" w:ascii="宋体" w:hAnsi="宋体"/>
                <w:color w:val="auto"/>
                <w:sz w:val="22"/>
                <w:szCs w:val="20"/>
              </w:rPr>
            </w:pPr>
          </w:p>
        </w:tc>
      </w:tr>
    </w:tbl>
    <w:p w14:paraId="6F9E7733">
      <w:pPr>
        <w:spacing w:line="460" w:lineRule="exact"/>
        <w:rPr>
          <w:rFonts w:hint="eastAsia" w:ascii="宋体" w:hAnsi="宋体"/>
          <w:color w:val="auto"/>
          <w:sz w:val="22"/>
        </w:rPr>
      </w:pPr>
      <w:r>
        <w:rPr>
          <w:rFonts w:hint="eastAsia" w:ascii="宋体" w:hAnsi="宋体"/>
          <w:color w:val="auto"/>
          <w:sz w:val="22"/>
        </w:rPr>
        <w:t>（2）所投产品中已列入《环境标志产品政府采购品目清单》明细</w:t>
      </w:r>
    </w:p>
    <w:tbl>
      <w:tblPr>
        <w:tblStyle w:val="3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993"/>
        <w:gridCol w:w="1417"/>
        <w:gridCol w:w="1418"/>
        <w:gridCol w:w="1559"/>
        <w:gridCol w:w="1134"/>
        <w:gridCol w:w="1948"/>
      </w:tblGrid>
      <w:tr w14:paraId="6EAE9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1134" w:type="dxa"/>
            <w:tcBorders>
              <w:top w:val="single" w:color="auto" w:sz="4" w:space="0"/>
              <w:left w:val="single" w:color="auto" w:sz="4" w:space="0"/>
              <w:bottom w:val="single" w:color="auto" w:sz="4" w:space="0"/>
              <w:right w:val="single" w:color="auto" w:sz="4" w:space="0"/>
            </w:tcBorders>
            <w:vAlign w:val="center"/>
          </w:tcPr>
          <w:p w14:paraId="73E290AE">
            <w:pPr>
              <w:spacing w:line="460" w:lineRule="exact"/>
              <w:jc w:val="center"/>
              <w:rPr>
                <w:rFonts w:hint="eastAsia" w:ascii="宋体" w:hAnsi="宋体"/>
                <w:color w:val="auto"/>
                <w:sz w:val="22"/>
                <w:szCs w:val="20"/>
              </w:rPr>
            </w:pPr>
            <w:r>
              <w:rPr>
                <w:rFonts w:hint="eastAsia" w:ascii="宋体" w:hAnsi="宋体"/>
                <w:color w:val="auto"/>
                <w:sz w:val="22"/>
                <w:szCs w:val="20"/>
              </w:rPr>
              <w:t>制造商</w:t>
            </w:r>
          </w:p>
        </w:tc>
        <w:tc>
          <w:tcPr>
            <w:tcW w:w="993" w:type="dxa"/>
            <w:tcBorders>
              <w:top w:val="single" w:color="auto" w:sz="4" w:space="0"/>
              <w:left w:val="single" w:color="auto" w:sz="4" w:space="0"/>
              <w:bottom w:val="single" w:color="auto" w:sz="4" w:space="0"/>
              <w:right w:val="single" w:color="auto" w:sz="4" w:space="0"/>
            </w:tcBorders>
            <w:vAlign w:val="center"/>
          </w:tcPr>
          <w:p w14:paraId="33F0287B">
            <w:pPr>
              <w:spacing w:line="460" w:lineRule="exact"/>
              <w:jc w:val="center"/>
              <w:rPr>
                <w:rFonts w:hint="eastAsia" w:ascii="宋体" w:hAnsi="宋体"/>
                <w:color w:val="auto"/>
                <w:sz w:val="22"/>
                <w:szCs w:val="20"/>
              </w:rPr>
            </w:pPr>
            <w:r>
              <w:rPr>
                <w:rFonts w:hint="eastAsia" w:ascii="宋体" w:hAnsi="宋体"/>
                <w:color w:val="auto"/>
                <w:sz w:val="22"/>
                <w:szCs w:val="20"/>
              </w:rPr>
              <w:t>品牌</w:t>
            </w:r>
          </w:p>
        </w:tc>
        <w:tc>
          <w:tcPr>
            <w:tcW w:w="1417" w:type="dxa"/>
            <w:tcBorders>
              <w:top w:val="single" w:color="auto" w:sz="4" w:space="0"/>
              <w:left w:val="single" w:color="auto" w:sz="4" w:space="0"/>
              <w:bottom w:val="single" w:color="auto" w:sz="4" w:space="0"/>
              <w:right w:val="single" w:color="auto" w:sz="4" w:space="0"/>
            </w:tcBorders>
            <w:vAlign w:val="center"/>
          </w:tcPr>
          <w:p w14:paraId="6247F530">
            <w:pPr>
              <w:spacing w:line="460" w:lineRule="exact"/>
              <w:jc w:val="center"/>
              <w:rPr>
                <w:rFonts w:hint="eastAsia" w:ascii="宋体" w:hAnsi="宋体"/>
                <w:color w:val="auto"/>
                <w:sz w:val="22"/>
                <w:szCs w:val="20"/>
              </w:rPr>
            </w:pPr>
            <w:r>
              <w:rPr>
                <w:rFonts w:hint="eastAsia" w:ascii="宋体" w:hAnsi="宋体"/>
                <w:color w:val="auto"/>
                <w:sz w:val="22"/>
                <w:szCs w:val="20"/>
              </w:rPr>
              <w:t>产品名称、</w:t>
            </w:r>
          </w:p>
          <w:p w14:paraId="0070DC25">
            <w:pPr>
              <w:spacing w:line="460" w:lineRule="exact"/>
              <w:jc w:val="center"/>
              <w:rPr>
                <w:rFonts w:hint="eastAsia" w:ascii="宋体" w:hAnsi="宋体"/>
                <w:color w:val="auto"/>
                <w:sz w:val="22"/>
                <w:szCs w:val="20"/>
              </w:rPr>
            </w:pPr>
            <w:r>
              <w:rPr>
                <w:rFonts w:hint="eastAsia" w:ascii="宋体" w:hAnsi="宋体"/>
                <w:color w:val="auto"/>
                <w:sz w:val="22"/>
                <w:szCs w:val="20"/>
              </w:rPr>
              <w:t>规格型号</w:t>
            </w:r>
          </w:p>
        </w:tc>
        <w:tc>
          <w:tcPr>
            <w:tcW w:w="1418" w:type="dxa"/>
            <w:tcBorders>
              <w:top w:val="single" w:color="auto" w:sz="4" w:space="0"/>
              <w:left w:val="single" w:color="auto" w:sz="4" w:space="0"/>
              <w:bottom w:val="single" w:color="auto" w:sz="4" w:space="0"/>
              <w:right w:val="single" w:color="auto" w:sz="4" w:space="0"/>
            </w:tcBorders>
            <w:vAlign w:val="center"/>
          </w:tcPr>
          <w:p w14:paraId="6294E41B">
            <w:pPr>
              <w:spacing w:line="460" w:lineRule="exact"/>
              <w:jc w:val="center"/>
              <w:rPr>
                <w:rFonts w:hint="eastAsia" w:ascii="宋体" w:hAnsi="宋体"/>
                <w:color w:val="auto"/>
                <w:sz w:val="22"/>
                <w:szCs w:val="20"/>
              </w:rPr>
            </w:pPr>
            <w:r>
              <w:rPr>
                <w:rFonts w:hint="eastAsia" w:ascii="宋体" w:hAnsi="宋体"/>
                <w:color w:val="auto"/>
                <w:sz w:val="22"/>
                <w:szCs w:val="20"/>
              </w:rPr>
              <w:t>中国环境标志认证证书编号</w:t>
            </w:r>
          </w:p>
        </w:tc>
        <w:tc>
          <w:tcPr>
            <w:tcW w:w="1559" w:type="dxa"/>
            <w:tcBorders>
              <w:top w:val="single" w:color="auto" w:sz="4" w:space="0"/>
              <w:left w:val="single" w:color="auto" w:sz="4" w:space="0"/>
              <w:bottom w:val="single" w:color="auto" w:sz="4" w:space="0"/>
              <w:right w:val="single" w:color="auto" w:sz="4" w:space="0"/>
            </w:tcBorders>
            <w:vAlign w:val="center"/>
          </w:tcPr>
          <w:p w14:paraId="4C54D0E9">
            <w:pPr>
              <w:spacing w:line="460" w:lineRule="exact"/>
              <w:jc w:val="center"/>
              <w:rPr>
                <w:rFonts w:hint="eastAsia" w:ascii="宋体" w:hAnsi="宋体"/>
                <w:color w:val="auto"/>
                <w:sz w:val="22"/>
                <w:szCs w:val="20"/>
              </w:rPr>
            </w:pPr>
            <w:r>
              <w:rPr>
                <w:rFonts w:hint="eastAsia" w:ascii="宋体" w:hAnsi="宋体"/>
                <w:color w:val="auto"/>
                <w:sz w:val="22"/>
                <w:szCs w:val="20"/>
              </w:rPr>
              <w:t>认证证书有效截止日期</w:t>
            </w:r>
          </w:p>
        </w:tc>
        <w:tc>
          <w:tcPr>
            <w:tcW w:w="1134" w:type="dxa"/>
            <w:tcBorders>
              <w:top w:val="single" w:color="auto" w:sz="4" w:space="0"/>
              <w:left w:val="single" w:color="auto" w:sz="4" w:space="0"/>
              <w:bottom w:val="single" w:color="auto" w:sz="4" w:space="0"/>
              <w:right w:val="single" w:color="auto" w:sz="4" w:space="0"/>
            </w:tcBorders>
            <w:vAlign w:val="center"/>
          </w:tcPr>
          <w:p w14:paraId="29B112E1">
            <w:pPr>
              <w:spacing w:line="460" w:lineRule="exact"/>
              <w:jc w:val="center"/>
              <w:rPr>
                <w:rFonts w:hint="eastAsia" w:ascii="宋体" w:hAnsi="宋体"/>
                <w:color w:val="auto"/>
                <w:sz w:val="22"/>
                <w:szCs w:val="20"/>
              </w:rPr>
            </w:pPr>
            <w:r>
              <w:rPr>
                <w:rFonts w:hint="eastAsia" w:ascii="宋体" w:hAnsi="宋体"/>
                <w:color w:val="auto"/>
                <w:sz w:val="22"/>
                <w:szCs w:val="20"/>
              </w:rPr>
              <w:t>依据的标准</w:t>
            </w:r>
          </w:p>
        </w:tc>
        <w:tc>
          <w:tcPr>
            <w:tcW w:w="1948" w:type="dxa"/>
            <w:tcBorders>
              <w:top w:val="single" w:color="auto" w:sz="4" w:space="0"/>
              <w:left w:val="single" w:color="auto" w:sz="4" w:space="0"/>
              <w:bottom w:val="single" w:color="auto" w:sz="4" w:space="0"/>
              <w:right w:val="single" w:color="auto" w:sz="4" w:space="0"/>
            </w:tcBorders>
            <w:vAlign w:val="center"/>
          </w:tcPr>
          <w:p w14:paraId="5C3DC9D2">
            <w:pPr>
              <w:spacing w:line="460" w:lineRule="exact"/>
              <w:jc w:val="center"/>
              <w:rPr>
                <w:rFonts w:hint="eastAsia" w:ascii="宋体" w:hAnsi="宋体"/>
                <w:color w:val="auto"/>
                <w:sz w:val="22"/>
                <w:szCs w:val="20"/>
              </w:rPr>
            </w:pPr>
            <w:r>
              <w:rPr>
                <w:rFonts w:ascii="宋体" w:hAnsi="宋体"/>
                <w:color w:val="auto"/>
                <w:sz w:val="22"/>
                <w:szCs w:val="20"/>
              </w:rPr>
              <w:t>认证机构名称</w:t>
            </w:r>
          </w:p>
        </w:tc>
      </w:tr>
      <w:tr w14:paraId="50B8F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6A8C3507">
            <w:pPr>
              <w:spacing w:line="460" w:lineRule="exact"/>
              <w:rPr>
                <w:rFonts w:hint="eastAsia" w:ascii="宋体" w:hAnsi="宋体"/>
                <w:color w:val="auto"/>
                <w:sz w:val="22"/>
                <w:szCs w:val="20"/>
              </w:rPr>
            </w:pPr>
          </w:p>
        </w:tc>
        <w:tc>
          <w:tcPr>
            <w:tcW w:w="993" w:type="dxa"/>
            <w:tcBorders>
              <w:top w:val="single" w:color="auto" w:sz="4" w:space="0"/>
              <w:left w:val="single" w:color="auto" w:sz="4" w:space="0"/>
              <w:bottom w:val="single" w:color="auto" w:sz="4" w:space="0"/>
              <w:right w:val="single" w:color="auto" w:sz="4" w:space="0"/>
            </w:tcBorders>
          </w:tcPr>
          <w:p w14:paraId="2BED7472">
            <w:pPr>
              <w:spacing w:line="460" w:lineRule="exact"/>
              <w:rPr>
                <w:rFonts w:hint="eastAsia" w:ascii="宋体" w:hAnsi="宋体"/>
                <w:color w:val="auto"/>
                <w:sz w:val="22"/>
                <w:szCs w:val="20"/>
              </w:rPr>
            </w:pPr>
          </w:p>
        </w:tc>
        <w:tc>
          <w:tcPr>
            <w:tcW w:w="1417" w:type="dxa"/>
            <w:tcBorders>
              <w:top w:val="single" w:color="auto" w:sz="4" w:space="0"/>
              <w:left w:val="single" w:color="auto" w:sz="4" w:space="0"/>
              <w:bottom w:val="single" w:color="auto" w:sz="4" w:space="0"/>
              <w:right w:val="single" w:color="auto" w:sz="4" w:space="0"/>
            </w:tcBorders>
          </w:tcPr>
          <w:p w14:paraId="41F23087">
            <w:pPr>
              <w:spacing w:line="460" w:lineRule="exact"/>
              <w:rPr>
                <w:rFonts w:hint="eastAsia" w:ascii="宋体" w:hAnsi="宋体"/>
                <w:color w:val="auto"/>
                <w:sz w:val="22"/>
                <w:szCs w:val="20"/>
              </w:rPr>
            </w:pPr>
          </w:p>
        </w:tc>
        <w:tc>
          <w:tcPr>
            <w:tcW w:w="1418" w:type="dxa"/>
            <w:tcBorders>
              <w:top w:val="single" w:color="auto" w:sz="4" w:space="0"/>
              <w:left w:val="single" w:color="auto" w:sz="4" w:space="0"/>
              <w:bottom w:val="single" w:color="auto" w:sz="4" w:space="0"/>
              <w:right w:val="single" w:color="auto" w:sz="4" w:space="0"/>
            </w:tcBorders>
          </w:tcPr>
          <w:p w14:paraId="7849FEF2">
            <w:pPr>
              <w:spacing w:line="460" w:lineRule="exact"/>
              <w:rPr>
                <w:rFonts w:hint="eastAsia" w:ascii="宋体" w:hAnsi="宋体"/>
                <w:color w:val="auto"/>
                <w:sz w:val="22"/>
                <w:szCs w:val="20"/>
              </w:rPr>
            </w:pPr>
          </w:p>
        </w:tc>
        <w:tc>
          <w:tcPr>
            <w:tcW w:w="1559" w:type="dxa"/>
            <w:tcBorders>
              <w:top w:val="single" w:color="auto" w:sz="4" w:space="0"/>
              <w:left w:val="single" w:color="auto" w:sz="4" w:space="0"/>
              <w:bottom w:val="single" w:color="auto" w:sz="4" w:space="0"/>
              <w:right w:val="single" w:color="auto" w:sz="4" w:space="0"/>
            </w:tcBorders>
          </w:tcPr>
          <w:p w14:paraId="01B0F733">
            <w:pPr>
              <w:spacing w:line="460" w:lineRule="exact"/>
              <w:rPr>
                <w:rFonts w:hint="eastAsia" w:ascii="宋体" w:hAnsi="宋体"/>
                <w:color w:val="auto"/>
                <w:sz w:val="22"/>
                <w:szCs w:val="20"/>
              </w:rPr>
            </w:pPr>
          </w:p>
        </w:tc>
        <w:tc>
          <w:tcPr>
            <w:tcW w:w="1134" w:type="dxa"/>
            <w:tcBorders>
              <w:top w:val="single" w:color="auto" w:sz="4" w:space="0"/>
              <w:left w:val="single" w:color="auto" w:sz="4" w:space="0"/>
              <w:bottom w:val="single" w:color="auto" w:sz="4" w:space="0"/>
              <w:right w:val="single" w:color="auto" w:sz="4" w:space="0"/>
            </w:tcBorders>
          </w:tcPr>
          <w:p w14:paraId="4CBE9B3E">
            <w:pPr>
              <w:spacing w:line="460" w:lineRule="exact"/>
              <w:rPr>
                <w:rFonts w:hint="eastAsia" w:ascii="宋体" w:hAnsi="宋体"/>
                <w:color w:val="auto"/>
                <w:sz w:val="22"/>
                <w:szCs w:val="20"/>
              </w:rPr>
            </w:pPr>
          </w:p>
        </w:tc>
        <w:tc>
          <w:tcPr>
            <w:tcW w:w="1948" w:type="dxa"/>
            <w:tcBorders>
              <w:top w:val="single" w:color="auto" w:sz="4" w:space="0"/>
              <w:left w:val="single" w:color="auto" w:sz="4" w:space="0"/>
              <w:bottom w:val="single" w:color="auto" w:sz="4" w:space="0"/>
              <w:right w:val="single" w:color="auto" w:sz="4" w:space="0"/>
            </w:tcBorders>
          </w:tcPr>
          <w:p w14:paraId="396E1868">
            <w:pPr>
              <w:spacing w:line="460" w:lineRule="exact"/>
              <w:rPr>
                <w:rFonts w:hint="eastAsia" w:ascii="宋体" w:hAnsi="宋体"/>
                <w:color w:val="auto"/>
                <w:sz w:val="22"/>
                <w:szCs w:val="20"/>
              </w:rPr>
            </w:pPr>
          </w:p>
        </w:tc>
      </w:tr>
      <w:tr w14:paraId="580E3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0B57C047">
            <w:pPr>
              <w:spacing w:line="460" w:lineRule="exact"/>
              <w:rPr>
                <w:rFonts w:hint="eastAsia" w:ascii="宋体" w:hAnsi="宋体"/>
                <w:color w:val="auto"/>
                <w:sz w:val="22"/>
                <w:szCs w:val="20"/>
              </w:rPr>
            </w:pPr>
          </w:p>
        </w:tc>
        <w:tc>
          <w:tcPr>
            <w:tcW w:w="993" w:type="dxa"/>
            <w:tcBorders>
              <w:top w:val="single" w:color="auto" w:sz="4" w:space="0"/>
              <w:left w:val="single" w:color="auto" w:sz="4" w:space="0"/>
              <w:bottom w:val="single" w:color="auto" w:sz="4" w:space="0"/>
              <w:right w:val="single" w:color="auto" w:sz="4" w:space="0"/>
            </w:tcBorders>
          </w:tcPr>
          <w:p w14:paraId="021D3816">
            <w:pPr>
              <w:spacing w:line="460" w:lineRule="exact"/>
              <w:rPr>
                <w:rFonts w:hint="eastAsia" w:ascii="宋体" w:hAnsi="宋体"/>
                <w:color w:val="auto"/>
                <w:sz w:val="22"/>
                <w:szCs w:val="20"/>
              </w:rPr>
            </w:pPr>
          </w:p>
        </w:tc>
        <w:tc>
          <w:tcPr>
            <w:tcW w:w="1417" w:type="dxa"/>
            <w:tcBorders>
              <w:top w:val="single" w:color="auto" w:sz="4" w:space="0"/>
              <w:left w:val="single" w:color="auto" w:sz="4" w:space="0"/>
              <w:bottom w:val="single" w:color="auto" w:sz="4" w:space="0"/>
              <w:right w:val="single" w:color="auto" w:sz="4" w:space="0"/>
            </w:tcBorders>
          </w:tcPr>
          <w:p w14:paraId="4FAB040C">
            <w:pPr>
              <w:spacing w:line="460" w:lineRule="exact"/>
              <w:rPr>
                <w:rFonts w:hint="eastAsia" w:ascii="宋体" w:hAnsi="宋体"/>
                <w:color w:val="auto"/>
                <w:sz w:val="22"/>
                <w:szCs w:val="20"/>
              </w:rPr>
            </w:pPr>
          </w:p>
        </w:tc>
        <w:tc>
          <w:tcPr>
            <w:tcW w:w="1418" w:type="dxa"/>
            <w:tcBorders>
              <w:top w:val="single" w:color="auto" w:sz="4" w:space="0"/>
              <w:left w:val="single" w:color="auto" w:sz="4" w:space="0"/>
              <w:bottom w:val="single" w:color="auto" w:sz="4" w:space="0"/>
              <w:right w:val="single" w:color="auto" w:sz="4" w:space="0"/>
            </w:tcBorders>
          </w:tcPr>
          <w:p w14:paraId="58A90923">
            <w:pPr>
              <w:spacing w:line="460" w:lineRule="exact"/>
              <w:rPr>
                <w:rFonts w:hint="eastAsia" w:ascii="宋体" w:hAnsi="宋体"/>
                <w:color w:val="auto"/>
                <w:sz w:val="22"/>
                <w:szCs w:val="20"/>
              </w:rPr>
            </w:pPr>
          </w:p>
        </w:tc>
        <w:tc>
          <w:tcPr>
            <w:tcW w:w="1559" w:type="dxa"/>
            <w:tcBorders>
              <w:top w:val="single" w:color="auto" w:sz="4" w:space="0"/>
              <w:left w:val="single" w:color="auto" w:sz="4" w:space="0"/>
              <w:bottom w:val="single" w:color="auto" w:sz="4" w:space="0"/>
              <w:right w:val="single" w:color="auto" w:sz="4" w:space="0"/>
            </w:tcBorders>
          </w:tcPr>
          <w:p w14:paraId="24622779">
            <w:pPr>
              <w:spacing w:line="460" w:lineRule="exact"/>
              <w:rPr>
                <w:rFonts w:hint="eastAsia" w:ascii="宋体" w:hAnsi="宋体"/>
                <w:color w:val="auto"/>
                <w:sz w:val="22"/>
                <w:szCs w:val="20"/>
              </w:rPr>
            </w:pPr>
          </w:p>
        </w:tc>
        <w:tc>
          <w:tcPr>
            <w:tcW w:w="1134" w:type="dxa"/>
            <w:tcBorders>
              <w:top w:val="single" w:color="auto" w:sz="4" w:space="0"/>
              <w:left w:val="single" w:color="auto" w:sz="4" w:space="0"/>
              <w:bottom w:val="single" w:color="auto" w:sz="4" w:space="0"/>
              <w:right w:val="single" w:color="auto" w:sz="4" w:space="0"/>
            </w:tcBorders>
          </w:tcPr>
          <w:p w14:paraId="75E65743">
            <w:pPr>
              <w:spacing w:line="460" w:lineRule="exact"/>
              <w:rPr>
                <w:rFonts w:hint="eastAsia" w:ascii="宋体" w:hAnsi="宋体"/>
                <w:color w:val="auto"/>
                <w:sz w:val="22"/>
                <w:szCs w:val="20"/>
              </w:rPr>
            </w:pPr>
          </w:p>
        </w:tc>
        <w:tc>
          <w:tcPr>
            <w:tcW w:w="1948" w:type="dxa"/>
            <w:tcBorders>
              <w:top w:val="single" w:color="auto" w:sz="4" w:space="0"/>
              <w:left w:val="single" w:color="auto" w:sz="4" w:space="0"/>
              <w:bottom w:val="single" w:color="auto" w:sz="4" w:space="0"/>
              <w:right w:val="single" w:color="auto" w:sz="4" w:space="0"/>
            </w:tcBorders>
          </w:tcPr>
          <w:p w14:paraId="0C15D89E">
            <w:pPr>
              <w:spacing w:line="460" w:lineRule="exact"/>
              <w:rPr>
                <w:rFonts w:hint="eastAsia" w:ascii="宋体" w:hAnsi="宋体"/>
                <w:color w:val="auto"/>
                <w:sz w:val="22"/>
                <w:szCs w:val="20"/>
              </w:rPr>
            </w:pPr>
          </w:p>
        </w:tc>
      </w:tr>
      <w:tr w14:paraId="62724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34" w:type="dxa"/>
            <w:tcBorders>
              <w:top w:val="single" w:color="auto" w:sz="4" w:space="0"/>
              <w:left w:val="single" w:color="auto" w:sz="4" w:space="0"/>
              <w:bottom w:val="single" w:color="auto" w:sz="4" w:space="0"/>
              <w:right w:val="single" w:color="auto" w:sz="4" w:space="0"/>
            </w:tcBorders>
          </w:tcPr>
          <w:p w14:paraId="799308EF">
            <w:pPr>
              <w:spacing w:line="460" w:lineRule="exact"/>
              <w:rPr>
                <w:rFonts w:hint="eastAsia" w:ascii="宋体" w:hAnsi="宋体"/>
                <w:color w:val="auto"/>
                <w:sz w:val="22"/>
                <w:szCs w:val="20"/>
              </w:rPr>
            </w:pPr>
          </w:p>
        </w:tc>
        <w:tc>
          <w:tcPr>
            <w:tcW w:w="993" w:type="dxa"/>
            <w:tcBorders>
              <w:top w:val="single" w:color="auto" w:sz="4" w:space="0"/>
              <w:left w:val="single" w:color="auto" w:sz="4" w:space="0"/>
              <w:bottom w:val="single" w:color="auto" w:sz="4" w:space="0"/>
              <w:right w:val="single" w:color="auto" w:sz="4" w:space="0"/>
            </w:tcBorders>
          </w:tcPr>
          <w:p w14:paraId="660B3FC9">
            <w:pPr>
              <w:spacing w:line="460" w:lineRule="exact"/>
              <w:rPr>
                <w:rFonts w:hint="eastAsia" w:ascii="宋体" w:hAnsi="宋体"/>
                <w:color w:val="auto"/>
                <w:sz w:val="22"/>
                <w:szCs w:val="20"/>
              </w:rPr>
            </w:pPr>
          </w:p>
        </w:tc>
        <w:tc>
          <w:tcPr>
            <w:tcW w:w="1417" w:type="dxa"/>
            <w:tcBorders>
              <w:top w:val="single" w:color="auto" w:sz="4" w:space="0"/>
              <w:left w:val="single" w:color="auto" w:sz="4" w:space="0"/>
              <w:bottom w:val="single" w:color="auto" w:sz="4" w:space="0"/>
              <w:right w:val="single" w:color="auto" w:sz="4" w:space="0"/>
            </w:tcBorders>
          </w:tcPr>
          <w:p w14:paraId="664EEFF3">
            <w:pPr>
              <w:spacing w:line="460" w:lineRule="exact"/>
              <w:rPr>
                <w:rFonts w:hint="eastAsia" w:ascii="宋体" w:hAnsi="宋体"/>
                <w:color w:val="auto"/>
                <w:sz w:val="22"/>
                <w:szCs w:val="20"/>
              </w:rPr>
            </w:pPr>
          </w:p>
        </w:tc>
        <w:tc>
          <w:tcPr>
            <w:tcW w:w="1418" w:type="dxa"/>
            <w:tcBorders>
              <w:top w:val="single" w:color="auto" w:sz="4" w:space="0"/>
              <w:left w:val="single" w:color="auto" w:sz="4" w:space="0"/>
              <w:bottom w:val="single" w:color="auto" w:sz="4" w:space="0"/>
              <w:right w:val="single" w:color="auto" w:sz="4" w:space="0"/>
            </w:tcBorders>
          </w:tcPr>
          <w:p w14:paraId="4875896B">
            <w:pPr>
              <w:spacing w:line="460" w:lineRule="exact"/>
              <w:rPr>
                <w:rFonts w:hint="eastAsia" w:ascii="宋体" w:hAnsi="宋体"/>
                <w:color w:val="auto"/>
                <w:sz w:val="22"/>
                <w:szCs w:val="20"/>
              </w:rPr>
            </w:pPr>
          </w:p>
        </w:tc>
        <w:tc>
          <w:tcPr>
            <w:tcW w:w="1559" w:type="dxa"/>
            <w:tcBorders>
              <w:top w:val="single" w:color="auto" w:sz="4" w:space="0"/>
              <w:left w:val="single" w:color="auto" w:sz="4" w:space="0"/>
              <w:bottom w:val="single" w:color="auto" w:sz="4" w:space="0"/>
              <w:right w:val="single" w:color="auto" w:sz="4" w:space="0"/>
            </w:tcBorders>
          </w:tcPr>
          <w:p w14:paraId="2D789499">
            <w:pPr>
              <w:spacing w:line="460" w:lineRule="exact"/>
              <w:rPr>
                <w:rFonts w:hint="eastAsia" w:ascii="宋体" w:hAnsi="宋体"/>
                <w:color w:val="auto"/>
                <w:sz w:val="22"/>
                <w:szCs w:val="20"/>
              </w:rPr>
            </w:pPr>
          </w:p>
        </w:tc>
        <w:tc>
          <w:tcPr>
            <w:tcW w:w="1134" w:type="dxa"/>
            <w:tcBorders>
              <w:top w:val="single" w:color="auto" w:sz="4" w:space="0"/>
              <w:left w:val="single" w:color="auto" w:sz="4" w:space="0"/>
              <w:bottom w:val="single" w:color="auto" w:sz="4" w:space="0"/>
              <w:right w:val="single" w:color="auto" w:sz="4" w:space="0"/>
            </w:tcBorders>
          </w:tcPr>
          <w:p w14:paraId="06506C1D">
            <w:pPr>
              <w:spacing w:line="460" w:lineRule="exact"/>
              <w:rPr>
                <w:rFonts w:hint="eastAsia" w:ascii="宋体" w:hAnsi="宋体"/>
                <w:color w:val="auto"/>
                <w:sz w:val="22"/>
                <w:szCs w:val="20"/>
              </w:rPr>
            </w:pPr>
          </w:p>
        </w:tc>
        <w:tc>
          <w:tcPr>
            <w:tcW w:w="1948" w:type="dxa"/>
            <w:tcBorders>
              <w:top w:val="single" w:color="auto" w:sz="4" w:space="0"/>
              <w:left w:val="single" w:color="auto" w:sz="4" w:space="0"/>
              <w:bottom w:val="single" w:color="auto" w:sz="4" w:space="0"/>
              <w:right w:val="single" w:color="auto" w:sz="4" w:space="0"/>
            </w:tcBorders>
          </w:tcPr>
          <w:p w14:paraId="73BE435F">
            <w:pPr>
              <w:spacing w:line="460" w:lineRule="exact"/>
              <w:rPr>
                <w:rFonts w:hint="eastAsia" w:ascii="宋体" w:hAnsi="宋体"/>
                <w:color w:val="auto"/>
                <w:sz w:val="22"/>
                <w:szCs w:val="20"/>
              </w:rPr>
            </w:pPr>
          </w:p>
        </w:tc>
      </w:tr>
      <w:tr w14:paraId="41565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134" w:type="dxa"/>
            <w:tcBorders>
              <w:top w:val="single" w:color="auto" w:sz="4" w:space="0"/>
              <w:left w:val="single" w:color="auto" w:sz="4" w:space="0"/>
              <w:bottom w:val="single" w:color="auto" w:sz="4" w:space="0"/>
              <w:right w:val="single" w:color="auto" w:sz="4" w:space="0"/>
            </w:tcBorders>
          </w:tcPr>
          <w:p w14:paraId="49A0DE9A">
            <w:pPr>
              <w:spacing w:line="460" w:lineRule="exact"/>
              <w:rPr>
                <w:rFonts w:hint="eastAsia" w:ascii="宋体" w:hAnsi="宋体"/>
                <w:color w:val="auto"/>
                <w:sz w:val="22"/>
                <w:szCs w:val="20"/>
              </w:rPr>
            </w:pPr>
          </w:p>
        </w:tc>
        <w:tc>
          <w:tcPr>
            <w:tcW w:w="993" w:type="dxa"/>
            <w:tcBorders>
              <w:top w:val="single" w:color="auto" w:sz="4" w:space="0"/>
              <w:left w:val="single" w:color="auto" w:sz="4" w:space="0"/>
              <w:bottom w:val="single" w:color="auto" w:sz="4" w:space="0"/>
              <w:right w:val="single" w:color="auto" w:sz="4" w:space="0"/>
            </w:tcBorders>
          </w:tcPr>
          <w:p w14:paraId="4F2AA16B">
            <w:pPr>
              <w:spacing w:line="460" w:lineRule="exact"/>
              <w:rPr>
                <w:rFonts w:hint="eastAsia" w:ascii="宋体" w:hAnsi="宋体"/>
                <w:color w:val="auto"/>
                <w:sz w:val="22"/>
                <w:szCs w:val="20"/>
              </w:rPr>
            </w:pPr>
          </w:p>
        </w:tc>
        <w:tc>
          <w:tcPr>
            <w:tcW w:w="1417" w:type="dxa"/>
            <w:tcBorders>
              <w:top w:val="single" w:color="auto" w:sz="4" w:space="0"/>
              <w:left w:val="single" w:color="auto" w:sz="4" w:space="0"/>
              <w:bottom w:val="single" w:color="auto" w:sz="4" w:space="0"/>
              <w:right w:val="single" w:color="auto" w:sz="4" w:space="0"/>
            </w:tcBorders>
          </w:tcPr>
          <w:p w14:paraId="1C7F6700">
            <w:pPr>
              <w:spacing w:line="460" w:lineRule="exact"/>
              <w:rPr>
                <w:rFonts w:hint="eastAsia" w:ascii="宋体" w:hAnsi="宋体"/>
                <w:color w:val="auto"/>
                <w:sz w:val="22"/>
                <w:szCs w:val="20"/>
              </w:rPr>
            </w:pPr>
          </w:p>
        </w:tc>
        <w:tc>
          <w:tcPr>
            <w:tcW w:w="1418" w:type="dxa"/>
            <w:tcBorders>
              <w:top w:val="single" w:color="auto" w:sz="4" w:space="0"/>
              <w:left w:val="single" w:color="auto" w:sz="4" w:space="0"/>
              <w:bottom w:val="single" w:color="auto" w:sz="4" w:space="0"/>
              <w:right w:val="single" w:color="auto" w:sz="4" w:space="0"/>
            </w:tcBorders>
          </w:tcPr>
          <w:p w14:paraId="68408046">
            <w:pPr>
              <w:spacing w:line="460" w:lineRule="exact"/>
              <w:rPr>
                <w:rFonts w:hint="eastAsia" w:ascii="宋体" w:hAnsi="宋体"/>
                <w:color w:val="auto"/>
                <w:sz w:val="22"/>
                <w:szCs w:val="20"/>
              </w:rPr>
            </w:pPr>
          </w:p>
        </w:tc>
        <w:tc>
          <w:tcPr>
            <w:tcW w:w="1559" w:type="dxa"/>
            <w:tcBorders>
              <w:top w:val="single" w:color="auto" w:sz="4" w:space="0"/>
              <w:left w:val="single" w:color="auto" w:sz="4" w:space="0"/>
              <w:bottom w:val="single" w:color="auto" w:sz="4" w:space="0"/>
              <w:right w:val="single" w:color="auto" w:sz="4" w:space="0"/>
            </w:tcBorders>
          </w:tcPr>
          <w:p w14:paraId="01CF092D">
            <w:pPr>
              <w:spacing w:line="460" w:lineRule="exact"/>
              <w:rPr>
                <w:rFonts w:hint="eastAsia" w:ascii="宋体" w:hAnsi="宋体"/>
                <w:color w:val="auto"/>
                <w:sz w:val="22"/>
                <w:szCs w:val="20"/>
              </w:rPr>
            </w:pPr>
          </w:p>
        </w:tc>
        <w:tc>
          <w:tcPr>
            <w:tcW w:w="1134" w:type="dxa"/>
            <w:tcBorders>
              <w:top w:val="single" w:color="auto" w:sz="4" w:space="0"/>
              <w:left w:val="single" w:color="auto" w:sz="4" w:space="0"/>
              <w:bottom w:val="single" w:color="auto" w:sz="4" w:space="0"/>
              <w:right w:val="single" w:color="auto" w:sz="4" w:space="0"/>
            </w:tcBorders>
          </w:tcPr>
          <w:p w14:paraId="190C0371">
            <w:pPr>
              <w:spacing w:line="460" w:lineRule="exact"/>
              <w:rPr>
                <w:rFonts w:hint="eastAsia" w:ascii="宋体" w:hAnsi="宋体"/>
                <w:color w:val="auto"/>
                <w:sz w:val="22"/>
                <w:szCs w:val="20"/>
              </w:rPr>
            </w:pPr>
          </w:p>
        </w:tc>
        <w:tc>
          <w:tcPr>
            <w:tcW w:w="1948" w:type="dxa"/>
            <w:tcBorders>
              <w:top w:val="single" w:color="auto" w:sz="4" w:space="0"/>
              <w:left w:val="single" w:color="auto" w:sz="4" w:space="0"/>
              <w:bottom w:val="single" w:color="auto" w:sz="4" w:space="0"/>
              <w:right w:val="single" w:color="auto" w:sz="4" w:space="0"/>
            </w:tcBorders>
          </w:tcPr>
          <w:p w14:paraId="0A7D38EC">
            <w:pPr>
              <w:spacing w:line="460" w:lineRule="exact"/>
              <w:rPr>
                <w:rFonts w:hint="eastAsia" w:ascii="宋体" w:hAnsi="宋体"/>
                <w:color w:val="auto"/>
                <w:sz w:val="22"/>
                <w:szCs w:val="20"/>
              </w:rPr>
            </w:pPr>
          </w:p>
        </w:tc>
      </w:tr>
    </w:tbl>
    <w:p w14:paraId="1745CAA2">
      <w:pPr>
        <w:spacing w:line="460" w:lineRule="exact"/>
        <w:rPr>
          <w:rFonts w:hint="eastAsia" w:ascii="宋体" w:hAnsi="宋体"/>
          <w:b/>
          <w:color w:val="auto"/>
          <w:sz w:val="22"/>
        </w:rPr>
      </w:pPr>
      <w:r>
        <w:rPr>
          <w:rFonts w:hint="eastAsia" w:ascii="宋体" w:hAnsi="宋体"/>
          <w:b/>
          <w:color w:val="auto"/>
          <w:sz w:val="22"/>
        </w:rPr>
        <w:t>说明：1、表后附所投相关产品对应的认证证书复印件；其中本次采购的产品属于政府强制采购节能产品范围的，投标人必须选用符合要求的产品，否则按无效投标处理，具体品目见《关于印发节能产品政府采购品目清单的通知》（财库〔</w:t>
      </w:r>
      <w:r>
        <w:rPr>
          <w:rFonts w:ascii="宋体" w:hAnsi="宋体"/>
          <w:b/>
          <w:color w:val="auto"/>
          <w:sz w:val="22"/>
        </w:rPr>
        <w:t>2019〕19号）</w:t>
      </w:r>
      <w:r>
        <w:rPr>
          <w:rFonts w:hint="eastAsia" w:ascii="宋体" w:hAnsi="宋体" w:cs="Arial"/>
          <w:b/>
          <w:color w:val="auto"/>
          <w:sz w:val="22"/>
        </w:rPr>
        <w:t>。</w:t>
      </w:r>
      <w:r>
        <w:rPr>
          <w:rFonts w:hint="eastAsia" w:ascii="宋体" w:hAnsi="宋体" w:cs="Arial"/>
          <w:b/>
          <w:color w:val="auto"/>
          <w:sz w:val="22"/>
          <w:szCs w:val="20"/>
        </w:rPr>
        <w:t>响应文件中必须提供</w:t>
      </w:r>
      <w:r>
        <w:rPr>
          <w:rFonts w:ascii="宋体" w:hAnsi="宋体"/>
          <w:b/>
          <w:color w:val="auto"/>
          <w:sz w:val="22"/>
        </w:rPr>
        <w:t>属于政府强制采购的节能产品</w:t>
      </w:r>
      <w:r>
        <w:rPr>
          <w:rFonts w:hint="eastAsia" w:ascii="宋体" w:hAnsi="宋体" w:cs="Arial"/>
          <w:b/>
          <w:color w:val="auto"/>
          <w:sz w:val="22"/>
          <w:szCs w:val="20"/>
        </w:rPr>
        <w:t>的认证证书复印件或扫描件，否则不予认可。</w:t>
      </w:r>
    </w:p>
    <w:p w14:paraId="6A0A4B92">
      <w:pPr>
        <w:spacing w:line="460" w:lineRule="exact"/>
        <w:rPr>
          <w:rFonts w:hint="eastAsia" w:ascii="宋体" w:hAnsi="宋体"/>
          <w:b/>
          <w:color w:val="auto"/>
          <w:sz w:val="22"/>
        </w:rPr>
      </w:pPr>
      <w:r>
        <w:rPr>
          <w:rFonts w:hint="eastAsia" w:ascii="宋体" w:hAnsi="宋体"/>
          <w:b/>
          <w:color w:val="auto"/>
          <w:sz w:val="22"/>
        </w:rPr>
        <w:t>2、表格可以延续。</w:t>
      </w:r>
    </w:p>
    <w:p w14:paraId="166670BC">
      <w:pPr>
        <w:pStyle w:val="19"/>
        <w:rPr>
          <w:color w:val="auto"/>
        </w:rPr>
      </w:pPr>
    </w:p>
    <w:p w14:paraId="1B1B2853">
      <w:pPr>
        <w:spacing w:line="440" w:lineRule="atLeast"/>
        <w:rPr>
          <w:rFonts w:hint="eastAsia" w:ascii="宋体" w:hAnsi="宋体"/>
          <w:color w:val="auto"/>
          <w:sz w:val="22"/>
        </w:rPr>
      </w:pPr>
      <w:r>
        <w:rPr>
          <w:rFonts w:hint="eastAsia" w:ascii="宋体" w:hAnsi="宋体"/>
          <w:color w:val="auto"/>
          <w:sz w:val="22"/>
          <w:lang w:eastAsia="zh-CN"/>
        </w:rPr>
        <w:t>投标人</w:t>
      </w:r>
      <w:r>
        <w:rPr>
          <w:rFonts w:hint="eastAsia" w:ascii="宋体" w:hAnsi="宋体"/>
          <w:color w:val="auto"/>
          <w:sz w:val="22"/>
        </w:rPr>
        <w:t xml:space="preserve">名称（盖章）：        </w:t>
      </w:r>
    </w:p>
    <w:p w14:paraId="2A465FE0">
      <w:pPr>
        <w:pStyle w:val="19"/>
        <w:rPr>
          <w:rFonts w:hint="eastAsia" w:ascii="宋体" w:hAnsi="宋体" w:cs="宋体"/>
          <w:color w:val="auto"/>
        </w:rPr>
      </w:pPr>
      <w:r>
        <w:rPr>
          <w:rFonts w:hint="eastAsia" w:ascii="宋体" w:hAnsi="宋体"/>
          <w:color w:val="auto"/>
          <w:kern w:val="0"/>
          <w:sz w:val="22"/>
        </w:rPr>
        <w:t xml:space="preserve">日 期： </w:t>
      </w:r>
    </w:p>
    <w:p w14:paraId="30399A13">
      <w:pPr>
        <w:spacing w:line="380" w:lineRule="exact"/>
        <w:rPr>
          <w:rFonts w:hint="eastAsia" w:ascii="宋体" w:hAnsi="宋体" w:cs="宋体"/>
          <w:color w:val="auto"/>
          <w:sz w:val="22"/>
          <w:szCs w:val="22"/>
        </w:rPr>
        <w:sectPr>
          <w:headerReference r:id="rId11" w:type="default"/>
          <w:pgSz w:w="11906" w:h="16838"/>
          <w:pgMar w:top="1134" w:right="1134" w:bottom="1134" w:left="1134" w:header="851" w:footer="992" w:gutter="0"/>
          <w:cols w:space="720" w:num="1"/>
          <w:docGrid w:linePitch="312" w:charSpace="0"/>
        </w:sectPr>
      </w:pPr>
    </w:p>
    <w:bookmarkEnd w:id="81"/>
    <w:bookmarkEnd w:id="90"/>
    <w:p w14:paraId="5CE9C030">
      <w:pPr>
        <w:pStyle w:val="4"/>
        <w:spacing w:line="600" w:lineRule="exact"/>
        <w:jc w:val="center"/>
        <w:rPr>
          <w:rFonts w:hint="eastAsia" w:ascii="黑体" w:hAnsi="黑体" w:eastAsia="黑体"/>
          <w:bCs/>
          <w:color w:val="auto"/>
          <w:sz w:val="36"/>
          <w:szCs w:val="36"/>
        </w:rPr>
      </w:pPr>
      <w:bookmarkStart w:id="101" w:name="_Toc1831"/>
      <w:bookmarkStart w:id="102" w:name="_Toc230773793"/>
      <w:r>
        <w:rPr>
          <w:rFonts w:hint="eastAsia" w:ascii="黑体" w:hAnsi="黑体" w:eastAsia="黑体"/>
          <w:bCs/>
          <w:color w:val="auto"/>
          <w:sz w:val="36"/>
          <w:szCs w:val="36"/>
        </w:rPr>
        <w:t>第五部分  招标内容及要求</w:t>
      </w:r>
      <w:bookmarkEnd w:id="101"/>
      <w:bookmarkEnd w:id="102"/>
    </w:p>
    <w:p w14:paraId="4A22C629">
      <w:pPr>
        <w:pStyle w:val="5"/>
        <w:spacing w:line="520" w:lineRule="exact"/>
        <w:jc w:val="center"/>
        <w:rPr>
          <w:rFonts w:hint="eastAsia" w:ascii="宋体" w:hAnsi="宋体" w:eastAsia="宋体" w:cs="宋体"/>
          <w:color w:val="auto"/>
          <w:sz w:val="28"/>
          <w:szCs w:val="28"/>
        </w:rPr>
      </w:pPr>
      <w:bookmarkStart w:id="103" w:name="_Toc30877"/>
      <w:bookmarkStart w:id="104" w:name="_Toc1772"/>
      <w:bookmarkStart w:id="105" w:name="_Toc99389646"/>
      <w:bookmarkStart w:id="106" w:name="_Toc20368"/>
      <w:bookmarkStart w:id="107" w:name="_Toc248"/>
      <w:bookmarkStart w:id="108" w:name="_Toc56694061"/>
      <w:bookmarkStart w:id="109" w:name="_Toc230773795"/>
      <w:r>
        <w:rPr>
          <w:rFonts w:hint="eastAsia" w:ascii="宋体" w:hAnsi="宋体" w:eastAsia="宋体" w:cs="宋体"/>
          <w:color w:val="auto"/>
          <w:sz w:val="28"/>
          <w:szCs w:val="28"/>
        </w:rPr>
        <w:t>一、相关说明</w:t>
      </w:r>
      <w:bookmarkEnd w:id="103"/>
      <w:bookmarkEnd w:id="104"/>
      <w:bookmarkEnd w:id="105"/>
      <w:bookmarkEnd w:id="106"/>
      <w:bookmarkEnd w:id="107"/>
    </w:p>
    <w:p w14:paraId="08ACBBED">
      <w:pPr>
        <w:spacing w:line="440" w:lineRule="exact"/>
        <w:ind w:left="550" w:hanging="550" w:hangingChars="250"/>
        <w:rPr>
          <w:rFonts w:hint="eastAsia" w:ascii="宋体" w:hAnsi="宋体" w:cs="宋体"/>
          <w:color w:val="auto"/>
          <w:sz w:val="22"/>
          <w:szCs w:val="22"/>
        </w:rPr>
      </w:pPr>
      <w:r>
        <w:rPr>
          <w:rFonts w:hint="eastAsia" w:ascii="宋体" w:hAnsi="宋体" w:cs="宋体"/>
          <w:color w:val="auto"/>
          <w:sz w:val="22"/>
          <w:szCs w:val="22"/>
        </w:rPr>
        <w:t xml:space="preserve">1.   </w:t>
      </w:r>
      <w:r>
        <w:rPr>
          <w:rFonts w:hint="eastAsia" w:ascii="宋体" w:hAnsi="宋体" w:cs="宋体"/>
          <w:color w:val="auto"/>
          <w:sz w:val="22"/>
          <w:szCs w:val="22"/>
          <w:lang w:eastAsia="zh-CN"/>
        </w:rPr>
        <w:t>投标人</w:t>
      </w:r>
      <w:r>
        <w:rPr>
          <w:rFonts w:hint="eastAsia" w:ascii="宋体" w:hAnsi="宋体" w:cs="宋体"/>
          <w:color w:val="auto"/>
          <w:sz w:val="22"/>
          <w:szCs w:val="22"/>
        </w:rPr>
        <w:t>所投软件及主要部件的名称、品牌、型号、技术参数、性能、数量、单价、合价、制造商、质保期等应对照招标内容及技术要求列表对应进行说明，在</w:t>
      </w:r>
      <w:r>
        <w:rPr>
          <w:rFonts w:hint="eastAsia" w:ascii="宋体" w:hAnsi="宋体" w:cs="宋体"/>
          <w:color w:val="auto"/>
          <w:sz w:val="22"/>
          <w:szCs w:val="22"/>
          <w:lang w:eastAsia="zh-CN"/>
        </w:rPr>
        <w:t>投标响应文件</w:t>
      </w:r>
      <w:r>
        <w:rPr>
          <w:rFonts w:hint="eastAsia" w:ascii="宋体" w:hAnsi="宋体" w:cs="宋体"/>
          <w:color w:val="auto"/>
          <w:sz w:val="22"/>
          <w:szCs w:val="22"/>
        </w:rPr>
        <w:t>的相应部分明确，对</w:t>
      </w:r>
      <w:r>
        <w:rPr>
          <w:rFonts w:hint="eastAsia" w:ascii="宋体" w:hAnsi="宋体" w:cs="宋体"/>
          <w:color w:val="auto"/>
          <w:sz w:val="22"/>
          <w:szCs w:val="22"/>
          <w:lang w:eastAsia="zh-CN"/>
        </w:rPr>
        <w:t>招标文件</w:t>
      </w:r>
      <w:r>
        <w:rPr>
          <w:rFonts w:hint="eastAsia" w:ascii="宋体" w:hAnsi="宋体" w:cs="宋体"/>
          <w:color w:val="auto"/>
          <w:sz w:val="22"/>
          <w:szCs w:val="22"/>
        </w:rPr>
        <w:t>的技术条款及其它要求应予以实质性响应，如有偏离须在偏离表中注明，否则会对</w:t>
      </w:r>
      <w:r>
        <w:rPr>
          <w:rFonts w:hint="eastAsia" w:ascii="宋体" w:hAnsi="宋体" w:cs="宋体"/>
          <w:color w:val="auto"/>
          <w:sz w:val="22"/>
          <w:szCs w:val="22"/>
          <w:lang w:val="en-US" w:eastAsia="zh-CN"/>
        </w:rPr>
        <w:t>投标人</w:t>
      </w:r>
      <w:r>
        <w:rPr>
          <w:rFonts w:hint="eastAsia" w:ascii="宋体" w:hAnsi="宋体" w:cs="宋体"/>
          <w:color w:val="auto"/>
          <w:sz w:val="22"/>
          <w:szCs w:val="22"/>
        </w:rPr>
        <w:t>的投标做出不利评定。</w:t>
      </w:r>
    </w:p>
    <w:p w14:paraId="774B47D3">
      <w:pPr>
        <w:spacing w:line="440" w:lineRule="exact"/>
        <w:ind w:left="550" w:hanging="550" w:hangingChars="250"/>
        <w:rPr>
          <w:rFonts w:hint="eastAsia" w:ascii="宋体" w:hAnsi="宋体" w:cs="宋体"/>
          <w:color w:val="auto"/>
          <w:sz w:val="22"/>
          <w:szCs w:val="22"/>
        </w:rPr>
      </w:pPr>
      <w:r>
        <w:rPr>
          <w:rFonts w:hint="eastAsia" w:ascii="宋体" w:hAnsi="宋体" w:cs="宋体"/>
          <w:color w:val="auto"/>
          <w:sz w:val="22"/>
          <w:szCs w:val="22"/>
        </w:rPr>
        <w:t xml:space="preserve">2.   </w:t>
      </w:r>
      <w:r>
        <w:rPr>
          <w:rFonts w:hint="eastAsia" w:ascii="宋体" w:hAnsi="宋体" w:cs="宋体"/>
          <w:color w:val="auto"/>
          <w:sz w:val="22"/>
          <w:szCs w:val="22"/>
          <w:lang w:eastAsia="zh-CN"/>
        </w:rPr>
        <w:t>投标人</w:t>
      </w:r>
      <w:r>
        <w:rPr>
          <w:rFonts w:hint="eastAsia" w:ascii="宋体" w:hAnsi="宋体" w:cs="宋体"/>
          <w:color w:val="auto"/>
          <w:sz w:val="22"/>
          <w:szCs w:val="22"/>
        </w:rPr>
        <w:t>须完成货物的生产、运输、安装、整合调试，直至验收合格交付使用前的所有工作。在此过程中发生的一切费用（包括辅助材料、零部件等配套设施）均由</w:t>
      </w:r>
      <w:r>
        <w:rPr>
          <w:rFonts w:hint="eastAsia" w:ascii="宋体" w:hAnsi="宋体" w:cs="宋体"/>
          <w:color w:val="auto"/>
          <w:sz w:val="22"/>
          <w:szCs w:val="22"/>
          <w:lang w:val="en-US" w:eastAsia="zh-CN"/>
        </w:rPr>
        <w:t>中标人</w:t>
      </w:r>
      <w:r>
        <w:rPr>
          <w:rFonts w:hint="eastAsia" w:ascii="宋体" w:hAnsi="宋体" w:cs="宋体"/>
          <w:color w:val="auto"/>
          <w:sz w:val="22"/>
          <w:szCs w:val="22"/>
        </w:rPr>
        <w:t>提供，各</w:t>
      </w:r>
      <w:r>
        <w:rPr>
          <w:rFonts w:hint="eastAsia" w:ascii="宋体" w:hAnsi="宋体" w:cs="宋体"/>
          <w:color w:val="auto"/>
          <w:sz w:val="22"/>
          <w:szCs w:val="22"/>
          <w:lang w:val="en-US" w:eastAsia="zh-CN"/>
        </w:rPr>
        <w:t>投标人</w:t>
      </w:r>
      <w:r>
        <w:rPr>
          <w:rFonts w:hint="eastAsia" w:ascii="宋体" w:hAnsi="宋体" w:cs="宋体"/>
          <w:color w:val="auto"/>
          <w:sz w:val="22"/>
          <w:szCs w:val="22"/>
        </w:rPr>
        <w:t>应对本</w:t>
      </w:r>
      <w:r>
        <w:rPr>
          <w:rFonts w:hint="eastAsia" w:ascii="宋体" w:hAnsi="宋体" w:cs="宋体"/>
          <w:color w:val="auto"/>
          <w:sz w:val="22"/>
          <w:szCs w:val="22"/>
          <w:lang w:eastAsia="zh-CN"/>
        </w:rPr>
        <w:t>招标文件</w:t>
      </w:r>
      <w:r>
        <w:rPr>
          <w:rFonts w:hint="eastAsia" w:ascii="宋体" w:hAnsi="宋体" w:cs="宋体"/>
          <w:color w:val="auto"/>
          <w:sz w:val="22"/>
          <w:szCs w:val="22"/>
        </w:rPr>
        <w:t>未列出但完成本项目所必须的其他材料一一列出，并详细注明报价等情况，如未列出，则视为已包含在总价内，由</w:t>
      </w:r>
      <w:r>
        <w:rPr>
          <w:rFonts w:hint="eastAsia" w:ascii="宋体" w:hAnsi="宋体" w:cs="宋体"/>
          <w:color w:val="auto"/>
          <w:sz w:val="22"/>
          <w:szCs w:val="22"/>
          <w:lang w:eastAsia="zh-CN"/>
        </w:rPr>
        <w:t>投标人</w:t>
      </w:r>
      <w:r>
        <w:rPr>
          <w:rFonts w:hint="eastAsia" w:ascii="宋体" w:hAnsi="宋体" w:cs="宋体"/>
          <w:color w:val="auto"/>
          <w:sz w:val="22"/>
          <w:szCs w:val="22"/>
        </w:rPr>
        <w:t>免费提供。</w:t>
      </w:r>
    </w:p>
    <w:p w14:paraId="0758A858">
      <w:pPr>
        <w:spacing w:line="440" w:lineRule="exact"/>
        <w:ind w:left="550" w:hanging="550" w:hangingChars="250"/>
        <w:rPr>
          <w:rFonts w:hint="eastAsia" w:ascii="宋体" w:hAnsi="宋体" w:cs="宋体"/>
          <w:color w:val="auto"/>
          <w:sz w:val="22"/>
          <w:szCs w:val="22"/>
        </w:rPr>
      </w:pPr>
      <w:r>
        <w:rPr>
          <w:rFonts w:hint="eastAsia" w:ascii="宋体" w:hAnsi="宋体" w:cs="宋体"/>
          <w:color w:val="auto"/>
          <w:sz w:val="22"/>
          <w:szCs w:val="22"/>
        </w:rPr>
        <w:t xml:space="preserve">3.   </w:t>
      </w:r>
      <w:r>
        <w:rPr>
          <w:rFonts w:hint="eastAsia" w:ascii="宋体" w:hAnsi="宋体" w:cs="宋体"/>
          <w:color w:val="auto"/>
          <w:sz w:val="22"/>
          <w:szCs w:val="22"/>
          <w:lang w:val="en-US" w:eastAsia="zh-CN"/>
        </w:rPr>
        <w:t>投标人</w:t>
      </w:r>
      <w:r>
        <w:rPr>
          <w:rFonts w:hint="eastAsia" w:ascii="宋体" w:hAnsi="宋体" w:cs="宋体"/>
          <w:color w:val="auto"/>
          <w:sz w:val="22"/>
          <w:szCs w:val="22"/>
        </w:rPr>
        <w:t>需针对本项目所提供的产品的技术性能、质量水平、具体实施方案、售后服务、培训计划等做详尽的描述。</w:t>
      </w:r>
    </w:p>
    <w:p w14:paraId="33601F84">
      <w:pPr>
        <w:spacing w:line="440" w:lineRule="exact"/>
        <w:ind w:left="550" w:hanging="550" w:hangingChars="250"/>
        <w:rPr>
          <w:rFonts w:hint="eastAsia" w:ascii="宋体" w:hAnsi="宋体" w:cs="宋体"/>
          <w:color w:val="auto"/>
          <w:sz w:val="22"/>
          <w:szCs w:val="22"/>
        </w:rPr>
      </w:pPr>
      <w:r>
        <w:rPr>
          <w:rFonts w:hint="eastAsia" w:ascii="宋体" w:hAnsi="宋体" w:cs="宋体"/>
          <w:color w:val="auto"/>
          <w:sz w:val="22"/>
          <w:szCs w:val="22"/>
        </w:rPr>
        <w:t xml:space="preserve">4.   </w:t>
      </w:r>
      <w:r>
        <w:rPr>
          <w:rFonts w:hint="eastAsia" w:ascii="宋体" w:hAnsi="宋体" w:cs="宋体"/>
          <w:color w:val="auto"/>
          <w:sz w:val="22"/>
          <w:szCs w:val="22"/>
          <w:lang w:eastAsia="zh-CN"/>
        </w:rPr>
        <w:t>投标人</w:t>
      </w:r>
      <w:r>
        <w:rPr>
          <w:rFonts w:hint="eastAsia" w:ascii="宋体" w:hAnsi="宋体" w:cs="宋体"/>
          <w:color w:val="auto"/>
          <w:sz w:val="22"/>
          <w:szCs w:val="22"/>
        </w:rPr>
        <w:t>需提供各种材料的各项检测报告及成品货物检测报告等认为需要提供的资料。</w:t>
      </w:r>
    </w:p>
    <w:p w14:paraId="3283DDCB">
      <w:pPr>
        <w:spacing w:line="440" w:lineRule="exact"/>
        <w:rPr>
          <w:rFonts w:hint="eastAsia" w:ascii="宋体" w:hAnsi="宋体" w:cs="宋体"/>
          <w:b/>
          <w:color w:val="auto"/>
          <w:kern w:val="0"/>
          <w:sz w:val="22"/>
          <w:szCs w:val="22"/>
        </w:rPr>
      </w:pPr>
      <w:r>
        <w:rPr>
          <w:rFonts w:hint="eastAsia" w:ascii="宋体" w:hAnsi="宋体" w:cs="宋体"/>
          <w:b/>
          <w:color w:val="auto"/>
          <w:kern w:val="0"/>
          <w:sz w:val="22"/>
          <w:szCs w:val="22"/>
        </w:rPr>
        <w:t>5.   现场安装要求</w:t>
      </w:r>
    </w:p>
    <w:p w14:paraId="6B704476">
      <w:pPr>
        <w:spacing w:line="440" w:lineRule="exact"/>
        <w:ind w:left="525" w:leftChars="250"/>
        <w:rPr>
          <w:rFonts w:hint="eastAsia" w:ascii="宋体" w:hAnsi="宋体" w:cs="宋体"/>
          <w:b/>
          <w:color w:val="auto"/>
          <w:kern w:val="0"/>
          <w:sz w:val="22"/>
          <w:szCs w:val="22"/>
          <w:u w:val="single"/>
        </w:rPr>
      </w:pPr>
      <w:r>
        <w:rPr>
          <w:rFonts w:hint="eastAsia" w:ascii="宋体" w:hAnsi="宋体" w:cs="宋体"/>
          <w:b/>
          <w:color w:val="auto"/>
          <w:kern w:val="0"/>
          <w:sz w:val="22"/>
          <w:szCs w:val="22"/>
          <w:u w:val="single"/>
        </w:rPr>
        <w:t>本项目的</w:t>
      </w:r>
      <w:r>
        <w:rPr>
          <w:rFonts w:hint="eastAsia" w:ascii="宋体" w:hAnsi="宋体" w:cs="宋体"/>
          <w:b/>
          <w:color w:val="auto"/>
          <w:kern w:val="0"/>
          <w:sz w:val="22"/>
          <w:szCs w:val="22"/>
          <w:u w:val="single"/>
          <w:lang w:val="en-US" w:eastAsia="zh-CN"/>
        </w:rPr>
        <w:t>中标人</w:t>
      </w:r>
      <w:r>
        <w:rPr>
          <w:rFonts w:hint="eastAsia" w:ascii="宋体" w:hAnsi="宋体" w:cs="宋体"/>
          <w:b/>
          <w:color w:val="auto"/>
          <w:kern w:val="0"/>
          <w:sz w:val="22"/>
          <w:szCs w:val="22"/>
          <w:u w:val="single"/>
        </w:rPr>
        <w:t>必须在生产前到采购人安装现场进行实地勘察，根据场地实际情况对货物的尺寸进行适当调整，以免安装时出现配合问题，所产生的费用由</w:t>
      </w:r>
      <w:r>
        <w:rPr>
          <w:rFonts w:hint="eastAsia" w:ascii="宋体" w:hAnsi="宋体" w:cs="宋体"/>
          <w:b/>
          <w:color w:val="auto"/>
          <w:kern w:val="0"/>
          <w:sz w:val="22"/>
          <w:szCs w:val="22"/>
          <w:u w:val="single"/>
          <w:lang w:val="en-US" w:eastAsia="zh-CN"/>
        </w:rPr>
        <w:t>投标人</w:t>
      </w:r>
      <w:r>
        <w:rPr>
          <w:rFonts w:hint="eastAsia" w:ascii="宋体" w:hAnsi="宋体" w:cs="宋体"/>
          <w:b/>
          <w:color w:val="auto"/>
          <w:kern w:val="0"/>
          <w:sz w:val="22"/>
          <w:szCs w:val="22"/>
          <w:u w:val="single"/>
        </w:rPr>
        <w:t>负责。</w:t>
      </w:r>
    </w:p>
    <w:p w14:paraId="50A5F7A6">
      <w:pPr>
        <w:adjustRightInd w:val="0"/>
        <w:snapToGrid w:val="0"/>
        <w:spacing w:line="440" w:lineRule="exact"/>
        <w:rPr>
          <w:rFonts w:hint="eastAsia" w:ascii="宋体" w:hAnsi="宋体" w:cs="宋体"/>
          <w:color w:val="auto"/>
          <w:sz w:val="22"/>
          <w:szCs w:val="22"/>
        </w:rPr>
      </w:pPr>
      <w:r>
        <w:rPr>
          <w:rFonts w:hint="eastAsia" w:ascii="宋体" w:hAnsi="宋体" w:cs="宋体"/>
          <w:color w:val="auto"/>
          <w:sz w:val="22"/>
          <w:szCs w:val="22"/>
        </w:rPr>
        <w:t>7.   投标样品：</w:t>
      </w:r>
    </w:p>
    <w:p w14:paraId="2897754F">
      <w:pPr>
        <w:adjustRightInd w:val="0"/>
        <w:snapToGrid w:val="0"/>
        <w:spacing w:line="440" w:lineRule="exact"/>
        <w:rPr>
          <w:rFonts w:hint="eastAsia" w:ascii="宋体" w:hAnsi="宋体" w:cs="宋体"/>
          <w:color w:val="auto"/>
          <w:sz w:val="22"/>
          <w:szCs w:val="22"/>
        </w:rPr>
      </w:pPr>
      <w:r>
        <w:rPr>
          <w:rFonts w:hint="eastAsia" w:ascii="宋体" w:hAnsi="宋体" w:cs="宋体"/>
          <w:color w:val="auto"/>
          <w:sz w:val="22"/>
          <w:szCs w:val="22"/>
        </w:rPr>
        <w:t>7.1  需要提供的样品名称、规格、数量：</w:t>
      </w:r>
    </w:p>
    <w:p w14:paraId="4C51A674">
      <w:pPr>
        <w:adjustRightInd w:val="0"/>
        <w:snapToGrid w:val="0"/>
        <w:spacing w:line="440" w:lineRule="exact"/>
        <w:rPr>
          <w:rFonts w:hint="eastAsia" w:ascii="宋体" w:hAnsi="宋体" w:cs="宋体"/>
          <w:b/>
          <w:bCs/>
          <w:color w:val="auto"/>
          <w:sz w:val="22"/>
          <w:szCs w:val="22"/>
          <w:lang w:val="en-US" w:eastAsia="zh-CN"/>
        </w:rPr>
      </w:pPr>
      <w:r>
        <w:rPr>
          <w:rFonts w:hint="eastAsia" w:ascii="宋体" w:hAnsi="宋体" w:cs="宋体"/>
          <w:b/>
          <w:bCs/>
          <w:color w:val="auto"/>
          <w:sz w:val="22"/>
          <w:szCs w:val="22"/>
        </w:rPr>
        <w:t>（</w:t>
      </w:r>
      <w:r>
        <w:rPr>
          <w:rFonts w:hint="eastAsia" w:ascii="宋体" w:hAnsi="宋体" w:cs="宋体"/>
          <w:b/>
          <w:bCs/>
          <w:color w:val="auto"/>
          <w:sz w:val="22"/>
          <w:szCs w:val="22"/>
          <w:lang w:val="en-US" w:eastAsia="zh-CN"/>
        </w:rPr>
        <w:t>1</w:t>
      </w:r>
      <w:r>
        <w:rPr>
          <w:rFonts w:hint="eastAsia" w:ascii="宋体" w:hAnsi="宋体" w:cs="宋体"/>
          <w:b/>
          <w:bCs/>
          <w:color w:val="auto"/>
          <w:sz w:val="22"/>
          <w:szCs w:val="22"/>
        </w:rPr>
        <w:t>）</w:t>
      </w:r>
      <w:r>
        <w:rPr>
          <w:rFonts w:hint="eastAsia" w:ascii="宋体" w:hAnsi="宋体" w:cs="宋体"/>
          <w:b/>
          <w:bCs/>
          <w:color w:val="auto"/>
          <w:sz w:val="22"/>
          <w:szCs w:val="22"/>
          <w:lang w:val="en-US" w:eastAsia="zh-CN"/>
        </w:rPr>
        <w:t>序号11床垫（提供横截面小样，可直观看到内部结构，小样尺寸≥W700*D500*H200），1张</w:t>
      </w:r>
    </w:p>
    <w:p w14:paraId="2A94B963">
      <w:pPr>
        <w:adjustRightInd w:val="0"/>
        <w:snapToGrid w:val="0"/>
        <w:spacing w:line="440" w:lineRule="exact"/>
        <w:rPr>
          <w:rFonts w:hint="eastAsia" w:ascii="宋体" w:hAnsi="宋体" w:cs="宋体"/>
          <w:b/>
          <w:bCs/>
          <w:color w:val="auto"/>
          <w:sz w:val="22"/>
          <w:szCs w:val="22"/>
          <w:lang w:val="en-US" w:eastAsia="zh-CN"/>
        </w:rPr>
      </w:pPr>
      <w:r>
        <w:rPr>
          <w:rFonts w:hint="eastAsia" w:ascii="宋体" w:hAnsi="宋体" w:cs="宋体"/>
          <w:b/>
          <w:bCs/>
          <w:color w:val="auto"/>
          <w:sz w:val="22"/>
          <w:szCs w:val="22"/>
        </w:rPr>
        <w:t>（</w:t>
      </w:r>
      <w:r>
        <w:rPr>
          <w:rFonts w:hint="eastAsia" w:ascii="宋体" w:hAnsi="宋体" w:cs="宋体"/>
          <w:b/>
          <w:bCs/>
          <w:color w:val="auto"/>
          <w:sz w:val="22"/>
          <w:szCs w:val="22"/>
          <w:lang w:val="en-US" w:eastAsia="zh-CN"/>
        </w:rPr>
        <w:t>2</w:t>
      </w:r>
      <w:r>
        <w:rPr>
          <w:rFonts w:hint="eastAsia" w:ascii="宋体" w:hAnsi="宋体" w:cs="宋体"/>
          <w:b/>
          <w:bCs/>
          <w:color w:val="auto"/>
          <w:sz w:val="22"/>
          <w:szCs w:val="22"/>
        </w:rPr>
        <w:t>）</w:t>
      </w:r>
      <w:r>
        <w:rPr>
          <w:rFonts w:hint="eastAsia" w:ascii="宋体" w:hAnsi="宋体" w:cs="宋体"/>
          <w:b/>
          <w:bCs/>
          <w:color w:val="auto"/>
          <w:sz w:val="22"/>
          <w:szCs w:val="22"/>
          <w:lang w:val="en-US" w:eastAsia="zh-CN"/>
        </w:rPr>
        <w:t>序号12床头柜，1张，（附实木颗粒板一块，50*50CM,两边封边，两边为开放式横截面）</w:t>
      </w:r>
    </w:p>
    <w:p w14:paraId="1429F578">
      <w:pPr>
        <w:adjustRightInd w:val="0"/>
        <w:snapToGrid w:val="0"/>
        <w:spacing w:line="440" w:lineRule="exact"/>
        <w:rPr>
          <w:rFonts w:hint="default"/>
          <w:color w:val="auto"/>
          <w:lang w:val="en-US" w:eastAsia="zh-CN"/>
        </w:rPr>
      </w:pPr>
      <w:r>
        <w:rPr>
          <w:rFonts w:hint="eastAsia" w:ascii="宋体" w:hAnsi="宋体" w:cs="宋体"/>
          <w:b/>
          <w:bCs/>
          <w:color w:val="auto"/>
          <w:sz w:val="22"/>
          <w:szCs w:val="22"/>
        </w:rPr>
        <w:t>（</w:t>
      </w:r>
      <w:r>
        <w:rPr>
          <w:rFonts w:hint="eastAsia" w:ascii="宋体" w:hAnsi="宋体" w:cs="宋体"/>
          <w:b/>
          <w:bCs/>
          <w:color w:val="auto"/>
          <w:sz w:val="22"/>
          <w:szCs w:val="22"/>
          <w:lang w:val="en-US" w:eastAsia="zh-CN"/>
        </w:rPr>
        <w:t>3</w:t>
      </w:r>
      <w:r>
        <w:rPr>
          <w:rFonts w:hint="eastAsia" w:ascii="宋体" w:hAnsi="宋体" w:cs="宋体"/>
          <w:b/>
          <w:bCs/>
          <w:color w:val="auto"/>
          <w:sz w:val="22"/>
          <w:szCs w:val="22"/>
        </w:rPr>
        <w:t>）</w:t>
      </w:r>
      <w:r>
        <w:rPr>
          <w:rFonts w:hint="eastAsia" w:ascii="宋体" w:hAnsi="宋体" w:cs="宋体"/>
          <w:b/>
          <w:bCs/>
          <w:color w:val="auto"/>
          <w:sz w:val="22"/>
          <w:szCs w:val="22"/>
          <w:lang w:val="en-US" w:eastAsia="zh-CN"/>
        </w:rPr>
        <w:t>序号15写字椅，1张</w:t>
      </w:r>
    </w:p>
    <w:p w14:paraId="5F23B4FF">
      <w:pPr>
        <w:keepNext w:val="0"/>
        <w:keepLines w:val="0"/>
        <w:pageBreakBefore w:val="0"/>
        <w:widowControl/>
        <w:kinsoku/>
        <w:wordWrap/>
        <w:overflowPunct/>
        <w:topLinePunct w:val="0"/>
        <w:bidi w:val="0"/>
        <w:spacing w:line="340" w:lineRule="exact"/>
        <w:jc w:val="left"/>
        <w:textAlignment w:val="auto"/>
        <w:rPr>
          <w:rFonts w:ascii="宋体" w:hAnsi="宋体" w:cs="宋体"/>
          <w:b/>
          <w:bCs/>
          <w:color w:val="auto"/>
          <w:sz w:val="22"/>
          <w:u w:val="single"/>
        </w:rPr>
      </w:pPr>
      <w:r>
        <w:rPr>
          <w:rFonts w:hint="eastAsia" w:ascii="宋体" w:hAnsi="宋体" w:cs="宋体"/>
          <w:b/>
          <w:bCs/>
          <w:color w:val="auto"/>
          <w:sz w:val="22"/>
          <w:u w:val="single"/>
        </w:rPr>
        <w:t>▲未提供样品或提供样品种类数量不全的，</w:t>
      </w:r>
      <w:r>
        <w:rPr>
          <w:rFonts w:hint="eastAsia" w:ascii="宋体" w:hAnsi="宋体" w:cs="宋体"/>
          <w:b/>
          <w:bCs/>
          <w:color w:val="auto"/>
          <w:sz w:val="22"/>
          <w:u w:val="single"/>
          <w:lang w:val="en-US" w:eastAsia="zh-CN"/>
        </w:rPr>
        <w:t>作</w:t>
      </w:r>
      <w:r>
        <w:rPr>
          <w:rFonts w:hint="eastAsia" w:ascii="宋体" w:hAnsi="宋体" w:cs="宋体"/>
          <w:b/>
          <w:bCs/>
          <w:color w:val="auto"/>
          <w:sz w:val="22"/>
          <w:u w:val="single"/>
        </w:rPr>
        <w:t>无效标</w:t>
      </w:r>
      <w:r>
        <w:rPr>
          <w:rFonts w:hint="eastAsia" w:ascii="宋体" w:hAnsi="宋体" w:cs="宋体"/>
          <w:b/>
          <w:bCs/>
          <w:color w:val="auto"/>
          <w:sz w:val="22"/>
          <w:u w:val="single"/>
          <w:lang w:val="en-US" w:eastAsia="zh-CN"/>
        </w:rPr>
        <w:t>处理</w:t>
      </w:r>
      <w:r>
        <w:rPr>
          <w:rFonts w:hint="eastAsia" w:ascii="宋体" w:hAnsi="宋体" w:cs="宋体"/>
          <w:b/>
          <w:bCs/>
          <w:color w:val="auto"/>
          <w:sz w:val="22"/>
          <w:u w:val="single"/>
        </w:rPr>
        <w:t>。</w:t>
      </w:r>
    </w:p>
    <w:p w14:paraId="1EB66A96">
      <w:pPr>
        <w:adjustRightInd w:val="0"/>
        <w:snapToGrid w:val="0"/>
        <w:spacing w:line="440" w:lineRule="exact"/>
        <w:rPr>
          <w:rFonts w:hint="eastAsia" w:ascii="宋体" w:hAnsi="宋体" w:cs="宋体"/>
          <w:b/>
          <w:bCs/>
          <w:color w:val="auto"/>
          <w:sz w:val="22"/>
          <w:u w:val="single"/>
        </w:rPr>
      </w:pPr>
      <w:r>
        <w:rPr>
          <w:rFonts w:hint="eastAsia" w:ascii="宋体" w:hAnsi="宋体" w:cs="宋体"/>
          <w:b/>
          <w:bCs/>
          <w:color w:val="auto"/>
          <w:sz w:val="22"/>
          <w:u w:val="single"/>
        </w:rPr>
        <w:t>▲样品上不得带有任何与投标</w:t>
      </w:r>
      <w:r>
        <w:rPr>
          <w:rFonts w:hint="eastAsia" w:ascii="宋体" w:hAnsi="宋体" w:cs="宋体"/>
          <w:b/>
          <w:bCs/>
          <w:color w:val="auto"/>
          <w:sz w:val="22"/>
          <w:u w:val="single"/>
          <w:lang w:val="en-US" w:eastAsia="zh-CN"/>
        </w:rPr>
        <w:t>人</w:t>
      </w:r>
      <w:r>
        <w:rPr>
          <w:rFonts w:hint="eastAsia" w:ascii="宋体" w:hAnsi="宋体" w:cs="宋体"/>
          <w:b/>
          <w:bCs/>
          <w:color w:val="auto"/>
          <w:sz w:val="22"/>
          <w:u w:val="single"/>
        </w:rPr>
        <w:t>有关的产品标识，否则按投标无效处理。</w:t>
      </w:r>
    </w:p>
    <w:p w14:paraId="5ACD0B59">
      <w:pPr>
        <w:adjustRightInd w:val="0"/>
        <w:snapToGrid w:val="0"/>
        <w:spacing w:line="440" w:lineRule="exact"/>
        <w:rPr>
          <w:rFonts w:hint="eastAsia" w:ascii="宋体" w:hAnsi="宋体" w:cs="宋体"/>
          <w:color w:val="auto"/>
          <w:sz w:val="22"/>
          <w:szCs w:val="22"/>
        </w:rPr>
      </w:pPr>
      <w:r>
        <w:rPr>
          <w:rFonts w:hint="eastAsia" w:ascii="宋体" w:hAnsi="宋体" w:cs="宋体"/>
          <w:color w:val="auto"/>
          <w:sz w:val="22"/>
          <w:szCs w:val="22"/>
        </w:rPr>
        <w:t>7.2  样品的递交方式：</w:t>
      </w:r>
      <w:r>
        <w:rPr>
          <w:rFonts w:hint="eastAsia" w:ascii="宋体" w:hAnsi="宋体" w:cs="宋体"/>
          <w:color w:val="auto"/>
          <w:sz w:val="22"/>
          <w:szCs w:val="22"/>
          <w:lang w:eastAsia="zh-CN"/>
        </w:rPr>
        <w:t>投标人</w:t>
      </w:r>
      <w:r>
        <w:rPr>
          <w:rFonts w:hint="eastAsia" w:ascii="宋体" w:hAnsi="宋体" w:cs="宋体"/>
          <w:color w:val="auto"/>
          <w:sz w:val="22"/>
          <w:szCs w:val="22"/>
        </w:rPr>
        <w:t>自行运送到指定的地点。</w:t>
      </w:r>
    </w:p>
    <w:p w14:paraId="395BCC76">
      <w:pPr>
        <w:adjustRightInd w:val="0"/>
        <w:snapToGrid w:val="0"/>
        <w:spacing w:line="440" w:lineRule="exact"/>
        <w:ind w:firstLine="550" w:firstLineChars="250"/>
        <w:rPr>
          <w:rFonts w:hint="eastAsia" w:ascii="宋体" w:hAnsi="宋体" w:cs="宋体"/>
          <w:color w:val="auto"/>
          <w:sz w:val="22"/>
          <w:szCs w:val="22"/>
        </w:rPr>
      </w:pPr>
      <w:r>
        <w:rPr>
          <w:rFonts w:hint="eastAsia" w:ascii="宋体" w:hAnsi="宋体" w:cs="宋体"/>
          <w:color w:val="auto"/>
          <w:sz w:val="22"/>
          <w:szCs w:val="22"/>
        </w:rPr>
        <w:t>递交时间：</w:t>
      </w:r>
      <w:r>
        <w:rPr>
          <w:rFonts w:hint="eastAsia" w:ascii="宋体" w:hAnsi="宋体" w:cs="宋体"/>
          <w:color w:val="auto"/>
          <w:sz w:val="22"/>
          <w:szCs w:val="22"/>
          <w:lang w:eastAsia="zh-CN"/>
        </w:rPr>
        <w:t>投标响应文件</w:t>
      </w:r>
      <w:r>
        <w:rPr>
          <w:rFonts w:hint="eastAsia" w:ascii="宋体" w:hAnsi="宋体" w:cs="宋体"/>
          <w:color w:val="auto"/>
          <w:sz w:val="22"/>
          <w:szCs w:val="22"/>
        </w:rPr>
        <w:t>递交截止时间前。</w:t>
      </w:r>
    </w:p>
    <w:p w14:paraId="1509B904">
      <w:pPr>
        <w:adjustRightInd w:val="0"/>
        <w:snapToGrid w:val="0"/>
        <w:spacing w:line="440" w:lineRule="exact"/>
        <w:ind w:firstLine="550" w:firstLineChars="250"/>
        <w:rPr>
          <w:rFonts w:hint="eastAsia" w:ascii="宋体" w:hAnsi="宋体" w:cs="宋体"/>
          <w:color w:val="auto"/>
          <w:sz w:val="22"/>
          <w:szCs w:val="22"/>
        </w:rPr>
      </w:pPr>
      <w:r>
        <w:rPr>
          <w:rFonts w:hint="eastAsia" w:ascii="宋体" w:hAnsi="宋体" w:cs="宋体"/>
          <w:color w:val="auto"/>
          <w:sz w:val="22"/>
          <w:szCs w:val="22"/>
        </w:rPr>
        <w:t>递交地点：温州市瓯海区南塘1组团1幢（商务楼）1504室门口。</w:t>
      </w:r>
    </w:p>
    <w:p w14:paraId="1B6D7335">
      <w:pPr>
        <w:adjustRightInd w:val="0"/>
        <w:snapToGrid w:val="0"/>
        <w:spacing w:line="440" w:lineRule="exact"/>
        <w:rPr>
          <w:rFonts w:hint="eastAsia" w:ascii="宋体" w:hAnsi="宋体" w:cs="宋体"/>
          <w:color w:val="auto"/>
          <w:sz w:val="22"/>
          <w:szCs w:val="22"/>
          <w:lang w:eastAsia="zh-CN"/>
        </w:rPr>
      </w:pPr>
      <w:r>
        <w:rPr>
          <w:rFonts w:hint="eastAsia" w:ascii="宋体" w:hAnsi="宋体" w:cs="宋体"/>
          <w:color w:val="auto"/>
          <w:sz w:val="22"/>
          <w:szCs w:val="22"/>
          <w:lang w:eastAsia="zh-CN"/>
        </w:rPr>
        <w:t>（</w:t>
      </w:r>
      <w:r>
        <w:rPr>
          <w:rFonts w:hint="eastAsia" w:ascii="宋体" w:hAnsi="宋体" w:cs="宋体"/>
          <w:color w:val="auto"/>
          <w:sz w:val="22"/>
          <w:szCs w:val="22"/>
          <w:lang w:val="en-US" w:eastAsia="zh-CN"/>
        </w:rPr>
        <w:t>1</w:t>
      </w:r>
      <w:r>
        <w:rPr>
          <w:rFonts w:hint="eastAsia" w:ascii="宋体" w:hAnsi="宋体" w:cs="宋体"/>
          <w:color w:val="auto"/>
          <w:sz w:val="22"/>
          <w:szCs w:val="22"/>
          <w:lang w:eastAsia="zh-CN"/>
        </w:rPr>
        <w:t>）</w:t>
      </w:r>
      <w:r>
        <w:rPr>
          <w:rFonts w:hint="eastAsia" w:ascii="宋体" w:hAnsi="宋体" w:cs="宋体"/>
          <w:color w:val="auto"/>
          <w:sz w:val="22"/>
          <w:szCs w:val="22"/>
        </w:rPr>
        <w:t>样品名称、项目名称以及投标人名称均不得标注（由采购代理机构统一标注）</w:t>
      </w:r>
      <w:r>
        <w:rPr>
          <w:rFonts w:hint="eastAsia" w:ascii="宋体" w:hAnsi="宋体" w:cs="宋体"/>
          <w:color w:val="auto"/>
          <w:sz w:val="22"/>
          <w:szCs w:val="22"/>
          <w:lang w:eastAsia="zh-CN"/>
        </w:rPr>
        <w:t>。</w:t>
      </w:r>
    </w:p>
    <w:p w14:paraId="368C95DA">
      <w:pPr>
        <w:adjustRightInd w:val="0"/>
        <w:snapToGrid w:val="0"/>
        <w:spacing w:line="440" w:lineRule="exact"/>
        <w:rPr>
          <w:rFonts w:hint="eastAsia" w:ascii="宋体" w:hAnsi="宋体" w:cs="宋体"/>
          <w:color w:val="auto"/>
          <w:sz w:val="22"/>
          <w:szCs w:val="22"/>
        </w:rPr>
      </w:pPr>
      <w:r>
        <w:rPr>
          <w:rFonts w:hint="eastAsia" w:ascii="宋体" w:hAnsi="宋体" w:cs="宋体"/>
          <w:color w:val="auto"/>
          <w:sz w:val="22"/>
          <w:szCs w:val="22"/>
        </w:rPr>
        <w:t>（</w:t>
      </w:r>
      <w:r>
        <w:rPr>
          <w:rFonts w:hint="eastAsia" w:ascii="宋体" w:hAnsi="宋体" w:cs="宋体"/>
          <w:color w:val="auto"/>
          <w:sz w:val="22"/>
          <w:szCs w:val="22"/>
          <w:lang w:val="en-US" w:eastAsia="zh-CN"/>
        </w:rPr>
        <w:t>2</w:t>
      </w:r>
      <w:r>
        <w:rPr>
          <w:rFonts w:hint="eastAsia" w:ascii="宋体" w:hAnsi="宋体" w:cs="宋体"/>
          <w:color w:val="auto"/>
          <w:sz w:val="22"/>
          <w:szCs w:val="22"/>
        </w:rPr>
        <w:t>）未</w:t>
      </w:r>
      <w:r>
        <w:rPr>
          <w:rFonts w:hint="eastAsia" w:ascii="宋体" w:hAnsi="宋体" w:cs="宋体"/>
          <w:color w:val="auto"/>
          <w:sz w:val="22"/>
          <w:szCs w:val="22"/>
          <w:lang w:val="en-US" w:eastAsia="zh-CN"/>
        </w:rPr>
        <w:t>中标投标人</w:t>
      </w:r>
      <w:r>
        <w:rPr>
          <w:rFonts w:hint="eastAsia" w:ascii="宋体" w:hAnsi="宋体" w:cs="宋体"/>
          <w:color w:val="auto"/>
          <w:sz w:val="22"/>
          <w:szCs w:val="22"/>
        </w:rPr>
        <w:t>样品的退还处理方式：由未</w:t>
      </w:r>
      <w:r>
        <w:rPr>
          <w:rFonts w:hint="eastAsia" w:ascii="宋体" w:hAnsi="宋体" w:cs="宋体"/>
          <w:color w:val="auto"/>
          <w:sz w:val="22"/>
          <w:szCs w:val="22"/>
          <w:lang w:val="en-US" w:eastAsia="zh-CN"/>
        </w:rPr>
        <w:t>中标</w:t>
      </w:r>
      <w:r>
        <w:rPr>
          <w:rFonts w:hint="eastAsia" w:ascii="宋体" w:hAnsi="宋体" w:cs="宋体"/>
          <w:color w:val="auto"/>
          <w:sz w:val="22"/>
          <w:szCs w:val="22"/>
          <w:lang w:eastAsia="zh-CN"/>
        </w:rPr>
        <w:t>投标人</w:t>
      </w:r>
      <w:r>
        <w:rPr>
          <w:rFonts w:hint="eastAsia" w:ascii="宋体" w:hAnsi="宋体" w:cs="宋体"/>
          <w:color w:val="auto"/>
          <w:sz w:val="22"/>
          <w:szCs w:val="22"/>
        </w:rPr>
        <w:t>在开标结束后当天内自行撤回，采购人和采购代理机构不负责样品保管。</w:t>
      </w:r>
    </w:p>
    <w:p w14:paraId="6BD1CF4A">
      <w:pPr>
        <w:adjustRightInd w:val="0"/>
        <w:snapToGrid w:val="0"/>
        <w:spacing w:line="440" w:lineRule="exact"/>
        <w:rPr>
          <w:rFonts w:hint="eastAsia" w:ascii="宋体" w:hAnsi="宋体" w:cs="宋体"/>
          <w:color w:val="auto"/>
          <w:kern w:val="0"/>
          <w:sz w:val="22"/>
          <w:szCs w:val="22"/>
        </w:rPr>
      </w:pPr>
      <w:r>
        <w:rPr>
          <w:rFonts w:hint="eastAsia" w:ascii="宋体" w:hAnsi="宋体" w:cs="宋体"/>
          <w:color w:val="auto"/>
          <w:kern w:val="0"/>
          <w:sz w:val="22"/>
          <w:szCs w:val="22"/>
        </w:rPr>
        <w:t>（</w:t>
      </w:r>
      <w:r>
        <w:rPr>
          <w:rFonts w:hint="eastAsia" w:ascii="宋体" w:hAnsi="宋体" w:cs="宋体"/>
          <w:color w:val="auto"/>
          <w:kern w:val="0"/>
          <w:sz w:val="22"/>
          <w:szCs w:val="22"/>
          <w:lang w:val="en-US" w:eastAsia="zh-CN"/>
        </w:rPr>
        <w:t>3</w:t>
      </w:r>
      <w:r>
        <w:rPr>
          <w:rFonts w:hint="eastAsia" w:ascii="宋体" w:hAnsi="宋体" w:cs="宋体"/>
          <w:color w:val="auto"/>
          <w:kern w:val="0"/>
          <w:sz w:val="22"/>
          <w:szCs w:val="22"/>
        </w:rPr>
        <w:t>）</w:t>
      </w:r>
      <w:r>
        <w:rPr>
          <w:rFonts w:hint="eastAsia" w:ascii="宋体" w:hAnsi="宋体" w:cs="宋体"/>
          <w:color w:val="auto"/>
          <w:kern w:val="0"/>
          <w:sz w:val="22"/>
          <w:szCs w:val="22"/>
          <w:lang w:val="en-US" w:eastAsia="zh-CN"/>
        </w:rPr>
        <w:t>中标人</w:t>
      </w:r>
      <w:r>
        <w:rPr>
          <w:rFonts w:hint="eastAsia" w:ascii="宋体" w:hAnsi="宋体" w:cs="宋体"/>
          <w:color w:val="auto"/>
          <w:kern w:val="0"/>
          <w:sz w:val="22"/>
          <w:szCs w:val="22"/>
        </w:rPr>
        <w:t>的样品应当由采购人进行保管、封存，作为履约验收的参考。</w:t>
      </w:r>
    </w:p>
    <w:p w14:paraId="20CC087B">
      <w:pPr>
        <w:adjustRightInd w:val="0"/>
        <w:snapToGrid w:val="0"/>
        <w:spacing w:line="440" w:lineRule="exact"/>
        <w:ind w:left="550" w:hanging="550" w:hangingChars="250"/>
        <w:rPr>
          <w:rFonts w:hint="eastAsia" w:ascii="宋体" w:hAnsi="宋体" w:cs="宋体"/>
          <w:color w:val="auto"/>
          <w:sz w:val="22"/>
          <w:szCs w:val="22"/>
        </w:rPr>
      </w:pPr>
      <w:r>
        <w:rPr>
          <w:rFonts w:hint="eastAsia" w:ascii="宋体" w:hAnsi="宋体" w:cs="宋体"/>
          <w:color w:val="auto"/>
          <w:sz w:val="22"/>
          <w:szCs w:val="22"/>
        </w:rPr>
        <w:t xml:space="preserve">8.   </w:t>
      </w:r>
      <w:r>
        <w:rPr>
          <w:rFonts w:hint="eastAsia" w:ascii="宋体" w:hAnsi="宋体" w:cs="宋体"/>
          <w:bCs/>
          <w:color w:val="auto"/>
          <w:sz w:val="22"/>
          <w:szCs w:val="22"/>
        </w:rPr>
        <w:t>技术要求及标准的执行</w:t>
      </w:r>
      <w:r>
        <w:rPr>
          <w:rFonts w:hint="eastAsia" w:ascii="宋体" w:hAnsi="宋体" w:cs="宋体"/>
          <w:color w:val="auto"/>
          <w:sz w:val="22"/>
          <w:szCs w:val="22"/>
        </w:rPr>
        <w:t>：</w:t>
      </w:r>
    </w:p>
    <w:p w14:paraId="04ED0E81">
      <w:pPr>
        <w:snapToGrid w:val="0"/>
        <w:spacing w:line="460" w:lineRule="atLeast"/>
        <w:ind w:firstLine="440" w:firstLineChars="200"/>
        <w:rPr>
          <w:rFonts w:hint="eastAsia" w:ascii="宋体" w:hAnsi="宋体" w:cs="宋体"/>
          <w:bCs/>
          <w:color w:val="auto"/>
          <w:sz w:val="22"/>
          <w:szCs w:val="22"/>
        </w:rPr>
      </w:pPr>
      <w:r>
        <w:rPr>
          <w:rFonts w:hint="eastAsia" w:ascii="宋体" w:hAnsi="宋体" w:cs="宋体"/>
          <w:bCs/>
          <w:color w:val="auto"/>
          <w:sz w:val="22"/>
          <w:szCs w:val="22"/>
          <w:lang w:val="en-US" w:eastAsia="zh-CN"/>
        </w:rPr>
        <w:t>中标人</w:t>
      </w:r>
      <w:r>
        <w:rPr>
          <w:rFonts w:hint="eastAsia" w:ascii="宋体" w:hAnsi="宋体" w:cs="宋体"/>
          <w:bCs/>
          <w:color w:val="auto"/>
          <w:sz w:val="22"/>
          <w:szCs w:val="22"/>
        </w:rPr>
        <w:t>提供的产品应标明所执行的质量标准，若同一标准已颁发新标准，则按最新标准执行。若同一产品同时有几个标准（国际标准、国家标准、行业标准、企业标准等），则按最高层次的标准执行。下述标准及规范要求有出入则以较严格者为准。</w:t>
      </w:r>
    </w:p>
    <w:p w14:paraId="4F140068">
      <w:pPr>
        <w:snapToGrid w:val="0"/>
        <w:spacing w:line="460" w:lineRule="atLeast"/>
        <w:ind w:firstLine="440" w:firstLineChars="200"/>
        <w:rPr>
          <w:rFonts w:hint="eastAsia" w:ascii="宋体" w:hAnsi="宋体" w:cs="宋体"/>
          <w:bCs/>
          <w:color w:val="auto"/>
          <w:sz w:val="22"/>
          <w:szCs w:val="22"/>
        </w:rPr>
      </w:pPr>
      <w:r>
        <w:rPr>
          <w:rFonts w:hint="eastAsia" w:ascii="宋体" w:hAnsi="宋体" w:cs="宋体"/>
          <w:bCs/>
          <w:color w:val="auto"/>
          <w:sz w:val="22"/>
          <w:szCs w:val="22"/>
        </w:rPr>
        <w:t>（1）GB/T 3324   　      木家具通用技术条件</w:t>
      </w:r>
    </w:p>
    <w:p w14:paraId="434C03F1">
      <w:pPr>
        <w:snapToGrid w:val="0"/>
        <w:spacing w:line="460" w:lineRule="atLeast"/>
        <w:ind w:firstLine="440" w:firstLineChars="200"/>
        <w:rPr>
          <w:rFonts w:hint="eastAsia" w:ascii="宋体" w:hAnsi="宋体" w:cs="宋体"/>
          <w:bCs/>
          <w:color w:val="auto"/>
          <w:sz w:val="22"/>
          <w:szCs w:val="22"/>
        </w:rPr>
      </w:pPr>
      <w:r>
        <w:rPr>
          <w:rFonts w:hint="eastAsia" w:ascii="宋体" w:hAnsi="宋体" w:cs="宋体"/>
          <w:bCs/>
          <w:color w:val="auto"/>
          <w:sz w:val="22"/>
          <w:szCs w:val="22"/>
        </w:rPr>
        <w:t>（2）GB/T 3325   　      金属家具通用技术条件</w:t>
      </w:r>
    </w:p>
    <w:p w14:paraId="4A4D64CD">
      <w:pPr>
        <w:snapToGrid w:val="0"/>
        <w:spacing w:line="460" w:lineRule="atLeast"/>
        <w:ind w:firstLine="440" w:firstLineChars="200"/>
        <w:rPr>
          <w:rFonts w:hint="eastAsia" w:ascii="宋体" w:hAnsi="宋体" w:cs="宋体"/>
          <w:bCs/>
          <w:color w:val="auto"/>
          <w:sz w:val="22"/>
          <w:szCs w:val="22"/>
        </w:rPr>
      </w:pPr>
      <w:r>
        <w:rPr>
          <w:rFonts w:hint="eastAsia" w:ascii="宋体" w:hAnsi="宋体" w:cs="宋体"/>
          <w:bCs/>
          <w:color w:val="auto"/>
          <w:sz w:val="22"/>
          <w:szCs w:val="22"/>
        </w:rPr>
        <w:t>（3）GB/T 3326                 家具  桌、椅、凳类主要尺寸</w:t>
      </w:r>
    </w:p>
    <w:p w14:paraId="28971222">
      <w:pPr>
        <w:snapToGrid w:val="0"/>
        <w:spacing w:line="460" w:lineRule="atLeast"/>
        <w:ind w:firstLine="440" w:firstLineChars="200"/>
        <w:rPr>
          <w:rFonts w:hint="eastAsia" w:ascii="宋体" w:hAnsi="宋体" w:cs="宋体"/>
          <w:bCs/>
          <w:color w:val="auto"/>
          <w:sz w:val="22"/>
          <w:szCs w:val="22"/>
        </w:rPr>
      </w:pPr>
      <w:r>
        <w:rPr>
          <w:rFonts w:hint="eastAsia" w:ascii="宋体" w:hAnsi="宋体" w:cs="宋体"/>
          <w:bCs/>
          <w:color w:val="auto"/>
          <w:sz w:val="22"/>
          <w:szCs w:val="22"/>
        </w:rPr>
        <w:t xml:space="preserve">（4）GB/T 3327        </w:t>
      </w:r>
      <w:r>
        <w:rPr>
          <w:rFonts w:hint="eastAsia" w:ascii="宋体" w:hAnsi="宋体" w:cs="宋体"/>
          <w:bCs/>
          <w:color w:val="auto"/>
          <w:sz w:val="22"/>
          <w:szCs w:val="22"/>
          <w:lang w:val="en-US" w:eastAsia="zh-CN"/>
        </w:rPr>
        <w:t xml:space="preserve"> </w:t>
      </w:r>
      <w:r>
        <w:rPr>
          <w:rFonts w:hint="eastAsia" w:ascii="宋体" w:hAnsi="宋体" w:cs="宋体"/>
          <w:bCs/>
          <w:color w:val="auto"/>
          <w:sz w:val="22"/>
          <w:szCs w:val="22"/>
        </w:rPr>
        <w:t xml:space="preserve">  家具  柜类主要尺寸</w:t>
      </w:r>
    </w:p>
    <w:p w14:paraId="6AF1685D">
      <w:pPr>
        <w:snapToGrid w:val="0"/>
        <w:spacing w:line="460" w:lineRule="atLeast"/>
        <w:ind w:firstLine="440" w:firstLineChars="200"/>
        <w:rPr>
          <w:rFonts w:hint="eastAsia" w:ascii="宋体" w:hAnsi="宋体" w:cs="宋体"/>
          <w:bCs/>
          <w:color w:val="auto"/>
          <w:sz w:val="22"/>
          <w:szCs w:val="22"/>
        </w:rPr>
      </w:pPr>
      <w:r>
        <w:rPr>
          <w:rFonts w:hint="eastAsia" w:ascii="宋体" w:hAnsi="宋体" w:cs="宋体"/>
          <w:bCs/>
          <w:color w:val="auto"/>
          <w:sz w:val="22"/>
          <w:szCs w:val="22"/>
        </w:rPr>
        <w:t>（5）QB/T1951.1    　         木家具质量检验及质量评定</w:t>
      </w:r>
    </w:p>
    <w:p w14:paraId="4776FFE9">
      <w:pPr>
        <w:snapToGrid w:val="0"/>
        <w:spacing w:line="460" w:lineRule="atLeast"/>
        <w:ind w:firstLine="440" w:firstLineChars="200"/>
        <w:rPr>
          <w:rFonts w:hint="eastAsia" w:ascii="宋体" w:hAnsi="宋体" w:cs="宋体"/>
          <w:bCs/>
          <w:color w:val="auto"/>
          <w:sz w:val="22"/>
          <w:szCs w:val="22"/>
        </w:rPr>
      </w:pPr>
      <w:r>
        <w:rPr>
          <w:rFonts w:hint="eastAsia" w:ascii="宋体" w:hAnsi="宋体" w:cs="宋体"/>
          <w:bCs/>
          <w:color w:val="auto"/>
          <w:sz w:val="22"/>
          <w:szCs w:val="22"/>
        </w:rPr>
        <w:t>（6）QB/T1951.2　　　            金属家具质量检验及质量评定</w:t>
      </w:r>
    </w:p>
    <w:p w14:paraId="11DB8C31">
      <w:pPr>
        <w:snapToGrid w:val="0"/>
        <w:spacing w:line="460" w:lineRule="atLeast"/>
        <w:ind w:firstLine="440" w:firstLineChars="200"/>
        <w:rPr>
          <w:rFonts w:hint="eastAsia" w:ascii="宋体" w:hAnsi="宋体" w:cs="宋体"/>
          <w:bCs/>
          <w:color w:val="auto"/>
          <w:sz w:val="22"/>
          <w:szCs w:val="22"/>
        </w:rPr>
      </w:pPr>
      <w:r>
        <w:rPr>
          <w:rFonts w:hint="eastAsia" w:ascii="宋体" w:hAnsi="宋体" w:cs="宋体"/>
          <w:bCs/>
          <w:color w:val="auto"/>
          <w:sz w:val="22"/>
          <w:szCs w:val="22"/>
        </w:rPr>
        <w:t>（7）QB/T 1241　　           家具五金  家具拉手安装尺寸</w:t>
      </w:r>
    </w:p>
    <w:p w14:paraId="439C805C">
      <w:pPr>
        <w:snapToGrid w:val="0"/>
        <w:spacing w:line="460" w:lineRule="atLeast"/>
        <w:ind w:firstLine="440" w:firstLineChars="200"/>
        <w:rPr>
          <w:rFonts w:hint="eastAsia" w:ascii="宋体" w:hAnsi="宋体" w:cs="宋体"/>
          <w:bCs/>
          <w:color w:val="auto"/>
          <w:sz w:val="22"/>
          <w:szCs w:val="22"/>
        </w:rPr>
      </w:pPr>
      <w:r>
        <w:rPr>
          <w:rFonts w:hint="eastAsia" w:ascii="宋体" w:hAnsi="宋体" w:cs="宋体"/>
          <w:bCs/>
          <w:color w:val="auto"/>
          <w:sz w:val="22"/>
          <w:szCs w:val="22"/>
        </w:rPr>
        <w:t>（8）QB/T 2454              家具五金  抽屉导轨　要求和检验</w:t>
      </w:r>
    </w:p>
    <w:p w14:paraId="0BBB8DA8">
      <w:pPr>
        <w:snapToGrid w:val="0"/>
        <w:spacing w:line="460" w:lineRule="atLeast"/>
        <w:ind w:firstLine="440" w:firstLineChars="200"/>
        <w:rPr>
          <w:rFonts w:hint="eastAsia" w:ascii="宋体" w:hAnsi="宋体" w:cs="宋体"/>
          <w:bCs/>
          <w:color w:val="auto"/>
          <w:sz w:val="22"/>
          <w:szCs w:val="22"/>
        </w:rPr>
      </w:pPr>
      <w:r>
        <w:rPr>
          <w:rFonts w:hint="eastAsia" w:ascii="宋体" w:hAnsi="宋体" w:cs="宋体"/>
          <w:bCs/>
          <w:color w:val="auto"/>
          <w:sz w:val="22"/>
          <w:szCs w:val="22"/>
        </w:rPr>
        <w:t>（9）GB 18584《室内装饰装修材料 木家具中有害物质限量》</w:t>
      </w:r>
    </w:p>
    <w:p w14:paraId="4F59E095">
      <w:pPr>
        <w:snapToGrid w:val="0"/>
        <w:spacing w:line="460" w:lineRule="atLeast"/>
        <w:ind w:firstLine="440" w:firstLineChars="200"/>
        <w:rPr>
          <w:rFonts w:hint="eastAsia" w:ascii="宋体" w:hAnsi="宋体" w:cs="宋体"/>
          <w:bCs/>
          <w:color w:val="auto"/>
          <w:sz w:val="22"/>
          <w:szCs w:val="22"/>
        </w:rPr>
      </w:pPr>
      <w:r>
        <w:rPr>
          <w:rFonts w:hint="eastAsia" w:ascii="宋体" w:hAnsi="宋体" w:cs="宋体"/>
          <w:bCs/>
          <w:color w:val="auto"/>
          <w:sz w:val="22"/>
          <w:szCs w:val="22"/>
        </w:rPr>
        <w:t>（10）GB 18583《室内装饰装修材料 胶粘剂中有害物质限量》</w:t>
      </w:r>
    </w:p>
    <w:p w14:paraId="1FD67E80">
      <w:pPr>
        <w:snapToGrid w:val="0"/>
        <w:spacing w:line="460" w:lineRule="atLeast"/>
        <w:ind w:firstLine="440" w:firstLineChars="200"/>
        <w:rPr>
          <w:rFonts w:hint="eastAsia" w:ascii="宋体" w:hAnsi="宋体" w:cs="宋体"/>
          <w:bCs/>
          <w:color w:val="auto"/>
          <w:sz w:val="22"/>
          <w:szCs w:val="22"/>
        </w:rPr>
      </w:pPr>
      <w:r>
        <w:rPr>
          <w:rFonts w:hint="eastAsia" w:ascii="宋体" w:hAnsi="宋体" w:cs="宋体"/>
          <w:bCs/>
          <w:color w:val="auto"/>
          <w:sz w:val="22"/>
          <w:szCs w:val="22"/>
        </w:rPr>
        <w:t>（11）GB 18581《室内装饰装修材料 溶剂型木器涂料中有害物质限量》</w:t>
      </w:r>
    </w:p>
    <w:p w14:paraId="18640133">
      <w:pPr>
        <w:snapToGrid w:val="0"/>
        <w:spacing w:line="460" w:lineRule="atLeast"/>
        <w:ind w:firstLine="440" w:firstLineChars="200"/>
        <w:rPr>
          <w:rFonts w:hint="eastAsia" w:ascii="宋体" w:hAnsi="宋体" w:cs="宋体"/>
          <w:bCs/>
          <w:color w:val="auto"/>
          <w:sz w:val="22"/>
          <w:szCs w:val="22"/>
        </w:rPr>
      </w:pPr>
      <w:r>
        <w:rPr>
          <w:rFonts w:hint="eastAsia" w:ascii="宋体" w:hAnsi="宋体" w:cs="宋体"/>
          <w:bCs/>
          <w:color w:val="auto"/>
          <w:sz w:val="22"/>
          <w:szCs w:val="22"/>
        </w:rPr>
        <w:t>（12）GB 18580《室内装饰装修材料 人造板及其制品中甲醛释放量限量》</w:t>
      </w:r>
    </w:p>
    <w:p w14:paraId="42897485">
      <w:pPr>
        <w:snapToGrid w:val="0"/>
        <w:spacing w:line="460" w:lineRule="atLeast"/>
        <w:ind w:firstLine="440" w:firstLineChars="200"/>
        <w:rPr>
          <w:rFonts w:hint="eastAsia" w:ascii="宋体" w:hAnsi="宋体" w:cs="宋体"/>
          <w:bCs/>
          <w:color w:val="auto"/>
          <w:sz w:val="22"/>
          <w:szCs w:val="22"/>
        </w:rPr>
      </w:pPr>
      <w:r>
        <w:rPr>
          <w:rFonts w:hint="eastAsia" w:ascii="宋体" w:hAnsi="宋体" w:cs="宋体"/>
          <w:bCs/>
          <w:color w:val="auto"/>
          <w:sz w:val="22"/>
          <w:szCs w:val="22"/>
        </w:rPr>
        <w:t>（13）GB/T 3976《学校课座椅功能尺寸及技术要求》</w:t>
      </w:r>
    </w:p>
    <w:p w14:paraId="321C39EA">
      <w:pPr>
        <w:snapToGrid w:val="0"/>
        <w:spacing w:line="460" w:lineRule="atLeast"/>
        <w:ind w:firstLine="440" w:firstLineChars="200"/>
        <w:rPr>
          <w:rFonts w:hint="eastAsia" w:ascii="宋体" w:hAnsi="宋体" w:cs="宋体"/>
          <w:bCs/>
          <w:color w:val="auto"/>
          <w:sz w:val="22"/>
          <w:szCs w:val="22"/>
        </w:rPr>
      </w:pPr>
      <w:r>
        <w:rPr>
          <w:rFonts w:hint="eastAsia" w:ascii="宋体" w:hAnsi="宋体" w:cs="宋体"/>
          <w:bCs/>
          <w:color w:val="auto"/>
          <w:sz w:val="22"/>
          <w:szCs w:val="22"/>
        </w:rPr>
        <w:t>（14）中国国家标准及其它被普遍认可的标准</w:t>
      </w:r>
    </w:p>
    <w:p w14:paraId="11E8CA4F">
      <w:pPr>
        <w:snapToGrid w:val="0"/>
        <w:spacing w:line="460" w:lineRule="atLeast"/>
        <w:ind w:firstLine="440" w:firstLineChars="200"/>
        <w:rPr>
          <w:rFonts w:hint="eastAsia" w:ascii="宋体" w:hAnsi="宋体" w:cs="宋体"/>
          <w:bCs/>
          <w:color w:val="auto"/>
          <w:sz w:val="22"/>
          <w:szCs w:val="22"/>
        </w:rPr>
      </w:pPr>
      <w:r>
        <w:rPr>
          <w:rFonts w:hint="eastAsia" w:ascii="宋体" w:hAnsi="宋体" w:cs="宋体"/>
          <w:bCs/>
          <w:color w:val="auto"/>
          <w:sz w:val="22"/>
          <w:szCs w:val="22"/>
        </w:rPr>
        <w:t>（15）由采购人认可的其他国家的其他标准</w:t>
      </w:r>
    </w:p>
    <w:p w14:paraId="2E263E12">
      <w:pPr>
        <w:snapToGrid w:val="0"/>
        <w:spacing w:line="460" w:lineRule="atLeast"/>
        <w:ind w:firstLine="550" w:firstLineChars="250"/>
        <w:rPr>
          <w:rFonts w:hint="eastAsia" w:ascii="宋体" w:hAnsi="宋体" w:cs="宋体"/>
          <w:bCs/>
          <w:color w:val="auto"/>
          <w:sz w:val="22"/>
          <w:szCs w:val="22"/>
        </w:rPr>
      </w:pPr>
      <w:r>
        <w:rPr>
          <w:rFonts w:hint="eastAsia" w:ascii="宋体" w:hAnsi="宋体" w:cs="宋体"/>
          <w:bCs/>
          <w:color w:val="auto"/>
          <w:sz w:val="22"/>
          <w:szCs w:val="22"/>
        </w:rPr>
        <w:t>以上规范和标准应以实施的最新版本为准。原有规范若已被废弃，则以相应的新规范为准。</w:t>
      </w:r>
    </w:p>
    <w:p w14:paraId="7653D6DC">
      <w:pPr>
        <w:snapToGrid w:val="0"/>
        <w:spacing w:line="460" w:lineRule="atLeast"/>
        <w:ind w:firstLine="550" w:firstLineChars="250"/>
        <w:rPr>
          <w:rFonts w:hint="eastAsia" w:ascii="宋体" w:hAnsi="宋体" w:cs="宋体"/>
          <w:bCs/>
          <w:color w:val="auto"/>
          <w:sz w:val="22"/>
          <w:szCs w:val="22"/>
        </w:rPr>
      </w:pPr>
      <w:r>
        <w:rPr>
          <w:rFonts w:hint="eastAsia" w:ascii="宋体" w:hAnsi="宋体" w:cs="宋体"/>
          <w:bCs/>
          <w:color w:val="auto"/>
          <w:sz w:val="22"/>
          <w:szCs w:val="22"/>
          <w:lang w:val="en-US" w:eastAsia="zh-CN"/>
        </w:rPr>
        <w:t>投标人</w:t>
      </w:r>
      <w:r>
        <w:rPr>
          <w:rFonts w:hint="eastAsia" w:ascii="宋体" w:hAnsi="宋体" w:cs="宋体"/>
          <w:bCs/>
          <w:color w:val="auto"/>
          <w:sz w:val="22"/>
          <w:szCs w:val="22"/>
        </w:rPr>
        <w:t>应对所提供的货物材料性能、质量负责，并提供相应的指导安装、服务、质保。采购的货物所涉及的产品标准、规范，验收标准等，应符合国家有关条例及标准的规定。</w:t>
      </w:r>
    </w:p>
    <w:p w14:paraId="4DE755F9">
      <w:pPr>
        <w:snapToGrid w:val="0"/>
        <w:spacing w:line="460" w:lineRule="atLeast"/>
        <w:ind w:left="550" w:hanging="550" w:hangingChars="250"/>
        <w:rPr>
          <w:rFonts w:hint="eastAsia" w:ascii="宋体" w:hAnsi="宋体" w:cs="宋体"/>
          <w:b/>
          <w:color w:val="auto"/>
          <w:sz w:val="22"/>
          <w:szCs w:val="22"/>
        </w:rPr>
      </w:pPr>
      <w:r>
        <w:rPr>
          <w:rFonts w:hint="eastAsia" w:ascii="宋体" w:hAnsi="宋体" w:cs="宋体"/>
          <w:bCs/>
          <w:color w:val="auto"/>
          <w:sz w:val="22"/>
          <w:szCs w:val="22"/>
        </w:rPr>
        <w:t>9.   本次招标的货物如涉及国家规定强制认证的，均视为</w:t>
      </w:r>
      <w:r>
        <w:rPr>
          <w:rFonts w:hint="eastAsia" w:ascii="宋体" w:hAnsi="宋体" w:cs="宋体"/>
          <w:bCs/>
          <w:color w:val="auto"/>
          <w:sz w:val="22"/>
          <w:szCs w:val="22"/>
          <w:lang w:val="en-US" w:eastAsia="zh-CN"/>
        </w:rPr>
        <w:t>投标人</w:t>
      </w:r>
      <w:r>
        <w:rPr>
          <w:rFonts w:hint="eastAsia" w:ascii="宋体" w:hAnsi="宋体" w:cs="宋体"/>
          <w:bCs/>
          <w:color w:val="auto"/>
          <w:sz w:val="22"/>
          <w:szCs w:val="22"/>
        </w:rPr>
        <w:t>投标产品符合了工业品生产许可证，3C认证，环保产品认证等强制认证规定的，</w:t>
      </w:r>
      <w:r>
        <w:rPr>
          <w:rFonts w:hint="eastAsia" w:ascii="宋体" w:hAnsi="宋体" w:cs="宋体"/>
          <w:bCs/>
          <w:color w:val="auto"/>
          <w:sz w:val="22"/>
          <w:szCs w:val="22"/>
          <w:lang w:val="en-US" w:eastAsia="zh-CN"/>
        </w:rPr>
        <w:t>投标人</w:t>
      </w:r>
      <w:r>
        <w:rPr>
          <w:rFonts w:hint="eastAsia" w:ascii="宋体" w:hAnsi="宋体" w:cs="宋体"/>
          <w:bCs/>
          <w:color w:val="auto"/>
          <w:sz w:val="22"/>
          <w:szCs w:val="22"/>
        </w:rPr>
        <w:t>须在采购人对上述货物验收时提供相关证书证明资料（上述货物相关强制认证的证明文件投标时不需提供），否则按验收不能通过处理，并对</w:t>
      </w:r>
      <w:r>
        <w:rPr>
          <w:rFonts w:hint="eastAsia" w:ascii="宋体" w:hAnsi="宋体" w:cs="宋体"/>
          <w:bCs/>
          <w:color w:val="auto"/>
          <w:sz w:val="22"/>
          <w:szCs w:val="22"/>
          <w:lang w:val="en-US" w:eastAsia="zh-CN"/>
        </w:rPr>
        <w:t>中标人</w:t>
      </w:r>
      <w:r>
        <w:rPr>
          <w:rFonts w:hint="eastAsia" w:ascii="宋体" w:hAnsi="宋体" w:cs="宋体"/>
          <w:bCs/>
          <w:color w:val="auto"/>
          <w:sz w:val="22"/>
          <w:szCs w:val="22"/>
        </w:rPr>
        <w:t>处以合同总金额10%的违约金罚款。</w:t>
      </w:r>
    </w:p>
    <w:p w14:paraId="4123A576">
      <w:pPr>
        <w:rPr>
          <w:color w:val="auto"/>
        </w:rPr>
      </w:pPr>
    </w:p>
    <w:p w14:paraId="7B15BFBB">
      <w:pPr>
        <w:rPr>
          <w:rFonts w:hint="eastAsia" w:ascii="宋体" w:hAnsi="宋体" w:eastAsia="黑体" w:cs="宋体"/>
          <w:b/>
          <w:bCs/>
          <w:color w:val="auto"/>
          <w:kern w:val="2"/>
          <w:sz w:val="22"/>
          <w:szCs w:val="28"/>
          <w:lang w:val="en-US" w:eastAsia="zh-CN" w:bidi="ar-SA"/>
        </w:rPr>
      </w:pPr>
      <w:bookmarkStart w:id="110" w:name="_Toc20424"/>
      <w:r>
        <w:rPr>
          <w:rFonts w:hint="eastAsia" w:ascii="宋体" w:hAnsi="宋体" w:eastAsia="黑体" w:cs="宋体"/>
          <w:b/>
          <w:bCs/>
          <w:color w:val="auto"/>
          <w:kern w:val="2"/>
          <w:sz w:val="22"/>
          <w:szCs w:val="28"/>
          <w:lang w:val="en-US" w:eastAsia="zh-CN" w:bidi="ar-SA"/>
        </w:rPr>
        <w:br w:type="page"/>
      </w:r>
    </w:p>
    <w:bookmarkEnd w:id="108"/>
    <w:bookmarkEnd w:id="110"/>
    <w:p w14:paraId="4EA05202">
      <w:pPr>
        <w:spacing w:line="440" w:lineRule="exact"/>
        <w:rPr>
          <w:rFonts w:hint="eastAsia" w:ascii="宋体" w:hAnsi="宋体" w:cs="宋体"/>
          <w:b/>
          <w:bCs/>
          <w:color w:val="auto"/>
          <w:sz w:val="22"/>
          <w:szCs w:val="28"/>
        </w:rPr>
        <w:sectPr>
          <w:headerReference r:id="rId12" w:type="default"/>
          <w:footerReference r:id="rId13" w:type="default"/>
          <w:pgSz w:w="11906" w:h="16838"/>
          <w:pgMar w:top="1134" w:right="1134" w:bottom="1134" w:left="1134" w:header="851" w:footer="992" w:gutter="0"/>
          <w:cols w:space="720" w:num="1"/>
          <w:docGrid w:linePitch="312" w:charSpace="0"/>
        </w:sectPr>
      </w:pPr>
    </w:p>
    <w:p w14:paraId="619BDB71">
      <w:pPr>
        <w:pStyle w:val="5"/>
        <w:numPr>
          <w:ilvl w:val="0"/>
          <w:numId w:val="0"/>
        </w:numPr>
        <w:spacing w:line="680" w:lineRule="exact"/>
        <w:jc w:val="center"/>
        <w:rPr>
          <w:rFonts w:hint="eastAsia" w:ascii="宋体" w:hAnsi="宋体" w:cs="宋体"/>
          <w:color w:val="auto"/>
          <w:sz w:val="22"/>
          <w:szCs w:val="28"/>
        </w:rPr>
      </w:pPr>
      <w:bookmarkStart w:id="111" w:name="_Toc30240"/>
      <w:r>
        <w:rPr>
          <w:rFonts w:hint="eastAsia" w:ascii="宋体" w:hAnsi="宋体" w:eastAsia="宋体"/>
          <w:color w:val="auto"/>
          <w:sz w:val="28"/>
          <w:szCs w:val="28"/>
          <w:lang w:val="en-US" w:eastAsia="zh-CN"/>
        </w:rPr>
        <w:t>二、</w:t>
      </w:r>
      <w:r>
        <w:rPr>
          <w:rFonts w:hint="eastAsia" w:ascii="宋体" w:hAnsi="宋体" w:eastAsia="宋体"/>
          <w:color w:val="auto"/>
          <w:sz w:val="28"/>
          <w:szCs w:val="28"/>
        </w:rPr>
        <w:t>采购内容及要求</w:t>
      </w:r>
      <w:bookmarkEnd w:id="111"/>
    </w:p>
    <w:p w14:paraId="5A4303FB">
      <w:pPr>
        <w:spacing w:line="440" w:lineRule="exact"/>
        <w:rPr>
          <w:color w:val="auto"/>
        </w:rPr>
      </w:pPr>
      <w:r>
        <w:rPr>
          <w:rFonts w:hint="eastAsia" w:ascii="宋体" w:hAnsi="宋体" w:cs="宋体"/>
          <w:b/>
          <w:bCs/>
          <w:color w:val="auto"/>
          <w:sz w:val="22"/>
          <w:szCs w:val="28"/>
          <w:lang w:val="en-US" w:eastAsia="zh-CN"/>
        </w:rPr>
        <w:t>1</w:t>
      </w:r>
      <w:r>
        <w:rPr>
          <w:rFonts w:hint="eastAsia" w:ascii="宋体" w:hAnsi="宋体" w:cs="宋体"/>
          <w:b/>
          <w:bCs/>
          <w:color w:val="auto"/>
          <w:sz w:val="22"/>
          <w:szCs w:val="28"/>
        </w:rPr>
        <w:t xml:space="preserve">.  </w:t>
      </w:r>
      <w:r>
        <w:rPr>
          <w:rFonts w:hint="eastAsia" w:ascii="宋体" w:hAnsi="宋体" w:cs="宋体"/>
          <w:b/>
          <w:bCs/>
          <w:color w:val="auto"/>
          <w:sz w:val="22"/>
          <w:szCs w:val="28"/>
          <w:lang w:val="en-US" w:eastAsia="zh-CN"/>
        </w:rPr>
        <w:t>采购内容及</w:t>
      </w:r>
      <w:r>
        <w:rPr>
          <w:rFonts w:hint="eastAsia" w:ascii="宋体" w:hAnsi="宋体" w:cs="宋体"/>
          <w:b/>
          <w:bCs/>
          <w:color w:val="auto"/>
          <w:sz w:val="22"/>
          <w:szCs w:val="28"/>
        </w:rPr>
        <w:t>参数功能要求</w:t>
      </w:r>
    </w:p>
    <w:tbl>
      <w:tblPr>
        <w:tblStyle w:val="38"/>
        <w:tblW w:w="49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8"/>
        <w:gridCol w:w="1046"/>
        <w:gridCol w:w="2065"/>
        <w:gridCol w:w="8075"/>
        <w:gridCol w:w="540"/>
        <w:gridCol w:w="615"/>
        <w:gridCol w:w="1892"/>
      </w:tblGrid>
      <w:tr w14:paraId="79C67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 w:type="pct"/>
            <w:vAlign w:val="center"/>
          </w:tcPr>
          <w:p w14:paraId="51D492F6">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序号</w:t>
            </w:r>
          </w:p>
        </w:tc>
        <w:tc>
          <w:tcPr>
            <w:tcW w:w="354" w:type="pct"/>
            <w:vAlign w:val="center"/>
          </w:tcPr>
          <w:p w14:paraId="5EA8069E">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设备名称</w:t>
            </w:r>
          </w:p>
        </w:tc>
        <w:tc>
          <w:tcPr>
            <w:tcW w:w="699" w:type="pct"/>
            <w:vAlign w:val="center"/>
          </w:tcPr>
          <w:p w14:paraId="13A91F61">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规格</w:t>
            </w:r>
          </w:p>
        </w:tc>
        <w:tc>
          <w:tcPr>
            <w:tcW w:w="2737" w:type="pct"/>
            <w:vAlign w:val="center"/>
          </w:tcPr>
          <w:p w14:paraId="1E9E1118">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主要技术参数</w:t>
            </w:r>
          </w:p>
        </w:tc>
        <w:tc>
          <w:tcPr>
            <w:tcW w:w="183" w:type="pct"/>
            <w:vAlign w:val="center"/>
          </w:tcPr>
          <w:p w14:paraId="4E38887E">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单位</w:t>
            </w:r>
          </w:p>
        </w:tc>
        <w:tc>
          <w:tcPr>
            <w:tcW w:w="208" w:type="pct"/>
            <w:vAlign w:val="center"/>
          </w:tcPr>
          <w:p w14:paraId="537641C2">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数量</w:t>
            </w:r>
          </w:p>
        </w:tc>
        <w:tc>
          <w:tcPr>
            <w:tcW w:w="641" w:type="pct"/>
            <w:vAlign w:val="center"/>
          </w:tcPr>
          <w:p w14:paraId="77E11143">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参考图片</w:t>
            </w:r>
          </w:p>
        </w:tc>
      </w:tr>
      <w:tr w14:paraId="4BEE1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vAlign w:val="center"/>
          </w:tcPr>
          <w:p w14:paraId="2B68E094">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12#楼前厅</w:t>
            </w:r>
          </w:p>
        </w:tc>
      </w:tr>
      <w:tr w14:paraId="0B6E1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175" w:type="pct"/>
            <w:vAlign w:val="center"/>
          </w:tcPr>
          <w:p w14:paraId="131D2BA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auto"/>
                <w:kern w:val="2"/>
                <w:sz w:val="22"/>
                <w:szCs w:val="22"/>
                <w:highlight w:val="none"/>
                <w:lang w:val="en-US" w:eastAsia="zh-CN" w:bidi="ar-SA"/>
              </w:rPr>
              <w:t>1</w:t>
            </w:r>
          </w:p>
        </w:tc>
        <w:tc>
          <w:tcPr>
            <w:tcW w:w="354" w:type="pct"/>
            <w:vAlign w:val="center"/>
          </w:tcPr>
          <w:p w14:paraId="44FB81D2">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接待台</w:t>
            </w:r>
          </w:p>
        </w:tc>
        <w:tc>
          <w:tcPr>
            <w:tcW w:w="699" w:type="pct"/>
            <w:vAlign w:val="center"/>
          </w:tcPr>
          <w:p w14:paraId="746921F9">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W3800*D750*H1050</w:t>
            </w:r>
          </w:p>
        </w:tc>
        <w:tc>
          <w:tcPr>
            <w:tcW w:w="2737" w:type="pct"/>
            <w:vAlign w:val="center"/>
          </w:tcPr>
          <w:p w14:paraId="6842AAB9">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1、基材：均采用E0级中密度纤维板，质量符合GB/T 11718-2021 《中密度纤维板》、GB/T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要求，抗菌率&gt;97%；防火性能符合GB8624-2012《建筑材料及制品燃烧性能分级》达到B1级。</w:t>
            </w:r>
          </w:p>
          <w:p w14:paraId="670E067A">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2、面材：木皮贴面采用优质天然木皮，厚度为0.6mm，木皮纹理颜色一致，无结疤，无瑕疵。</w:t>
            </w:r>
          </w:p>
          <w:p w14:paraId="7D9B55C9">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3、五金件：采用钢制阻尼铰链，质量符合QB/T 2189-2013 ，其中耐久性测试80000次；三节滚珠滑轨，质量符合QB/T 2454-2013，其中耐久性测试80000次；家具锁，电镀件外露表面经12h的中性盐雾试验（QB/T 3826-1999）后，外观评级≥9级，表面无锈蚀痕迹、鼓泡、开裂、毛刺、露底。</w:t>
            </w:r>
          </w:p>
          <w:p w14:paraId="45C56E61">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p w14:paraId="282B628A">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5、人造石面：优质人造石，纹理清晰美观，安全卫生，抗污抗菌，耐高温性，耐刮磨，耐腐蚀，易清洁。</w:t>
            </w:r>
          </w:p>
          <w:p w14:paraId="5C836055">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6、详细尺寸：人造石厚度≥12mm，桌面厚度≥50mm，抽屉底板≥5mm，其余板材≥16mm。</w:t>
            </w:r>
          </w:p>
        </w:tc>
        <w:tc>
          <w:tcPr>
            <w:tcW w:w="183" w:type="pct"/>
            <w:vAlign w:val="center"/>
          </w:tcPr>
          <w:p w14:paraId="24C3FE5D">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张</w:t>
            </w:r>
          </w:p>
        </w:tc>
        <w:tc>
          <w:tcPr>
            <w:tcW w:w="208" w:type="pct"/>
            <w:vAlign w:val="center"/>
          </w:tcPr>
          <w:p w14:paraId="5926BA40">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w:t>
            </w:r>
          </w:p>
        </w:tc>
        <w:tc>
          <w:tcPr>
            <w:tcW w:w="641" w:type="pct"/>
            <w:vAlign w:val="center"/>
          </w:tcPr>
          <w:p w14:paraId="66CC6960">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anchor distT="0" distB="0" distL="114300" distR="114300" simplePos="0" relativeHeight="251659264" behindDoc="1" locked="0" layoutInCell="1" allowOverlap="1">
                  <wp:simplePos x="0" y="0"/>
                  <wp:positionH relativeFrom="column">
                    <wp:posOffset>-68580</wp:posOffset>
                  </wp:positionH>
                  <wp:positionV relativeFrom="paragraph">
                    <wp:posOffset>116840</wp:posOffset>
                  </wp:positionV>
                  <wp:extent cx="1217930" cy="899795"/>
                  <wp:effectExtent l="0" t="0" r="1270" b="14605"/>
                  <wp:wrapTight wrapText="bothSides">
                    <wp:wrapPolygon>
                      <wp:start x="0" y="0"/>
                      <wp:lineTo x="0" y="21219"/>
                      <wp:lineTo x="21352" y="21219"/>
                      <wp:lineTo x="21352" y="0"/>
                      <wp:lineTo x="0" y="0"/>
                    </wp:wrapPolygon>
                  </wp:wrapTight>
                  <wp:docPr id="38" name="图片 6" descr=" "/>
                  <wp:cNvGraphicFramePr/>
                  <a:graphic xmlns:a="http://schemas.openxmlformats.org/drawingml/2006/main">
                    <a:graphicData uri="http://schemas.openxmlformats.org/drawingml/2006/picture">
                      <pic:pic xmlns:pic="http://schemas.openxmlformats.org/drawingml/2006/picture">
                        <pic:nvPicPr>
                          <pic:cNvPr id="38" name="图片 6" descr=" "/>
                          <pic:cNvPicPr/>
                        </pic:nvPicPr>
                        <pic:blipFill>
                          <a:blip r:embed="rId15"/>
                          <a:srcRect l="7365" t="32528" r="11741"/>
                          <a:stretch>
                            <a:fillRect/>
                          </a:stretch>
                        </pic:blipFill>
                        <pic:spPr>
                          <a:xfrm>
                            <a:off x="0" y="0"/>
                            <a:ext cx="1217930" cy="899795"/>
                          </a:xfrm>
                          <a:prstGeom prst="rect">
                            <a:avLst/>
                          </a:prstGeom>
                          <a:noFill/>
                          <a:ln w="9525" cap="flat" cmpd="sng">
                            <a:noFill/>
                            <a:prstDash val="solid"/>
                            <a:miter/>
                          </a:ln>
                          <a:effectLst/>
                        </pic:spPr>
                      </pic:pic>
                    </a:graphicData>
                  </a:graphic>
                </wp:anchor>
              </w:drawing>
            </w:r>
          </w:p>
        </w:tc>
      </w:tr>
      <w:tr w14:paraId="7B9E5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 w:type="pct"/>
            <w:vAlign w:val="center"/>
          </w:tcPr>
          <w:p w14:paraId="53C83423">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auto"/>
                <w:kern w:val="2"/>
                <w:sz w:val="22"/>
                <w:szCs w:val="22"/>
                <w:highlight w:val="none"/>
                <w:lang w:val="en-US" w:eastAsia="zh-CN" w:bidi="ar-SA"/>
              </w:rPr>
              <w:t>2</w:t>
            </w:r>
          </w:p>
        </w:tc>
        <w:tc>
          <w:tcPr>
            <w:tcW w:w="354" w:type="pct"/>
            <w:vAlign w:val="center"/>
          </w:tcPr>
          <w:p w14:paraId="044D88A1">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接待椅</w:t>
            </w:r>
          </w:p>
        </w:tc>
        <w:tc>
          <w:tcPr>
            <w:tcW w:w="699" w:type="pct"/>
            <w:vAlign w:val="center"/>
          </w:tcPr>
          <w:p w14:paraId="3BFC73D1">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W745*D720*H1170-1265MM</w:t>
            </w:r>
          </w:p>
          <w:p w14:paraId="3AFC75CF">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（±10mm）</w:t>
            </w:r>
          </w:p>
        </w:tc>
        <w:tc>
          <w:tcPr>
            <w:tcW w:w="2737" w:type="pct"/>
            <w:vAlign w:val="center"/>
          </w:tcPr>
          <w:p w14:paraId="2A3B692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1、面料：靠背、座垫和头枕采用环保优质高弹性、强韧抗拉特网，透气耐磨，亲肤舒适，阻燃、撕裂和拉伸性能均符合国家标准</w:t>
            </w:r>
            <w:r>
              <w:rPr>
                <w:rFonts w:hint="eastAsia" w:ascii="宋体" w:hAnsi="宋体" w:cs="宋体"/>
                <w:i w:val="0"/>
                <w:iCs w:val="0"/>
                <w:color w:val="auto"/>
                <w:kern w:val="0"/>
                <w:sz w:val="22"/>
                <w:szCs w:val="22"/>
                <w:highlight w:val="none"/>
                <w:u w:val="none"/>
                <w:lang w:val="en-US" w:eastAsia="zh-CN" w:bidi="ar"/>
              </w:rPr>
              <w:t>。</w:t>
            </w:r>
          </w:p>
          <w:p w14:paraId="02BDC713">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2、头枕：头枕骨架采用PA材质加高强度玻璃纤维，环抱式护颈设计可升降翻转调节，头枕强度符合QB2280标准，阻燃性能符合国家标准。</w:t>
            </w:r>
          </w:p>
          <w:p w14:paraId="2943221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3、椅背：腰背分离式优质靠背骨架采用PA材质加高强度玻璃纤维，靠背强度符合QB2280标准，阻燃性能符合国家标准。</w:t>
            </w:r>
          </w:p>
          <w:p w14:paraId="6C32FBB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4、扶手：任意角度多维调节结构设计，满足手部承托所以空间，扶手向后可旋转180°，内向旋转40°整体旋转平面角度220°，PA尼龙加纤扶手内管柱，PP塑胶扶手外壳，PU扶手面手感舒适，柔软耐磨。高低升降可调，调距＞5cm；扶手面可前后调整＞4CM，满足不同使用者都能够让手臂及肩肘得到有效支撑；扶手垂直测试115公斤，水平测试68公斤，强度符合QB2280标准。                                        </w:t>
            </w:r>
          </w:p>
          <w:p w14:paraId="4371D52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5、座垫：坐垫骨架采用PA材质加高强度玻璃纤维制成，填充物高密度定型海绵，面料为环保透气特网座垫，强度符合QB2280标准，阻燃性能符合国家标准。</w:t>
            </w:r>
          </w:p>
          <w:p w14:paraId="5830C8F8">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6、底盘：采用同步倾仰底盘,采用2.5mm加厚钢板，材质Q235,倾仰角度23度，倾仰机构底盘，承载109公斤30万次倾斜耐久测试，机构运动无干涉，无噪音，符合QB2280标准。    </w:t>
            </w:r>
          </w:p>
          <w:p w14:paraId="51F9CFF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7、气杆：棒芯采用2.5mm的优质无缝钢管，3级气杆标准，通过施加载荷循环测试10万次旋转、升降测试，符合QB2280标准。</w:t>
            </w:r>
          </w:p>
          <w:p w14:paraId="5D8535A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8、椅脚：采用精密喷塑KD拆装矩形钢铁管，压铸一体成型，椅脚直径660mm；静压测试1136kg 、冲击测试136公斤，符合QB2280标准。</w:t>
            </w:r>
          </w:p>
          <w:p w14:paraId="2691DE94">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9、脚轮：采用PA+30%玻璃纤维材料，组装后经过高温热处理，轮片直径60mm。经10万次行走循环测试和136公斤冲击测试，符合QB2280标准，通过负16度低温测试。</w:t>
            </w:r>
          </w:p>
        </w:tc>
        <w:tc>
          <w:tcPr>
            <w:tcW w:w="183" w:type="pct"/>
            <w:vAlign w:val="center"/>
          </w:tcPr>
          <w:p w14:paraId="5D847DD7">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张</w:t>
            </w:r>
          </w:p>
        </w:tc>
        <w:tc>
          <w:tcPr>
            <w:tcW w:w="208" w:type="pct"/>
            <w:vAlign w:val="center"/>
          </w:tcPr>
          <w:p w14:paraId="6BBFBDF8">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w:t>
            </w:r>
          </w:p>
        </w:tc>
        <w:tc>
          <w:tcPr>
            <w:tcW w:w="641" w:type="pct"/>
            <w:vAlign w:val="center"/>
          </w:tcPr>
          <w:p w14:paraId="52181AAC">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anchor distT="0" distB="0" distL="114300" distR="114300" simplePos="0" relativeHeight="251660288" behindDoc="1" locked="0" layoutInCell="1" allowOverlap="1">
                  <wp:simplePos x="0" y="0"/>
                  <wp:positionH relativeFrom="column">
                    <wp:posOffset>13970</wp:posOffset>
                  </wp:positionH>
                  <wp:positionV relativeFrom="paragraph">
                    <wp:posOffset>88900</wp:posOffset>
                  </wp:positionV>
                  <wp:extent cx="1089025" cy="1747520"/>
                  <wp:effectExtent l="0" t="0" r="8255" b="5080"/>
                  <wp:wrapTight wrapText="bothSides">
                    <wp:wrapPolygon>
                      <wp:start x="441" y="0"/>
                      <wp:lineTo x="441" y="21474"/>
                      <wp:lineTo x="21600" y="21474"/>
                      <wp:lineTo x="21600" y="0"/>
                      <wp:lineTo x="441" y="0"/>
                    </wp:wrapPolygon>
                  </wp:wrapTight>
                  <wp:docPr id="63"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2"/>
                          <pic:cNvPicPr>
                            <a:picLocks noChangeAspect="1"/>
                          </pic:cNvPicPr>
                        </pic:nvPicPr>
                        <pic:blipFill>
                          <a:blip r:embed="rId16"/>
                          <a:stretch>
                            <a:fillRect/>
                          </a:stretch>
                        </pic:blipFill>
                        <pic:spPr>
                          <a:xfrm flipH="1">
                            <a:off x="0" y="0"/>
                            <a:ext cx="1089025" cy="1747520"/>
                          </a:xfrm>
                          <a:prstGeom prst="rect">
                            <a:avLst/>
                          </a:prstGeom>
                        </pic:spPr>
                      </pic:pic>
                    </a:graphicData>
                  </a:graphic>
                </wp:anchor>
              </w:drawing>
            </w:r>
          </w:p>
        </w:tc>
      </w:tr>
      <w:tr w14:paraId="7BE45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vAlign w:val="center"/>
          </w:tcPr>
          <w:p w14:paraId="5F40F827">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12#楼体育馆</w:t>
            </w:r>
          </w:p>
        </w:tc>
      </w:tr>
      <w:tr w14:paraId="5E822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 w:type="pct"/>
            <w:vAlign w:val="center"/>
          </w:tcPr>
          <w:p w14:paraId="0ECC3A93">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auto"/>
                <w:kern w:val="2"/>
                <w:sz w:val="22"/>
                <w:szCs w:val="22"/>
                <w:highlight w:val="none"/>
                <w:lang w:val="en-US" w:eastAsia="zh-CN" w:bidi="ar-SA"/>
              </w:rPr>
              <w:t>3</w:t>
            </w:r>
          </w:p>
        </w:tc>
        <w:tc>
          <w:tcPr>
            <w:tcW w:w="354" w:type="pct"/>
            <w:vAlign w:val="center"/>
          </w:tcPr>
          <w:p w14:paraId="2F443EBB">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定制长凳</w:t>
            </w:r>
            <w:r>
              <w:rPr>
                <w:rFonts w:hint="eastAsia" w:ascii="宋体" w:hAnsi="宋体" w:cs="宋体"/>
                <w:color w:val="auto"/>
                <w:sz w:val="22"/>
                <w:szCs w:val="22"/>
                <w:highlight w:val="none"/>
                <w:lang w:eastAsia="zh-CN"/>
              </w:rPr>
              <w:t>（根据现场实际尺寸确定单张长度，总长61米）</w:t>
            </w:r>
          </w:p>
        </w:tc>
        <w:tc>
          <w:tcPr>
            <w:tcW w:w="699" w:type="pct"/>
            <w:vAlign w:val="center"/>
          </w:tcPr>
          <w:p w14:paraId="52A68905">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W1000*D350*H450</w:t>
            </w:r>
          </w:p>
        </w:tc>
        <w:tc>
          <w:tcPr>
            <w:tcW w:w="2737" w:type="pct"/>
            <w:vAlign w:val="center"/>
          </w:tcPr>
          <w:p w14:paraId="7C225198">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1、基材：均采用E0级实木颗粒板，质量符合GB/T15102-2017《浸渍胶膜纸饰面纤维板和刨花板》、GB/T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要求，抗菌率&gt;97%；防火性能符合GB8624-2012《建筑材料及制品燃烧性能分级》达到B1级。</w:t>
            </w:r>
          </w:p>
          <w:p w14:paraId="1EA11BE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2、贴面：采用树脂浸渍纸（MFC）贴面，防火，并具阻燃、耐磨性强、清洁方便等特点。</w:t>
            </w:r>
          </w:p>
          <w:p w14:paraId="2938198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3、封边：加厚PVC封边，质量符合QB/T4463-2013《家具用封边条技术要求》标准，耐开裂性（耐龟裂性）≥1级；耐老化：无开裂</w:t>
            </w:r>
            <w:r>
              <w:rPr>
                <w:rFonts w:hint="eastAsia" w:ascii="宋体" w:hAnsi="宋体" w:cs="宋体"/>
                <w:i w:val="0"/>
                <w:iCs w:val="0"/>
                <w:color w:val="auto"/>
                <w:kern w:val="0"/>
                <w:sz w:val="22"/>
                <w:szCs w:val="22"/>
                <w:highlight w:val="none"/>
                <w:u w:val="none"/>
                <w:lang w:val="en-US" w:eastAsia="zh-CN" w:bidi="ar"/>
              </w:rPr>
              <w:t>。</w:t>
            </w:r>
          </w:p>
          <w:p w14:paraId="55E03348">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4、脚架：选用优质品牌钢材，焊接部分采用高标准满焊工艺，经脱脂、水洗、酸洗、水洗中和、表调、磷化、干燥等工艺处理，表面粉末涂料静电喷涂处理，表面无锈蚀痕迹、鼓泡、开裂、毛刺、露底。</w:t>
            </w:r>
          </w:p>
          <w:p w14:paraId="22BA505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5、五金件:采用优质五金配件，表面无锈蚀痕迹、鼓泡、开裂、毛刺、露底。</w:t>
            </w:r>
          </w:p>
          <w:p w14:paraId="04EE916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Chars="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6、详细尺寸：座板厚度≥25mm，脚架采用≥30*30mm方管，壁厚≥1.2mm，凳面长度根据现场实际，宽度350mm，钢架长度根据现场实际，宽度330mm，高度425mm</w:t>
            </w:r>
            <w:r>
              <w:rPr>
                <w:rFonts w:hint="eastAsia" w:ascii="宋体" w:hAnsi="宋体" w:cs="宋体"/>
                <w:i w:val="0"/>
                <w:iCs w:val="0"/>
                <w:color w:val="auto"/>
                <w:kern w:val="0"/>
                <w:sz w:val="22"/>
                <w:szCs w:val="22"/>
                <w:highlight w:val="none"/>
                <w:u w:val="none"/>
                <w:lang w:val="en-US" w:eastAsia="zh-CN" w:bidi="ar"/>
              </w:rPr>
              <w:t>。</w:t>
            </w:r>
          </w:p>
        </w:tc>
        <w:tc>
          <w:tcPr>
            <w:tcW w:w="183" w:type="pct"/>
            <w:vAlign w:val="center"/>
          </w:tcPr>
          <w:p w14:paraId="4F98537C">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米</w:t>
            </w:r>
          </w:p>
        </w:tc>
        <w:tc>
          <w:tcPr>
            <w:tcW w:w="208" w:type="pct"/>
            <w:vAlign w:val="center"/>
          </w:tcPr>
          <w:p w14:paraId="58FE29D4">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61</w:t>
            </w:r>
          </w:p>
        </w:tc>
        <w:tc>
          <w:tcPr>
            <w:tcW w:w="641" w:type="pct"/>
            <w:vAlign w:val="center"/>
          </w:tcPr>
          <w:p w14:paraId="56607D6B">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anchor distT="0" distB="0" distL="114300" distR="114300" simplePos="0" relativeHeight="251661312" behindDoc="1" locked="0" layoutInCell="1" allowOverlap="1">
                  <wp:simplePos x="0" y="0"/>
                  <wp:positionH relativeFrom="column">
                    <wp:posOffset>17145</wp:posOffset>
                  </wp:positionH>
                  <wp:positionV relativeFrom="paragraph">
                    <wp:posOffset>212090</wp:posOffset>
                  </wp:positionV>
                  <wp:extent cx="1054735" cy="866140"/>
                  <wp:effectExtent l="0" t="0" r="12065" b="2540"/>
                  <wp:wrapTight wrapText="bothSides">
                    <wp:wrapPolygon>
                      <wp:start x="0" y="0"/>
                      <wp:lineTo x="0" y="21283"/>
                      <wp:lineTo x="21223" y="21283"/>
                      <wp:lineTo x="21223" y="0"/>
                      <wp:lineTo x="0" y="0"/>
                    </wp:wrapPolygon>
                  </wp:wrapTight>
                  <wp:docPr id="47" name="图片 18" descr=" "/>
                  <wp:cNvGraphicFramePr/>
                  <a:graphic xmlns:a="http://schemas.openxmlformats.org/drawingml/2006/main">
                    <a:graphicData uri="http://schemas.openxmlformats.org/drawingml/2006/picture">
                      <pic:pic xmlns:pic="http://schemas.openxmlformats.org/drawingml/2006/picture">
                        <pic:nvPicPr>
                          <pic:cNvPr id="47" name="图片 18" descr=" "/>
                          <pic:cNvPicPr/>
                        </pic:nvPicPr>
                        <pic:blipFill>
                          <a:blip r:embed="rId17"/>
                          <a:srcRect/>
                          <a:stretch>
                            <a:fillRect/>
                          </a:stretch>
                        </pic:blipFill>
                        <pic:spPr>
                          <a:xfrm>
                            <a:off x="0" y="0"/>
                            <a:ext cx="1054735" cy="866140"/>
                          </a:xfrm>
                          <a:prstGeom prst="rect">
                            <a:avLst/>
                          </a:prstGeom>
                          <a:noFill/>
                          <a:ln w="9525" cap="flat" cmpd="sng">
                            <a:noFill/>
                            <a:prstDash val="solid"/>
                            <a:miter/>
                          </a:ln>
                          <a:effectLst/>
                        </pic:spPr>
                      </pic:pic>
                    </a:graphicData>
                  </a:graphic>
                </wp:anchor>
              </w:drawing>
            </w:r>
          </w:p>
        </w:tc>
      </w:tr>
      <w:tr w14:paraId="39B5A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175" w:type="pct"/>
            <w:vAlign w:val="center"/>
          </w:tcPr>
          <w:p w14:paraId="7806E9D1">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auto"/>
                <w:kern w:val="0"/>
                <w:sz w:val="22"/>
                <w:szCs w:val="22"/>
                <w:highlight w:val="none"/>
                <w:lang w:val="en-US" w:eastAsia="zh-CN" w:bidi="ar"/>
              </w:rPr>
              <w:t>4</w:t>
            </w:r>
          </w:p>
        </w:tc>
        <w:tc>
          <w:tcPr>
            <w:tcW w:w="354" w:type="pct"/>
            <w:vAlign w:val="center"/>
          </w:tcPr>
          <w:p w14:paraId="031FAEEB">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更衣柜</w:t>
            </w:r>
          </w:p>
        </w:tc>
        <w:tc>
          <w:tcPr>
            <w:tcW w:w="699" w:type="pct"/>
            <w:vAlign w:val="center"/>
          </w:tcPr>
          <w:p w14:paraId="42853F44">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W800*D500*H2000</w:t>
            </w:r>
          </w:p>
        </w:tc>
        <w:tc>
          <w:tcPr>
            <w:tcW w:w="2737" w:type="pct"/>
            <w:vAlign w:val="center"/>
          </w:tcPr>
          <w:p w14:paraId="75A5A7CD">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1、基材：均采用E0级实木颗粒板，质量符合GB/T15102-2017《浸渍胶膜纸饰面纤维板和刨花板》、GB/T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要求，抗菌率&gt;97%；防火性能符合GB8624-2012《建筑材料及制品燃烧性能分级》达到B1级。</w:t>
            </w:r>
          </w:p>
          <w:p w14:paraId="204C5AC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2、贴面：采用树脂浸渍纸（MFC）贴面，防火，并具阻燃、耐磨性强、清洁方便等特点。</w:t>
            </w:r>
          </w:p>
          <w:p w14:paraId="1D6CCFB0">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3、封边：加厚PVC封边，质量符合QB/T4463-2013《家具用封边条技术要求》标准，耐开裂性（耐龟裂性）≥1级；耐老化：无开裂</w:t>
            </w:r>
            <w:r>
              <w:rPr>
                <w:rFonts w:hint="eastAsia" w:ascii="宋体" w:hAnsi="宋体" w:cs="宋体"/>
                <w:i w:val="0"/>
                <w:iCs w:val="0"/>
                <w:color w:val="auto"/>
                <w:kern w:val="0"/>
                <w:sz w:val="22"/>
                <w:szCs w:val="22"/>
                <w:highlight w:val="none"/>
                <w:u w:val="none"/>
                <w:lang w:val="en-US" w:eastAsia="zh-CN" w:bidi="ar"/>
              </w:rPr>
              <w:t>。</w:t>
            </w:r>
          </w:p>
          <w:p w14:paraId="7FCFDB0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4、五金件:采用钢制阻尼铰链，质量符合QB/T 2189-2013 ，其中耐久性测试80000次；采用优质五金配件，表面无锈蚀痕迹、鼓泡、开裂、毛刺、露底。</w:t>
            </w:r>
          </w:p>
          <w:p w14:paraId="2EB34F14">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5、详细尺寸：柜体侧板、顶板、层板厚度≥16mm，背板厚度≥5mm，门板、底板厚度≥18mm</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拉手采用优质铝合金拉手。</w:t>
            </w:r>
          </w:p>
        </w:tc>
        <w:tc>
          <w:tcPr>
            <w:tcW w:w="183" w:type="pct"/>
            <w:vAlign w:val="center"/>
          </w:tcPr>
          <w:p w14:paraId="5FB3C28F">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组</w:t>
            </w:r>
          </w:p>
        </w:tc>
        <w:tc>
          <w:tcPr>
            <w:tcW w:w="208" w:type="pct"/>
            <w:vAlign w:val="center"/>
          </w:tcPr>
          <w:p w14:paraId="46D23686">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20</w:t>
            </w:r>
          </w:p>
        </w:tc>
        <w:tc>
          <w:tcPr>
            <w:tcW w:w="641" w:type="pct"/>
            <w:vAlign w:val="center"/>
          </w:tcPr>
          <w:p w14:paraId="49FB7583">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anchor distT="0" distB="0" distL="114300" distR="114300" simplePos="0" relativeHeight="251662336" behindDoc="1" locked="0" layoutInCell="1" allowOverlap="1">
                  <wp:simplePos x="0" y="0"/>
                  <wp:positionH relativeFrom="column">
                    <wp:posOffset>-11430</wp:posOffset>
                  </wp:positionH>
                  <wp:positionV relativeFrom="paragraph">
                    <wp:posOffset>279400</wp:posOffset>
                  </wp:positionV>
                  <wp:extent cx="1131570" cy="882650"/>
                  <wp:effectExtent l="0" t="0" r="11430" b="1270"/>
                  <wp:wrapTight wrapText="bothSides">
                    <wp:wrapPolygon>
                      <wp:start x="0" y="0"/>
                      <wp:lineTo x="0" y="21258"/>
                      <wp:lineTo x="21236" y="21258"/>
                      <wp:lineTo x="21236" y="0"/>
                      <wp:lineTo x="0" y="0"/>
                    </wp:wrapPolygon>
                  </wp:wrapTight>
                  <wp:docPr id="39" name="图片 9" descr=" "/>
                  <wp:cNvGraphicFramePr/>
                  <a:graphic xmlns:a="http://schemas.openxmlformats.org/drawingml/2006/main">
                    <a:graphicData uri="http://schemas.openxmlformats.org/drawingml/2006/picture">
                      <pic:pic xmlns:pic="http://schemas.openxmlformats.org/drawingml/2006/picture">
                        <pic:nvPicPr>
                          <pic:cNvPr id="39" name="图片 9" descr=" "/>
                          <pic:cNvPicPr/>
                        </pic:nvPicPr>
                        <pic:blipFill>
                          <a:blip r:embed="rId18"/>
                          <a:srcRect r="17748" b="15481"/>
                          <a:stretch>
                            <a:fillRect/>
                          </a:stretch>
                        </pic:blipFill>
                        <pic:spPr>
                          <a:xfrm>
                            <a:off x="0" y="0"/>
                            <a:ext cx="1131570" cy="882650"/>
                          </a:xfrm>
                          <a:prstGeom prst="rect">
                            <a:avLst/>
                          </a:prstGeom>
                          <a:noFill/>
                          <a:ln w="9525" cap="flat" cmpd="sng">
                            <a:noFill/>
                            <a:prstDash val="solid"/>
                            <a:miter/>
                          </a:ln>
                          <a:effectLst/>
                        </pic:spPr>
                      </pic:pic>
                    </a:graphicData>
                  </a:graphic>
                </wp:anchor>
              </w:drawing>
            </w:r>
          </w:p>
        </w:tc>
      </w:tr>
      <w:tr w14:paraId="216C8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 w:type="pct"/>
            <w:vAlign w:val="center"/>
          </w:tcPr>
          <w:p w14:paraId="408C73A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auto"/>
                <w:kern w:val="2"/>
                <w:sz w:val="22"/>
                <w:szCs w:val="22"/>
                <w:highlight w:val="none"/>
                <w:lang w:val="en-US" w:eastAsia="zh-CN" w:bidi="ar-SA"/>
              </w:rPr>
              <w:t>5</w:t>
            </w:r>
          </w:p>
        </w:tc>
        <w:tc>
          <w:tcPr>
            <w:tcW w:w="354" w:type="pct"/>
            <w:vAlign w:val="center"/>
          </w:tcPr>
          <w:p w14:paraId="27776D1B">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长凳</w:t>
            </w:r>
          </w:p>
        </w:tc>
        <w:tc>
          <w:tcPr>
            <w:tcW w:w="699" w:type="pct"/>
            <w:vAlign w:val="center"/>
          </w:tcPr>
          <w:p w14:paraId="61FC5617">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W2000*D350*H450</w:t>
            </w:r>
          </w:p>
        </w:tc>
        <w:tc>
          <w:tcPr>
            <w:tcW w:w="2737" w:type="pct"/>
            <w:vAlign w:val="center"/>
          </w:tcPr>
          <w:p w14:paraId="35E6BB6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1、基材：均采用E0级实木颗粒板，质量符合GB/T15102-2017《浸渍胶膜纸饰面纤维板和刨花板》、GB/T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要求，抗菌率&gt;97%；防火性能符合GB8624-2012《建筑材料及制品燃烧性能分级》达到B1级。</w:t>
            </w:r>
          </w:p>
          <w:p w14:paraId="4F6F5FE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2、贴面：采用树脂浸渍纸（MFC）贴面，防火，并具阻燃、耐磨性强、清洁方便等特点。</w:t>
            </w:r>
          </w:p>
          <w:p w14:paraId="7D3CB063">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3、封边：加厚PVC封边，质量符合QB/T4463-2013《家具用封边条技术要求》标准，耐开裂性（耐龟裂性）≥1级；耐老化：无开裂</w:t>
            </w:r>
            <w:r>
              <w:rPr>
                <w:rFonts w:hint="eastAsia" w:ascii="宋体" w:hAnsi="宋体" w:cs="宋体"/>
                <w:i w:val="0"/>
                <w:iCs w:val="0"/>
                <w:color w:val="auto"/>
                <w:kern w:val="0"/>
                <w:sz w:val="22"/>
                <w:szCs w:val="22"/>
                <w:highlight w:val="none"/>
                <w:u w:val="none"/>
                <w:lang w:val="en-US" w:eastAsia="zh-CN" w:bidi="ar"/>
              </w:rPr>
              <w:t>。</w:t>
            </w:r>
          </w:p>
          <w:p w14:paraId="414AA51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4、脚架：选用优质品牌钢材，焊接部分采用高标准满焊工艺，经脱脂、水洗、酸洗、水洗中和、表调、磷化、干燥等工艺处理，表面粉末涂料静电喷涂处理，表面无锈蚀痕迹、鼓泡、开裂、毛刺、露底。</w:t>
            </w:r>
          </w:p>
          <w:p w14:paraId="337820A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5、五金件:采用优质五金配件，表面无锈蚀痕迹、鼓泡、开裂、毛刺、露底。</w:t>
            </w:r>
          </w:p>
          <w:p w14:paraId="3F190827">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6、详细尺寸：座板厚度≥25mm，脚架采用≥30*30mm方管，壁厚≥1.2mm，凳面长度根据现场实际，宽度350mm，钢架长度根据现场实际，宽度330mm，高度425mm</w:t>
            </w:r>
            <w:r>
              <w:rPr>
                <w:rFonts w:hint="eastAsia" w:ascii="宋体" w:hAnsi="宋体" w:cs="宋体"/>
                <w:i w:val="0"/>
                <w:iCs w:val="0"/>
                <w:color w:val="auto"/>
                <w:kern w:val="0"/>
                <w:sz w:val="22"/>
                <w:szCs w:val="22"/>
                <w:highlight w:val="none"/>
                <w:u w:val="none"/>
                <w:lang w:val="en-US" w:eastAsia="zh-CN" w:bidi="ar"/>
              </w:rPr>
              <w:t>。</w:t>
            </w:r>
          </w:p>
        </w:tc>
        <w:tc>
          <w:tcPr>
            <w:tcW w:w="183" w:type="pct"/>
            <w:vAlign w:val="center"/>
          </w:tcPr>
          <w:p w14:paraId="2570912C">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张</w:t>
            </w:r>
          </w:p>
        </w:tc>
        <w:tc>
          <w:tcPr>
            <w:tcW w:w="208" w:type="pct"/>
            <w:vAlign w:val="center"/>
          </w:tcPr>
          <w:p w14:paraId="74912663">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10</w:t>
            </w:r>
          </w:p>
        </w:tc>
        <w:tc>
          <w:tcPr>
            <w:tcW w:w="641" w:type="pct"/>
            <w:vAlign w:val="center"/>
          </w:tcPr>
          <w:p w14:paraId="0DD35C5A">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anchor distT="0" distB="0" distL="114300" distR="114300" simplePos="0" relativeHeight="251663360" behindDoc="1" locked="0" layoutInCell="1" allowOverlap="1">
                  <wp:simplePos x="0" y="0"/>
                  <wp:positionH relativeFrom="column">
                    <wp:posOffset>23495</wp:posOffset>
                  </wp:positionH>
                  <wp:positionV relativeFrom="paragraph">
                    <wp:posOffset>344805</wp:posOffset>
                  </wp:positionV>
                  <wp:extent cx="1066800" cy="805180"/>
                  <wp:effectExtent l="0" t="0" r="0" b="2540"/>
                  <wp:wrapTight wrapText="bothSides">
                    <wp:wrapPolygon>
                      <wp:start x="0" y="0"/>
                      <wp:lineTo x="0" y="21259"/>
                      <wp:lineTo x="21291" y="21259"/>
                      <wp:lineTo x="21291" y="0"/>
                      <wp:lineTo x="0" y="0"/>
                    </wp:wrapPolygon>
                  </wp:wrapTight>
                  <wp:docPr id="48" name="图片 22" descr=" "/>
                  <wp:cNvGraphicFramePr/>
                  <a:graphic xmlns:a="http://schemas.openxmlformats.org/drawingml/2006/main">
                    <a:graphicData uri="http://schemas.openxmlformats.org/drawingml/2006/picture">
                      <pic:pic xmlns:pic="http://schemas.openxmlformats.org/drawingml/2006/picture">
                        <pic:nvPicPr>
                          <pic:cNvPr id="48" name="图片 22" descr=" "/>
                          <pic:cNvPicPr/>
                        </pic:nvPicPr>
                        <pic:blipFill>
                          <a:blip r:embed="rId17"/>
                          <a:srcRect/>
                          <a:stretch>
                            <a:fillRect/>
                          </a:stretch>
                        </pic:blipFill>
                        <pic:spPr>
                          <a:xfrm>
                            <a:off x="0" y="0"/>
                            <a:ext cx="1066800" cy="805180"/>
                          </a:xfrm>
                          <a:prstGeom prst="rect">
                            <a:avLst/>
                          </a:prstGeom>
                          <a:noFill/>
                          <a:ln w="9525" cap="flat" cmpd="sng">
                            <a:noFill/>
                            <a:prstDash val="solid"/>
                            <a:miter/>
                          </a:ln>
                          <a:effectLst/>
                        </pic:spPr>
                      </pic:pic>
                    </a:graphicData>
                  </a:graphic>
                </wp:anchor>
              </w:drawing>
            </w:r>
          </w:p>
        </w:tc>
      </w:tr>
      <w:tr w14:paraId="6D551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 w:type="pct"/>
            <w:vAlign w:val="center"/>
          </w:tcPr>
          <w:p w14:paraId="667D829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auto"/>
                <w:kern w:val="2"/>
                <w:sz w:val="22"/>
                <w:szCs w:val="22"/>
                <w:highlight w:val="none"/>
                <w:lang w:val="en-US" w:eastAsia="zh-CN" w:bidi="ar-SA"/>
              </w:rPr>
              <w:t>6</w:t>
            </w:r>
          </w:p>
        </w:tc>
        <w:tc>
          <w:tcPr>
            <w:tcW w:w="354" w:type="pct"/>
            <w:vAlign w:val="center"/>
          </w:tcPr>
          <w:p w14:paraId="593B4B8D">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货架</w:t>
            </w:r>
          </w:p>
        </w:tc>
        <w:tc>
          <w:tcPr>
            <w:tcW w:w="699" w:type="pct"/>
            <w:vAlign w:val="center"/>
          </w:tcPr>
          <w:p w14:paraId="6685E4FA">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W1500*D500*H2000</w:t>
            </w:r>
          </w:p>
        </w:tc>
        <w:tc>
          <w:tcPr>
            <w:tcW w:w="2737" w:type="pct"/>
            <w:vAlign w:val="center"/>
          </w:tcPr>
          <w:p w14:paraId="2E21E4DE">
            <w:pPr>
              <w:pStyle w:val="2"/>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1、采用优质品牌0.6mm冷轧钢板经剪切，冲压，折弯，焊接，装配而成；接触人体部分均采用翻边工艺，杜绝快口，不易伤手；采用世界顶尖，无味，无污染，</w:t>
            </w:r>
            <w:r>
              <w:rPr>
                <w:rFonts w:hint="eastAsia" w:ascii="宋体" w:hAnsi="宋体" w:cs="宋体"/>
                <w:i w:val="0"/>
                <w:iCs w:val="0"/>
                <w:color w:val="auto"/>
                <w:kern w:val="0"/>
                <w:sz w:val="22"/>
                <w:szCs w:val="22"/>
                <w:highlight w:val="none"/>
                <w:u w:val="none"/>
                <w:lang w:val="en-US" w:eastAsia="zh-CN" w:bidi="ar"/>
              </w:rPr>
              <w:t>优质品牌</w:t>
            </w:r>
            <w:r>
              <w:rPr>
                <w:rFonts w:hint="eastAsia" w:ascii="宋体" w:hAnsi="宋体" w:eastAsia="宋体" w:cs="宋体"/>
                <w:i w:val="0"/>
                <w:iCs w:val="0"/>
                <w:color w:val="auto"/>
                <w:kern w:val="0"/>
                <w:sz w:val="22"/>
                <w:szCs w:val="22"/>
                <w:highlight w:val="none"/>
                <w:u w:val="none"/>
                <w:lang w:val="en-US" w:eastAsia="zh-CN" w:bidi="ar"/>
              </w:rPr>
              <w:t>粉末静电喷塑</w:t>
            </w:r>
          </w:p>
          <w:p w14:paraId="4AAE4087">
            <w:pPr>
              <w:pStyle w:val="2"/>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2、产品经过脱脂、纯净水清洗、加温除油磷化、表调、干燥工艺，确保表面不含油污及锈蚀；具有耐阳光强射，不易褪色而且易于清洗；表面无锈蚀痕迹、鼓泡、开裂、毛刺、露底。</w:t>
            </w:r>
          </w:p>
          <w:p w14:paraId="31422C4F">
            <w:pPr>
              <w:pStyle w:val="2"/>
              <w:keepNext w:val="0"/>
              <w:keepLines w:val="0"/>
              <w:pageBreakBefore w:val="0"/>
              <w:widowControl/>
              <w:suppressLineNumbers w:val="0"/>
              <w:kinsoku/>
              <w:wordWrap/>
              <w:overflowPunct/>
              <w:topLinePunct w:val="0"/>
              <w:autoSpaceDE/>
              <w:autoSpaceDN/>
              <w:bidi w:val="0"/>
              <w:adjustRightInd/>
              <w:snapToGrid/>
              <w:spacing w:line="360" w:lineRule="exact"/>
              <w:ind w:left="0" w:leftChars="0" w:firstLine="0" w:firstLineChars="0"/>
              <w:jc w:val="left"/>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3、焊接部分采用高标准满焊工艺，表面平整光洁；表面涂层坚固耐用，耐冲压，耐腐蚀，防潮不易变形。</w:t>
            </w:r>
          </w:p>
        </w:tc>
        <w:tc>
          <w:tcPr>
            <w:tcW w:w="183" w:type="pct"/>
            <w:vAlign w:val="center"/>
          </w:tcPr>
          <w:p w14:paraId="7C8BA644">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组</w:t>
            </w:r>
          </w:p>
        </w:tc>
        <w:tc>
          <w:tcPr>
            <w:tcW w:w="208" w:type="pct"/>
            <w:vAlign w:val="center"/>
          </w:tcPr>
          <w:p w14:paraId="15369190">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6</w:t>
            </w:r>
          </w:p>
        </w:tc>
        <w:tc>
          <w:tcPr>
            <w:tcW w:w="641" w:type="pct"/>
            <w:vAlign w:val="center"/>
          </w:tcPr>
          <w:p w14:paraId="53AF6D9E">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anchor distT="0" distB="0" distL="114300" distR="114300" simplePos="0" relativeHeight="251664384" behindDoc="1" locked="0" layoutInCell="1" allowOverlap="1">
                  <wp:simplePos x="0" y="0"/>
                  <wp:positionH relativeFrom="column">
                    <wp:posOffset>-25400</wp:posOffset>
                  </wp:positionH>
                  <wp:positionV relativeFrom="paragraph">
                    <wp:posOffset>231140</wp:posOffset>
                  </wp:positionV>
                  <wp:extent cx="1068070" cy="919480"/>
                  <wp:effectExtent l="0" t="0" r="13970" b="10160"/>
                  <wp:wrapTight wrapText="bothSides">
                    <wp:wrapPolygon>
                      <wp:start x="0" y="0"/>
                      <wp:lineTo x="0" y="21123"/>
                      <wp:lineTo x="21266" y="21123"/>
                      <wp:lineTo x="21266" y="0"/>
                      <wp:lineTo x="0" y="0"/>
                    </wp:wrapPolygon>
                  </wp:wrapTight>
                  <wp:docPr id="49" name="图片 2" descr=" "/>
                  <wp:cNvGraphicFramePr/>
                  <a:graphic xmlns:a="http://schemas.openxmlformats.org/drawingml/2006/main">
                    <a:graphicData uri="http://schemas.openxmlformats.org/drawingml/2006/picture">
                      <pic:pic xmlns:pic="http://schemas.openxmlformats.org/drawingml/2006/picture">
                        <pic:nvPicPr>
                          <pic:cNvPr id="49" name="图片 2" descr=" "/>
                          <pic:cNvPicPr/>
                        </pic:nvPicPr>
                        <pic:blipFill>
                          <a:blip r:embed="rId19"/>
                          <a:srcRect/>
                          <a:stretch>
                            <a:fillRect/>
                          </a:stretch>
                        </pic:blipFill>
                        <pic:spPr>
                          <a:xfrm>
                            <a:off x="0" y="0"/>
                            <a:ext cx="1068070" cy="919480"/>
                          </a:xfrm>
                          <a:prstGeom prst="rect">
                            <a:avLst/>
                          </a:prstGeom>
                          <a:noFill/>
                          <a:ln w="9525" cap="flat" cmpd="sng">
                            <a:noFill/>
                            <a:prstDash val="solid"/>
                            <a:miter/>
                          </a:ln>
                          <a:effectLst/>
                        </pic:spPr>
                      </pic:pic>
                    </a:graphicData>
                  </a:graphic>
                </wp:anchor>
              </w:drawing>
            </w:r>
          </w:p>
        </w:tc>
      </w:tr>
      <w:tr w14:paraId="278C0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5000" w:type="pct"/>
            <w:gridSpan w:val="7"/>
            <w:vAlign w:val="center"/>
          </w:tcPr>
          <w:p w14:paraId="5A1A15FF">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12#楼活动室</w:t>
            </w:r>
          </w:p>
        </w:tc>
      </w:tr>
      <w:tr w14:paraId="14E64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0" w:hRule="atLeast"/>
          <w:jc w:val="center"/>
        </w:trPr>
        <w:tc>
          <w:tcPr>
            <w:tcW w:w="175" w:type="pct"/>
            <w:vAlign w:val="center"/>
          </w:tcPr>
          <w:p w14:paraId="6D11277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auto"/>
                <w:kern w:val="2"/>
                <w:sz w:val="22"/>
                <w:szCs w:val="22"/>
                <w:highlight w:val="none"/>
                <w:lang w:val="en-US" w:eastAsia="zh-CN" w:bidi="ar-SA"/>
              </w:rPr>
              <w:t>7</w:t>
            </w:r>
          </w:p>
        </w:tc>
        <w:tc>
          <w:tcPr>
            <w:tcW w:w="354" w:type="pct"/>
            <w:vAlign w:val="center"/>
          </w:tcPr>
          <w:p w14:paraId="5CD10B68">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休闲桌</w:t>
            </w:r>
          </w:p>
        </w:tc>
        <w:tc>
          <w:tcPr>
            <w:tcW w:w="699" w:type="pct"/>
            <w:vAlign w:val="center"/>
          </w:tcPr>
          <w:p w14:paraId="70FB7595">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φ800*H750</w:t>
            </w:r>
          </w:p>
        </w:tc>
        <w:tc>
          <w:tcPr>
            <w:tcW w:w="2737" w:type="pct"/>
            <w:vAlign w:val="center"/>
          </w:tcPr>
          <w:p w14:paraId="1FC5CB42">
            <w:pPr>
              <w:pStyle w:val="2"/>
              <w:keepNext w:val="0"/>
              <w:keepLines w:val="0"/>
              <w:pageBreakBefore w:val="0"/>
              <w:numPr>
                <w:ilvl w:val="0"/>
                <w:numId w:val="0"/>
              </w:numPr>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1、基材：均采用E1级中密度纤维板，质量符合GB/T 11718-2021 《中密度纤维板》、GB/T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要求，抗菌率&gt;97%；防火性能符合GB8624-2012《建筑材料及制品燃烧性能分级》达到B1级</w:t>
            </w:r>
            <w:r>
              <w:rPr>
                <w:rFonts w:hint="eastAsia" w:ascii="宋体" w:hAnsi="宋体" w:cs="宋体"/>
                <w:i w:val="0"/>
                <w:iCs w:val="0"/>
                <w:color w:val="auto"/>
                <w:kern w:val="0"/>
                <w:sz w:val="22"/>
                <w:szCs w:val="22"/>
                <w:highlight w:val="none"/>
                <w:u w:val="none"/>
                <w:lang w:val="en-US" w:eastAsia="zh-CN" w:bidi="ar"/>
              </w:rPr>
              <w:t>。</w:t>
            </w:r>
          </w:p>
          <w:p w14:paraId="41FFD945">
            <w:pPr>
              <w:pStyle w:val="2"/>
              <w:keepNext w:val="0"/>
              <w:keepLines w:val="0"/>
              <w:pageBreakBefore w:val="0"/>
              <w:numPr>
                <w:ilvl w:val="0"/>
                <w:numId w:val="0"/>
              </w:numPr>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2、脚架：配全实木框架，材质纹理细腻，表面结疤少，坚韧耐潮。木料须经二次烘干处理，含水率低于12%，保证不开裂、不扭曲、不变形</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表面木皮贴面采用优质天然木皮，厚度为0.6mm，木皮纹理颜色一致，无结疤，无瑕疵。</w:t>
            </w:r>
          </w:p>
          <w:p w14:paraId="6E937B82">
            <w:pPr>
              <w:pStyle w:val="2"/>
              <w:keepNext w:val="0"/>
              <w:keepLines w:val="0"/>
              <w:pageBreakBefore w:val="0"/>
              <w:numPr>
                <w:ilvl w:val="0"/>
                <w:numId w:val="0"/>
              </w:numPr>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183" w:type="pct"/>
            <w:vAlign w:val="center"/>
          </w:tcPr>
          <w:p w14:paraId="4955A7AC">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张</w:t>
            </w:r>
          </w:p>
        </w:tc>
        <w:tc>
          <w:tcPr>
            <w:tcW w:w="208" w:type="pct"/>
            <w:vAlign w:val="center"/>
          </w:tcPr>
          <w:p w14:paraId="156F1B90">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8</w:t>
            </w:r>
          </w:p>
        </w:tc>
        <w:tc>
          <w:tcPr>
            <w:tcW w:w="641" w:type="pct"/>
            <w:vAlign w:val="center"/>
          </w:tcPr>
          <w:p w14:paraId="226C438D">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anchor distT="0" distB="0" distL="114300" distR="114300" simplePos="0" relativeHeight="251665408" behindDoc="1" locked="0" layoutInCell="1" allowOverlap="1">
                  <wp:simplePos x="0" y="0"/>
                  <wp:positionH relativeFrom="column">
                    <wp:posOffset>-17780</wp:posOffset>
                  </wp:positionH>
                  <wp:positionV relativeFrom="paragraph">
                    <wp:posOffset>363855</wp:posOffset>
                  </wp:positionV>
                  <wp:extent cx="1101090" cy="1035685"/>
                  <wp:effectExtent l="0" t="0" r="11430" b="635"/>
                  <wp:wrapTight wrapText="bothSides">
                    <wp:wrapPolygon>
                      <wp:start x="0" y="0"/>
                      <wp:lineTo x="0" y="21295"/>
                      <wp:lineTo x="21226" y="21295"/>
                      <wp:lineTo x="21226" y="0"/>
                      <wp:lineTo x="0" y="0"/>
                    </wp:wrapPolygon>
                  </wp:wrapTight>
                  <wp:docPr id="66" name="Picture 2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20108"/>
                          <pic:cNvPicPr>
                            <a:picLocks noChangeAspect="1"/>
                          </pic:cNvPicPr>
                        </pic:nvPicPr>
                        <pic:blipFill>
                          <a:blip r:embed="rId20"/>
                          <a:stretch>
                            <a:fillRect/>
                          </a:stretch>
                        </pic:blipFill>
                        <pic:spPr>
                          <a:xfrm>
                            <a:off x="0" y="0"/>
                            <a:ext cx="1101090" cy="1035685"/>
                          </a:xfrm>
                          <a:prstGeom prst="rect">
                            <a:avLst/>
                          </a:prstGeom>
                          <a:noFill/>
                          <a:ln w="1">
                            <a:noFill/>
                          </a:ln>
                        </pic:spPr>
                      </pic:pic>
                    </a:graphicData>
                  </a:graphic>
                </wp:anchor>
              </w:drawing>
            </w:r>
          </w:p>
        </w:tc>
      </w:tr>
      <w:tr w14:paraId="6AA0D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 w:type="pct"/>
            <w:vAlign w:val="center"/>
          </w:tcPr>
          <w:p w14:paraId="39AFE2A4">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auto"/>
                <w:kern w:val="2"/>
                <w:sz w:val="22"/>
                <w:szCs w:val="22"/>
                <w:highlight w:val="none"/>
                <w:lang w:val="en-US" w:eastAsia="zh-CN" w:bidi="ar-SA"/>
              </w:rPr>
              <w:t>8</w:t>
            </w:r>
          </w:p>
        </w:tc>
        <w:tc>
          <w:tcPr>
            <w:tcW w:w="354" w:type="pct"/>
            <w:vAlign w:val="center"/>
          </w:tcPr>
          <w:p w14:paraId="75043E2C">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休闲椅</w:t>
            </w:r>
          </w:p>
        </w:tc>
        <w:tc>
          <w:tcPr>
            <w:tcW w:w="699" w:type="pct"/>
            <w:vAlign w:val="center"/>
          </w:tcPr>
          <w:p w14:paraId="0F018739">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W611*D546*H838</w:t>
            </w:r>
          </w:p>
          <w:p w14:paraId="3653F9D8">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（含软垫）</w:t>
            </w:r>
          </w:p>
        </w:tc>
        <w:tc>
          <w:tcPr>
            <w:tcW w:w="2737" w:type="pct"/>
            <w:vAlign w:val="center"/>
          </w:tcPr>
          <w:p w14:paraId="6CE7701C">
            <w:pPr>
              <w:keepNext w:val="0"/>
              <w:keepLines w:val="0"/>
              <w:pageBreakBefore w:val="0"/>
              <w:numPr>
                <w:ilvl w:val="0"/>
                <w:numId w:val="0"/>
              </w:numPr>
              <w:kinsoku/>
              <w:wordWrap/>
              <w:overflowPunct/>
              <w:topLinePunct w:val="0"/>
              <w:autoSpaceDE/>
              <w:autoSpaceDN/>
              <w:bidi w:val="0"/>
              <w:adjustRightInd/>
              <w:snapToGrid/>
              <w:spacing w:line="360" w:lineRule="exact"/>
              <w:ind w:left="0" w:leftChars="0" w:firstLine="0" w:firstLineChars="0"/>
              <w:jc w:val="both"/>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椅身：座板和背板均采用聚丙烯添加防静电剂（聚乙醇酯）原色颗粒塑料，座面、椅背、扶手一体成型；椅背腰部镂空设计，椅背倚靠时有明显的弹力；扶手外翻，韧性强，充分的人体工学设计。坐高≥420mm，椅背高度≥460mm，座面深度≥420mm，座面宽度≥490mm，椅背宽度≥530mm，颜色可选（绿色、白色、橙色）。</w:t>
            </w:r>
          </w:p>
          <w:p w14:paraId="4966B040">
            <w:pPr>
              <w:keepNext w:val="0"/>
              <w:keepLines w:val="0"/>
              <w:pageBreakBefore w:val="0"/>
              <w:numPr>
                <w:ilvl w:val="0"/>
                <w:numId w:val="0"/>
              </w:numPr>
              <w:kinsoku/>
              <w:wordWrap/>
              <w:overflowPunct/>
              <w:topLinePunct w:val="0"/>
              <w:autoSpaceDE/>
              <w:autoSpaceDN/>
              <w:bidi w:val="0"/>
              <w:adjustRightInd/>
              <w:snapToGrid/>
              <w:spacing w:line="360" w:lineRule="exact"/>
              <w:ind w:left="0" w:leftChars="0" w:firstLine="0" w:firstLineChars="0"/>
              <w:jc w:val="both"/>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 xml:space="preserve">2、布料：外包优质品牌系列面料，经过防火、防污、抗菌、抗静电、耐色牢度、抗强度等加工处 理，耐摩擦色牢度(干/湿)≥4 级，耐磨性≥50000 转（GB/T 19817）。 </w:t>
            </w:r>
          </w:p>
          <w:p w14:paraId="254A23E1">
            <w:pPr>
              <w:keepNext w:val="0"/>
              <w:keepLines w:val="0"/>
              <w:pageBreakBefore w:val="0"/>
              <w:numPr>
                <w:ilvl w:val="0"/>
                <w:numId w:val="0"/>
              </w:numPr>
              <w:kinsoku/>
              <w:wordWrap/>
              <w:overflowPunct/>
              <w:topLinePunct w:val="0"/>
              <w:autoSpaceDE/>
              <w:autoSpaceDN/>
              <w:bidi w:val="0"/>
              <w:adjustRightInd/>
              <w:snapToGrid/>
              <w:spacing w:line="360" w:lineRule="exact"/>
              <w:ind w:left="0" w:leftChars="0" w:firstLine="0" w:firstLineChars="0"/>
              <w:jc w:val="both"/>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3、海绵：高回弹软质聚氨酯泡沫塑料，耐用度高，座垫密度≥35kg/m3，回弹率≥40%（QB/T2080）。</w:t>
            </w:r>
          </w:p>
          <w:p w14:paraId="10A956E1">
            <w:pPr>
              <w:keepNext w:val="0"/>
              <w:keepLines w:val="0"/>
              <w:pageBreakBefore w:val="0"/>
              <w:numPr>
                <w:ilvl w:val="0"/>
                <w:numId w:val="0"/>
              </w:numPr>
              <w:kinsoku/>
              <w:wordWrap/>
              <w:overflowPunct/>
              <w:topLinePunct w:val="0"/>
              <w:autoSpaceDE/>
              <w:autoSpaceDN/>
              <w:bidi w:val="0"/>
              <w:adjustRightInd/>
              <w:snapToGrid/>
              <w:spacing w:line="360" w:lineRule="exact"/>
              <w:ind w:left="0" w:leftChars="0" w:firstLine="0" w:firstLineChars="0"/>
              <w:jc w:val="both"/>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4、椅脚：金属脚，直径≥12mm的实心钢筯脚架，X形交叉支撑脚架，表面</w:t>
            </w:r>
            <w:r>
              <w:rPr>
                <w:rFonts w:hint="eastAsia" w:ascii="宋体" w:hAnsi="宋体" w:cs="宋体"/>
                <w:i w:val="0"/>
                <w:iCs w:val="0"/>
                <w:color w:val="auto"/>
                <w:kern w:val="0"/>
                <w:sz w:val="22"/>
                <w:szCs w:val="22"/>
                <w:highlight w:val="none"/>
                <w:u w:val="none"/>
                <w:lang w:val="en-US" w:eastAsia="zh-CN" w:bidi="ar"/>
              </w:rPr>
              <w:t>优质</w:t>
            </w:r>
            <w:r>
              <w:rPr>
                <w:rFonts w:hint="eastAsia" w:ascii="宋体" w:hAnsi="宋体" w:eastAsia="宋体" w:cs="宋体"/>
                <w:i w:val="0"/>
                <w:iCs w:val="0"/>
                <w:color w:val="auto"/>
                <w:kern w:val="0"/>
                <w:sz w:val="22"/>
                <w:szCs w:val="22"/>
                <w:highlight w:val="none"/>
                <w:u w:val="none"/>
                <w:lang w:val="en-US" w:eastAsia="zh-CN" w:bidi="ar"/>
              </w:rPr>
              <w:t>品牌环保环氧树脂粉体 静电喷涂，喷涂颜色可选。</w:t>
            </w:r>
          </w:p>
          <w:p w14:paraId="5DFA6AAA">
            <w:pPr>
              <w:keepNext w:val="0"/>
              <w:keepLines w:val="0"/>
              <w:pageBreakBefore w:val="0"/>
              <w:numPr>
                <w:ilvl w:val="0"/>
                <w:numId w:val="0"/>
              </w:numPr>
              <w:kinsoku/>
              <w:wordWrap/>
              <w:overflowPunct/>
              <w:topLinePunct w:val="0"/>
              <w:autoSpaceDE/>
              <w:autoSpaceDN/>
              <w:bidi w:val="0"/>
              <w:adjustRightInd/>
              <w:snapToGrid/>
              <w:spacing w:line="360" w:lineRule="exact"/>
              <w:ind w:left="0" w:leftChars="0" w:firstLine="0" w:firstLineChars="0"/>
              <w:jc w:val="both"/>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5、脚垫：采用27*16*18PC加弹性毛毡静音脚垫。</w:t>
            </w:r>
          </w:p>
          <w:p w14:paraId="030077B3">
            <w:pPr>
              <w:keepNext w:val="0"/>
              <w:keepLines w:val="0"/>
              <w:pageBreakBefore w:val="0"/>
              <w:numPr>
                <w:ilvl w:val="0"/>
                <w:numId w:val="0"/>
              </w:numPr>
              <w:kinsoku/>
              <w:wordWrap/>
              <w:overflowPunct/>
              <w:topLinePunct w:val="0"/>
              <w:autoSpaceDE/>
              <w:autoSpaceDN/>
              <w:bidi w:val="0"/>
              <w:adjustRightInd/>
              <w:snapToGrid/>
              <w:spacing w:line="360" w:lineRule="exact"/>
              <w:ind w:left="0" w:leftChars="0" w:firstLine="0" w:firstLineChars="0"/>
              <w:jc w:val="both"/>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6、结构：专用防护垫，一套四个，增加座椅强度和美观度，直经77（±1mm）mm，高度18（±1mm）mm；专用止退螺丝，强度达到8·8级，模具冲压成型。</w:t>
            </w:r>
          </w:p>
          <w:p w14:paraId="6F6EB475">
            <w:pPr>
              <w:keepNext w:val="0"/>
              <w:keepLines w:val="0"/>
              <w:pageBreakBefore w:val="0"/>
              <w:numPr>
                <w:ilvl w:val="0"/>
                <w:numId w:val="0"/>
              </w:numPr>
              <w:kinsoku/>
              <w:wordWrap/>
              <w:overflowPunct/>
              <w:topLinePunct w:val="0"/>
              <w:autoSpaceDE/>
              <w:autoSpaceDN/>
              <w:bidi w:val="0"/>
              <w:adjustRightInd/>
              <w:snapToGrid/>
              <w:spacing w:line="360" w:lineRule="exact"/>
              <w:ind w:left="0" w:leftChars="0" w:firstLine="0" w:firstLineChars="0"/>
              <w:jc w:val="both"/>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7、成品：符合GB/T35607《绿色产品评价家具》要求，其中甲醛释放量≤0.05mg/m³，总挥发性有机化合物（TVOC）≤0.3mg/m³。</w:t>
            </w:r>
          </w:p>
        </w:tc>
        <w:tc>
          <w:tcPr>
            <w:tcW w:w="183" w:type="pct"/>
            <w:vAlign w:val="center"/>
          </w:tcPr>
          <w:p w14:paraId="7A15A9A4">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张</w:t>
            </w:r>
          </w:p>
        </w:tc>
        <w:tc>
          <w:tcPr>
            <w:tcW w:w="208" w:type="pct"/>
            <w:vAlign w:val="center"/>
          </w:tcPr>
          <w:p w14:paraId="0CED5890">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32</w:t>
            </w:r>
          </w:p>
        </w:tc>
        <w:tc>
          <w:tcPr>
            <w:tcW w:w="641" w:type="pct"/>
            <w:vAlign w:val="center"/>
          </w:tcPr>
          <w:p w14:paraId="6AF1EBF1">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anchor distT="0" distB="0" distL="114300" distR="114300" simplePos="0" relativeHeight="251666432" behindDoc="1" locked="0" layoutInCell="1" allowOverlap="1">
                  <wp:simplePos x="0" y="0"/>
                  <wp:positionH relativeFrom="column">
                    <wp:posOffset>0</wp:posOffset>
                  </wp:positionH>
                  <wp:positionV relativeFrom="paragraph">
                    <wp:posOffset>-697865</wp:posOffset>
                  </wp:positionV>
                  <wp:extent cx="1131570" cy="1530350"/>
                  <wp:effectExtent l="0" t="0" r="11430" b="8890"/>
                  <wp:wrapTight wrapText="bothSides">
                    <wp:wrapPolygon>
                      <wp:start x="0" y="0"/>
                      <wp:lineTo x="0" y="21295"/>
                      <wp:lineTo x="21236" y="21295"/>
                      <wp:lineTo x="21236" y="0"/>
                      <wp:lineTo x="0" y="0"/>
                    </wp:wrapPolygon>
                  </wp:wrapTight>
                  <wp:docPr id="65"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4"/>
                          <pic:cNvPicPr>
                            <a:picLocks noChangeAspect="1"/>
                          </pic:cNvPicPr>
                        </pic:nvPicPr>
                        <pic:blipFill>
                          <a:blip r:embed="rId21"/>
                          <a:stretch>
                            <a:fillRect/>
                          </a:stretch>
                        </pic:blipFill>
                        <pic:spPr>
                          <a:xfrm>
                            <a:off x="0" y="0"/>
                            <a:ext cx="1131570" cy="1530350"/>
                          </a:xfrm>
                          <a:prstGeom prst="rect">
                            <a:avLst/>
                          </a:prstGeom>
                          <a:noFill/>
                          <a:ln w="9525">
                            <a:noFill/>
                          </a:ln>
                        </pic:spPr>
                      </pic:pic>
                    </a:graphicData>
                  </a:graphic>
                </wp:anchor>
              </w:drawing>
            </w:r>
          </w:p>
        </w:tc>
      </w:tr>
      <w:tr w14:paraId="737F8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vAlign w:val="center"/>
          </w:tcPr>
          <w:p w14:paraId="55A6CBAA">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12#楼被装仓库</w:t>
            </w:r>
          </w:p>
        </w:tc>
      </w:tr>
      <w:tr w14:paraId="6CF4E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 w:type="pct"/>
            <w:vAlign w:val="center"/>
          </w:tcPr>
          <w:p w14:paraId="62DF44A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auto"/>
                <w:kern w:val="2"/>
                <w:sz w:val="22"/>
                <w:szCs w:val="22"/>
                <w:highlight w:val="none"/>
                <w:lang w:val="en-US" w:eastAsia="zh-CN" w:bidi="ar-SA"/>
              </w:rPr>
              <w:t>9</w:t>
            </w:r>
          </w:p>
        </w:tc>
        <w:tc>
          <w:tcPr>
            <w:tcW w:w="354" w:type="pct"/>
            <w:vAlign w:val="center"/>
          </w:tcPr>
          <w:p w14:paraId="51822489">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货架</w:t>
            </w:r>
          </w:p>
        </w:tc>
        <w:tc>
          <w:tcPr>
            <w:tcW w:w="699" w:type="pct"/>
            <w:vAlign w:val="center"/>
          </w:tcPr>
          <w:p w14:paraId="0B9A2383">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W1500*D500*H2000</w:t>
            </w:r>
          </w:p>
        </w:tc>
        <w:tc>
          <w:tcPr>
            <w:tcW w:w="2737" w:type="pct"/>
            <w:vAlign w:val="center"/>
          </w:tcPr>
          <w:p w14:paraId="668F6762">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1、采用优质品牌0.6mm冷轧钢板经剪切，冲压，折弯，焊接，装配而成；接触人体部分均采用翻边工艺，杜绝快口，不易伤手；采用世界顶尖，无味，无污染，</w:t>
            </w:r>
            <w:r>
              <w:rPr>
                <w:rFonts w:hint="eastAsia" w:ascii="宋体" w:hAnsi="宋体" w:cs="宋体"/>
                <w:i w:val="0"/>
                <w:iCs w:val="0"/>
                <w:color w:val="auto"/>
                <w:kern w:val="0"/>
                <w:sz w:val="22"/>
                <w:szCs w:val="22"/>
                <w:highlight w:val="none"/>
                <w:u w:val="none"/>
                <w:lang w:val="en-US" w:eastAsia="zh-CN" w:bidi="ar"/>
              </w:rPr>
              <w:t>优质品牌</w:t>
            </w:r>
            <w:r>
              <w:rPr>
                <w:rFonts w:hint="eastAsia" w:ascii="宋体" w:hAnsi="宋体" w:eastAsia="宋体" w:cs="宋体"/>
                <w:i w:val="0"/>
                <w:iCs w:val="0"/>
                <w:color w:val="auto"/>
                <w:kern w:val="0"/>
                <w:sz w:val="22"/>
                <w:szCs w:val="22"/>
                <w:highlight w:val="none"/>
                <w:u w:val="none"/>
                <w:lang w:val="en-US" w:eastAsia="zh-CN" w:bidi="ar"/>
              </w:rPr>
              <w:t>粉末静电喷塑</w:t>
            </w:r>
            <w:r>
              <w:rPr>
                <w:rFonts w:hint="eastAsia" w:ascii="宋体" w:hAnsi="宋体" w:cs="宋体"/>
                <w:i w:val="0"/>
                <w:iCs w:val="0"/>
                <w:color w:val="auto"/>
                <w:kern w:val="0"/>
                <w:sz w:val="22"/>
                <w:szCs w:val="22"/>
                <w:highlight w:val="none"/>
                <w:u w:val="none"/>
                <w:lang w:val="en-US" w:eastAsia="zh-CN" w:bidi="ar"/>
              </w:rPr>
              <w:t>。</w:t>
            </w:r>
          </w:p>
          <w:p w14:paraId="0A9BD066">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2、产品经过脱脂、纯净水清洗、加温除油磷化、表调、干燥工艺，确保表面不含油污及锈蚀；具有耐阳光强射，不易褪色而且易于清洗；表面无锈蚀痕迹、鼓泡、开裂、毛刺、露底。</w:t>
            </w:r>
          </w:p>
          <w:p w14:paraId="21826163">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3、焊接部分采用高标准满焊工艺，表面平整光洁；表面涂层坚固耐用，耐冲压，耐腐蚀，防潮不易变形。</w:t>
            </w:r>
          </w:p>
        </w:tc>
        <w:tc>
          <w:tcPr>
            <w:tcW w:w="183" w:type="pct"/>
            <w:vAlign w:val="center"/>
          </w:tcPr>
          <w:p w14:paraId="29B6B08F">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组</w:t>
            </w:r>
          </w:p>
        </w:tc>
        <w:tc>
          <w:tcPr>
            <w:tcW w:w="208" w:type="pct"/>
            <w:vAlign w:val="center"/>
          </w:tcPr>
          <w:p w14:paraId="2E53AA50">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24</w:t>
            </w:r>
          </w:p>
        </w:tc>
        <w:tc>
          <w:tcPr>
            <w:tcW w:w="641" w:type="pct"/>
            <w:vAlign w:val="center"/>
          </w:tcPr>
          <w:p w14:paraId="2A1EF4AC">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anchor distT="0" distB="0" distL="114300" distR="114300" simplePos="0" relativeHeight="251667456" behindDoc="1" locked="0" layoutInCell="1" allowOverlap="1">
                  <wp:simplePos x="0" y="0"/>
                  <wp:positionH relativeFrom="column">
                    <wp:posOffset>41910</wp:posOffset>
                  </wp:positionH>
                  <wp:positionV relativeFrom="paragraph">
                    <wp:posOffset>23495</wp:posOffset>
                  </wp:positionV>
                  <wp:extent cx="1001395" cy="1127125"/>
                  <wp:effectExtent l="0" t="0" r="4445" b="635"/>
                  <wp:wrapTight wrapText="bothSides">
                    <wp:wrapPolygon>
                      <wp:start x="0" y="0"/>
                      <wp:lineTo x="0" y="21320"/>
                      <wp:lineTo x="21367" y="21320"/>
                      <wp:lineTo x="21367" y="0"/>
                      <wp:lineTo x="0" y="0"/>
                    </wp:wrapPolygon>
                  </wp:wrapTight>
                  <wp:docPr id="40" name="图片 24" descr=" "/>
                  <wp:cNvGraphicFramePr/>
                  <a:graphic xmlns:a="http://schemas.openxmlformats.org/drawingml/2006/main">
                    <a:graphicData uri="http://schemas.openxmlformats.org/drawingml/2006/picture">
                      <pic:pic xmlns:pic="http://schemas.openxmlformats.org/drawingml/2006/picture">
                        <pic:nvPicPr>
                          <pic:cNvPr id="40" name="图片 24" descr=" "/>
                          <pic:cNvPicPr/>
                        </pic:nvPicPr>
                        <pic:blipFill>
                          <a:blip r:embed="rId19"/>
                          <a:srcRect/>
                          <a:stretch>
                            <a:fillRect/>
                          </a:stretch>
                        </pic:blipFill>
                        <pic:spPr>
                          <a:xfrm>
                            <a:off x="0" y="0"/>
                            <a:ext cx="1001395" cy="1127125"/>
                          </a:xfrm>
                          <a:prstGeom prst="rect">
                            <a:avLst/>
                          </a:prstGeom>
                          <a:noFill/>
                          <a:ln w="9525" cap="flat" cmpd="sng">
                            <a:noFill/>
                            <a:prstDash val="solid"/>
                            <a:miter/>
                          </a:ln>
                          <a:effectLst/>
                        </pic:spPr>
                      </pic:pic>
                    </a:graphicData>
                  </a:graphic>
                </wp:anchor>
              </w:drawing>
            </w:r>
          </w:p>
        </w:tc>
      </w:tr>
      <w:tr w14:paraId="7D3AA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7"/>
            <w:vAlign w:val="center"/>
          </w:tcPr>
          <w:p w14:paraId="26F83E7D">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12#楼</w:t>
            </w:r>
            <w:r>
              <w:rPr>
                <w:rFonts w:hint="eastAsia" w:ascii="宋体" w:hAnsi="宋体" w:eastAsia="宋体" w:cs="宋体"/>
                <w:color w:val="auto"/>
                <w:sz w:val="22"/>
                <w:szCs w:val="22"/>
                <w:highlight w:val="none"/>
              </w:rPr>
              <w:t>宿舍（201间）</w:t>
            </w:r>
          </w:p>
        </w:tc>
      </w:tr>
      <w:tr w14:paraId="1C628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 w:type="pct"/>
            <w:vAlign w:val="center"/>
          </w:tcPr>
          <w:p w14:paraId="49170525">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auto"/>
                <w:kern w:val="2"/>
                <w:sz w:val="22"/>
                <w:szCs w:val="22"/>
                <w:highlight w:val="none"/>
                <w:lang w:val="en-US" w:eastAsia="zh-CN" w:bidi="ar-SA"/>
              </w:rPr>
              <w:t>10</w:t>
            </w:r>
          </w:p>
        </w:tc>
        <w:tc>
          <w:tcPr>
            <w:tcW w:w="354" w:type="pct"/>
            <w:vAlign w:val="center"/>
          </w:tcPr>
          <w:p w14:paraId="2C29108F">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床</w:t>
            </w:r>
          </w:p>
        </w:tc>
        <w:tc>
          <w:tcPr>
            <w:tcW w:w="699" w:type="pct"/>
            <w:vAlign w:val="center"/>
          </w:tcPr>
          <w:p w14:paraId="70CD31C7">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W2050*D1200*H1000（1000mm为床靠高度）</w:t>
            </w:r>
          </w:p>
        </w:tc>
        <w:tc>
          <w:tcPr>
            <w:tcW w:w="2737" w:type="pct"/>
            <w:vAlign w:val="center"/>
          </w:tcPr>
          <w:p w14:paraId="2A9BDC71">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1、基材：采用E0级实木多层板，质量符合GB/T 9846-2015 《普通胶合板》、GB/T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人造板和木质地板》标准，甲醛释放量≤0.015mg/m³，总挥发有机化合物（TVOC）释放率≤0.08mg/（㎡·h）（72H），苯、甲苯、二甲苯含量≤5ug/m³，多层板抗菌性能符合JC/T 2039-2010《抗菌防霉木质装饰板》 要求，抗菌率&gt;97%；防火性能符合GB8624-2012《建筑材料及制品燃烧性能分级》达到B1级。</w:t>
            </w:r>
          </w:p>
          <w:p w14:paraId="15D86E65">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2、贴面：采用树脂浸渍纸（MFC）贴面，防火，并具阻燃、耐磨性强、清洁方便等特点。</w:t>
            </w:r>
          </w:p>
          <w:p w14:paraId="3F9B51EC">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3、封边：加厚PVC封边，质量符合QB/T4463-2013《家具用封边条技术要求》标准，耐开裂性（耐龟裂性）≥1级；耐老化：无开裂</w:t>
            </w:r>
            <w:r>
              <w:rPr>
                <w:rFonts w:hint="eastAsia" w:ascii="宋体" w:hAnsi="宋体" w:cs="宋体"/>
                <w:i w:val="0"/>
                <w:iCs w:val="0"/>
                <w:color w:val="auto"/>
                <w:kern w:val="0"/>
                <w:sz w:val="22"/>
                <w:szCs w:val="22"/>
                <w:highlight w:val="none"/>
                <w:u w:val="none"/>
                <w:lang w:val="en-US" w:eastAsia="zh-CN" w:bidi="ar"/>
              </w:rPr>
              <w:t>。</w:t>
            </w:r>
          </w:p>
          <w:p w14:paraId="182FFEDD">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4、五金件：优质五金配件，表面无锈蚀痕迹、鼓泡、开裂、毛刺、露底。</w:t>
            </w:r>
          </w:p>
          <w:p w14:paraId="0A49A0EC">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5、床靠：优质超纤皮覆面，环保型高密度、高回弹PU泡绵，附不含氟氨化合物的高弹力定型海绵及多层丝棉作填充，圆润厚实，弹性好，表面涂有防止老化变形的保护膜。</w:t>
            </w:r>
          </w:p>
          <w:p w14:paraId="58C76D8B">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6、详细尺寸：床靠、床栏厚度≥25mm，床板及其余部位厚度≥16mm。</w:t>
            </w:r>
          </w:p>
        </w:tc>
        <w:tc>
          <w:tcPr>
            <w:tcW w:w="183" w:type="pct"/>
            <w:vAlign w:val="center"/>
          </w:tcPr>
          <w:p w14:paraId="299EC509">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张</w:t>
            </w:r>
          </w:p>
        </w:tc>
        <w:tc>
          <w:tcPr>
            <w:tcW w:w="208" w:type="pct"/>
            <w:vAlign w:val="center"/>
          </w:tcPr>
          <w:p w14:paraId="4732742F">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226</w:t>
            </w:r>
          </w:p>
        </w:tc>
        <w:tc>
          <w:tcPr>
            <w:tcW w:w="641" w:type="pct"/>
            <w:vAlign w:val="center"/>
          </w:tcPr>
          <w:p w14:paraId="68D404BF">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rPr>
            </w:pPr>
            <w:r>
              <w:rPr>
                <w:color w:val="auto"/>
                <w:highlight w:val="none"/>
              </w:rPr>
              <w:drawing>
                <wp:anchor distT="0" distB="0" distL="114300" distR="114300" simplePos="0" relativeHeight="251681792" behindDoc="1" locked="0" layoutInCell="1" allowOverlap="1">
                  <wp:simplePos x="0" y="0"/>
                  <wp:positionH relativeFrom="column">
                    <wp:posOffset>-30480</wp:posOffset>
                  </wp:positionH>
                  <wp:positionV relativeFrom="paragraph">
                    <wp:posOffset>431165</wp:posOffset>
                  </wp:positionV>
                  <wp:extent cx="1113155" cy="815340"/>
                  <wp:effectExtent l="0" t="0" r="14605" b="7620"/>
                  <wp:wrapTight wrapText="bothSides">
                    <wp:wrapPolygon>
                      <wp:start x="0" y="0"/>
                      <wp:lineTo x="0" y="21398"/>
                      <wp:lineTo x="21292" y="21398"/>
                      <wp:lineTo x="21292" y="0"/>
                      <wp:lineTo x="0" y="0"/>
                    </wp:wrapPolygon>
                  </wp:wrapTight>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2"/>
                          <a:stretch>
                            <a:fillRect/>
                          </a:stretch>
                        </pic:blipFill>
                        <pic:spPr>
                          <a:xfrm>
                            <a:off x="0" y="0"/>
                            <a:ext cx="1113155" cy="815340"/>
                          </a:xfrm>
                          <a:prstGeom prst="rect">
                            <a:avLst/>
                          </a:prstGeom>
                          <a:noFill/>
                          <a:ln w="9525">
                            <a:noFill/>
                          </a:ln>
                        </pic:spPr>
                      </pic:pic>
                    </a:graphicData>
                  </a:graphic>
                </wp:anchor>
              </w:drawing>
            </w:r>
          </w:p>
        </w:tc>
      </w:tr>
      <w:tr w14:paraId="6D48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 w:type="pct"/>
            <w:vAlign w:val="center"/>
          </w:tcPr>
          <w:p w14:paraId="4483A2F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auto"/>
                <w:kern w:val="2"/>
                <w:sz w:val="22"/>
                <w:szCs w:val="22"/>
                <w:highlight w:val="none"/>
                <w:lang w:val="en-US" w:eastAsia="zh-CN" w:bidi="ar-SA"/>
              </w:rPr>
              <w:t>11</w:t>
            </w:r>
          </w:p>
        </w:tc>
        <w:tc>
          <w:tcPr>
            <w:tcW w:w="354" w:type="pct"/>
            <w:vAlign w:val="center"/>
          </w:tcPr>
          <w:p w14:paraId="35E93F4E">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床垫</w:t>
            </w:r>
          </w:p>
        </w:tc>
        <w:tc>
          <w:tcPr>
            <w:tcW w:w="699" w:type="pct"/>
            <w:vAlign w:val="center"/>
          </w:tcPr>
          <w:p w14:paraId="63C4439B">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W2000*D1200*H200【提供横截面小样】</w:t>
            </w:r>
          </w:p>
        </w:tc>
        <w:tc>
          <w:tcPr>
            <w:tcW w:w="2737" w:type="pct"/>
            <w:vAlign w:val="center"/>
          </w:tcPr>
          <w:p w14:paraId="2DCA7ECE">
            <w:pPr>
              <w:keepNext w:val="0"/>
              <w:keepLines w:val="0"/>
              <w:pageBreakBefore w:val="0"/>
              <w:numPr>
                <w:ilvl w:val="0"/>
                <w:numId w:val="0"/>
              </w:numPr>
              <w:kinsoku/>
              <w:wordWrap/>
              <w:overflowPunct/>
              <w:topLinePunct w:val="0"/>
              <w:autoSpaceDE/>
              <w:autoSpaceDN/>
              <w:bidi w:val="0"/>
              <w:adjustRightInd/>
              <w:snapToGrid/>
              <w:spacing w:line="360" w:lineRule="exact"/>
              <w:ind w:leftChars="0"/>
              <w:jc w:val="both"/>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1、采用优质品牌。</w:t>
            </w:r>
          </w:p>
          <w:p w14:paraId="7A72AFCE">
            <w:pPr>
              <w:keepNext w:val="0"/>
              <w:keepLines w:val="0"/>
              <w:pageBreakBefore w:val="0"/>
              <w:numPr>
                <w:ilvl w:val="0"/>
                <w:numId w:val="0"/>
              </w:numPr>
              <w:kinsoku/>
              <w:wordWrap/>
              <w:overflowPunct/>
              <w:topLinePunct w:val="0"/>
              <w:autoSpaceDE/>
              <w:autoSpaceDN/>
              <w:bidi w:val="0"/>
              <w:adjustRightInd/>
              <w:snapToGrid/>
              <w:spacing w:line="360" w:lineRule="exact"/>
              <w:ind w:leftChars="0"/>
              <w:jc w:val="both"/>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2、正面7层面料：1层阻燃针织面料，2层三维无胶棉19mm,200g/㎡，3层圆泡海绵15mm,20kg/m³，4层无纺布35g/㎡，5层耐磨纤维棉300g/㎡，6层耐磨纤维棉300g/㎡，7层无纺布35g/㎡。</w:t>
            </w:r>
          </w:p>
          <w:p w14:paraId="7D7CEC0C">
            <w:pPr>
              <w:keepNext w:val="0"/>
              <w:keepLines w:val="0"/>
              <w:pageBreakBefore w:val="0"/>
              <w:numPr>
                <w:ilvl w:val="0"/>
                <w:numId w:val="0"/>
              </w:numPr>
              <w:kinsoku/>
              <w:wordWrap/>
              <w:overflowPunct/>
              <w:topLinePunct w:val="0"/>
              <w:autoSpaceDE/>
              <w:autoSpaceDN/>
              <w:bidi w:val="0"/>
              <w:adjustRightInd/>
              <w:snapToGrid/>
              <w:spacing w:line="360" w:lineRule="exact"/>
              <w:ind w:leftChars="0"/>
              <w:jc w:val="both"/>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3、反面3层面料：1层圆泡海绵15mm,20kg/m³，2层三维无胶棉19mm,200g/㎡，3层阻燃针织面料。</w:t>
            </w:r>
          </w:p>
          <w:p w14:paraId="11709BEF">
            <w:pPr>
              <w:keepNext w:val="0"/>
              <w:keepLines w:val="0"/>
              <w:pageBreakBefore w:val="0"/>
              <w:numPr>
                <w:ilvl w:val="0"/>
                <w:numId w:val="0"/>
              </w:numPr>
              <w:kinsoku/>
              <w:wordWrap/>
              <w:overflowPunct/>
              <w:topLinePunct w:val="0"/>
              <w:autoSpaceDE/>
              <w:autoSpaceDN/>
              <w:bidi w:val="0"/>
              <w:adjustRightInd/>
              <w:snapToGrid/>
              <w:spacing w:line="360" w:lineRule="exact"/>
              <w:ind w:leftChars="0"/>
              <w:jc w:val="both"/>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4、围边3层面料：1层阻燃针织面料，2层圆泡海绵7mm,20kg/m³，3层无纺布35g/㎡。</w:t>
            </w:r>
          </w:p>
          <w:p w14:paraId="11A06242">
            <w:pPr>
              <w:keepNext w:val="0"/>
              <w:keepLines w:val="0"/>
              <w:pageBreakBefore w:val="0"/>
              <w:numPr>
                <w:ilvl w:val="0"/>
                <w:numId w:val="0"/>
              </w:numPr>
              <w:kinsoku/>
              <w:wordWrap/>
              <w:overflowPunct/>
              <w:topLinePunct w:val="0"/>
              <w:autoSpaceDE/>
              <w:autoSpaceDN/>
              <w:bidi w:val="0"/>
              <w:adjustRightInd/>
              <w:snapToGrid/>
              <w:spacing w:line="360" w:lineRule="exact"/>
              <w:ind w:leftChars="0"/>
              <w:jc w:val="both"/>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5、弹簧床芯：独立袋装弹簧，材质70#碳钢 ，线径2.0mm，160mm弹簧高度，材质70#碳钢线径5.0mm围边钢丝，M型支力簧护边，长边5个，宽边３个（按比例）护边数量。</w:t>
            </w:r>
          </w:p>
          <w:p w14:paraId="0CA48032">
            <w:pPr>
              <w:keepNext w:val="0"/>
              <w:keepLines w:val="0"/>
              <w:pageBreakBefore w:val="0"/>
              <w:numPr>
                <w:ilvl w:val="0"/>
                <w:numId w:val="0"/>
              </w:numPr>
              <w:kinsoku/>
              <w:wordWrap/>
              <w:overflowPunct/>
              <w:topLinePunct w:val="0"/>
              <w:autoSpaceDE/>
              <w:autoSpaceDN/>
              <w:bidi w:val="0"/>
              <w:adjustRightInd/>
              <w:snapToGrid/>
              <w:spacing w:line="360" w:lineRule="exact"/>
              <w:ind w:leftChars="0"/>
              <w:jc w:val="both"/>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6、床簧耐久测试达10万次/无损，床垫面料经防螨抗菌处理，弹簧内胆经整体热处理， 全部材料为全新原料。</w:t>
            </w:r>
          </w:p>
        </w:tc>
        <w:tc>
          <w:tcPr>
            <w:tcW w:w="183" w:type="pct"/>
            <w:vAlign w:val="center"/>
          </w:tcPr>
          <w:p w14:paraId="143D30EC">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张</w:t>
            </w:r>
          </w:p>
        </w:tc>
        <w:tc>
          <w:tcPr>
            <w:tcW w:w="208" w:type="pct"/>
            <w:vAlign w:val="center"/>
          </w:tcPr>
          <w:p w14:paraId="27E3D00F">
            <w:pPr>
              <w:keepNext w:val="0"/>
              <w:keepLines w:val="0"/>
              <w:pageBreakBefore w:val="0"/>
              <w:kinsoku/>
              <w:wordWrap/>
              <w:overflowPunct/>
              <w:topLinePunct w:val="0"/>
              <w:autoSpaceDE/>
              <w:autoSpaceDN/>
              <w:bidi w:val="0"/>
              <w:adjustRightInd/>
              <w:snapToGrid/>
              <w:spacing w:line="360" w:lineRule="exact"/>
              <w:ind w:left="0" w:leftChars="0" w:firstLine="0" w:firstLineChars="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226</w:t>
            </w:r>
          </w:p>
        </w:tc>
        <w:tc>
          <w:tcPr>
            <w:tcW w:w="641" w:type="pct"/>
            <w:vAlign w:val="center"/>
          </w:tcPr>
          <w:p w14:paraId="51BE2554">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anchor distT="0" distB="0" distL="114300" distR="114300" simplePos="0" relativeHeight="251668480" behindDoc="1" locked="0" layoutInCell="1" allowOverlap="1">
                  <wp:simplePos x="0" y="0"/>
                  <wp:positionH relativeFrom="column">
                    <wp:posOffset>36195</wp:posOffset>
                  </wp:positionH>
                  <wp:positionV relativeFrom="paragraph">
                    <wp:posOffset>213360</wp:posOffset>
                  </wp:positionV>
                  <wp:extent cx="1012825" cy="758825"/>
                  <wp:effectExtent l="0" t="0" r="8255" b="3175"/>
                  <wp:wrapTight wrapText="bothSides">
                    <wp:wrapPolygon>
                      <wp:start x="0" y="0"/>
                      <wp:lineTo x="0" y="21257"/>
                      <wp:lineTo x="21126" y="21257"/>
                      <wp:lineTo x="21126" y="0"/>
                      <wp:lineTo x="0" y="0"/>
                    </wp:wrapPolygon>
                  </wp:wrapTight>
                  <wp:docPr id="37" name="图片 36" descr=" "/>
                  <wp:cNvGraphicFramePr/>
                  <a:graphic xmlns:a="http://schemas.openxmlformats.org/drawingml/2006/main">
                    <a:graphicData uri="http://schemas.openxmlformats.org/drawingml/2006/picture">
                      <pic:pic xmlns:pic="http://schemas.openxmlformats.org/drawingml/2006/picture">
                        <pic:nvPicPr>
                          <pic:cNvPr id="37" name="图片 36" descr=" "/>
                          <pic:cNvPicPr/>
                        </pic:nvPicPr>
                        <pic:blipFill>
                          <a:blip r:embed="rId23"/>
                          <a:srcRect/>
                          <a:stretch>
                            <a:fillRect/>
                          </a:stretch>
                        </pic:blipFill>
                        <pic:spPr>
                          <a:xfrm>
                            <a:off x="0" y="0"/>
                            <a:ext cx="1012825" cy="758825"/>
                          </a:xfrm>
                          <a:prstGeom prst="rect">
                            <a:avLst/>
                          </a:prstGeom>
                          <a:noFill/>
                          <a:ln w="9525" cap="flat" cmpd="sng">
                            <a:noFill/>
                            <a:prstDash val="solid"/>
                            <a:miter/>
                          </a:ln>
                          <a:effectLst/>
                        </pic:spPr>
                      </pic:pic>
                    </a:graphicData>
                  </a:graphic>
                </wp:anchor>
              </w:drawing>
            </w:r>
          </w:p>
        </w:tc>
      </w:tr>
      <w:tr w14:paraId="43D95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 w:type="pct"/>
            <w:vAlign w:val="center"/>
          </w:tcPr>
          <w:p w14:paraId="3C90859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auto"/>
                <w:kern w:val="2"/>
                <w:sz w:val="22"/>
                <w:szCs w:val="22"/>
                <w:highlight w:val="none"/>
                <w:lang w:val="en-US" w:eastAsia="zh-CN" w:bidi="ar-SA"/>
              </w:rPr>
              <w:t>12</w:t>
            </w:r>
          </w:p>
        </w:tc>
        <w:tc>
          <w:tcPr>
            <w:tcW w:w="354" w:type="pct"/>
            <w:vAlign w:val="center"/>
          </w:tcPr>
          <w:p w14:paraId="02C2EDFF">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床头柜</w:t>
            </w:r>
          </w:p>
        </w:tc>
        <w:tc>
          <w:tcPr>
            <w:tcW w:w="699" w:type="pct"/>
            <w:vAlign w:val="center"/>
          </w:tcPr>
          <w:p w14:paraId="5F4D06CD">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W550*D500*H500</w:t>
            </w:r>
          </w:p>
          <w:p w14:paraId="2992F2B4">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【提供成品样品及板材小样一块】</w:t>
            </w:r>
          </w:p>
        </w:tc>
        <w:tc>
          <w:tcPr>
            <w:tcW w:w="2737" w:type="pct"/>
            <w:vAlign w:val="center"/>
          </w:tcPr>
          <w:p w14:paraId="165E270E">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1、基材：采用E0级实木多层板，质量符合GB/T 9846-2015 《普通胶合板》、GB/T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人造板和木质地板》标准，甲醛释放量≤0.015mg/m³，总挥发有机化合物（TVOC）释放率≤0.08mg/（㎡·h）（72H），苯、甲苯、二甲苯含量≤5ug/m³，多层板抗菌性能符合JC/T 2039-2010《抗菌防霉木质装饰板》 要求，抗菌率&gt;97%；防火性能符合GB8624-2012《建筑材料及制品燃烧性能分级》达到B1级。</w:t>
            </w:r>
          </w:p>
          <w:p w14:paraId="368ACFA3">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2、贴面：采用树脂浸渍纸（MFC）贴面，防火，并具阻燃、耐磨性强、清洁方便等特点。</w:t>
            </w:r>
          </w:p>
          <w:p w14:paraId="73711637">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3、封边：加厚PVC封边，质量符合QB/T4463-2013《家具用封边条技术要求》标准，耐开裂性（耐龟裂性）≥1级；耐老化：无开裂</w:t>
            </w:r>
            <w:r>
              <w:rPr>
                <w:rFonts w:hint="eastAsia" w:ascii="宋体" w:hAnsi="宋体" w:cs="宋体"/>
                <w:i w:val="0"/>
                <w:iCs w:val="0"/>
                <w:color w:val="auto"/>
                <w:kern w:val="0"/>
                <w:sz w:val="22"/>
                <w:szCs w:val="22"/>
                <w:highlight w:val="none"/>
                <w:u w:val="none"/>
                <w:lang w:val="en-US" w:eastAsia="zh-CN" w:bidi="ar"/>
              </w:rPr>
              <w:t>。</w:t>
            </w:r>
          </w:p>
          <w:p w14:paraId="0411E083">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4、五金件：优质五金配件，表面无锈蚀痕迹、鼓泡、开裂、毛刺、露底。</w:t>
            </w:r>
          </w:p>
          <w:p w14:paraId="061DF034">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5、详细尺寸：▲</w:t>
            </w:r>
            <w:r>
              <w:rPr>
                <w:rFonts w:hint="eastAsia" w:ascii="宋体" w:hAnsi="宋体" w:eastAsia="宋体" w:cs="宋体"/>
                <w:i w:val="0"/>
                <w:iCs w:val="0"/>
                <w:color w:val="auto"/>
                <w:kern w:val="0"/>
                <w:sz w:val="22"/>
                <w:szCs w:val="22"/>
                <w:highlight w:val="none"/>
                <w:u w:val="single"/>
                <w:lang w:val="en-US" w:eastAsia="zh-CN" w:bidi="ar"/>
              </w:rPr>
              <w:t>面板厚度≥25mm，抽屉底板厚度≥5mm，其余部位≥16mm</w:t>
            </w:r>
            <w:r>
              <w:rPr>
                <w:rFonts w:hint="eastAsia" w:ascii="宋体" w:hAnsi="宋体" w:cs="宋体"/>
                <w:i w:val="0"/>
                <w:iCs w:val="0"/>
                <w:color w:val="auto"/>
                <w:kern w:val="0"/>
                <w:sz w:val="22"/>
                <w:szCs w:val="22"/>
                <w:highlight w:val="none"/>
                <w:u w:val="single"/>
                <w:lang w:val="en-US" w:eastAsia="zh-CN" w:bidi="ar"/>
              </w:rPr>
              <w:t>；</w:t>
            </w:r>
            <w:r>
              <w:rPr>
                <w:rFonts w:hint="eastAsia" w:ascii="宋体" w:hAnsi="宋体" w:eastAsia="宋体" w:cs="宋体"/>
                <w:i w:val="0"/>
                <w:iCs w:val="0"/>
                <w:color w:val="auto"/>
                <w:kern w:val="0"/>
                <w:sz w:val="22"/>
                <w:szCs w:val="22"/>
                <w:highlight w:val="none"/>
                <w:u w:val="single"/>
                <w:lang w:val="en-US" w:eastAsia="zh-CN" w:bidi="ar"/>
              </w:rPr>
              <w:t>抽屉面板扣手采用免拉手工艺。</w:t>
            </w:r>
          </w:p>
        </w:tc>
        <w:tc>
          <w:tcPr>
            <w:tcW w:w="183" w:type="pct"/>
            <w:vAlign w:val="center"/>
          </w:tcPr>
          <w:p w14:paraId="5FEF584B">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组</w:t>
            </w:r>
          </w:p>
        </w:tc>
        <w:tc>
          <w:tcPr>
            <w:tcW w:w="208" w:type="pct"/>
            <w:vAlign w:val="center"/>
          </w:tcPr>
          <w:p w14:paraId="7F73137A">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403</w:t>
            </w:r>
          </w:p>
        </w:tc>
        <w:tc>
          <w:tcPr>
            <w:tcW w:w="641" w:type="pct"/>
            <w:vAlign w:val="center"/>
          </w:tcPr>
          <w:p w14:paraId="27EB0684">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anchor distT="0" distB="0" distL="114300" distR="114300" simplePos="0" relativeHeight="251669504" behindDoc="1" locked="0" layoutInCell="1" allowOverlap="1">
                  <wp:simplePos x="0" y="0"/>
                  <wp:positionH relativeFrom="column">
                    <wp:posOffset>45720</wp:posOffset>
                  </wp:positionH>
                  <wp:positionV relativeFrom="paragraph">
                    <wp:posOffset>240030</wp:posOffset>
                  </wp:positionV>
                  <wp:extent cx="961390" cy="1129030"/>
                  <wp:effectExtent l="0" t="0" r="13970" b="13970"/>
                  <wp:wrapTight wrapText="bothSides">
                    <wp:wrapPolygon>
                      <wp:start x="0" y="0"/>
                      <wp:lineTo x="0" y="21284"/>
                      <wp:lineTo x="21229" y="21284"/>
                      <wp:lineTo x="21229" y="0"/>
                      <wp:lineTo x="0" y="0"/>
                    </wp:wrapPolygon>
                  </wp:wrapTight>
                  <wp:docPr id="45" name="图片 3" descr=" "/>
                  <wp:cNvGraphicFramePr/>
                  <a:graphic xmlns:a="http://schemas.openxmlformats.org/drawingml/2006/main">
                    <a:graphicData uri="http://schemas.openxmlformats.org/drawingml/2006/picture">
                      <pic:pic xmlns:pic="http://schemas.openxmlformats.org/drawingml/2006/picture">
                        <pic:nvPicPr>
                          <pic:cNvPr id="45" name="图片 3" descr=" "/>
                          <pic:cNvPicPr/>
                        </pic:nvPicPr>
                        <pic:blipFill>
                          <a:blip r:embed="rId24"/>
                          <a:srcRect/>
                          <a:stretch>
                            <a:fillRect/>
                          </a:stretch>
                        </pic:blipFill>
                        <pic:spPr>
                          <a:xfrm>
                            <a:off x="0" y="0"/>
                            <a:ext cx="961390" cy="1129030"/>
                          </a:xfrm>
                          <a:prstGeom prst="rect">
                            <a:avLst/>
                          </a:prstGeom>
                          <a:noFill/>
                          <a:ln w="9525" cap="flat" cmpd="sng">
                            <a:noFill/>
                            <a:prstDash val="solid"/>
                            <a:miter/>
                          </a:ln>
                          <a:effectLst/>
                        </pic:spPr>
                      </pic:pic>
                    </a:graphicData>
                  </a:graphic>
                </wp:anchor>
              </w:drawing>
            </w:r>
          </w:p>
        </w:tc>
      </w:tr>
      <w:tr w14:paraId="56E95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 w:type="pct"/>
            <w:vAlign w:val="center"/>
          </w:tcPr>
          <w:p w14:paraId="6E58E724">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auto"/>
                <w:kern w:val="2"/>
                <w:sz w:val="22"/>
                <w:szCs w:val="22"/>
                <w:highlight w:val="none"/>
                <w:lang w:val="en-US" w:eastAsia="zh-CN" w:bidi="ar-SA"/>
              </w:rPr>
              <w:t>13</w:t>
            </w:r>
          </w:p>
        </w:tc>
        <w:tc>
          <w:tcPr>
            <w:tcW w:w="354" w:type="pct"/>
            <w:vAlign w:val="center"/>
          </w:tcPr>
          <w:p w14:paraId="42ECB371">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电视机柜</w:t>
            </w:r>
          </w:p>
        </w:tc>
        <w:tc>
          <w:tcPr>
            <w:tcW w:w="699" w:type="pct"/>
            <w:vAlign w:val="center"/>
          </w:tcPr>
          <w:p w14:paraId="5E684181">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W1200*D400*H760</w:t>
            </w:r>
          </w:p>
        </w:tc>
        <w:tc>
          <w:tcPr>
            <w:tcW w:w="2737" w:type="pct"/>
            <w:vAlign w:val="center"/>
          </w:tcPr>
          <w:p w14:paraId="0EC505FB">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1、基材：采用E0级实木多层板，质量符合GB/T 9846-2015 《普通胶合板》、GB/T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人造板和木质地板》标准，甲醛释放量≤0.015mg/m³，总挥发有机化合物（TVOC）释放率≤0.08mg/（㎡·h）（72H），苯、甲苯、二甲苯含量≤5ug/m³，多层板抗菌性能符合JC/T 2039-2010《抗菌防霉木质装饰板》 要求，抗菌率&gt;97%；防火性能符合GB8624-2012《建筑材料及制品燃烧性能分级》达到B1级。</w:t>
            </w:r>
          </w:p>
          <w:p w14:paraId="5FA38A8C">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2、贴面：采用树脂浸渍纸（MFC）贴面，防火，并具阻燃、耐磨性强、清洁方便等特点。</w:t>
            </w:r>
          </w:p>
          <w:p w14:paraId="0546454B">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3、封边：加厚PVC封边，质量符合QB/T4463-2013《家具用封边条技术要求》标准，耐开裂性（耐龟裂性）≥1级；耐老化：无开裂；</w:t>
            </w:r>
          </w:p>
          <w:p w14:paraId="195C2270">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4、五金件：优质五金配件，表面无锈蚀痕迹、鼓泡、开裂、毛刺、露底。</w:t>
            </w:r>
          </w:p>
          <w:p w14:paraId="1797FD39">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5、详细尺寸：面板厚度≥25mm，门板≥18mm，其余部位≥16mm</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门板扣手采用C型封边，免拉手工艺</w:t>
            </w:r>
            <w:r>
              <w:rPr>
                <w:rFonts w:hint="eastAsia" w:ascii="宋体" w:hAnsi="宋体" w:cs="宋体"/>
                <w:i w:val="0"/>
                <w:iCs w:val="0"/>
                <w:color w:val="auto"/>
                <w:kern w:val="0"/>
                <w:sz w:val="22"/>
                <w:szCs w:val="22"/>
                <w:highlight w:val="none"/>
                <w:u w:val="none"/>
                <w:lang w:val="en-US" w:eastAsia="zh-CN" w:bidi="ar"/>
              </w:rPr>
              <w:t>，</w:t>
            </w:r>
            <w:r>
              <w:rPr>
                <w:rFonts w:hint="eastAsia" w:ascii="宋体" w:hAnsi="宋体" w:eastAsia="宋体" w:cs="宋体"/>
                <w:i w:val="0"/>
                <w:iCs w:val="0"/>
                <w:color w:val="auto"/>
                <w:kern w:val="0"/>
                <w:sz w:val="22"/>
                <w:szCs w:val="22"/>
                <w:highlight w:val="none"/>
                <w:u w:val="none"/>
                <w:lang w:val="en-US" w:eastAsia="zh-CN" w:bidi="ar"/>
              </w:rPr>
              <w:t>外侧板与门板连接部分采用Z型封边，外露5mm（±1mm）封边，半内嵌工艺。</w:t>
            </w:r>
          </w:p>
        </w:tc>
        <w:tc>
          <w:tcPr>
            <w:tcW w:w="183" w:type="pct"/>
            <w:vAlign w:val="center"/>
          </w:tcPr>
          <w:p w14:paraId="3FE3AE54">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组</w:t>
            </w:r>
          </w:p>
        </w:tc>
        <w:tc>
          <w:tcPr>
            <w:tcW w:w="208" w:type="pct"/>
            <w:vAlign w:val="center"/>
          </w:tcPr>
          <w:p w14:paraId="345F06D4">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201</w:t>
            </w:r>
          </w:p>
        </w:tc>
        <w:tc>
          <w:tcPr>
            <w:tcW w:w="641" w:type="pct"/>
            <w:vAlign w:val="center"/>
          </w:tcPr>
          <w:p w14:paraId="30F845E7">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rPr>
            </w:pPr>
            <w:r>
              <w:rPr>
                <w:color w:val="auto"/>
                <w:highlight w:val="none"/>
              </w:rPr>
              <w:drawing>
                <wp:anchor distT="0" distB="0" distL="114300" distR="114300" simplePos="0" relativeHeight="251682816" behindDoc="1" locked="0" layoutInCell="1" allowOverlap="1">
                  <wp:simplePos x="0" y="0"/>
                  <wp:positionH relativeFrom="column">
                    <wp:posOffset>-1905</wp:posOffset>
                  </wp:positionH>
                  <wp:positionV relativeFrom="paragraph">
                    <wp:posOffset>370205</wp:posOffset>
                  </wp:positionV>
                  <wp:extent cx="1115060" cy="710565"/>
                  <wp:effectExtent l="0" t="0" r="12700" b="5715"/>
                  <wp:wrapTight wrapText="bothSides">
                    <wp:wrapPolygon>
                      <wp:start x="0" y="0"/>
                      <wp:lineTo x="0" y="21310"/>
                      <wp:lineTo x="21256" y="21310"/>
                      <wp:lineTo x="21256" y="0"/>
                      <wp:lineTo x="0" y="0"/>
                    </wp:wrapPolygon>
                  </wp:wrapTight>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25"/>
                          <a:stretch>
                            <a:fillRect/>
                          </a:stretch>
                        </pic:blipFill>
                        <pic:spPr>
                          <a:xfrm>
                            <a:off x="0" y="0"/>
                            <a:ext cx="1115060" cy="710565"/>
                          </a:xfrm>
                          <a:prstGeom prst="rect">
                            <a:avLst/>
                          </a:prstGeom>
                          <a:noFill/>
                          <a:ln w="9525">
                            <a:noFill/>
                          </a:ln>
                        </pic:spPr>
                      </pic:pic>
                    </a:graphicData>
                  </a:graphic>
                </wp:anchor>
              </w:drawing>
            </w:r>
          </w:p>
        </w:tc>
      </w:tr>
      <w:tr w14:paraId="2D1EB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 w:type="pct"/>
            <w:vMerge w:val="restart"/>
            <w:vAlign w:val="center"/>
          </w:tcPr>
          <w:p w14:paraId="4D6918A1">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auto"/>
                <w:kern w:val="2"/>
                <w:sz w:val="22"/>
                <w:szCs w:val="22"/>
                <w:highlight w:val="none"/>
                <w:lang w:val="en-US" w:eastAsia="zh-CN" w:bidi="ar-SA"/>
              </w:rPr>
              <w:t>14</w:t>
            </w:r>
          </w:p>
        </w:tc>
        <w:tc>
          <w:tcPr>
            <w:tcW w:w="354" w:type="pct"/>
            <w:vMerge w:val="restart"/>
            <w:vAlign w:val="center"/>
          </w:tcPr>
          <w:p w14:paraId="28D95939">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书桌</w:t>
            </w:r>
          </w:p>
        </w:tc>
        <w:tc>
          <w:tcPr>
            <w:tcW w:w="699" w:type="pct"/>
            <w:vAlign w:val="center"/>
          </w:tcPr>
          <w:p w14:paraId="600D3A3E">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单人位</w:t>
            </w:r>
          </w:p>
          <w:p w14:paraId="337702D1">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W600*D400*H760</w:t>
            </w:r>
          </w:p>
        </w:tc>
        <w:tc>
          <w:tcPr>
            <w:tcW w:w="2737" w:type="pct"/>
            <w:vMerge w:val="restart"/>
            <w:vAlign w:val="center"/>
          </w:tcPr>
          <w:p w14:paraId="2CB0D5F4">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both"/>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1、基材：采用E0级实木多层板，质量符合GB/T 9846-2015 《普通胶合板》、GB/T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人造板和木质地板》标准，甲醛释放量≤0.015mg/m³，总挥发有机化合物（TVOC）释放率≤0.08mg/（㎡·h）（72H），苯、甲苯、二甲苯含量≤5ug/m³，多层板抗菌性能符合JC/T 2039-2010《抗菌防霉木质装饰板》 要求，抗菌率&gt;97%；防火性能符合GB8624-2012《建筑材料及制品燃烧性能分级》达到B1级。</w:t>
            </w:r>
          </w:p>
          <w:p w14:paraId="6CA069F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both"/>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2、贴面：采用树脂浸渍纸（MFC）贴面，防火，并具阻燃、耐磨性强、清洁方便等特点。</w:t>
            </w:r>
          </w:p>
          <w:p w14:paraId="488FF69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both"/>
              <w:textAlignment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3、封边：加厚PVC封边，质量符合QB/T4463-2013《家具用封边条技术要求》标准，耐开裂性（耐龟裂性）≥1级；耐老化：无开裂</w:t>
            </w:r>
            <w:r>
              <w:rPr>
                <w:rFonts w:hint="eastAsia" w:ascii="宋体" w:hAnsi="宋体" w:cs="宋体"/>
                <w:color w:val="auto"/>
                <w:sz w:val="22"/>
                <w:szCs w:val="22"/>
                <w:highlight w:val="none"/>
                <w:lang w:eastAsia="zh-CN"/>
              </w:rPr>
              <w:t>。</w:t>
            </w:r>
          </w:p>
          <w:p w14:paraId="4FF5ECE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both"/>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4、五金件：优质五金配件，表面无锈蚀痕迹、鼓泡、开裂、毛刺、露底。</w:t>
            </w:r>
          </w:p>
          <w:p w14:paraId="41057950">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color w:val="auto"/>
                <w:sz w:val="22"/>
                <w:szCs w:val="22"/>
                <w:highlight w:val="none"/>
              </w:rPr>
              <w:t>5、详细尺寸：面板、侧板厚度≥25mm，抽屉底板厚度≥5mm，其余部位≥16mm。抽屉面板扣手封边采用C型封边，免拉手工艺。</w:t>
            </w:r>
          </w:p>
        </w:tc>
        <w:tc>
          <w:tcPr>
            <w:tcW w:w="183" w:type="pct"/>
            <w:vAlign w:val="center"/>
          </w:tcPr>
          <w:p w14:paraId="53D75CA2">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张</w:t>
            </w:r>
          </w:p>
        </w:tc>
        <w:tc>
          <w:tcPr>
            <w:tcW w:w="208" w:type="pct"/>
            <w:vAlign w:val="center"/>
          </w:tcPr>
          <w:p w14:paraId="7E9B6F18">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314</w:t>
            </w:r>
          </w:p>
        </w:tc>
        <w:tc>
          <w:tcPr>
            <w:tcW w:w="641" w:type="pct"/>
            <w:vMerge w:val="restart"/>
            <w:vAlign w:val="center"/>
          </w:tcPr>
          <w:p w14:paraId="1599BD69">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rPr>
            </w:pPr>
            <w:r>
              <w:rPr>
                <w:color w:val="auto"/>
                <w:highlight w:val="none"/>
              </w:rPr>
              <w:drawing>
                <wp:anchor distT="0" distB="0" distL="114300" distR="114300" simplePos="0" relativeHeight="251683840" behindDoc="1" locked="0" layoutInCell="1" allowOverlap="1">
                  <wp:simplePos x="0" y="0"/>
                  <wp:positionH relativeFrom="column">
                    <wp:posOffset>-68580</wp:posOffset>
                  </wp:positionH>
                  <wp:positionV relativeFrom="paragraph">
                    <wp:posOffset>336550</wp:posOffset>
                  </wp:positionV>
                  <wp:extent cx="1167130" cy="744220"/>
                  <wp:effectExtent l="0" t="0" r="6350" b="2540"/>
                  <wp:wrapTight wrapText="bothSides">
                    <wp:wrapPolygon>
                      <wp:start x="0" y="0"/>
                      <wp:lineTo x="0" y="21231"/>
                      <wp:lineTo x="21435" y="21231"/>
                      <wp:lineTo x="21435" y="0"/>
                      <wp:lineTo x="0" y="0"/>
                    </wp:wrapPolygon>
                  </wp:wrapTight>
                  <wp:docPr id="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1"/>
                          <pic:cNvPicPr>
                            <a:picLocks noChangeAspect="1"/>
                          </pic:cNvPicPr>
                        </pic:nvPicPr>
                        <pic:blipFill>
                          <a:blip r:embed="rId25"/>
                          <a:stretch>
                            <a:fillRect/>
                          </a:stretch>
                        </pic:blipFill>
                        <pic:spPr>
                          <a:xfrm>
                            <a:off x="0" y="0"/>
                            <a:ext cx="1167130" cy="744220"/>
                          </a:xfrm>
                          <a:prstGeom prst="rect">
                            <a:avLst/>
                          </a:prstGeom>
                          <a:noFill/>
                          <a:ln w="9525">
                            <a:noFill/>
                          </a:ln>
                        </pic:spPr>
                      </pic:pic>
                    </a:graphicData>
                  </a:graphic>
                </wp:anchor>
              </w:drawing>
            </w:r>
          </w:p>
        </w:tc>
      </w:tr>
      <w:tr w14:paraId="14DB7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 w:type="pct"/>
            <w:vMerge w:val="continue"/>
            <w:vAlign w:val="center"/>
          </w:tcPr>
          <w:p w14:paraId="16A09B10">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color w:val="auto"/>
                <w:sz w:val="22"/>
                <w:szCs w:val="22"/>
                <w:highlight w:val="none"/>
              </w:rPr>
            </w:pPr>
          </w:p>
        </w:tc>
        <w:tc>
          <w:tcPr>
            <w:tcW w:w="354" w:type="pct"/>
            <w:vMerge w:val="continue"/>
            <w:vAlign w:val="center"/>
          </w:tcPr>
          <w:p w14:paraId="31C1BD59">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p>
        </w:tc>
        <w:tc>
          <w:tcPr>
            <w:tcW w:w="699" w:type="pct"/>
            <w:vAlign w:val="center"/>
          </w:tcPr>
          <w:p w14:paraId="590BDAC3">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两人位</w:t>
            </w:r>
          </w:p>
          <w:p w14:paraId="52DE54C1">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W1200*D400*H760</w:t>
            </w:r>
          </w:p>
        </w:tc>
        <w:tc>
          <w:tcPr>
            <w:tcW w:w="2737" w:type="pct"/>
            <w:vMerge w:val="continue"/>
            <w:vAlign w:val="center"/>
          </w:tcPr>
          <w:p w14:paraId="66C494F4">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both"/>
              <w:textAlignment w:val="center"/>
              <w:rPr>
                <w:rFonts w:hint="eastAsia" w:ascii="宋体" w:hAnsi="宋体" w:eastAsia="宋体" w:cs="宋体"/>
                <w:i w:val="0"/>
                <w:iCs w:val="0"/>
                <w:color w:val="auto"/>
                <w:kern w:val="0"/>
                <w:sz w:val="22"/>
                <w:szCs w:val="22"/>
                <w:highlight w:val="none"/>
                <w:u w:val="none"/>
                <w:lang w:val="en-US" w:eastAsia="zh-CN" w:bidi="ar"/>
              </w:rPr>
            </w:pPr>
          </w:p>
        </w:tc>
        <w:tc>
          <w:tcPr>
            <w:tcW w:w="183" w:type="pct"/>
            <w:vAlign w:val="center"/>
          </w:tcPr>
          <w:p w14:paraId="749AE9BA">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张</w:t>
            </w:r>
          </w:p>
        </w:tc>
        <w:tc>
          <w:tcPr>
            <w:tcW w:w="208" w:type="pct"/>
            <w:vAlign w:val="center"/>
          </w:tcPr>
          <w:p w14:paraId="46683601">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88</w:t>
            </w:r>
          </w:p>
        </w:tc>
        <w:tc>
          <w:tcPr>
            <w:tcW w:w="641" w:type="pct"/>
            <w:vMerge w:val="continue"/>
            <w:vAlign w:val="center"/>
          </w:tcPr>
          <w:p w14:paraId="4B9B1F06">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rPr>
            </w:pPr>
          </w:p>
        </w:tc>
      </w:tr>
      <w:tr w14:paraId="35765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 w:type="pct"/>
            <w:vAlign w:val="center"/>
          </w:tcPr>
          <w:p w14:paraId="56C25967">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auto"/>
                <w:kern w:val="2"/>
                <w:sz w:val="22"/>
                <w:szCs w:val="22"/>
                <w:highlight w:val="none"/>
                <w:lang w:val="en-US" w:eastAsia="zh-CN" w:bidi="ar-SA"/>
              </w:rPr>
              <w:t>15</w:t>
            </w:r>
          </w:p>
        </w:tc>
        <w:tc>
          <w:tcPr>
            <w:tcW w:w="354" w:type="pct"/>
            <w:vAlign w:val="center"/>
          </w:tcPr>
          <w:p w14:paraId="19DB12FE">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写字椅</w:t>
            </w:r>
          </w:p>
        </w:tc>
        <w:tc>
          <w:tcPr>
            <w:tcW w:w="699" w:type="pct"/>
            <w:vAlign w:val="center"/>
          </w:tcPr>
          <w:p w14:paraId="5E3D30CE">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W530*D515*H850</w:t>
            </w:r>
          </w:p>
          <w:p w14:paraId="13385A75">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（±10mm）</w:t>
            </w:r>
          </w:p>
          <w:p w14:paraId="371E99F0">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【提供样品】</w:t>
            </w:r>
          </w:p>
        </w:tc>
        <w:tc>
          <w:tcPr>
            <w:tcW w:w="2737" w:type="pct"/>
            <w:vAlign w:val="center"/>
          </w:tcPr>
          <w:p w14:paraId="1F7B5D31">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b w:val="0"/>
                <w:bCs/>
                <w:i w:val="0"/>
                <w:iCs w:val="0"/>
                <w:color w:val="auto"/>
                <w:kern w:val="0"/>
                <w:sz w:val="22"/>
                <w:szCs w:val="22"/>
                <w:highlight w:val="none"/>
                <w:u w:val="none"/>
                <w:lang w:val="en-US" w:eastAsia="zh-CN" w:bidi="ar"/>
              </w:rPr>
            </w:pPr>
            <w:r>
              <w:rPr>
                <w:rFonts w:hint="eastAsia" w:ascii="宋体" w:hAnsi="宋体" w:eastAsia="宋体" w:cs="宋体"/>
                <w:b w:val="0"/>
                <w:bCs/>
                <w:i w:val="0"/>
                <w:iCs w:val="0"/>
                <w:color w:val="auto"/>
                <w:kern w:val="0"/>
                <w:sz w:val="22"/>
                <w:szCs w:val="22"/>
                <w:highlight w:val="none"/>
                <w:u w:val="none"/>
                <w:lang w:val="en-US" w:eastAsia="zh-CN" w:bidi="ar"/>
              </w:rPr>
              <w:t>1、座垫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4371-2012《家具抗菌性能的评价》要求，抗菌率&gt;97%以上；防火性能符合GB8624-2012《建筑材料及制品燃烧性能分级》达到B1级。</w:t>
            </w:r>
          </w:p>
          <w:p w14:paraId="2BB84E9E">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b w:val="0"/>
                <w:bCs/>
                <w:i w:val="0"/>
                <w:iCs w:val="0"/>
                <w:color w:val="auto"/>
                <w:kern w:val="0"/>
                <w:sz w:val="22"/>
                <w:szCs w:val="22"/>
                <w:highlight w:val="none"/>
                <w:u w:val="none"/>
                <w:lang w:val="en-US" w:eastAsia="zh-CN" w:bidi="ar"/>
              </w:rPr>
            </w:pPr>
            <w:r>
              <w:rPr>
                <w:rFonts w:hint="eastAsia" w:ascii="宋体" w:hAnsi="宋体" w:eastAsia="宋体" w:cs="宋体"/>
                <w:b w:val="0"/>
                <w:bCs/>
                <w:i w:val="0"/>
                <w:iCs w:val="0"/>
                <w:color w:val="auto"/>
                <w:kern w:val="0"/>
                <w:sz w:val="22"/>
                <w:szCs w:val="22"/>
                <w:highlight w:val="none"/>
                <w:u w:val="none"/>
                <w:lang w:val="en-US" w:eastAsia="zh-CN" w:bidi="ar"/>
              </w:rPr>
              <w:t>2、座垫泡绵：环保型高密度、高回弹PU泡绵，符合QB/T1952.1-2012《软体家具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p>
          <w:p w14:paraId="606CC21C">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b w:val="0"/>
                <w:bCs/>
                <w:i w:val="0"/>
                <w:iCs w:val="0"/>
                <w:color w:val="auto"/>
                <w:kern w:val="0"/>
                <w:sz w:val="22"/>
                <w:szCs w:val="22"/>
                <w:highlight w:val="none"/>
                <w:u w:val="none"/>
                <w:lang w:val="en-US" w:eastAsia="zh-CN" w:bidi="ar"/>
              </w:rPr>
            </w:pPr>
            <w:r>
              <w:rPr>
                <w:rFonts w:hint="eastAsia" w:ascii="宋体" w:hAnsi="宋体" w:eastAsia="宋体" w:cs="宋体"/>
                <w:b w:val="0"/>
                <w:bCs/>
                <w:i w:val="0"/>
                <w:iCs w:val="0"/>
                <w:color w:val="auto"/>
                <w:kern w:val="0"/>
                <w:sz w:val="22"/>
                <w:szCs w:val="22"/>
                <w:highlight w:val="none"/>
                <w:u w:val="none"/>
                <w:lang w:val="en-US" w:eastAsia="zh-CN" w:bidi="ar"/>
              </w:rPr>
              <w:t>3、脚架：配橡胶木全实木框架，材质纹理细腻，表面结疤少，坚韧耐潮</w:t>
            </w:r>
            <w:r>
              <w:rPr>
                <w:rFonts w:hint="eastAsia" w:ascii="宋体" w:hAnsi="宋体" w:cs="宋体"/>
                <w:b w:val="0"/>
                <w:bCs/>
                <w:i w:val="0"/>
                <w:iCs w:val="0"/>
                <w:color w:val="auto"/>
                <w:kern w:val="0"/>
                <w:sz w:val="22"/>
                <w:szCs w:val="22"/>
                <w:highlight w:val="none"/>
                <w:u w:val="none"/>
                <w:lang w:val="en-US" w:eastAsia="zh-CN" w:bidi="ar"/>
              </w:rPr>
              <w:t>，</w:t>
            </w:r>
            <w:r>
              <w:rPr>
                <w:rFonts w:hint="eastAsia" w:ascii="宋体" w:hAnsi="宋体" w:eastAsia="宋体" w:cs="宋体"/>
                <w:b w:val="0"/>
                <w:bCs/>
                <w:i w:val="0"/>
                <w:iCs w:val="0"/>
                <w:color w:val="auto"/>
                <w:kern w:val="0"/>
                <w:sz w:val="22"/>
                <w:szCs w:val="22"/>
                <w:highlight w:val="none"/>
                <w:u w:val="none"/>
                <w:lang w:val="en-US" w:eastAsia="zh-CN" w:bidi="ar"/>
              </w:rPr>
              <w:t>木料须经二次烘干处理，含水率低于12%，保证不开裂、不扭曲、不变形。</w:t>
            </w:r>
          </w:p>
          <w:p w14:paraId="0F2727EF">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b w:val="0"/>
                <w:bCs/>
                <w:i w:val="0"/>
                <w:iCs w:val="0"/>
                <w:color w:val="auto"/>
                <w:kern w:val="0"/>
                <w:sz w:val="22"/>
                <w:szCs w:val="22"/>
                <w:highlight w:val="none"/>
                <w:u w:val="none"/>
                <w:lang w:val="en-US" w:eastAsia="zh-CN" w:bidi="ar"/>
              </w:rPr>
            </w:pPr>
            <w:r>
              <w:rPr>
                <w:rFonts w:hint="eastAsia" w:ascii="宋体" w:hAnsi="宋体" w:eastAsia="宋体" w:cs="宋体"/>
                <w:b w:val="0"/>
                <w:bCs/>
                <w:i w:val="0"/>
                <w:iCs w:val="0"/>
                <w:color w:val="auto"/>
                <w:kern w:val="0"/>
                <w:sz w:val="22"/>
                <w:szCs w:val="22"/>
                <w:highlight w:val="none"/>
                <w:u w:val="none"/>
                <w:lang w:val="en-US" w:eastAsia="zh-CN" w:bidi="ar"/>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1741-2020《漆膜耐霉菌性测定法》要求，抗霉菌检测结果长霉等级为0级，抗大肠杆菌和抗金黄色葡萄球菌检测结果抑菌率&gt;100%。</w:t>
            </w:r>
          </w:p>
        </w:tc>
        <w:tc>
          <w:tcPr>
            <w:tcW w:w="183" w:type="pct"/>
            <w:vAlign w:val="center"/>
          </w:tcPr>
          <w:p w14:paraId="704BDC13">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张</w:t>
            </w:r>
          </w:p>
        </w:tc>
        <w:tc>
          <w:tcPr>
            <w:tcW w:w="208" w:type="pct"/>
            <w:vAlign w:val="center"/>
          </w:tcPr>
          <w:p w14:paraId="68868FB6">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490</w:t>
            </w:r>
          </w:p>
        </w:tc>
        <w:tc>
          <w:tcPr>
            <w:tcW w:w="641" w:type="pct"/>
            <w:vAlign w:val="center"/>
          </w:tcPr>
          <w:p w14:paraId="2F74813C">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rPr>
            </w:pPr>
            <w:r>
              <w:rPr>
                <w:color w:val="auto"/>
                <w:highlight w:val="none"/>
              </w:rPr>
              <w:drawing>
                <wp:anchor distT="0" distB="0" distL="114300" distR="114300" simplePos="0" relativeHeight="251684864" behindDoc="1" locked="0" layoutInCell="1" allowOverlap="1">
                  <wp:simplePos x="0" y="0"/>
                  <wp:positionH relativeFrom="column">
                    <wp:posOffset>-19050</wp:posOffset>
                  </wp:positionH>
                  <wp:positionV relativeFrom="paragraph">
                    <wp:posOffset>230505</wp:posOffset>
                  </wp:positionV>
                  <wp:extent cx="1105535" cy="1475740"/>
                  <wp:effectExtent l="0" t="0" r="6985" b="2540"/>
                  <wp:wrapTight wrapText="bothSides">
                    <wp:wrapPolygon>
                      <wp:start x="0" y="0"/>
                      <wp:lineTo x="0" y="21414"/>
                      <wp:lineTo x="21439" y="21414"/>
                      <wp:lineTo x="21439" y="0"/>
                      <wp:lineTo x="0" y="0"/>
                    </wp:wrapPolygon>
                  </wp:wrapTight>
                  <wp:docPr id="34" name="图片 3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未标题-1"/>
                          <pic:cNvPicPr>
                            <a:picLocks noChangeAspect="1"/>
                          </pic:cNvPicPr>
                        </pic:nvPicPr>
                        <pic:blipFill>
                          <a:blip r:embed="rId26"/>
                          <a:stretch>
                            <a:fillRect/>
                          </a:stretch>
                        </pic:blipFill>
                        <pic:spPr>
                          <a:xfrm>
                            <a:off x="0" y="0"/>
                            <a:ext cx="1105535" cy="1475740"/>
                          </a:xfrm>
                          <a:prstGeom prst="rect">
                            <a:avLst/>
                          </a:prstGeom>
                        </pic:spPr>
                      </pic:pic>
                    </a:graphicData>
                  </a:graphic>
                </wp:anchor>
              </w:drawing>
            </w:r>
          </w:p>
        </w:tc>
      </w:tr>
      <w:tr w14:paraId="20768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175" w:type="pct"/>
            <w:vAlign w:val="center"/>
          </w:tcPr>
          <w:p w14:paraId="71A5F58C">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auto"/>
                <w:kern w:val="2"/>
                <w:sz w:val="22"/>
                <w:szCs w:val="22"/>
                <w:highlight w:val="none"/>
                <w:lang w:val="en-US" w:eastAsia="zh-CN" w:bidi="ar-SA"/>
              </w:rPr>
              <w:t>16</w:t>
            </w:r>
          </w:p>
        </w:tc>
        <w:tc>
          <w:tcPr>
            <w:tcW w:w="354" w:type="pct"/>
            <w:vAlign w:val="center"/>
          </w:tcPr>
          <w:p w14:paraId="2B0E1126">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休闲椅</w:t>
            </w:r>
          </w:p>
        </w:tc>
        <w:tc>
          <w:tcPr>
            <w:tcW w:w="699" w:type="pct"/>
            <w:vAlign w:val="center"/>
          </w:tcPr>
          <w:p w14:paraId="07E2B757">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W550*D540*H440/780</w:t>
            </w:r>
          </w:p>
        </w:tc>
        <w:tc>
          <w:tcPr>
            <w:tcW w:w="2737" w:type="pct"/>
            <w:vAlign w:val="center"/>
          </w:tcPr>
          <w:p w14:paraId="14CCA54C">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座垫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4371-2012《家具抗菌性能的评价》要求，抗菌率&gt;97%以上；防火性能符合GB8624-2012《建筑材料及制品燃烧性能分级》达到B1级。</w:t>
            </w:r>
          </w:p>
          <w:p w14:paraId="73079562">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2、座垫泡绵：环保型高密度、高回弹PU泡绵，符合QB/T1952.1-2012《软体家具 沙发》GB/T10802-2006《通用软质聚醚型聚氨酯泡沫塑料》，回弹率≥40%，75%压缩永久变形≤7%，安全性能阻燃达到1级，附不含氟氨化合物的高弹力定型海绵及多层丝棉作填充，圆润厚实，弹性好，表面涂有防止老化变形的保护膜。</w:t>
            </w:r>
          </w:p>
          <w:p w14:paraId="15326971">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3、脚架：纯配全实木框架，材质纹理细腻，表面结疤少，坚韧耐潮。木料须经二次烘干处理，含水率低于12%，保证不开裂、不扭曲、不变形。</w:t>
            </w:r>
          </w:p>
          <w:p w14:paraId="3EF9DDAF">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1741-2020《漆膜耐霉菌性测定法》要求，抗霉菌检测结果长霉等级为0级，抗大肠杆菌和抗金黄色葡萄球菌检测结果抑菌率&gt;100%。</w:t>
            </w:r>
          </w:p>
        </w:tc>
        <w:tc>
          <w:tcPr>
            <w:tcW w:w="183" w:type="pct"/>
            <w:vAlign w:val="center"/>
          </w:tcPr>
          <w:p w14:paraId="7B21B8E5">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张</w:t>
            </w:r>
          </w:p>
        </w:tc>
        <w:tc>
          <w:tcPr>
            <w:tcW w:w="208" w:type="pct"/>
            <w:vAlign w:val="center"/>
          </w:tcPr>
          <w:p w14:paraId="0BAE1B92">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226</w:t>
            </w:r>
          </w:p>
        </w:tc>
        <w:tc>
          <w:tcPr>
            <w:tcW w:w="641" w:type="pct"/>
            <w:vAlign w:val="center"/>
          </w:tcPr>
          <w:p w14:paraId="7AB89887">
            <w:pPr>
              <w:keepNext w:val="0"/>
              <w:keepLines w:val="0"/>
              <w:pageBreakBefore w:val="0"/>
              <w:kinsoku/>
              <w:wordWrap/>
              <w:overflowPunct/>
              <w:topLinePunct w:val="0"/>
              <w:autoSpaceDE/>
              <w:autoSpaceDN/>
              <w:bidi w:val="0"/>
              <w:adjustRightInd/>
              <w:snapToGrid/>
              <w:spacing w:line="360" w:lineRule="exact"/>
              <w:ind w:left="0" w:firstLine="0"/>
              <w:jc w:val="both"/>
              <w:rPr>
                <w:rFonts w:hint="eastAsia" w:ascii="宋体" w:hAnsi="宋体" w:eastAsia="宋体" w:cs="宋体"/>
                <w:color w:val="auto"/>
                <w:sz w:val="22"/>
                <w:szCs w:val="22"/>
                <w:highlight w:val="none"/>
              </w:rPr>
            </w:pPr>
            <w:r>
              <w:rPr>
                <w:color w:val="auto"/>
                <w:highlight w:val="none"/>
              </w:rPr>
              <w:drawing>
                <wp:anchor distT="0" distB="0" distL="114300" distR="114300" simplePos="0" relativeHeight="251685888" behindDoc="1" locked="0" layoutInCell="1" allowOverlap="1">
                  <wp:simplePos x="0" y="0"/>
                  <wp:positionH relativeFrom="column">
                    <wp:posOffset>92710</wp:posOffset>
                  </wp:positionH>
                  <wp:positionV relativeFrom="paragraph">
                    <wp:posOffset>1764030</wp:posOffset>
                  </wp:positionV>
                  <wp:extent cx="985520" cy="1161415"/>
                  <wp:effectExtent l="0" t="0" r="5080" b="12065"/>
                  <wp:wrapTight wrapText="bothSides">
                    <wp:wrapPolygon>
                      <wp:start x="0" y="0"/>
                      <wp:lineTo x="0" y="21258"/>
                      <wp:lineTo x="21377" y="21258"/>
                      <wp:lineTo x="21377" y="0"/>
                      <wp:lineTo x="0" y="0"/>
                    </wp:wrapPolygon>
                  </wp:wrapTight>
                  <wp:docPr id="36" name="图片 31" descr="513124d42cbfc5d60d31f31f81602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descr="513124d42cbfc5d60d31f31f81602db"/>
                          <pic:cNvPicPr>
                            <a:picLocks noChangeAspect="1"/>
                          </pic:cNvPicPr>
                        </pic:nvPicPr>
                        <pic:blipFill>
                          <a:blip r:embed="rId27"/>
                          <a:srcRect l="13766" t="10126" r="12376" b="3014"/>
                          <a:stretch>
                            <a:fillRect/>
                          </a:stretch>
                        </pic:blipFill>
                        <pic:spPr>
                          <a:xfrm>
                            <a:off x="0" y="0"/>
                            <a:ext cx="985520" cy="1161415"/>
                          </a:xfrm>
                          <a:prstGeom prst="rect">
                            <a:avLst/>
                          </a:prstGeom>
                          <a:noFill/>
                          <a:ln w="9525">
                            <a:noFill/>
                          </a:ln>
                        </pic:spPr>
                      </pic:pic>
                    </a:graphicData>
                  </a:graphic>
                </wp:anchor>
              </w:drawing>
            </w:r>
          </w:p>
        </w:tc>
      </w:tr>
      <w:tr w14:paraId="05801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5" w:type="pct"/>
            <w:vAlign w:val="center"/>
          </w:tcPr>
          <w:p w14:paraId="66EA17B5">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auto"/>
                <w:kern w:val="2"/>
                <w:sz w:val="22"/>
                <w:szCs w:val="22"/>
                <w:highlight w:val="none"/>
                <w:lang w:val="en-US" w:eastAsia="zh-CN" w:bidi="ar-SA"/>
              </w:rPr>
              <w:t>17</w:t>
            </w:r>
          </w:p>
        </w:tc>
        <w:tc>
          <w:tcPr>
            <w:tcW w:w="354" w:type="pct"/>
            <w:vAlign w:val="center"/>
          </w:tcPr>
          <w:p w14:paraId="458BFCAA">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茶几</w:t>
            </w:r>
          </w:p>
        </w:tc>
        <w:tc>
          <w:tcPr>
            <w:tcW w:w="699" w:type="pct"/>
            <w:vAlign w:val="center"/>
          </w:tcPr>
          <w:p w14:paraId="04B18076">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φ600*H550</w:t>
            </w:r>
          </w:p>
        </w:tc>
        <w:tc>
          <w:tcPr>
            <w:tcW w:w="2737" w:type="pct"/>
            <w:vAlign w:val="center"/>
          </w:tcPr>
          <w:p w14:paraId="69773008">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2"/>
                <w:sz w:val="22"/>
                <w:szCs w:val="22"/>
                <w:highlight w:val="none"/>
                <w:u w:val="none"/>
                <w:lang w:val="en-US" w:eastAsia="zh-CN" w:bidi="ar-SA"/>
              </w:rPr>
              <w:t>1、基材：均采用E1级中密度纤维板，质量符合GB/T 11718-2021 《中密度纤维板》、GB/T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要求，抗菌率&gt;97%；防火性能符合GB8624-2012《建筑材料及制品燃烧性能分级》达到B1级</w:t>
            </w:r>
          </w:p>
          <w:p w14:paraId="6926736B">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2"/>
                <w:sz w:val="22"/>
                <w:szCs w:val="22"/>
                <w:highlight w:val="none"/>
                <w:u w:val="none"/>
                <w:lang w:val="en-US" w:eastAsia="zh-CN" w:bidi="ar-SA"/>
              </w:rPr>
              <w:t>2、面材：采用双面贴优质天然木皮，厚度为0.6mm，木皮纹理颜色一致，无结疤，无瑕疵。</w:t>
            </w:r>
          </w:p>
          <w:p w14:paraId="084F6FA5">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2"/>
                <w:sz w:val="22"/>
                <w:szCs w:val="22"/>
                <w:highlight w:val="none"/>
                <w:u w:val="none"/>
                <w:lang w:val="en-US" w:eastAsia="zh-CN" w:bidi="ar-SA"/>
              </w:rPr>
              <w:t>3、脚架：配全实木框架，材质纹理细腻，表面结疤少，坚韧耐潮。木料须经二次烘干处理，含水率低于12%，保证不开裂、不扭曲、不变形。</w:t>
            </w:r>
          </w:p>
          <w:p w14:paraId="669C1542">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both"/>
              <w:textAlignment w:val="center"/>
              <w:rPr>
                <w:rFonts w:hint="eastAsia" w:ascii="宋体" w:hAnsi="宋体" w:eastAsia="宋体" w:cs="宋体"/>
                <w:i w:val="0"/>
                <w:iCs w:val="0"/>
                <w:color w:val="auto"/>
                <w:kern w:val="2"/>
                <w:sz w:val="22"/>
                <w:szCs w:val="22"/>
                <w:highlight w:val="none"/>
                <w:u w:val="none"/>
                <w:lang w:val="en-US" w:eastAsia="zh-CN" w:bidi="ar-SA"/>
              </w:rPr>
            </w:pPr>
            <w:r>
              <w:rPr>
                <w:rFonts w:hint="eastAsia" w:ascii="宋体" w:hAnsi="宋体" w:eastAsia="宋体" w:cs="宋体"/>
                <w:i w:val="0"/>
                <w:iCs w:val="0"/>
                <w:color w:val="auto"/>
                <w:kern w:val="2"/>
                <w:sz w:val="22"/>
                <w:szCs w:val="22"/>
                <w:highlight w:val="none"/>
                <w:u w:val="none"/>
                <w:lang w:val="en-US" w:eastAsia="zh-CN" w:bidi="ar-SA"/>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1741-2020《漆膜耐霉菌性测定法》要求，抗霉菌检测结果长霉等级为0级，抗大肠杆菌和抗金黄色葡萄球菌检测结果抑菌率&gt;98%。</w:t>
            </w:r>
          </w:p>
        </w:tc>
        <w:tc>
          <w:tcPr>
            <w:tcW w:w="183" w:type="pct"/>
            <w:vAlign w:val="center"/>
          </w:tcPr>
          <w:p w14:paraId="56C52BFE">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张</w:t>
            </w:r>
          </w:p>
        </w:tc>
        <w:tc>
          <w:tcPr>
            <w:tcW w:w="208" w:type="pct"/>
            <w:vAlign w:val="center"/>
          </w:tcPr>
          <w:p w14:paraId="3BABE82B">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113</w:t>
            </w:r>
          </w:p>
        </w:tc>
        <w:tc>
          <w:tcPr>
            <w:tcW w:w="641" w:type="pct"/>
            <w:vAlign w:val="center"/>
          </w:tcPr>
          <w:p w14:paraId="5A8767EB">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rPr>
            </w:pPr>
            <w:r>
              <w:rPr>
                <w:color w:val="auto"/>
                <w:highlight w:val="none"/>
              </w:rPr>
              <w:drawing>
                <wp:anchor distT="0" distB="0" distL="114300" distR="114300" simplePos="0" relativeHeight="251686912" behindDoc="1" locked="0" layoutInCell="1" allowOverlap="1">
                  <wp:simplePos x="0" y="0"/>
                  <wp:positionH relativeFrom="column">
                    <wp:posOffset>-68580</wp:posOffset>
                  </wp:positionH>
                  <wp:positionV relativeFrom="paragraph">
                    <wp:posOffset>345440</wp:posOffset>
                  </wp:positionV>
                  <wp:extent cx="1110615" cy="1371600"/>
                  <wp:effectExtent l="0" t="0" r="1905" b="0"/>
                  <wp:wrapTight wrapText="bothSides">
                    <wp:wrapPolygon>
                      <wp:start x="0" y="0"/>
                      <wp:lineTo x="0" y="21360"/>
                      <wp:lineTo x="21341" y="21360"/>
                      <wp:lineTo x="21341" y="0"/>
                      <wp:lineTo x="0" y="0"/>
                    </wp:wrapPolygon>
                  </wp:wrapTight>
                  <wp:docPr id="43"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09"/>
                          <pic:cNvPicPr>
                            <a:picLocks noChangeAspect="1"/>
                          </pic:cNvPicPr>
                        </pic:nvPicPr>
                        <pic:blipFill>
                          <a:blip r:embed="rId28"/>
                          <a:stretch>
                            <a:fillRect/>
                          </a:stretch>
                        </pic:blipFill>
                        <pic:spPr>
                          <a:xfrm>
                            <a:off x="0" y="0"/>
                            <a:ext cx="1110615" cy="1371600"/>
                          </a:xfrm>
                          <a:prstGeom prst="rect">
                            <a:avLst/>
                          </a:prstGeom>
                          <a:noFill/>
                          <a:ln w="1">
                            <a:noFill/>
                          </a:ln>
                        </pic:spPr>
                      </pic:pic>
                    </a:graphicData>
                  </a:graphic>
                </wp:anchor>
              </w:drawing>
            </w:r>
          </w:p>
        </w:tc>
      </w:tr>
      <w:tr w14:paraId="62234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0" w:hRule="atLeast"/>
          <w:jc w:val="center"/>
        </w:trPr>
        <w:tc>
          <w:tcPr>
            <w:tcW w:w="175" w:type="pct"/>
            <w:vAlign w:val="center"/>
          </w:tcPr>
          <w:p w14:paraId="66457AC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color w:val="auto"/>
                <w:sz w:val="22"/>
                <w:szCs w:val="22"/>
                <w:highlight w:val="none"/>
              </w:rPr>
            </w:pPr>
            <w:r>
              <w:rPr>
                <w:rFonts w:hint="eastAsia" w:ascii="宋体" w:hAnsi="宋体" w:eastAsia="宋体" w:cs="宋体"/>
                <w:i w:val="0"/>
                <w:iCs w:val="0"/>
                <w:color w:val="auto"/>
                <w:kern w:val="2"/>
                <w:sz w:val="22"/>
                <w:szCs w:val="22"/>
                <w:highlight w:val="none"/>
                <w:lang w:val="en-US" w:eastAsia="zh-CN" w:bidi="ar-SA"/>
              </w:rPr>
              <w:t>18</w:t>
            </w:r>
          </w:p>
        </w:tc>
        <w:tc>
          <w:tcPr>
            <w:tcW w:w="354" w:type="pct"/>
            <w:vAlign w:val="center"/>
          </w:tcPr>
          <w:p w14:paraId="318C14FE">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衣柜</w:t>
            </w:r>
          </w:p>
        </w:tc>
        <w:tc>
          <w:tcPr>
            <w:tcW w:w="699" w:type="pct"/>
            <w:vAlign w:val="center"/>
          </w:tcPr>
          <w:p w14:paraId="15DB6595">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W2400*D600*H2400</w:t>
            </w:r>
          </w:p>
        </w:tc>
        <w:tc>
          <w:tcPr>
            <w:tcW w:w="2737" w:type="pct"/>
            <w:vAlign w:val="center"/>
          </w:tcPr>
          <w:p w14:paraId="75053FA9">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1、基材：采用E0级实木多层板，质量符合GB/T 9846-2015 《普通胶合板》、GB/T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人造板和木质地板》标准，甲醛释放量≤0.015mg/m³，总挥发有机化合物（TVOC）释放率≤0.08mg/（㎡·h）（72H），苯、甲苯、二甲苯含量≤5ug/m³，多层板抗菌性能符合JC/T 2039-2010《抗菌防霉木质装饰板》 要求，抗菌率&gt;97%；防火性能符合GB8624-2012《建筑材料及制品燃烧性能分级》达到B1级。</w:t>
            </w:r>
          </w:p>
          <w:p w14:paraId="40FA4CCB">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2、贴面：采用树脂浸渍纸（MFC）贴面，防火，并具阻燃、耐磨性强、清洁方便等特点。</w:t>
            </w:r>
          </w:p>
          <w:p w14:paraId="09C71941">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3、封边：加厚PVC封边，质量符合QB/T4463-2013《家具用封边条技术要求》标准，耐开裂性（耐龟裂性）≥1级；耐老化：无开裂；</w:t>
            </w:r>
          </w:p>
          <w:p w14:paraId="61903A9A">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4、五金件：优质五金配件，表面无锈蚀痕迹、鼓泡、开裂、毛刺、露底。</w:t>
            </w:r>
          </w:p>
          <w:p w14:paraId="43BF4646">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5、详细尺寸：面板厚度≥25mm，门板≥18mm，其余部位≥16mm。门板扣手采用C型封边，免拉手工艺。外侧板与门板连接部分采用Z型封边，外露5mm（±1mm）封边，半内嵌工艺。</w:t>
            </w:r>
          </w:p>
        </w:tc>
        <w:tc>
          <w:tcPr>
            <w:tcW w:w="183" w:type="pct"/>
            <w:vAlign w:val="center"/>
          </w:tcPr>
          <w:p w14:paraId="7B465F68">
            <w:pPr>
              <w:keepNext w:val="0"/>
              <w:keepLines w:val="0"/>
              <w:pageBreakBefore w:val="0"/>
              <w:kinsoku/>
              <w:wordWrap/>
              <w:overflowPunct/>
              <w:topLinePunct w:val="0"/>
              <w:autoSpaceDE/>
              <w:autoSpaceDN/>
              <w:bidi w:val="0"/>
              <w:adjustRightInd/>
              <w:snapToGrid/>
              <w:spacing w:line="360" w:lineRule="exact"/>
              <w:ind w:left="0" w:firstLine="0"/>
              <w:jc w:val="both"/>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组</w:t>
            </w:r>
          </w:p>
        </w:tc>
        <w:tc>
          <w:tcPr>
            <w:tcW w:w="208" w:type="pct"/>
            <w:vAlign w:val="center"/>
          </w:tcPr>
          <w:p w14:paraId="3F7F9944">
            <w:pPr>
              <w:keepNext w:val="0"/>
              <w:keepLines w:val="0"/>
              <w:pageBreakBefore w:val="0"/>
              <w:kinsoku/>
              <w:wordWrap/>
              <w:overflowPunct/>
              <w:topLinePunct w:val="0"/>
              <w:autoSpaceDE/>
              <w:autoSpaceDN/>
              <w:bidi w:val="0"/>
              <w:adjustRightInd/>
              <w:snapToGrid/>
              <w:spacing w:line="360" w:lineRule="exact"/>
              <w:ind w:left="0" w:firstLine="0"/>
              <w:jc w:val="both"/>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201</w:t>
            </w:r>
          </w:p>
        </w:tc>
        <w:tc>
          <w:tcPr>
            <w:tcW w:w="641" w:type="pct"/>
            <w:vMerge w:val="restart"/>
            <w:vAlign w:val="center"/>
          </w:tcPr>
          <w:p w14:paraId="7C5789B3">
            <w:pPr>
              <w:keepNext w:val="0"/>
              <w:keepLines w:val="0"/>
              <w:pageBreakBefore w:val="0"/>
              <w:kinsoku/>
              <w:wordWrap/>
              <w:overflowPunct/>
              <w:topLinePunct w:val="0"/>
              <w:autoSpaceDE/>
              <w:autoSpaceDN/>
              <w:bidi w:val="0"/>
              <w:adjustRightInd/>
              <w:snapToGrid/>
              <w:spacing w:line="360" w:lineRule="exact"/>
              <w:ind w:left="0" w:firstLine="0"/>
              <w:jc w:val="both"/>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anchor distT="0" distB="0" distL="114300" distR="114300" simplePos="0" relativeHeight="251670528" behindDoc="1" locked="0" layoutInCell="1" allowOverlap="1">
                  <wp:simplePos x="0" y="0"/>
                  <wp:positionH relativeFrom="column">
                    <wp:posOffset>-30480</wp:posOffset>
                  </wp:positionH>
                  <wp:positionV relativeFrom="paragraph">
                    <wp:posOffset>669290</wp:posOffset>
                  </wp:positionV>
                  <wp:extent cx="1139190" cy="1118235"/>
                  <wp:effectExtent l="0" t="0" r="3810" b="9525"/>
                  <wp:wrapTight wrapText="bothSides">
                    <wp:wrapPolygon>
                      <wp:start x="0" y="0"/>
                      <wp:lineTo x="0" y="21195"/>
                      <wp:lineTo x="21383" y="21195"/>
                      <wp:lineTo x="21383" y="0"/>
                      <wp:lineTo x="0" y="0"/>
                    </wp:wrapPolygon>
                  </wp:wrapTight>
                  <wp:docPr id="42" name="图片 30" descr=" "/>
                  <wp:cNvGraphicFramePr/>
                  <a:graphic xmlns:a="http://schemas.openxmlformats.org/drawingml/2006/main">
                    <a:graphicData uri="http://schemas.openxmlformats.org/drawingml/2006/picture">
                      <pic:pic xmlns:pic="http://schemas.openxmlformats.org/drawingml/2006/picture">
                        <pic:nvPicPr>
                          <pic:cNvPr id="42" name="图片 30" descr=" "/>
                          <pic:cNvPicPr/>
                        </pic:nvPicPr>
                        <pic:blipFill>
                          <a:blip r:embed="rId29"/>
                          <a:srcRect/>
                          <a:stretch>
                            <a:fillRect/>
                          </a:stretch>
                        </pic:blipFill>
                        <pic:spPr>
                          <a:xfrm>
                            <a:off x="0" y="0"/>
                            <a:ext cx="1139190" cy="1118235"/>
                          </a:xfrm>
                          <a:prstGeom prst="rect">
                            <a:avLst/>
                          </a:prstGeom>
                          <a:noFill/>
                          <a:ln w="9525" cap="flat" cmpd="sng">
                            <a:noFill/>
                            <a:prstDash val="solid"/>
                            <a:miter/>
                          </a:ln>
                          <a:effectLst/>
                        </pic:spPr>
                      </pic:pic>
                    </a:graphicData>
                  </a:graphic>
                </wp:anchor>
              </w:drawing>
            </w:r>
          </w:p>
        </w:tc>
      </w:tr>
      <w:tr w14:paraId="6794F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0" w:hRule="atLeast"/>
          <w:jc w:val="center"/>
        </w:trPr>
        <w:tc>
          <w:tcPr>
            <w:tcW w:w="175" w:type="pct"/>
            <w:vAlign w:val="center"/>
          </w:tcPr>
          <w:p w14:paraId="6680CA83">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19</w:t>
            </w:r>
          </w:p>
        </w:tc>
        <w:tc>
          <w:tcPr>
            <w:tcW w:w="354" w:type="pct"/>
            <w:vAlign w:val="center"/>
          </w:tcPr>
          <w:p w14:paraId="2B71724D">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茶水台</w:t>
            </w:r>
          </w:p>
        </w:tc>
        <w:tc>
          <w:tcPr>
            <w:tcW w:w="699" w:type="pct"/>
            <w:vAlign w:val="center"/>
          </w:tcPr>
          <w:p w14:paraId="747543C7">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W800*D600*H850</w:t>
            </w:r>
          </w:p>
        </w:tc>
        <w:tc>
          <w:tcPr>
            <w:tcW w:w="2737" w:type="pct"/>
            <w:vAlign w:val="center"/>
          </w:tcPr>
          <w:p w14:paraId="0B2444D1">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1、基材：采用E0级实木多层板，质量符合GB/T 9846-2015 《普通胶合板》、GB/T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人造板和木质地板》标准，甲醛释放量≤0.015mg/m³，总挥发有机化合物（TVOC）释放率≤0.08mg/（㎡·h）（72H），苯、甲苯、二甲苯含量≤5ug/m³，多层板抗菌性能符合JC/T 2039-2010《抗菌防霉木质装饰板》 要求，抗菌率&gt;97%；防火性能符合GB8624-2012《建筑材料及制品燃烧性能分级》达到B1级。</w:t>
            </w:r>
          </w:p>
          <w:p w14:paraId="65433903">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2、贴面：采用树脂浸渍纸（MFC）贴面，防火，并具阻燃、耐磨性强、清洁方便等特点。</w:t>
            </w:r>
          </w:p>
          <w:p w14:paraId="68A7267E">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3、封边：加厚PVC封边，质量符合QB/T4463-2013《家具用封边条技术要求》标准，耐开裂性（耐龟裂性）≥1级；耐老化：无开裂；</w:t>
            </w:r>
          </w:p>
          <w:p w14:paraId="17876281">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4、五金件：优质五金配件，表面无锈蚀痕迹、鼓泡、开裂、毛刺、露底。</w:t>
            </w:r>
          </w:p>
          <w:p w14:paraId="1245B01E">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5、详细尺寸：面板厚度≥25mm，门板≥18mm，其余部位≥16mm。门板扣手采用C型封边，免拉手工艺。外侧板与门板连接部分采用Z型封边，外露5mm（±1mm）封边，半内嵌工艺。</w:t>
            </w:r>
          </w:p>
        </w:tc>
        <w:tc>
          <w:tcPr>
            <w:tcW w:w="183" w:type="pct"/>
            <w:vAlign w:val="center"/>
          </w:tcPr>
          <w:p w14:paraId="6BE82C65">
            <w:pPr>
              <w:keepNext w:val="0"/>
              <w:keepLines w:val="0"/>
              <w:pageBreakBefore w:val="0"/>
              <w:kinsoku/>
              <w:wordWrap/>
              <w:overflowPunct/>
              <w:topLinePunct w:val="0"/>
              <w:autoSpaceDE/>
              <w:autoSpaceDN/>
              <w:bidi w:val="0"/>
              <w:adjustRightInd/>
              <w:snapToGrid/>
              <w:spacing w:line="360" w:lineRule="exact"/>
              <w:ind w:left="0" w:firstLine="0"/>
              <w:jc w:val="both"/>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组</w:t>
            </w:r>
          </w:p>
        </w:tc>
        <w:tc>
          <w:tcPr>
            <w:tcW w:w="208" w:type="pct"/>
            <w:vAlign w:val="center"/>
          </w:tcPr>
          <w:p w14:paraId="142F7FDA">
            <w:pPr>
              <w:keepNext w:val="0"/>
              <w:keepLines w:val="0"/>
              <w:pageBreakBefore w:val="0"/>
              <w:kinsoku/>
              <w:wordWrap/>
              <w:overflowPunct/>
              <w:topLinePunct w:val="0"/>
              <w:autoSpaceDE/>
              <w:autoSpaceDN/>
              <w:bidi w:val="0"/>
              <w:adjustRightInd/>
              <w:snapToGrid/>
              <w:spacing w:line="360" w:lineRule="exact"/>
              <w:ind w:left="0" w:firstLine="0"/>
              <w:jc w:val="both"/>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201</w:t>
            </w:r>
          </w:p>
        </w:tc>
        <w:tc>
          <w:tcPr>
            <w:tcW w:w="641" w:type="pct"/>
            <w:vMerge w:val="continue"/>
            <w:vAlign w:val="center"/>
          </w:tcPr>
          <w:p w14:paraId="43E4CE0A">
            <w:pPr>
              <w:keepNext w:val="0"/>
              <w:keepLines w:val="0"/>
              <w:pageBreakBefore w:val="0"/>
              <w:kinsoku/>
              <w:wordWrap/>
              <w:overflowPunct/>
              <w:topLinePunct w:val="0"/>
              <w:autoSpaceDE/>
              <w:autoSpaceDN/>
              <w:bidi w:val="0"/>
              <w:adjustRightInd/>
              <w:snapToGrid/>
              <w:spacing w:line="360" w:lineRule="exact"/>
              <w:ind w:left="0" w:firstLine="0"/>
              <w:jc w:val="both"/>
              <w:rPr>
                <w:rFonts w:hint="eastAsia" w:ascii="宋体" w:hAnsi="宋体" w:eastAsia="宋体" w:cs="宋体"/>
                <w:color w:val="auto"/>
                <w:sz w:val="22"/>
                <w:szCs w:val="22"/>
                <w:highlight w:val="none"/>
              </w:rPr>
            </w:pPr>
          </w:p>
        </w:tc>
      </w:tr>
      <w:tr w14:paraId="36162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75" w:type="pct"/>
            <w:vAlign w:val="center"/>
          </w:tcPr>
          <w:p w14:paraId="1D20CAC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20</w:t>
            </w:r>
          </w:p>
        </w:tc>
        <w:tc>
          <w:tcPr>
            <w:tcW w:w="354" w:type="pct"/>
            <w:vAlign w:val="center"/>
          </w:tcPr>
          <w:p w14:paraId="40657DFD">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原有家具拆装</w:t>
            </w:r>
          </w:p>
        </w:tc>
        <w:tc>
          <w:tcPr>
            <w:tcW w:w="699" w:type="pct"/>
            <w:vAlign w:val="center"/>
          </w:tcPr>
          <w:p w14:paraId="423238D5">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p>
        </w:tc>
        <w:tc>
          <w:tcPr>
            <w:tcW w:w="2737" w:type="pct"/>
            <w:vAlign w:val="center"/>
          </w:tcPr>
          <w:p w14:paraId="5BAFFE0D">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拆除家具为宿舍钢木组合家具（上睡下用含床铺、书桌、衣柜、书架），目前安装在2-6层</w:t>
            </w:r>
            <w:r>
              <w:rPr>
                <w:rFonts w:hint="eastAsia" w:ascii="宋体" w:hAnsi="宋体" w:cs="宋体"/>
                <w:color w:val="auto"/>
                <w:sz w:val="22"/>
                <w:szCs w:val="22"/>
                <w:highlight w:val="none"/>
                <w:lang w:val="en-US" w:eastAsia="zh-CN"/>
              </w:rPr>
              <w:t>200间</w:t>
            </w:r>
            <w:r>
              <w:rPr>
                <w:rFonts w:hint="eastAsia" w:ascii="宋体" w:hAnsi="宋体" w:eastAsia="宋体" w:cs="宋体"/>
                <w:color w:val="auto"/>
                <w:sz w:val="22"/>
                <w:szCs w:val="22"/>
                <w:highlight w:val="none"/>
              </w:rPr>
              <w:t>宿舍内，</w:t>
            </w:r>
            <w:r>
              <w:rPr>
                <w:rFonts w:hint="eastAsia" w:ascii="宋体" w:hAnsi="宋体" w:cs="宋体"/>
                <w:color w:val="auto"/>
                <w:sz w:val="22"/>
                <w:szCs w:val="22"/>
                <w:highlight w:val="none"/>
                <w:lang w:val="en-US" w:eastAsia="zh-CN"/>
              </w:rPr>
              <w:t>共计</w:t>
            </w:r>
            <w:r>
              <w:rPr>
                <w:rFonts w:hint="eastAsia" w:ascii="宋体" w:hAnsi="宋体" w:eastAsia="宋体" w:cs="宋体"/>
                <w:color w:val="auto"/>
                <w:sz w:val="22"/>
                <w:szCs w:val="22"/>
                <w:highlight w:val="none"/>
              </w:rPr>
              <w:t>数量800套、楼梯400个，椅子800张，校内搬运2公里内，宿舍有电梯，存放仓库为1楼，存放要求要分类摆放存放。</w:t>
            </w:r>
          </w:p>
        </w:tc>
        <w:tc>
          <w:tcPr>
            <w:tcW w:w="183" w:type="pct"/>
            <w:vAlign w:val="center"/>
          </w:tcPr>
          <w:p w14:paraId="01A71030">
            <w:pPr>
              <w:keepNext w:val="0"/>
              <w:keepLines w:val="0"/>
              <w:pageBreakBefore w:val="0"/>
              <w:kinsoku/>
              <w:wordWrap/>
              <w:overflowPunct/>
              <w:topLinePunct w:val="0"/>
              <w:autoSpaceDE/>
              <w:autoSpaceDN/>
              <w:bidi w:val="0"/>
              <w:adjustRightInd/>
              <w:snapToGrid/>
              <w:spacing w:line="360" w:lineRule="exact"/>
              <w:ind w:left="0" w:firstLine="0"/>
              <w:jc w:val="both"/>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间</w:t>
            </w:r>
          </w:p>
        </w:tc>
        <w:tc>
          <w:tcPr>
            <w:tcW w:w="208" w:type="pct"/>
            <w:vAlign w:val="center"/>
          </w:tcPr>
          <w:p w14:paraId="2E52A622">
            <w:pPr>
              <w:keepNext w:val="0"/>
              <w:keepLines w:val="0"/>
              <w:pageBreakBefore w:val="0"/>
              <w:kinsoku/>
              <w:wordWrap/>
              <w:overflowPunct/>
              <w:topLinePunct w:val="0"/>
              <w:autoSpaceDE/>
              <w:autoSpaceDN/>
              <w:bidi w:val="0"/>
              <w:adjustRightInd/>
              <w:snapToGrid/>
              <w:spacing w:line="360" w:lineRule="exact"/>
              <w:ind w:left="0" w:firstLine="0"/>
              <w:jc w:val="both"/>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200</w:t>
            </w:r>
          </w:p>
        </w:tc>
        <w:tc>
          <w:tcPr>
            <w:tcW w:w="641" w:type="pct"/>
            <w:vAlign w:val="center"/>
          </w:tcPr>
          <w:p w14:paraId="6AABA6C3">
            <w:pPr>
              <w:keepNext w:val="0"/>
              <w:keepLines w:val="0"/>
              <w:pageBreakBefore w:val="0"/>
              <w:kinsoku/>
              <w:wordWrap/>
              <w:overflowPunct/>
              <w:topLinePunct w:val="0"/>
              <w:autoSpaceDE/>
              <w:autoSpaceDN/>
              <w:bidi w:val="0"/>
              <w:adjustRightInd/>
              <w:snapToGrid/>
              <w:spacing w:line="360" w:lineRule="exact"/>
              <w:ind w:left="0" w:firstLine="0"/>
              <w:jc w:val="both"/>
              <w:rPr>
                <w:rFonts w:hint="eastAsia" w:ascii="宋体" w:hAnsi="宋体" w:eastAsia="宋体" w:cs="宋体"/>
                <w:color w:val="auto"/>
                <w:sz w:val="22"/>
                <w:szCs w:val="22"/>
                <w:highlight w:val="none"/>
              </w:rPr>
            </w:pPr>
          </w:p>
        </w:tc>
      </w:tr>
      <w:tr w14:paraId="1156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5000" w:type="pct"/>
            <w:gridSpan w:val="7"/>
            <w:vAlign w:val="center"/>
          </w:tcPr>
          <w:p w14:paraId="4109785F">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13#楼一层</w:t>
            </w:r>
          </w:p>
        </w:tc>
      </w:tr>
      <w:tr w14:paraId="4DF6F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75" w:type="pct"/>
            <w:vAlign w:val="center"/>
          </w:tcPr>
          <w:p w14:paraId="2FD4A1C5">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21</w:t>
            </w:r>
          </w:p>
        </w:tc>
        <w:tc>
          <w:tcPr>
            <w:tcW w:w="354" w:type="pct"/>
            <w:vAlign w:val="center"/>
          </w:tcPr>
          <w:p w14:paraId="7F47C5E0">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接待台</w:t>
            </w:r>
          </w:p>
        </w:tc>
        <w:tc>
          <w:tcPr>
            <w:tcW w:w="699" w:type="pct"/>
            <w:vAlign w:val="center"/>
          </w:tcPr>
          <w:p w14:paraId="76BD5162">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W4500*D800*H1050</w:t>
            </w:r>
          </w:p>
        </w:tc>
        <w:tc>
          <w:tcPr>
            <w:tcW w:w="2737" w:type="pct"/>
            <w:vAlign w:val="center"/>
          </w:tcPr>
          <w:p w14:paraId="786E03F1">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1、基材：均采用E0级中密度纤维板，质量符合GB/T 11718-2021 《中密度纤维板》、GB/T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要求，抗菌率&gt;97%；防火性能符合GB8624-2012《建筑材料及制品燃烧性能分级》达到B1级。</w:t>
            </w:r>
          </w:p>
          <w:p w14:paraId="7FB14F4C">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2、面材：木皮贴面采用优质天然木皮，厚度为0.6mm，木皮纹理颜色一致，无结疤，无瑕疵。</w:t>
            </w:r>
          </w:p>
          <w:p w14:paraId="61116BDA">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3、五金件：采用钢制阻尼铰链，质量符合QB/T 2189-2013 ，其中耐久性测试80000次；三节滚珠滑轨，质量符合QB/T 2454-2013，其中耐久性测试80000次；家具锁，电镀件外露表面经12h的中性盐雾试验（QB/T 3826-1999）后，外观评级≥9级，表面无锈蚀痕迹、鼓泡、开裂、毛刺、露底。</w:t>
            </w:r>
          </w:p>
          <w:p w14:paraId="5F2B00BA">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p w14:paraId="7A80EA8F">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5、人造石面：优质人造石，纹理清晰美观，安全卫生，抗污抗菌，耐高温性，耐刮磨，耐腐蚀，易清洁。</w:t>
            </w:r>
          </w:p>
          <w:p w14:paraId="701EDC05">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6、详细尺寸：人造石厚度≥12mm，桌面厚度≥50mm，抽屉底板≥5mm，其余板材≥16mm。</w:t>
            </w:r>
          </w:p>
        </w:tc>
        <w:tc>
          <w:tcPr>
            <w:tcW w:w="183" w:type="pct"/>
            <w:vAlign w:val="center"/>
          </w:tcPr>
          <w:p w14:paraId="6836A5BF">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张</w:t>
            </w:r>
          </w:p>
        </w:tc>
        <w:tc>
          <w:tcPr>
            <w:tcW w:w="208" w:type="pct"/>
            <w:vAlign w:val="center"/>
          </w:tcPr>
          <w:p w14:paraId="5FF929C5">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w:t>
            </w:r>
          </w:p>
        </w:tc>
        <w:tc>
          <w:tcPr>
            <w:tcW w:w="641" w:type="pct"/>
            <w:vAlign w:val="center"/>
          </w:tcPr>
          <w:p w14:paraId="4202B60A">
            <w:pPr>
              <w:keepNext w:val="0"/>
              <w:keepLines w:val="0"/>
              <w:pageBreakBefore w:val="0"/>
              <w:kinsoku/>
              <w:wordWrap/>
              <w:overflowPunct/>
              <w:topLinePunct w:val="0"/>
              <w:autoSpaceDE/>
              <w:autoSpaceDN/>
              <w:bidi w:val="0"/>
              <w:adjustRightInd/>
              <w:snapToGrid/>
              <w:spacing w:line="360" w:lineRule="exact"/>
              <w:ind w:left="0" w:firstLine="0"/>
              <w:jc w:val="both"/>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anchor distT="0" distB="0" distL="114300" distR="114300" simplePos="0" relativeHeight="251671552" behindDoc="1" locked="0" layoutInCell="1" allowOverlap="1">
                  <wp:simplePos x="0" y="0"/>
                  <wp:positionH relativeFrom="column">
                    <wp:posOffset>-68580</wp:posOffset>
                  </wp:positionH>
                  <wp:positionV relativeFrom="paragraph">
                    <wp:posOffset>203200</wp:posOffset>
                  </wp:positionV>
                  <wp:extent cx="1145540" cy="457200"/>
                  <wp:effectExtent l="0" t="0" r="12700" b="0"/>
                  <wp:wrapTight wrapText="bothSides">
                    <wp:wrapPolygon>
                      <wp:start x="0" y="0"/>
                      <wp:lineTo x="0" y="20880"/>
                      <wp:lineTo x="21265" y="20880"/>
                      <wp:lineTo x="21265" y="0"/>
                      <wp:lineTo x="0" y="0"/>
                    </wp:wrapPolygon>
                  </wp:wrapTight>
                  <wp:docPr id="5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pic:cNvPicPr>
                            <a:picLocks noChangeAspect="1"/>
                          </pic:cNvPicPr>
                        </pic:nvPicPr>
                        <pic:blipFill>
                          <a:blip r:embed="rId30"/>
                          <a:stretch>
                            <a:fillRect/>
                          </a:stretch>
                        </pic:blipFill>
                        <pic:spPr>
                          <a:xfrm>
                            <a:off x="0" y="0"/>
                            <a:ext cx="1145540" cy="457200"/>
                          </a:xfrm>
                          <a:prstGeom prst="rect">
                            <a:avLst/>
                          </a:prstGeom>
                          <a:noFill/>
                          <a:ln w="9525">
                            <a:noFill/>
                          </a:ln>
                        </pic:spPr>
                      </pic:pic>
                    </a:graphicData>
                  </a:graphic>
                </wp:anchor>
              </w:drawing>
            </w:r>
          </w:p>
        </w:tc>
      </w:tr>
      <w:tr w14:paraId="1D3F0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jc w:val="center"/>
        </w:trPr>
        <w:tc>
          <w:tcPr>
            <w:tcW w:w="175" w:type="pct"/>
            <w:vAlign w:val="center"/>
          </w:tcPr>
          <w:p w14:paraId="7EC4100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22</w:t>
            </w:r>
          </w:p>
        </w:tc>
        <w:tc>
          <w:tcPr>
            <w:tcW w:w="354" w:type="pct"/>
            <w:vAlign w:val="center"/>
          </w:tcPr>
          <w:p w14:paraId="11D18577">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接待椅</w:t>
            </w:r>
          </w:p>
        </w:tc>
        <w:tc>
          <w:tcPr>
            <w:tcW w:w="699" w:type="pct"/>
            <w:vAlign w:val="center"/>
          </w:tcPr>
          <w:p w14:paraId="04C9CC2E">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W745*D720*H1170-1265MM</w:t>
            </w:r>
          </w:p>
          <w:p w14:paraId="54A63C66">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（±10mm）</w:t>
            </w:r>
          </w:p>
        </w:tc>
        <w:tc>
          <w:tcPr>
            <w:tcW w:w="2737" w:type="pct"/>
            <w:vAlign w:val="center"/>
          </w:tcPr>
          <w:p w14:paraId="4F335D34">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1、面料：靠背、座垫和头枕采用环保优质高弹性、强韧抗拉特网，透气耐磨，亲肤舒适，阻燃、撕裂和拉伸性能均符合国家标准；</w:t>
            </w:r>
          </w:p>
          <w:p w14:paraId="7137D851">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2、头枕：头枕骨架采用PA材质加高强度玻璃纤维，环抱式护颈设计可升降翻转调节，头枕强度符合QB2280标准，阻燃性能符合国家标准。</w:t>
            </w:r>
          </w:p>
          <w:p w14:paraId="089F8BEB">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3、椅背：腰背分离式优质靠背骨架采用PA材质加高强度玻璃纤维，靠背强度符合QB2280标准，阻燃性能符合国家标准。</w:t>
            </w:r>
          </w:p>
          <w:p w14:paraId="0E543AD0">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扶手：任意角度多维调节结构设计，满足手部承托所以空间，扶手向后可旋转180°，内向旋转40°整体旋转平面角度220°，PA尼龙加纤扶手内管柱，PP塑胶扶手外壳，PU扶手面手感舒适，柔软耐磨。高低升降可调，调距＞5cm；扶手面可前后调整＞4CM，满足不同使用者都能够让手臂及肩肘得到有效支撑；扶手垂直测试115公斤，水平测试68公斤，强度符合QB2280标准</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 xml:space="preserve">                                         </w:t>
            </w:r>
          </w:p>
          <w:p w14:paraId="344D93F1">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5、座垫：坐垫骨架采用PA材质加高强度玻璃纤维制成，填充物高密度定型海绵，面料为环保透气特网座垫，强度符合QB2280标准，阻燃性能符合国家标准。</w:t>
            </w:r>
          </w:p>
          <w:p w14:paraId="12F80E34">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6、底盘：采用同步倾仰底盘,采用2.5mm加厚钢板，材质Q235,倾仰角度23度，倾仰机构底盘，承载109公斤30万次倾斜耐久测试，机构运动无干涉，无噪音，符合QB2280标准。    </w:t>
            </w:r>
          </w:p>
          <w:p w14:paraId="388F428E">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7、气杆：棒芯采用2.5mm的优质无缝钢管，3级气杆标准，通过施加载荷循环测试 10 万次旋转、升降测试，符合QB2280标准。</w:t>
            </w:r>
          </w:p>
          <w:p w14:paraId="011C7FF1">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8、椅脚：采用精密喷塑KD拆装矩形钢铁管，压铸一体成型，椅脚直径660mm；静压测试1136kg 、冲击测试136公斤，符合QB2280标准。</w:t>
            </w:r>
          </w:p>
          <w:p w14:paraId="09157C74">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9、脚轮：采用PA+30%玻璃纤维材料，组装后经过高温热处理，轮片直径60mm。经10万次行走循环测试和136公斤冲击测试，符合QB2280标准，通过负16度低温测试。</w:t>
            </w:r>
          </w:p>
        </w:tc>
        <w:tc>
          <w:tcPr>
            <w:tcW w:w="183" w:type="pct"/>
            <w:vAlign w:val="center"/>
          </w:tcPr>
          <w:p w14:paraId="183C83A1">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张</w:t>
            </w:r>
          </w:p>
        </w:tc>
        <w:tc>
          <w:tcPr>
            <w:tcW w:w="208" w:type="pct"/>
            <w:vAlign w:val="center"/>
          </w:tcPr>
          <w:p w14:paraId="21F69475">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w:t>
            </w:r>
          </w:p>
        </w:tc>
        <w:tc>
          <w:tcPr>
            <w:tcW w:w="641" w:type="pct"/>
            <w:vAlign w:val="center"/>
          </w:tcPr>
          <w:p w14:paraId="4EA725D7">
            <w:pPr>
              <w:keepNext w:val="0"/>
              <w:keepLines w:val="0"/>
              <w:pageBreakBefore w:val="0"/>
              <w:kinsoku/>
              <w:wordWrap/>
              <w:overflowPunct/>
              <w:topLinePunct w:val="0"/>
              <w:autoSpaceDE/>
              <w:autoSpaceDN/>
              <w:bidi w:val="0"/>
              <w:adjustRightInd/>
              <w:snapToGrid/>
              <w:spacing w:line="360" w:lineRule="exact"/>
              <w:ind w:left="0" w:firstLine="0"/>
              <w:jc w:val="both"/>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anchor distT="0" distB="0" distL="114300" distR="114300" simplePos="0" relativeHeight="251672576" behindDoc="1" locked="0" layoutInCell="1" allowOverlap="1">
                  <wp:simplePos x="0" y="0"/>
                  <wp:positionH relativeFrom="column">
                    <wp:posOffset>-25400</wp:posOffset>
                  </wp:positionH>
                  <wp:positionV relativeFrom="paragraph">
                    <wp:posOffset>69850</wp:posOffset>
                  </wp:positionV>
                  <wp:extent cx="1101090" cy="1766570"/>
                  <wp:effectExtent l="0" t="0" r="11430" b="1270"/>
                  <wp:wrapTight wrapText="bothSides">
                    <wp:wrapPolygon>
                      <wp:start x="0" y="0"/>
                      <wp:lineTo x="0" y="21600"/>
                      <wp:lineTo x="21600" y="21600"/>
                      <wp:lineTo x="21600" y="0"/>
                      <wp:lineTo x="0" y="0"/>
                    </wp:wrapPolygon>
                  </wp:wrapTight>
                  <wp:docPr id="6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pic:cNvPicPr>
                            <a:picLocks noChangeAspect="1"/>
                          </pic:cNvPicPr>
                        </pic:nvPicPr>
                        <pic:blipFill>
                          <a:blip r:embed="rId16"/>
                          <a:stretch>
                            <a:fillRect/>
                          </a:stretch>
                        </pic:blipFill>
                        <pic:spPr>
                          <a:xfrm flipH="1">
                            <a:off x="0" y="0"/>
                            <a:ext cx="1101090" cy="1766570"/>
                          </a:xfrm>
                          <a:prstGeom prst="rect">
                            <a:avLst/>
                          </a:prstGeom>
                        </pic:spPr>
                      </pic:pic>
                    </a:graphicData>
                  </a:graphic>
                </wp:anchor>
              </w:drawing>
            </w:r>
          </w:p>
        </w:tc>
      </w:tr>
      <w:tr w14:paraId="4609C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75" w:type="pct"/>
            <w:vAlign w:val="center"/>
          </w:tcPr>
          <w:p w14:paraId="5582102D">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23</w:t>
            </w:r>
          </w:p>
        </w:tc>
        <w:tc>
          <w:tcPr>
            <w:tcW w:w="354" w:type="pct"/>
            <w:vAlign w:val="center"/>
          </w:tcPr>
          <w:p w14:paraId="7BDFC466">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休闲桌</w:t>
            </w:r>
          </w:p>
        </w:tc>
        <w:tc>
          <w:tcPr>
            <w:tcW w:w="699" w:type="pct"/>
            <w:vAlign w:val="center"/>
          </w:tcPr>
          <w:p w14:paraId="4F1D4D89">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φ800*H750</w:t>
            </w:r>
          </w:p>
        </w:tc>
        <w:tc>
          <w:tcPr>
            <w:tcW w:w="2737" w:type="pct"/>
            <w:vAlign w:val="center"/>
          </w:tcPr>
          <w:p w14:paraId="1F1F654A">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1、基材：均采用E1级中密度纤维板，质量符合GB/T 11718-2021 《中密度纤维板》、GB/T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要求，抗菌率&gt;97%；防火性能符合GB8624-2012《建筑材料及制品燃烧性能分级》达到B1级</w:t>
            </w:r>
          </w:p>
          <w:p w14:paraId="021A27C1">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脚架：配全实木框架，材质纹理细腻，表面结疤少，坚韧耐潮。木料须经二次烘干处理，含水率低于12%，保证不开裂、不扭曲、不变形。表面木皮贴面采用优质天然木皮，厚度为0.6mm，木皮纹理颜色一致，无结疤，无瑕疵。</w:t>
            </w:r>
          </w:p>
          <w:p w14:paraId="40C57BEC">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183" w:type="pct"/>
            <w:vAlign w:val="center"/>
          </w:tcPr>
          <w:p w14:paraId="2AB8A66E">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张</w:t>
            </w:r>
          </w:p>
        </w:tc>
        <w:tc>
          <w:tcPr>
            <w:tcW w:w="208" w:type="pct"/>
            <w:vAlign w:val="center"/>
          </w:tcPr>
          <w:p w14:paraId="2D539C8A">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6</w:t>
            </w:r>
          </w:p>
        </w:tc>
        <w:tc>
          <w:tcPr>
            <w:tcW w:w="641" w:type="pct"/>
            <w:vAlign w:val="center"/>
          </w:tcPr>
          <w:p w14:paraId="4D544122">
            <w:pPr>
              <w:keepNext w:val="0"/>
              <w:keepLines w:val="0"/>
              <w:pageBreakBefore w:val="0"/>
              <w:kinsoku/>
              <w:wordWrap/>
              <w:overflowPunct/>
              <w:topLinePunct w:val="0"/>
              <w:autoSpaceDE/>
              <w:autoSpaceDN/>
              <w:bidi w:val="0"/>
              <w:adjustRightInd/>
              <w:snapToGrid/>
              <w:spacing w:line="360" w:lineRule="exact"/>
              <w:ind w:left="0" w:firstLine="0"/>
              <w:jc w:val="both"/>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anchor distT="0" distB="0" distL="114300" distR="114300" simplePos="0" relativeHeight="251673600" behindDoc="1" locked="0" layoutInCell="1" allowOverlap="1">
                  <wp:simplePos x="0" y="0"/>
                  <wp:positionH relativeFrom="column">
                    <wp:posOffset>40005</wp:posOffset>
                  </wp:positionH>
                  <wp:positionV relativeFrom="paragraph">
                    <wp:posOffset>366395</wp:posOffset>
                  </wp:positionV>
                  <wp:extent cx="1005840" cy="946150"/>
                  <wp:effectExtent l="0" t="0" r="0" b="13970"/>
                  <wp:wrapTight wrapText="bothSides">
                    <wp:wrapPolygon>
                      <wp:start x="0" y="0"/>
                      <wp:lineTo x="0" y="21223"/>
                      <wp:lineTo x="21273" y="21223"/>
                      <wp:lineTo x="21273" y="0"/>
                      <wp:lineTo x="0" y="0"/>
                    </wp:wrapPolygon>
                  </wp:wrapTight>
                  <wp:docPr id="69" name="Picture 2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20108"/>
                          <pic:cNvPicPr>
                            <a:picLocks noChangeAspect="1"/>
                          </pic:cNvPicPr>
                        </pic:nvPicPr>
                        <pic:blipFill>
                          <a:blip r:embed="rId20"/>
                          <a:stretch>
                            <a:fillRect/>
                          </a:stretch>
                        </pic:blipFill>
                        <pic:spPr>
                          <a:xfrm>
                            <a:off x="0" y="0"/>
                            <a:ext cx="1005840" cy="946150"/>
                          </a:xfrm>
                          <a:prstGeom prst="rect">
                            <a:avLst/>
                          </a:prstGeom>
                          <a:noFill/>
                          <a:ln w="1">
                            <a:noFill/>
                          </a:ln>
                        </pic:spPr>
                      </pic:pic>
                    </a:graphicData>
                  </a:graphic>
                </wp:anchor>
              </w:drawing>
            </w:r>
          </w:p>
        </w:tc>
      </w:tr>
      <w:tr w14:paraId="0E7E6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6" w:hRule="atLeast"/>
          <w:jc w:val="center"/>
        </w:trPr>
        <w:tc>
          <w:tcPr>
            <w:tcW w:w="175" w:type="pct"/>
            <w:vAlign w:val="center"/>
          </w:tcPr>
          <w:p w14:paraId="024D0D93">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24</w:t>
            </w:r>
          </w:p>
        </w:tc>
        <w:tc>
          <w:tcPr>
            <w:tcW w:w="354" w:type="pct"/>
            <w:vAlign w:val="center"/>
          </w:tcPr>
          <w:p w14:paraId="3938071B">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休闲椅</w:t>
            </w:r>
          </w:p>
        </w:tc>
        <w:tc>
          <w:tcPr>
            <w:tcW w:w="699" w:type="pct"/>
            <w:vAlign w:val="center"/>
          </w:tcPr>
          <w:p w14:paraId="411C8DE3">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W611*D546*H838</w:t>
            </w:r>
          </w:p>
          <w:p w14:paraId="70E0B84D">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（含软垫）</w:t>
            </w:r>
          </w:p>
        </w:tc>
        <w:tc>
          <w:tcPr>
            <w:tcW w:w="2737" w:type="pct"/>
            <w:vAlign w:val="center"/>
          </w:tcPr>
          <w:p w14:paraId="1C1DFDFC">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椅身：座板和背板均采用聚丙烯添加防静电剂（聚乙醇酯）原色颗粒塑料，座面、椅背、扶手一体成型；椅背腰部镂空设计，椅背倚靠时有明显的弹力；扶手外翻，韧性强，充分的人体工学设计。坐高≥420mm，椅背高度≥460mm，座面深度≥420mm，座面宽度≥490mm，椅背宽度≥530mm，颜色可选（绿色、白色、橙色）。</w:t>
            </w:r>
          </w:p>
          <w:p w14:paraId="16A6EC93">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2、布料：外包优质品牌系列面料，经过防火、防污、抗菌、抗静电、耐色牢度、抗强度等加工处 理，耐摩擦色牢度(干/湿)≥4 级，耐磨性≥50000 转（GB/T 19817）。 </w:t>
            </w:r>
          </w:p>
          <w:p w14:paraId="4ACE1824">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3、海绵：高回弹软质聚氨酯泡沫塑料，耐用度高，座垫密度≥35kg/m3，回弹率≥40%（QB/T2080）。</w:t>
            </w:r>
          </w:p>
          <w:p w14:paraId="214D89D3">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4、椅脚：金属脚，直径≥12mm的实心钢筯脚架，X形交叉支撑脚架，表面</w:t>
            </w:r>
            <w:r>
              <w:rPr>
                <w:rFonts w:hint="eastAsia" w:ascii="宋体" w:hAnsi="宋体" w:cs="宋体"/>
                <w:color w:val="auto"/>
                <w:sz w:val="22"/>
                <w:szCs w:val="22"/>
                <w:highlight w:val="none"/>
                <w:lang w:val="en-US" w:eastAsia="zh-CN"/>
              </w:rPr>
              <w:t>优质</w:t>
            </w:r>
            <w:r>
              <w:rPr>
                <w:rFonts w:hint="eastAsia" w:ascii="宋体" w:hAnsi="宋体" w:eastAsia="宋体" w:cs="宋体"/>
                <w:color w:val="auto"/>
                <w:sz w:val="22"/>
                <w:szCs w:val="22"/>
                <w:highlight w:val="none"/>
              </w:rPr>
              <w:t>品牌环保环氧树脂粉体 静电喷涂，喷涂颜色可选。</w:t>
            </w:r>
          </w:p>
          <w:p w14:paraId="6D6553D0">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5、脚垫：采用27*16*18PC加弹性毛毡静音脚垫。</w:t>
            </w:r>
          </w:p>
          <w:p w14:paraId="0A581FF3">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6、结构：专用防护垫，一套四个，增加座椅强度和美观度，直经77（±1mm）mm，高度18（±1mm）mm；专用止退螺丝，强度达到8·8级，模具冲压成型。</w:t>
            </w:r>
          </w:p>
          <w:p w14:paraId="4314274D">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7、成品：符合GB/T35607《绿色产品评价家具》要求，其中甲醛释放量≤0.05mg/m³，总挥发性有机化合物（TVOC）≤0.3mg/m³。</w:t>
            </w:r>
          </w:p>
        </w:tc>
        <w:tc>
          <w:tcPr>
            <w:tcW w:w="183" w:type="pct"/>
            <w:vAlign w:val="center"/>
          </w:tcPr>
          <w:p w14:paraId="57A5479A">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张</w:t>
            </w:r>
          </w:p>
        </w:tc>
        <w:tc>
          <w:tcPr>
            <w:tcW w:w="208" w:type="pct"/>
            <w:vAlign w:val="center"/>
          </w:tcPr>
          <w:p w14:paraId="7C52EDB9">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24</w:t>
            </w:r>
          </w:p>
        </w:tc>
        <w:tc>
          <w:tcPr>
            <w:tcW w:w="641" w:type="pct"/>
            <w:vAlign w:val="center"/>
          </w:tcPr>
          <w:p w14:paraId="01908AD9">
            <w:pPr>
              <w:keepNext w:val="0"/>
              <w:keepLines w:val="0"/>
              <w:pageBreakBefore w:val="0"/>
              <w:kinsoku/>
              <w:wordWrap/>
              <w:overflowPunct/>
              <w:topLinePunct w:val="0"/>
              <w:autoSpaceDE/>
              <w:autoSpaceDN/>
              <w:bidi w:val="0"/>
              <w:adjustRightInd/>
              <w:snapToGrid/>
              <w:spacing w:line="360" w:lineRule="exact"/>
              <w:ind w:left="0" w:firstLine="0"/>
              <w:jc w:val="both"/>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anchor distT="0" distB="0" distL="114300" distR="114300" simplePos="0" relativeHeight="251674624" behindDoc="1" locked="0" layoutInCell="1" allowOverlap="1">
                  <wp:simplePos x="0" y="0"/>
                  <wp:positionH relativeFrom="column">
                    <wp:posOffset>0</wp:posOffset>
                  </wp:positionH>
                  <wp:positionV relativeFrom="paragraph">
                    <wp:posOffset>-697865</wp:posOffset>
                  </wp:positionV>
                  <wp:extent cx="1131570" cy="1530350"/>
                  <wp:effectExtent l="0" t="0" r="11430" b="8890"/>
                  <wp:wrapTight wrapText="bothSides">
                    <wp:wrapPolygon>
                      <wp:start x="0" y="0"/>
                      <wp:lineTo x="0" y="21295"/>
                      <wp:lineTo x="21236" y="21295"/>
                      <wp:lineTo x="21236" y="0"/>
                      <wp:lineTo x="0" y="0"/>
                    </wp:wrapPolygon>
                  </wp:wrapTight>
                  <wp:docPr id="6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7"/>
                          <pic:cNvPicPr>
                            <a:picLocks noChangeAspect="1"/>
                          </pic:cNvPicPr>
                        </pic:nvPicPr>
                        <pic:blipFill>
                          <a:blip r:embed="rId21"/>
                          <a:stretch>
                            <a:fillRect/>
                          </a:stretch>
                        </pic:blipFill>
                        <pic:spPr>
                          <a:xfrm>
                            <a:off x="0" y="0"/>
                            <a:ext cx="1131570" cy="1530350"/>
                          </a:xfrm>
                          <a:prstGeom prst="rect">
                            <a:avLst/>
                          </a:prstGeom>
                          <a:noFill/>
                          <a:ln w="9525">
                            <a:noFill/>
                          </a:ln>
                        </pic:spPr>
                      </pic:pic>
                    </a:graphicData>
                  </a:graphic>
                </wp:anchor>
              </w:drawing>
            </w:r>
          </w:p>
        </w:tc>
      </w:tr>
      <w:tr w14:paraId="599C6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75" w:type="pct"/>
            <w:vAlign w:val="center"/>
          </w:tcPr>
          <w:p w14:paraId="6BF4344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25</w:t>
            </w:r>
          </w:p>
        </w:tc>
        <w:tc>
          <w:tcPr>
            <w:tcW w:w="354" w:type="pct"/>
            <w:vAlign w:val="center"/>
          </w:tcPr>
          <w:p w14:paraId="3C259376">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异形沙发</w:t>
            </w:r>
          </w:p>
        </w:tc>
        <w:tc>
          <w:tcPr>
            <w:tcW w:w="699" w:type="pct"/>
            <w:vAlign w:val="center"/>
          </w:tcPr>
          <w:p w14:paraId="6D929356">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W4730*D2720*H780</w:t>
            </w:r>
          </w:p>
        </w:tc>
        <w:tc>
          <w:tcPr>
            <w:tcW w:w="2737" w:type="pct"/>
            <w:vAlign w:val="center"/>
          </w:tcPr>
          <w:p w14:paraId="2CBC95BA">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p>
          <w:p w14:paraId="798A6246">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2、海绵：符合QB/T1952.1-2012《软体家具 沙发》GB/T10802-2006《通用软质聚醚型聚氨酯泡沫塑料》，回弹率≥40%，75%压缩永久变形≤7%，安全性能阻燃达到1级；</w:t>
            </w:r>
          </w:p>
          <w:p w14:paraId="17979771">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3、内框架：内框架采用实木框架+夹板结构，木制构件全部经过烘干处理，木构件四面刨光，内部木材含水率8%-12%，木材防虫防腐处理，尼龙编织带穿插编织打底，与泡棉间隔垫麻布。 内部衬垫物干燥卫生，无腐烂变质、无夹杂泥沙及金属杂物，所有内部填充物清洁无异味。</w:t>
            </w:r>
          </w:p>
          <w:p w14:paraId="0E71E261">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4、外露木料：配全实木框架，材质纹理细腻，表面结疤少，坚韧耐潮。木料须经二次烘干处理，含水率低于12%，保证不开裂、不扭曲、不变形。</w:t>
            </w:r>
          </w:p>
        </w:tc>
        <w:tc>
          <w:tcPr>
            <w:tcW w:w="183" w:type="pct"/>
            <w:vAlign w:val="center"/>
          </w:tcPr>
          <w:p w14:paraId="59554150">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张</w:t>
            </w:r>
          </w:p>
        </w:tc>
        <w:tc>
          <w:tcPr>
            <w:tcW w:w="208" w:type="pct"/>
            <w:vAlign w:val="center"/>
          </w:tcPr>
          <w:p w14:paraId="564478B1">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w:t>
            </w:r>
          </w:p>
        </w:tc>
        <w:tc>
          <w:tcPr>
            <w:tcW w:w="641" w:type="pct"/>
            <w:vAlign w:val="center"/>
          </w:tcPr>
          <w:p w14:paraId="45998A37">
            <w:pPr>
              <w:keepNext w:val="0"/>
              <w:keepLines w:val="0"/>
              <w:pageBreakBefore w:val="0"/>
              <w:kinsoku/>
              <w:wordWrap/>
              <w:overflowPunct/>
              <w:topLinePunct w:val="0"/>
              <w:autoSpaceDE/>
              <w:autoSpaceDN/>
              <w:bidi w:val="0"/>
              <w:adjustRightInd/>
              <w:snapToGrid/>
              <w:spacing w:line="360" w:lineRule="exact"/>
              <w:ind w:left="0" w:firstLine="0"/>
              <w:jc w:val="both"/>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anchor distT="0" distB="0" distL="114300" distR="114300" simplePos="0" relativeHeight="251675648" behindDoc="1" locked="0" layoutInCell="1" allowOverlap="1">
                  <wp:simplePos x="0" y="0"/>
                  <wp:positionH relativeFrom="column">
                    <wp:posOffset>29210</wp:posOffset>
                  </wp:positionH>
                  <wp:positionV relativeFrom="paragraph">
                    <wp:posOffset>260350</wp:posOffset>
                  </wp:positionV>
                  <wp:extent cx="1181100" cy="755650"/>
                  <wp:effectExtent l="0" t="0" r="7620" b="6350"/>
                  <wp:wrapTight wrapText="bothSides">
                    <wp:wrapPolygon>
                      <wp:start x="0" y="0"/>
                      <wp:lineTo x="0" y="21346"/>
                      <wp:lineTo x="21461" y="21346"/>
                      <wp:lineTo x="21461" y="0"/>
                      <wp:lineTo x="0" y="0"/>
                    </wp:wrapPolygon>
                  </wp:wrapTight>
                  <wp:docPr id="5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pic:cNvPicPr>
                            <a:picLocks noChangeAspect="1"/>
                          </pic:cNvPicPr>
                        </pic:nvPicPr>
                        <pic:blipFill>
                          <a:blip r:embed="rId31"/>
                          <a:stretch>
                            <a:fillRect/>
                          </a:stretch>
                        </pic:blipFill>
                        <pic:spPr>
                          <a:xfrm>
                            <a:off x="0" y="0"/>
                            <a:ext cx="1181100" cy="755650"/>
                          </a:xfrm>
                          <a:prstGeom prst="rect">
                            <a:avLst/>
                          </a:prstGeom>
                          <a:noFill/>
                          <a:ln w="9525">
                            <a:noFill/>
                          </a:ln>
                        </pic:spPr>
                      </pic:pic>
                    </a:graphicData>
                  </a:graphic>
                </wp:anchor>
              </w:drawing>
            </w:r>
          </w:p>
        </w:tc>
      </w:tr>
      <w:tr w14:paraId="379BA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175" w:type="pct"/>
            <w:vAlign w:val="center"/>
          </w:tcPr>
          <w:p w14:paraId="1D29073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26</w:t>
            </w:r>
          </w:p>
        </w:tc>
        <w:tc>
          <w:tcPr>
            <w:tcW w:w="354" w:type="pct"/>
            <w:vAlign w:val="center"/>
          </w:tcPr>
          <w:p w14:paraId="1FA1C79B">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接待沙发</w:t>
            </w:r>
          </w:p>
        </w:tc>
        <w:tc>
          <w:tcPr>
            <w:tcW w:w="699" w:type="pct"/>
            <w:vAlign w:val="center"/>
          </w:tcPr>
          <w:p w14:paraId="77BA940A">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W880*D900*H920</w:t>
            </w:r>
          </w:p>
        </w:tc>
        <w:tc>
          <w:tcPr>
            <w:tcW w:w="2737" w:type="pct"/>
            <w:vAlign w:val="center"/>
          </w:tcPr>
          <w:p w14:paraId="75E3047A">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p>
          <w:p w14:paraId="24309B9E">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2、海绵：符合QB/T1952.1-2012《软体家具 沙发》GB/T10802-2006《通用软质聚醚型聚氨酯泡沫塑料》，回弹率≥40%，75%压缩永久变形≤7%，安全性能阻燃达到1级；</w:t>
            </w:r>
          </w:p>
          <w:p w14:paraId="55D38ED2">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3、内框架：内框架采用实木框架+夹板结构，木制构件全部经过烘干处理，木构件四面刨光，内部木材含水率8%-12%，木材防虫防腐处理，尼龙编织带穿插编织打底，与泡棉间隔垫麻布。 内部衬垫物干燥卫生，无腐烂变质、无夹杂泥沙及金属杂物，所有内部填充物清洁无异味。</w:t>
            </w:r>
          </w:p>
          <w:p w14:paraId="74973615">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4、外露木料：配全实木框架，材质纹理细腻，表面结疤少，坚韧耐潮。木料须经二次烘干处理，含水率低于12%，保证不开裂、不扭曲、不变形。</w:t>
            </w:r>
          </w:p>
        </w:tc>
        <w:tc>
          <w:tcPr>
            <w:tcW w:w="183" w:type="pct"/>
            <w:vAlign w:val="center"/>
          </w:tcPr>
          <w:p w14:paraId="296F0C8D">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张</w:t>
            </w:r>
          </w:p>
        </w:tc>
        <w:tc>
          <w:tcPr>
            <w:tcW w:w="208" w:type="pct"/>
            <w:vAlign w:val="center"/>
          </w:tcPr>
          <w:p w14:paraId="23F8F5E1">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12</w:t>
            </w:r>
          </w:p>
        </w:tc>
        <w:tc>
          <w:tcPr>
            <w:tcW w:w="641" w:type="pct"/>
            <w:vAlign w:val="center"/>
          </w:tcPr>
          <w:p w14:paraId="45544F9D">
            <w:pPr>
              <w:keepNext w:val="0"/>
              <w:keepLines w:val="0"/>
              <w:pageBreakBefore w:val="0"/>
              <w:kinsoku/>
              <w:wordWrap/>
              <w:overflowPunct/>
              <w:topLinePunct w:val="0"/>
              <w:autoSpaceDE/>
              <w:autoSpaceDN/>
              <w:bidi w:val="0"/>
              <w:adjustRightInd/>
              <w:snapToGrid/>
              <w:spacing w:line="360" w:lineRule="exact"/>
              <w:ind w:left="0" w:firstLine="0"/>
              <w:jc w:val="both"/>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anchor distT="0" distB="0" distL="114300" distR="114300" simplePos="0" relativeHeight="251676672" behindDoc="1" locked="0" layoutInCell="1" allowOverlap="1">
                  <wp:simplePos x="0" y="0"/>
                  <wp:positionH relativeFrom="column">
                    <wp:posOffset>1905</wp:posOffset>
                  </wp:positionH>
                  <wp:positionV relativeFrom="paragraph">
                    <wp:posOffset>320040</wp:posOffset>
                  </wp:positionV>
                  <wp:extent cx="1090930" cy="661670"/>
                  <wp:effectExtent l="0" t="0" r="6350" b="8890"/>
                  <wp:wrapTight wrapText="bothSides">
                    <wp:wrapPolygon>
                      <wp:start x="0" y="0"/>
                      <wp:lineTo x="0" y="20895"/>
                      <wp:lineTo x="21424" y="20895"/>
                      <wp:lineTo x="21424" y="0"/>
                      <wp:lineTo x="0" y="0"/>
                    </wp:wrapPolygon>
                  </wp:wrapTight>
                  <wp:docPr id="5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5"/>
                          <pic:cNvPicPr>
                            <a:picLocks noChangeAspect="1"/>
                          </pic:cNvPicPr>
                        </pic:nvPicPr>
                        <pic:blipFill>
                          <a:blip r:embed="rId32"/>
                          <a:stretch>
                            <a:fillRect/>
                          </a:stretch>
                        </pic:blipFill>
                        <pic:spPr>
                          <a:xfrm>
                            <a:off x="0" y="0"/>
                            <a:ext cx="1090930" cy="661670"/>
                          </a:xfrm>
                          <a:prstGeom prst="rect">
                            <a:avLst/>
                          </a:prstGeom>
                          <a:noFill/>
                          <a:ln w="9525">
                            <a:noFill/>
                          </a:ln>
                        </pic:spPr>
                      </pic:pic>
                    </a:graphicData>
                  </a:graphic>
                </wp:anchor>
              </w:drawing>
            </w:r>
          </w:p>
        </w:tc>
      </w:tr>
      <w:tr w14:paraId="1297D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jc w:val="center"/>
        </w:trPr>
        <w:tc>
          <w:tcPr>
            <w:tcW w:w="175" w:type="pct"/>
            <w:vAlign w:val="center"/>
          </w:tcPr>
          <w:p w14:paraId="29C26A40">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27</w:t>
            </w:r>
          </w:p>
        </w:tc>
        <w:tc>
          <w:tcPr>
            <w:tcW w:w="354" w:type="pct"/>
            <w:vAlign w:val="center"/>
          </w:tcPr>
          <w:p w14:paraId="34E83CDA">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茶几</w:t>
            </w:r>
          </w:p>
        </w:tc>
        <w:tc>
          <w:tcPr>
            <w:tcW w:w="699" w:type="pct"/>
            <w:vAlign w:val="center"/>
          </w:tcPr>
          <w:p w14:paraId="5EB9E671">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W500*D600*H450</w:t>
            </w:r>
          </w:p>
        </w:tc>
        <w:tc>
          <w:tcPr>
            <w:tcW w:w="2737" w:type="pct"/>
            <w:vAlign w:val="center"/>
          </w:tcPr>
          <w:p w14:paraId="0A331C86">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1、基材：均采用E1级中密度纤维板，质量符合GB/T 11718-2021 《中密度纤维板》、GB/T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要求，抗菌率&gt;97%；防火性能符合GB8624-2012《建筑材料及制品燃烧性能分级》达到B1级</w:t>
            </w:r>
          </w:p>
          <w:p w14:paraId="46E63980">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2、面材：木皮贴面采用优质天然木皮，厚度为≥0.6mm，木皮纹理颜色一致，无结疤，无瑕疵。</w:t>
            </w:r>
          </w:p>
          <w:p w14:paraId="69CCB216">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1741-2020《漆膜耐霉菌性测定法》要求，抗霉菌检测结果长霉等级为0级，抗大肠杆菌和抗金黄色葡萄球菌检测结果抑菌率&gt;97%。</w:t>
            </w:r>
          </w:p>
        </w:tc>
        <w:tc>
          <w:tcPr>
            <w:tcW w:w="183" w:type="pct"/>
            <w:vAlign w:val="center"/>
          </w:tcPr>
          <w:p w14:paraId="0E349973">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个</w:t>
            </w:r>
          </w:p>
        </w:tc>
        <w:tc>
          <w:tcPr>
            <w:tcW w:w="208" w:type="pct"/>
            <w:vAlign w:val="center"/>
          </w:tcPr>
          <w:p w14:paraId="6E5CC359">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6</w:t>
            </w:r>
          </w:p>
        </w:tc>
        <w:tc>
          <w:tcPr>
            <w:tcW w:w="641" w:type="pct"/>
            <w:vAlign w:val="center"/>
          </w:tcPr>
          <w:p w14:paraId="3390DE26">
            <w:pPr>
              <w:keepNext w:val="0"/>
              <w:keepLines w:val="0"/>
              <w:pageBreakBefore w:val="0"/>
              <w:kinsoku/>
              <w:wordWrap/>
              <w:overflowPunct/>
              <w:topLinePunct w:val="0"/>
              <w:autoSpaceDE/>
              <w:autoSpaceDN/>
              <w:bidi w:val="0"/>
              <w:adjustRightInd/>
              <w:snapToGrid/>
              <w:spacing w:line="360" w:lineRule="exact"/>
              <w:ind w:left="0" w:firstLine="0"/>
              <w:jc w:val="both"/>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anchor distT="0" distB="0" distL="114300" distR="114300" simplePos="0" relativeHeight="251677696" behindDoc="1" locked="0" layoutInCell="1" allowOverlap="1">
                  <wp:simplePos x="0" y="0"/>
                  <wp:positionH relativeFrom="column">
                    <wp:posOffset>0</wp:posOffset>
                  </wp:positionH>
                  <wp:positionV relativeFrom="paragraph">
                    <wp:posOffset>-431165</wp:posOffset>
                  </wp:positionV>
                  <wp:extent cx="1008380" cy="994410"/>
                  <wp:effectExtent l="0" t="0" r="12700" b="11430"/>
                  <wp:wrapTight wrapText="bothSides">
                    <wp:wrapPolygon>
                      <wp:start x="0" y="0"/>
                      <wp:lineTo x="0" y="21186"/>
                      <wp:lineTo x="21219" y="21186"/>
                      <wp:lineTo x="21219" y="0"/>
                      <wp:lineTo x="0" y="0"/>
                    </wp:wrapPolygon>
                  </wp:wrapTight>
                  <wp:docPr id="5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6"/>
                          <pic:cNvPicPr>
                            <a:picLocks noChangeAspect="1"/>
                          </pic:cNvPicPr>
                        </pic:nvPicPr>
                        <pic:blipFill>
                          <a:blip r:embed="rId33"/>
                          <a:stretch>
                            <a:fillRect/>
                          </a:stretch>
                        </pic:blipFill>
                        <pic:spPr>
                          <a:xfrm>
                            <a:off x="0" y="0"/>
                            <a:ext cx="1008380" cy="994410"/>
                          </a:xfrm>
                          <a:prstGeom prst="rect">
                            <a:avLst/>
                          </a:prstGeom>
                          <a:noFill/>
                          <a:ln w="9525">
                            <a:noFill/>
                          </a:ln>
                        </pic:spPr>
                      </pic:pic>
                    </a:graphicData>
                  </a:graphic>
                </wp:anchor>
              </w:drawing>
            </w:r>
          </w:p>
        </w:tc>
      </w:tr>
      <w:tr w14:paraId="33F38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5000" w:type="pct"/>
            <w:gridSpan w:val="7"/>
            <w:vAlign w:val="center"/>
          </w:tcPr>
          <w:p w14:paraId="71AFEFB7">
            <w:pPr>
              <w:keepNext w:val="0"/>
              <w:keepLines w:val="0"/>
              <w:pageBreakBefore w:val="0"/>
              <w:kinsoku/>
              <w:wordWrap/>
              <w:overflowPunct/>
              <w:topLinePunct w:val="0"/>
              <w:autoSpaceDE/>
              <w:autoSpaceDN/>
              <w:bidi w:val="0"/>
              <w:adjustRightInd/>
              <w:snapToGrid/>
              <w:spacing w:line="360" w:lineRule="exact"/>
              <w:ind w:left="0" w:firstLine="0"/>
              <w:jc w:val="center"/>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13#楼三层</w:t>
            </w:r>
            <w:r>
              <w:rPr>
                <w:rFonts w:hint="eastAsia" w:ascii="宋体" w:hAnsi="宋体" w:cs="宋体"/>
                <w:color w:val="auto"/>
                <w:sz w:val="22"/>
                <w:szCs w:val="22"/>
                <w:highlight w:val="none"/>
                <w:lang w:val="en-US" w:eastAsia="zh-CN"/>
              </w:rPr>
              <w:t>、四层、五层</w:t>
            </w:r>
          </w:p>
        </w:tc>
      </w:tr>
      <w:tr w14:paraId="366AD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8" w:hRule="atLeast"/>
          <w:jc w:val="center"/>
        </w:trPr>
        <w:tc>
          <w:tcPr>
            <w:tcW w:w="175" w:type="pct"/>
            <w:vAlign w:val="center"/>
          </w:tcPr>
          <w:p w14:paraId="5BF49488">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29</w:t>
            </w:r>
          </w:p>
        </w:tc>
        <w:tc>
          <w:tcPr>
            <w:tcW w:w="354" w:type="pct"/>
            <w:vAlign w:val="center"/>
          </w:tcPr>
          <w:p w14:paraId="0A588150">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休闲桌</w:t>
            </w:r>
          </w:p>
        </w:tc>
        <w:tc>
          <w:tcPr>
            <w:tcW w:w="699" w:type="pct"/>
            <w:vAlign w:val="center"/>
          </w:tcPr>
          <w:p w14:paraId="3F7C250B">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φ600*H720</w:t>
            </w:r>
          </w:p>
        </w:tc>
        <w:tc>
          <w:tcPr>
            <w:tcW w:w="2737" w:type="pct"/>
            <w:vAlign w:val="center"/>
          </w:tcPr>
          <w:p w14:paraId="40B7C91D">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1、基材：采用E0级实木多层板，质量符合GB/T 9846-2015 《普通胶合板》、GB/T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人造板和木质地板》标准，甲醛释放量≤0.015mg/m³，总挥发有机化合物（TVOC）释放率≤0.08mg/（㎡·h）（72H），苯、甲苯、二甲苯含量≤5ug/m³，多层板抗菌性能符合JC/T 2039-2010《抗菌防霉木质装饰板》 要求，抗菌率&gt;97%；防火性能符合GB8624-2012《建筑材料及制品燃烧性能分级》达到B1级。</w:t>
            </w:r>
          </w:p>
          <w:p w14:paraId="0EA33DAE">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2、贴面：采用树脂浸渍纸（MFC）贴面，防火，并具阻燃、耐磨性强、清洁方便等特点。</w:t>
            </w:r>
          </w:p>
          <w:p w14:paraId="66ED38B3">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3、脚架：配全实木框架，材质纹理细腻，表面结疤少，坚韧耐潮。木料须经二次烘干处理，含水率低于12%，保证不开裂、不扭曲、不变形。</w:t>
            </w:r>
          </w:p>
          <w:p w14:paraId="7335006C">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1741-2020《漆膜耐霉菌性测定法》要求，抗霉菌检测结果长霉等级为0级，抗大肠杆菌和抗金黄色葡萄球菌检测结果抑菌率&gt;100%。</w:t>
            </w:r>
          </w:p>
          <w:p w14:paraId="09559BBE">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5、详细尺寸：面板厚度≥25mm。</w:t>
            </w:r>
          </w:p>
        </w:tc>
        <w:tc>
          <w:tcPr>
            <w:tcW w:w="183" w:type="pct"/>
            <w:vAlign w:val="center"/>
          </w:tcPr>
          <w:p w14:paraId="3525E995">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张</w:t>
            </w:r>
          </w:p>
        </w:tc>
        <w:tc>
          <w:tcPr>
            <w:tcW w:w="208" w:type="pct"/>
            <w:vAlign w:val="center"/>
          </w:tcPr>
          <w:p w14:paraId="3C4E109D">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6</w:t>
            </w:r>
          </w:p>
        </w:tc>
        <w:tc>
          <w:tcPr>
            <w:tcW w:w="641" w:type="pct"/>
            <w:vMerge w:val="restart"/>
            <w:vAlign w:val="center"/>
          </w:tcPr>
          <w:p w14:paraId="4B686A41">
            <w:pPr>
              <w:keepNext w:val="0"/>
              <w:keepLines w:val="0"/>
              <w:pageBreakBefore w:val="0"/>
              <w:kinsoku/>
              <w:wordWrap/>
              <w:overflowPunct/>
              <w:topLinePunct w:val="0"/>
              <w:autoSpaceDE/>
              <w:autoSpaceDN/>
              <w:bidi w:val="0"/>
              <w:adjustRightInd/>
              <w:snapToGrid/>
              <w:spacing w:line="360" w:lineRule="exact"/>
              <w:ind w:left="0" w:firstLine="0"/>
              <w:jc w:val="both"/>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anchor distT="0" distB="0" distL="114300" distR="114300" simplePos="0" relativeHeight="251678720" behindDoc="1" locked="0" layoutInCell="1" allowOverlap="1">
                  <wp:simplePos x="0" y="0"/>
                  <wp:positionH relativeFrom="column">
                    <wp:posOffset>-15875</wp:posOffset>
                  </wp:positionH>
                  <wp:positionV relativeFrom="paragraph">
                    <wp:posOffset>390525</wp:posOffset>
                  </wp:positionV>
                  <wp:extent cx="1074420" cy="665480"/>
                  <wp:effectExtent l="0" t="0" r="7620" b="5080"/>
                  <wp:wrapTight wrapText="bothSides">
                    <wp:wrapPolygon>
                      <wp:start x="0" y="0"/>
                      <wp:lineTo x="0" y="21270"/>
                      <wp:lineTo x="21447" y="21270"/>
                      <wp:lineTo x="21447" y="0"/>
                      <wp:lineTo x="0" y="0"/>
                    </wp:wrapPolygon>
                  </wp:wrapTight>
                  <wp:docPr id="52"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
                          <pic:cNvPicPr>
                            <a:picLocks noChangeAspect="1"/>
                          </pic:cNvPicPr>
                        </pic:nvPicPr>
                        <pic:blipFill>
                          <a:blip r:embed="rId34"/>
                          <a:stretch>
                            <a:fillRect/>
                          </a:stretch>
                        </pic:blipFill>
                        <pic:spPr>
                          <a:xfrm>
                            <a:off x="0" y="0"/>
                            <a:ext cx="1074420" cy="665480"/>
                          </a:xfrm>
                          <a:prstGeom prst="rect">
                            <a:avLst/>
                          </a:prstGeom>
                          <a:noFill/>
                          <a:ln w="9525">
                            <a:noFill/>
                          </a:ln>
                        </pic:spPr>
                      </pic:pic>
                    </a:graphicData>
                  </a:graphic>
                </wp:anchor>
              </w:drawing>
            </w:r>
          </w:p>
        </w:tc>
      </w:tr>
      <w:tr w14:paraId="38563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jc w:val="center"/>
        </w:trPr>
        <w:tc>
          <w:tcPr>
            <w:tcW w:w="175" w:type="pct"/>
            <w:vAlign w:val="center"/>
          </w:tcPr>
          <w:p w14:paraId="2CFAF939">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28</w:t>
            </w:r>
          </w:p>
        </w:tc>
        <w:tc>
          <w:tcPr>
            <w:tcW w:w="354" w:type="pct"/>
            <w:vAlign w:val="center"/>
          </w:tcPr>
          <w:p w14:paraId="50A19B2D">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休闲椅</w:t>
            </w:r>
          </w:p>
        </w:tc>
        <w:tc>
          <w:tcPr>
            <w:tcW w:w="699" w:type="pct"/>
            <w:vAlign w:val="center"/>
          </w:tcPr>
          <w:p w14:paraId="24DE3F8C">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W570*D590*H790</w:t>
            </w:r>
          </w:p>
          <w:p w14:paraId="26D5EC16">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坐高:450</w:t>
            </w:r>
          </w:p>
          <w:p w14:paraId="74D0D9F2">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（±5mm）</w:t>
            </w:r>
          </w:p>
        </w:tc>
        <w:tc>
          <w:tcPr>
            <w:tcW w:w="2737" w:type="pct"/>
            <w:vAlign w:val="center"/>
          </w:tcPr>
          <w:p w14:paraId="03625367">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1、面料：采用优质布艺饰面，无异味，柔软而富有韧性，厚度适中，耐磨性强。</w:t>
            </w:r>
          </w:p>
          <w:p w14:paraId="437AF47E">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2、海绵：符合QB/T1952.1-2012《软体家具 沙发》GB/T10802-2006《通用软质聚醚型聚氨酯泡沫塑料》，回弹率≥40%，75%压缩永久变形≤7%，安全性能阻燃达到1级</w:t>
            </w:r>
            <w:r>
              <w:rPr>
                <w:rFonts w:hint="eastAsia" w:ascii="宋体" w:hAnsi="宋体" w:cs="宋体"/>
                <w:color w:val="auto"/>
                <w:sz w:val="22"/>
                <w:szCs w:val="22"/>
                <w:highlight w:val="none"/>
                <w:lang w:eastAsia="zh-CN"/>
              </w:rPr>
              <w:t>。</w:t>
            </w:r>
          </w:p>
          <w:p w14:paraId="5F2A6BD1">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3、脚架：配全实木框架，材质纹理细腻，表面结疤少，坚韧耐潮。木料须经二次烘干处理，含水率低于12%，保证不开裂、不扭曲、不变形。</w:t>
            </w:r>
          </w:p>
          <w:p w14:paraId="1047551D">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4、油漆：油漆：质量符合GB/T18581-2020《木器涂料中有害物质限量》标准，VOC含量≤50g/L，甲醛含量≤20mg/kg，乙二醇醚及醇酯总和含量、苯系物总和含量均未检出。抗菌防霉性能需符合 GB∕T 1741-2020《漆膜耐霉菌性测定法》要求，抗霉菌检测结果长霉等级为0级，抗大肠杆菌和抗金黄色葡萄球菌检测结果抑菌率&gt;100%。</w:t>
            </w:r>
          </w:p>
        </w:tc>
        <w:tc>
          <w:tcPr>
            <w:tcW w:w="183" w:type="pct"/>
            <w:vAlign w:val="center"/>
          </w:tcPr>
          <w:p w14:paraId="6EC60EAB">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张</w:t>
            </w:r>
          </w:p>
        </w:tc>
        <w:tc>
          <w:tcPr>
            <w:tcW w:w="208" w:type="pct"/>
            <w:vAlign w:val="center"/>
          </w:tcPr>
          <w:p w14:paraId="7EC53EEB">
            <w:pPr>
              <w:keepNext w:val="0"/>
              <w:keepLines w:val="0"/>
              <w:pageBreakBefore w:val="0"/>
              <w:kinsoku/>
              <w:wordWrap/>
              <w:overflowPunct/>
              <w:topLinePunct w:val="0"/>
              <w:autoSpaceDE/>
              <w:autoSpaceDN/>
              <w:bidi w:val="0"/>
              <w:adjustRightInd/>
              <w:snapToGrid/>
              <w:spacing w:line="360" w:lineRule="exact"/>
              <w:ind w:left="0" w:firstLine="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24</w:t>
            </w:r>
          </w:p>
        </w:tc>
        <w:tc>
          <w:tcPr>
            <w:tcW w:w="641" w:type="pct"/>
            <w:vMerge w:val="continue"/>
            <w:vAlign w:val="center"/>
          </w:tcPr>
          <w:p w14:paraId="5EB73BB6">
            <w:pPr>
              <w:keepNext w:val="0"/>
              <w:keepLines w:val="0"/>
              <w:pageBreakBefore w:val="0"/>
              <w:kinsoku/>
              <w:wordWrap/>
              <w:overflowPunct/>
              <w:topLinePunct w:val="0"/>
              <w:autoSpaceDE/>
              <w:autoSpaceDN/>
              <w:bidi w:val="0"/>
              <w:adjustRightInd/>
              <w:snapToGrid/>
              <w:spacing w:line="360" w:lineRule="exact"/>
              <w:ind w:left="0" w:firstLine="0"/>
              <w:jc w:val="both"/>
              <w:rPr>
                <w:rFonts w:hint="eastAsia" w:ascii="宋体" w:hAnsi="宋体" w:eastAsia="宋体" w:cs="宋体"/>
                <w:color w:val="auto"/>
                <w:sz w:val="22"/>
                <w:szCs w:val="22"/>
                <w:highlight w:val="none"/>
              </w:rPr>
            </w:pPr>
          </w:p>
        </w:tc>
      </w:tr>
      <w:tr w14:paraId="36D3D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0" w:hRule="atLeast"/>
          <w:jc w:val="center"/>
        </w:trPr>
        <w:tc>
          <w:tcPr>
            <w:tcW w:w="175" w:type="pct"/>
            <w:vAlign w:val="center"/>
          </w:tcPr>
          <w:p w14:paraId="4668F0B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29</w:t>
            </w:r>
          </w:p>
        </w:tc>
        <w:tc>
          <w:tcPr>
            <w:tcW w:w="354" w:type="pct"/>
            <w:vAlign w:val="center"/>
          </w:tcPr>
          <w:p w14:paraId="53C16D00">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三人沙发</w:t>
            </w:r>
          </w:p>
        </w:tc>
        <w:tc>
          <w:tcPr>
            <w:tcW w:w="699" w:type="pct"/>
            <w:vAlign w:val="center"/>
          </w:tcPr>
          <w:p w14:paraId="12E90145">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W1850*D740*H750</w:t>
            </w:r>
          </w:p>
        </w:tc>
        <w:tc>
          <w:tcPr>
            <w:tcW w:w="2737" w:type="pct"/>
            <w:vAlign w:val="center"/>
          </w:tcPr>
          <w:p w14:paraId="65AEA24E">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面料：优质超纤皮覆面，质量符合GB/T16799-2018《家具用皮革》游离甲醛未检出;摩擦色牢度≥4级；撕裂力≥100N；可萃取的重金属（镉，铅，汞，六价铬，锑，砷，钴、铜、镍）未检出、含氯苯酚未检出、可分解出致癌芳香胺的染料未检出；皮革表面抗菌性能符合QB/T 4341-2012《抗菌聚氨酯合成革 抗菌性能试验方法和抗菌效果》、QB/T 4199-2011《皮革 防霉性能测试方法》、QB/T 4371-2012《家具抗菌性能的评价》要求，其中金黄色葡萄球菌、白色念珠菌、肺炎克雷伯氏杆菌、铜绿假单胞菌、产气肠杆菌、大肠埃希氏菌、乙型溶血性链球菌等抗菌率&gt;97%以上，对黑曲霉、土曲霉、宛氏拟青霉、球毛壳霉、出芽短梗霉、绳状青霉生长评定等级达到1级；防火性能符合GB8624-2012《建筑材料及制品燃烧性能分级》达到B1级。</w:t>
            </w:r>
          </w:p>
          <w:p w14:paraId="355B0DBB">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2、海绵：符合QB/T1952.1-2012《软体家具 沙发》GB/T10802-2006《通用软质聚醚型聚氨酯泡沫塑料》，回弹率≥40%，75%压缩永久变形≤7%，安全性能阻燃达到1级</w:t>
            </w:r>
            <w:r>
              <w:rPr>
                <w:rFonts w:hint="eastAsia" w:ascii="宋体" w:hAnsi="宋体" w:cs="宋体"/>
                <w:color w:val="auto"/>
                <w:sz w:val="22"/>
                <w:szCs w:val="22"/>
                <w:highlight w:val="none"/>
                <w:lang w:eastAsia="zh-CN"/>
              </w:rPr>
              <w:t>。</w:t>
            </w:r>
          </w:p>
          <w:p w14:paraId="17A01EC8">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3、内框架：内框架采用实木框架+夹板结构，木制构件全部经过烘干处理，木构件四面刨光，内部木材含水率8%-12%，木材防虫防腐处理，尼龙编织带穿插编织打底，与泡棉间隔垫麻布。 内部衬垫物干燥卫生，无腐烂变质、无夹杂泥沙及金属杂物，所有内部填充物清洁无异味。</w:t>
            </w:r>
          </w:p>
          <w:p w14:paraId="55897B73">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4、脚架：选用优质钢材，经脱脂、水洗、酸洗、水洗中和、表调、磷化、干 燥等工艺处理，表面粉末涂料静电喷涂处理。</w:t>
            </w:r>
          </w:p>
        </w:tc>
        <w:tc>
          <w:tcPr>
            <w:tcW w:w="183" w:type="pct"/>
            <w:vAlign w:val="center"/>
          </w:tcPr>
          <w:p w14:paraId="20D86DA0">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张</w:t>
            </w:r>
          </w:p>
        </w:tc>
        <w:tc>
          <w:tcPr>
            <w:tcW w:w="208" w:type="pct"/>
            <w:vAlign w:val="center"/>
          </w:tcPr>
          <w:p w14:paraId="15D79B0A">
            <w:pPr>
              <w:keepNext w:val="0"/>
              <w:keepLines w:val="0"/>
              <w:pageBreakBefore w:val="0"/>
              <w:kinsoku/>
              <w:wordWrap/>
              <w:overflowPunct/>
              <w:topLinePunct w:val="0"/>
              <w:autoSpaceDE/>
              <w:autoSpaceDN/>
              <w:bidi w:val="0"/>
              <w:adjustRightInd/>
              <w:snapToGrid/>
              <w:spacing w:line="360" w:lineRule="exact"/>
              <w:ind w:left="0" w:firstLine="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12</w:t>
            </w:r>
          </w:p>
        </w:tc>
        <w:tc>
          <w:tcPr>
            <w:tcW w:w="641" w:type="pct"/>
            <w:vAlign w:val="center"/>
          </w:tcPr>
          <w:p w14:paraId="3CACEB9E">
            <w:pPr>
              <w:keepNext w:val="0"/>
              <w:keepLines w:val="0"/>
              <w:pageBreakBefore w:val="0"/>
              <w:kinsoku/>
              <w:wordWrap/>
              <w:overflowPunct/>
              <w:topLinePunct w:val="0"/>
              <w:autoSpaceDE/>
              <w:autoSpaceDN/>
              <w:bidi w:val="0"/>
              <w:adjustRightInd/>
              <w:snapToGrid/>
              <w:spacing w:line="360" w:lineRule="exact"/>
              <w:ind w:left="0" w:firstLine="0"/>
              <w:jc w:val="both"/>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anchor distT="0" distB="0" distL="114300" distR="114300" simplePos="0" relativeHeight="251679744" behindDoc="1" locked="0" layoutInCell="1" allowOverlap="1">
                  <wp:simplePos x="0" y="0"/>
                  <wp:positionH relativeFrom="column">
                    <wp:posOffset>-68580</wp:posOffset>
                  </wp:positionH>
                  <wp:positionV relativeFrom="paragraph">
                    <wp:posOffset>189865</wp:posOffset>
                  </wp:positionV>
                  <wp:extent cx="1228725" cy="529590"/>
                  <wp:effectExtent l="0" t="0" r="5715" b="3810"/>
                  <wp:wrapTight wrapText="bothSides">
                    <wp:wrapPolygon>
                      <wp:start x="0" y="0"/>
                      <wp:lineTo x="0" y="21134"/>
                      <wp:lineTo x="21433" y="21134"/>
                      <wp:lineTo x="21433" y="0"/>
                      <wp:lineTo x="0" y="0"/>
                    </wp:wrapPolygon>
                  </wp:wrapTight>
                  <wp:docPr id="5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3"/>
                          <pic:cNvPicPr>
                            <a:picLocks noChangeAspect="1"/>
                          </pic:cNvPicPr>
                        </pic:nvPicPr>
                        <pic:blipFill>
                          <a:blip r:embed="rId35"/>
                          <a:srcRect l="4890" t="8582" r="6447" b="17204"/>
                          <a:stretch>
                            <a:fillRect/>
                          </a:stretch>
                        </pic:blipFill>
                        <pic:spPr>
                          <a:xfrm>
                            <a:off x="0" y="0"/>
                            <a:ext cx="1228725" cy="529590"/>
                          </a:xfrm>
                          <a:prstGeom prst="rect">
                            <a:avLst/>
                          </a:prstGeom>
                          <a:noFill/>
                          <a:ln w="9525">
                            <a:noFill/>
                          </a:ln>
                        </pic:spPr>
                      </pic:pic>
                    </a:graphicData>
                  </a:graphic>
                </wp:anchor>
              </w:drawing>
            </w:r>
          </w:p>
        </w:tc>
      </w:tr>
      <w:tr w14:paraId="19DA0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8" w:hRule="atLeast"/>
          <w:jc w:val="center"/>
        </w:trPr>
        <w:tc>
          <w:tcPr>
            <w:tcW w:w="175" w:type="pct"/>
            <w:vAlign w:val="center"/>
          </w:tcPr>
          <w:p w14:paraId="1B660D6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ind w:left="0" w:leftChars="0" w:firstLine="0" w:firstLineChars="0"/>
              <w:jc w:val="center"/>
              <w:textAlignment w:val="center"/>
              <w:rPr>
                <w:rFonts w:hint="eastAsia" w:ascii="宋体" w:hAnsi="宋体" w:eastAsia="宋体" w:cs="宋体"/>
                <w:i w:val="0"/>
                <w:iCs w:val="0"/>
                <w:color w:val="auto"/>
                <w:kern w:val="2"/>
                <w:sz w:val="22"/>
                <w:szCs w:val="22"/>
                <w:highlight w:val="none"/>
                <w:lang w:val="en-US" w:eastAsia="zh-CN" w:bidi="ar-SA"/>
              </w:rPr>
            </w:pPr>
            <w:r>
              <w:rPr>
                <w:rFonts w:hint="eastAsia" w:ascii="宋体" w:hAnsi="宋体" w:eastAsia="宋体" w:cs="宋体"/>
                <w:i w:val="0"/>
                <w:iCs w:val="0"/>
                <w:color w:val="auto"/>
                <w:kern w:val="2"/>
                <w:sz w:val="22"/>
                <w:szCs w:val="22"/>
                <w:highlight w:val="none"/>
                <w:lang w:val="en-US" w:eastAsia="zh-CN" w:bidi="ar-SA"/>
              </w:rPr>
              <w:t>30</w:t>
            </w:r>
          </w:p>
        </w:tc>
        <w:tc>
          <w:tcPr>
            <w:tcW w:w="354" w:type="pct"/>
            <w:vAlign w:val="center"/>
          </w:tcPr>
          <w:p w14:paraId="445E6A87">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茶几</w:t>
            </w:r>
          </w:p>
        </w:tc>
        <w:tc>
          <w:tcPr>
            <w:tcW w:w="699" w:type="pct"/>
            <w:vAlign w:val="center"/>
          </w:tcPr>
          <w:p w14:paraId="7E7E9DED">
            <w:pPr>
              <w:keepNext w:val="0"/>
              <w:keepLines w:val="0"/>
              <w:pageBreakBefore w:val="0"/>
              <w:widowControl/>
              <w:suppressLineNumbers w:val="0"/>
              <w:kinsoku/>
              <w:wordWrap/>
              <w:overflowPunct/>
              <w:topLinePunct w:val="0"/>
              <w:autoSpaceDE/>
              <w:autoSpaceDN/>
              <w:bidi w:val="0"/>
              <w:adjustRightInd/>
              <w:snapToGrid/>
              <w:spacing w:line="360" w:lineRule="exact"/>
              <w:ind w:left="0" w:firstLine="0"/>
              <w:jc w:val="center"/>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W1200*D600*H450</w:t>
            </w:r>
          </w:p>
        </w:tc>
        <w:tc>
          <w:tcPr>
            <w:tcW w:w="2737" w:type="pct"/>
            <w:vAlign w:val="center"/>
          </w:tcPr>
          <w:p w14:paraId="7EDC90A7">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1、基材：均采用E0级实木颗粒板，质量符合GB/T15102-2017《浸渍胶膜纸饰面纤维板和刨花板》、GB/T 17657-2013《人造板及饰面人造板理化性能试验方法》、GB/T 39600-2021《人造板及其制品甲醛释放量分级》、 HJ571-2010《环境标志产品技术要求 人造板要求及其制品》、GB/T35601-2017《绿色产品评价 人造板和木质地板》标准，甲醛释放量≤0.015mg/m³，总挥发有机化合物（TVOC）释放率≤0.08mg/（㎡·h）（72H），苯、甲苯、二甲苯含量≤5ug/m³，抗菌性能符合JC/T 2039-2010《抗菌防霉木质装饰板》 要求，抗菌率&gt;97%；防火性能符合GB8624-2012《建筑材料及制品燃烧性能分级》达到B1级。</w:t>
            </w:r>
          </w:p>
          <w:p w14:paraId="67C48072">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2、贴面：采用树脂浸渍纸（MFC）贴面，防火，并具阻燃、耐磨性强、清洁方便等特点。</w:t>
            </w:r>
          </w:p>
          <w:p w14:paraId="7443770C">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3、封边：加厚PVC封边，质量符合QB/T4463-2013《家具用封边条技术要求》标准，耐开裂性（耐龟裂性）≥1级；耐老化：无开裂</w:t>
            </w:r>
            <w:r>
              <w:rPr>
                <w:rFonts w:hint="eastAsia" w:ascii="宋体" w:hAnsi="宋体" w:cs="宋体"/>
                <w:color w:val="auto"/>
                <w:sz w:val="22"/>
                <w:szCs w:val="22"/>
                <w:highlight w:val="none"/>
                <w:lang w:eastAsia="zh-CN"/>
              </w:rPr>
              <w:t>。</w:t>
            </w:r>
          </w:p>
          <w:p w14:paraId="5B2B8503">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4、脚架：选用优质钢材，经脱脂、水洗、酸洗、水洗中和、表调、磷化、干 燥等工艺处理，表面粉末涂料静电喷涂处理。</w:t>
            </w:r>
          </w:p>
          <w:p w14:paraId="07437419">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5、功能特征：直边台面，台面与钢架之间悬浮10mm，塑料调节脚防水功能且视觉效果具备悬浮感。</w:t>
            </w:r>
          </w:p>
          <w:p w14:paraId="3736D67D">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6、五金件:采用优质五金配件，表面无锈蚀痕迹、鼓泡、开裂、毛刺、露底。</w:t>
            </w:r>
          </w:p>
          <w:p w14:paraId="7D064D54">
            <w:pPr>
              <w:pStyle w:val="2"/>
              <w:keepNext w:val="0"/>
              <w:keepLines w:val="0"/>
              <w:pageBreakBefore w:val="0"/>
              <w:kinsoku/>
              <w:wordWrap/>
              <w:overflowPunct/>
              <w:topLinePunct w:val="0"/>
              <w:autoSpaceDE/>
              <w:autoSpaceDN/>
              <w:bidi w:val="0"/>
              <w:adjustRightInd/>
              <w:snapToGrid/>
              <w:spacing w:line="360" w:lineRule="exact"/>
              <w:ind w:left="0" w:leftChars="0" w:firstLine="0" w:firstLineChars="0"/>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7、详细尺寸：面板尺寸1200*600*25mm，钢架尺寸1190*590*425，采用≥30*60mm方管，壁厚≥1.2mm</w:t>
            </w:r>
            <w:r>
              <w:rPr>
                <w:rFonts w:hint="eastAsia" w:ascii="宋体" w:hAnsi="宋体" w:cs="宋体"/>
                <w:color w:val="auto"/>
                <w:sz w:val="22"/>
                <w:szCs w:val="22"/>
                <w:highlight w:val="none"/>
                <w:lang w:eastAsia="zh-CN"/>
              </w:rPr>
              <w:t>。</w:t>
            </w:r>
          </w:p>
        </w:tc>
        <w:tc>
          <w:tcPr>
            <w:tcW w:w="183" w:type="pct"/>
            <w:vAlign w:val="center"/>
          </w:tcPr>
          <w:p w14:paraId="13745B50">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张</w:t>
            </w:r>
          </w:p>
        </w:tc>
        <w:tc>
          <w:tcPr>
            <w:tcW w:w="208" w:type="pct"/>
            <w:vAlign w:val="center"/>
          </w:tcPr>
          <w:p w14:paraId="434DC7B8">
            <w:pPr>
              <w:keepNext w:val="0"/>
              <w:keepLines w:val="0"/>
              <w:pageBreakBefore w:val="0"/>
              <w:kinsoku/>
              <w:wordWrap/>
              <w:overflowPunct/>
              <w:topLinePunct w:val="0"/>
              <w:autoSpaceDE/>
              <w:autoSpaceDN/>
              <w:bidi w:val="0"/>
              <w:adjustRightInd/>
              <w:snapToGrid/>
              <w:spacing w:line="360" w:lineRule="exact"/>
              <w:ind w:left="0" w:firstLine="0"/>
              <w:jc w:val="center"/>
              <w:rPr>
                <w:rFonts w:hint="eastAsia"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6</w:t>
            </w:r>
          </w:p>
        </w:tc>
        <w:tc>
          <w:tcPr>
            <w:tcW w:w="641" w:type="pct"/>
            <w:vAlign w:val="center"/>
          </w:tcPr>
          <w:p w14:paraId="54B0B553">
            <w:pPr>
              <w:keepNext w:val="0"/>
              <w:keepLines w:val="0"/>
              <w:pageBreakBefore w:val="0"/>
              <w:kinsoku/>
              <w:wordWrap/>
              <w:overflowPunct/>
              <w:topLinePunct w:val="0"/>
              <w:autoSpaceDE/>
              <w:autoSpaceDN/>
              <w:bidi w:val="0"/>
              <w:adjustRightInd/>
              <w:snapToGrid/>
              <w:spacing w:line="360" w:lineRule="exact"/>
              <w:ind w:left="0" w:firstLine="0"/>
              <w:jc w:val="both"/>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anchor distT="0" distB="0" distL="114300" distR="114300" simplePos="0" relativeHeight="251680768" behindDoc="1" locked="0" layoutInCell="1" allowOverlap="1">
                  <wp:simplePos x="0" y="0"/>
                  <wp:positionH relativeFrom="column">
                    <wp:posOffset>-68580</wp:posOffset>
                  </wp:positionH>
                  <wp:positionV relativeFrom="paragraph">
                    <wp:posOffset>276225</wp:posOffset>
                  </wp:positionV>
                  <wp:extent cx="1080135" cy="654685"/>
                  <wp:effectExtent l="0" t="0" r="1905" b="635"/>
                  <wp:wrapTight wrapText="bothSides">
                    <wp:wrapPolygon>
                      <wp:start x="0" y="0"/>
                      <wp:lineTo x="0" y="21118"/>
                      <wp:lineTo x="21333" y="21118"/>
                      <wp:lineTo x="21333" y="0"/>
                      <wp:lineTo x="0" y="0"/>
                    </wp:wrapPolygon>
                  </wp:wrapTight>
                  <wp:docPr id="5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5"/>
                          <pic:cNvPicPr>
                            <a:picLocks noChangeAspect="1"/>
                          </pic:cNvPicPr>
                        </pic:nvPicPr>
                        <pic:blipFill>
                          <a:blip r:embed="rId36"/>
                          <a:srcRect r="45821" b="3868"/>
                          <a:stretch>
                            <a:fillRect/>
                          </a:stretch>
                        </pic:blipFill>
                        <pic:spPr>
                          <a:xfrm>
                            <a:off x="0" y="0"/>
                            <a:ext cx="1080135" cy="654685"/>
                          </a:xfrm>
                          <a:prstGeom prst="rect">
                            <a:avLst/>
                          </a:prstGeom>
                          <a:noFill/>
                          <a:ln w="9525">
                            <a:noFill/>
                          </a:ln>
                        </pic:spPr>
                      </pic:pic>
                    </a:graphicData>
                  </a:graphic>
                </wp:anchor>
              </w:drawing>
            </w:r>
          </w:p>
        </w:tc>
      </w:tr>
    </w:tbl>
    <w:p w14:paraId="7B6C2AB3">
      <w:pPr>
        <w:spacing w:line="440" w:lineRule="exact"/>
        <w:rPr>
          <w:rFonts w:ascii="宋体" w:hAnsi="宋体"/>
          <w:b/>
          <w:bCs/>
          <w:color w:val="auto"/>
          <w:szCs w:val="22"/>
          <w:u w:val="single"/>
        </w:rPr>
      </w:pPr>
      <w:r>
        <w:rPr>
          <w:rFonts w:hint="eastAsia" w:ascii="宋体" w:hAnsi="宋体"/>
          <w:b/>
          <w:bCs/>
          <w:color w:val="auto"/>
          <w:szCs w:val="22"/>
        </w:rPr>
        <w:t>相关说明：</w:t>
      </w:r>
      <w:r>
        <w:rPr>
          <w:rFonts w:hint="eastAsia" w:ascii="宋体" w:hAnsi="宋体"/>
          <w:b/>
          <w:bCs/>
          <w:color w:val="auto"/>
          <w:szCs w:val="22"/>
          <w:lang w:val="en-US" w:eastAsia="zh-CN"/>
        </w:rPr>
        <w:t>1、</w:t>
      </w:r>
      <w:r>
        <w:rPr>
          <w:rFonts w:hint="eastAsia" w:ascii="宋体" w:hAnsi="宋体"/>
          <w:b/>
          <w:bCs/>
          <w:color w:val="auto"/>
          <w:szCs w:val="22"/>
          <w:u w:val="single"/>
        </w:rPr>
        <w:t>上述用材及工艺说明中涉及到的材质</w:t>
      </w:r>
      <w:r>
        <w:rPr>
          <w:rFonts w:hint="eastAsia" w:ascii="宋体" w:hAnsi="宋体"/>
          <w:b/>
          <w:bCs/>
          <w:color w:val="auto"/>
          <w:szCs w:val="22"/>
          <w:u w:val="single"/>
          <w:lang w:eastAsia="zh-CN"/>
        </w:rPr>
        <w:t>的</w:t>
      </w:r>
      <w:r>
        <w:rPr>
          <w:rFonts w:hint="eastAsia" w:ascii="宋体" w:hAnsi="宋体"/>
          <w:b/>
          <w:bCs/>
          <w:color w:val="auto"/>
          <w:szCs w:val="22"/>
          <w:u w:val="single"/>
          <w:lang w:val="en-US" w:eastAsia="zh-CN"/>
        </w:rPr>
        <w:t>规格</w:t>
      </w:r>
      <w:r>
        <w:rPr>
          <w:rFonts w:hint="eastAsia" w:ascii="宋体" w:hAnsi="宋体"/>
          <w:b/>
          <w:bCs/>
          <w:color w:val="auto"/>
          <w:szCs w:val="22"/>
          <w:u w:val="single"/>
        </w:rPr>
        <w:t>不作为限定要求，</w:t>
      </w:r>
      <w:r>
        <w:rPr>
          <w:rFonts w:hint="eastAsia" w:ascii="宋体" w:hAnsi="宋体"/>
          <w:b/>
          <w:bCs/>
          <w:color w:val="auto"/>
          <w:szCs w:val="22"/>
          <w:u w:val="single"/>
          <w:lang w:val="en-US" w:eastAsia="zh-CN"/>
        </w:rPr>
        <w:t>投标人</w:t>
      </w:r>
      <w:r>
        <w:rPr>
          <w:rFonts w:hint="eastAsia" w:ascii="宋体" w:hAnsi="宋体"/>
          <w:b/>
          <w:bCs/>
          <w:color w:val="auto"/>
          <w:szCs w:val="22"/>
          <w:u w:val="single"/>
        </w:rPr>
        <w:t>可以根据自身特性提供其他规格的产品，但必须保持产品的质量不低于采购需求所要求的质量，并在偏离表内做详细说明。</w:t>
      </w:r>
    </w:p>
    <w:p w14:paraId="0CBE233E">
      <w:pPr>
        <w:spacing w:line="440" w:lineRule="exact"/>
        <w:rPr>
          <w:rFonts w:hint="default" w:ascii="宋体" w:hAnsi="宋体" w:eastAsia="宋体" w:cs="宋体"/>
          <w:b/>
          <w:bCs/>
          <w:color w:val="auto"/>
          <w:sz w:val="22"/>
          <w:szCs w:val="28"/>
          <w:lang w:val="en-US" w:eastAsia="zh-CN"/>
        </w:rPr>
        <w:sectPr>
          <w:pgSz w:w="16838" w:h="11906" w:orient="landscape"/>
          <w:pgMar w:top="1134" w:right="1134" w:bottom="1134" w:left="1134" w:header="851" w:footer="992" w:gutter="0"/>
          <w:cols w:space="720" w:num="1"/>
          <w:docGrid w:linePitch="312" w:charSpace="0"/>
        </w:sectPr>
      </w:pPr>
      <w:r>
        <w:rPr>
          <w:rFonts w:hint="eastAsia" w:ascii="宋体" w:hAnsi="宋体" w:cs="宋体"/>
          <w:b/>
          <w:bCs/>
          <w:color w:val="auto"/>
          <w:sz w:val="22"/>
          <w:szCs w:val="28"/>
          <w:lang w:val="en-US" w:eastAsia="zh-CN"/>
        </w:rPr>
        <w:t>2、采购人有权对中标人提供的原材料及成品家具进行抽查送检（需符合投标响应内容），送检产生的费用由中标人负责，检测不合格的由中标人重新提供原材料及产品，直至检测合格为止。</w:t>
      </w:r>
    </w:p>
    <w:p w14:paraId="01FF978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b/>
          <w:bCs/>
          <w:color w:val="auto"/>
          <w:sz w:val="22"/>
        </w:rPr>
      </w:pPr>
      <w:r>
        <w:rPr>
          <w:rFonts w:hint="eastAsia" w:ascii="宋体" w:hAnsi="宋体"/>
          <w:b/>
          <w:bCs/>
          <w:color w:val="auto"/>
          <w:sz w:val="22"/>
          <w:lang w:val="en-US" w:eastAsia="zh-CN"/>
        </w:rPr>
        <w:t>3</w:t>
      </w:r>
      <w:r>
        <w:rPr>
          <w:rFonts w:ascii="宋体" w:hAnsi="宋体"/>
          <w:b/>
          <w:bCs/>
          <w:color w:val="auto"/>
          <w:sz w:val="22"/>
        </w:rPr>
        <w:t xml:space="preserve">.   </w:t>
      </w:r>
      <w:r>
        <w:rPr>
          <w:rFonts w:hint="eastAsia" w:ascii="宋体" w:hAnsi="宋体"/>
          <w:b/>
          <w:bCs/>
          <w:color w:val="auto"/>
          <w:sz w:val="22"/>
        </w:rPr>
        <w:t>服务标准、期限、效率等要求：</w:t>
      </w:r>
    </w:p>
    <w:p w14:paraId="3FDEDC75">
      <w:pPr>
        <w:adjustRightInd w:val="0"/>
        <w:snapToGrid w:val="0"/>
        <w:spacing w:line="440" w:lineRule="exact"/>
        <w:rPr>
          <w:rFonts w:hint="eastAsia" w:ascii="宋体" w:hAnsi="宋体"/>
          <w:color w:val="auto"/>
          <w:sz w:val="22"/>
        </w:rPr>
      </w:pPr>
      <w:r>
        <w:rPr>
          <w:rFonts w:hint="eastAsia" w:ascii="宋体" w:hAnsi="宋体"/>
          <w:color w:val="auto"/>
          <w:sz w:val="22"/>
          <w:lang w:val="en-US" w:eastAsia="zh-CN"/>
        </w:rPr>
        <w:t>3</w:t>
      </w:r>
      <w:r>
        <w:rPr>
          <w:rFonts w:ascii="宋体" w:hAnsi="宋体"/>
          <w:color w:val="auto"/>
          <w:sz w:val="22"/>
        </w:rPr>
        <w:t xml:space="preserve">.1  </w:t>
      </w:r>
      <w:r>
        <w:rPr>
          <w:rFonts w:hint="eastAsia" w:ascii="宋体" w:hAnsi="宋体"/>
          <w:color w:val="auto"/>
          <w:sz w:val="22"/>
          <w:lang w:val="en-US" w:eastAsia="zh-CN"/>
        </w:rPr>
        <w:t>投标人</w:t>
      </w:r>
      <w:r>
        <w:rPr>
          <w:rFonts w:hint="eastAsia" w:ascii="宋体" w:hAnsi="宋体"/>
          <w:color w:val="auto"/>
          <w:sz w:val="22"/>
        </w:rPr>
        <w:t>需要提供合理的项目整体实施方案，能按照项目分解节点并可跟踪实施。</w:t>
      </w:r>
    </w:p>
    <w:p w14:paraId="7834B321">
      <w:pPr>
        <w:adjustRightInd w:val="0"/>
        <w:snapToGrid w:val="0"/>
        <w:spacing w:line="440" w:lineRule="exact"/>
        <w:rPr>
          <w:rFonts w:hint="eastAsia" w:ascii="宋体" w:hAnsi="宋体"/>
          <w:color w:val="auto"/>
          <w:sz w:val="22"/>
        </w:rPr>
      </w:pPr>
      <w:r>
        <w:rPr>
          <w:rFonts w:hint="eastAsia" w:ascii="宋体" w:hAnsi="宋体"/>
          <w:color w:val="auto"/>
          <w:sz w:val="22"/>
          <w:lang w:val="en-US" w:eastAsia="zh-CN"/>
        </w:rPr>
        <w:t>3</w:t>
      </w:r>
      <w:r>
        <w:rPr>
          <w:rFonts w:ascii="宋体" w:hAnsi="宋体"/>
          <w:color w:val="auto"/>
          <w:sz w:val="22"/>
        </w:rPr>
        <w:t xml:space="preserve">.2  </w:t>
      </w:r>
      <w:r>
        <w:rPr>
          <w:rFonts w:hint="eastAsia" w:ascii="宋体" w:hAnsi="宋体"/>
          <w:color w:val="auto"/>
          <w:sz w:val="22"/>
          <w:lang w:val="en-US" w:eastAsia="zh-CN"/>
        </w:rPr>
        <w:t>投标人</w:t>
      </w:r>
      <w:r>
        <w:rPr>
          <w:rFonts w:hint="eastAsia" w:ascii="宋体" w:hAnsi="宋体"/>
          <w:color w:val="auto"/>
          <w:sz w:val="22"/>
        </w:rPr>
        <w:t>需要提供生产实施方案，包括原材料采购、加工制作等各个环节的实施方案，在规定的时间内有计划的完成项目需求产品的生产和装配。</w:t>
      </w:r>
    </w:p>
    <w:p w14:paraId="4B03C23F">
      <w:pPr>
        <w:adjustRightInd w:val="0"/>
        <w:snapToGrid w:val="0"/>
        <w:spacing w:line="440" w:lineRule="exact"/>
        <w:rPr>
          <w:rFonts w:hint="eastAsia" w:ascii="宋体" w:hAnsi="宋体"/>
          <w:color w:val="auto"/>
          <w:sz w:val="22"/>
        </w:rPr>
      </w:pPr>
      <w:r>
        <w:rPr>
          <w:rFonts w:hint="eastAsia" w:ascii="宋体" w:hAnsi="宋体"/>
          <w:color w:val="auto"/>
          <w:sz w:val="22"/>
          <w:lang w:val="en-US" w:eastAsia="zh-CN"/>
        </w:rPr>
        <w:t>3</w:t>
      </w:r>
      <w:r>
        <w:rPr>
          <w:rFonts w:ascii="宋体" w:hAnsi="宋体"/>
          <w:color w:val="auto"/>
          <w:sz w:val="22"/>
        </w:rPr>
        <w:t xml:space="preserve">.3  </w:t>
      </w:r>
      <w:r>
        <w:rPr>
          <w:rFonts w:hint="eastAsia" w:ascii="宋体" w:hAnsi="宋体"/>
          <w:color w:val="auto"/>
          <w:sz w:val="22"/>
          <w:lang w:val="en-US" w:eastAsia="zh-CN"/>
        </w:rPr>
        <w:t>投标人</w:t>
      </w:r>
      <w:r>
        <w:rPr>
          <w:rFonts w:hint="eastAsia" w:ascii="宋体" w:hAnsi="宋体"/>
          <w:color w:val="auto"/>
          <w:sz w:val="22"/>
        </w:rPr>
        <w:t>需要提供品控管理方案，对产品品质有管理管控过程，有独立品管部门和专门品管人员，确保产品生产过程中的质量控制完善。</w:t>
      </w:r>
    </w:p>
    <w:p w14:paraId="2FE58F59">
      <w:pPr>
        <w:adjustRightInd w:val="0"/>
        <w:snapToGrid w:val="0"/>
        <w:spacing w:line="440" w:lineRule="exact"/>
        <w:rPr>
          <w:rFonts w:hint="eastAsia" w:ascii="宋体" w:hAnsi="宋体"/>
          <w:color w:val="auto"/>
          <w:sz w:val="22"/>
        </w:rPr>
      </w:pPr>
      <w:r>
        <w:rPr>
          <w:rFonts w:hint="eastAsia" w:ascii="宋体" w:hAnsi="宋体"/>
          <w:color w:val="auto"/>
          <w:sz w:val="22"/>
          <w:lang w:val="en-US" w:eastAsia="zh-CN"/>
        </w:rPr>
        <w:t>3</w:t>
      </w:r>
      <w:r>
        <w:rPr>
          <w:rFonts w:ascii="宋体" w:hAnsi="宋体"/>
          <w:color w:val="auto"/>
          <w:sz w:val="22"/>
        </w:rPr>
        <w:t xml:space="preserve">.4  </w:t>
      </w:r>
      <w:r>
        <w:rPr>
          <w:rFonts w:hint="eastAsia" w:ascii="宋体" w:hAnsi="宋体"/>
          <w:color w:val="auto"/>
          <w:sz w:val="22"/>
          <w:lang w:val="en-US" w:eastAsia="zh-CN"/>
        </w:rPr>
        <w:t>投标人</w:t>
      </w:r>
      <w:r>
        <w:rPr>
          <w:rFonts w:hint="eastAsia" w:ascii="宋体" w:hAnsi="宋体"/>
          <w:color w:val="auto"/>
          <w:sz w:val="22"/>
        </w:rPr>
        <w:t>需要提供安装服务实施方案，根据货物交付时间节点，落实送货安装时间和人员安排，确保按期交付使用。</w:t>
      </w:r>
    </w:p>
    <w:p w14:paraId="4ECC9683">
      <w:pPr>
        <w:adjustRightInd w:val="0"/>
        <w:snapToGrid w:val="0"/>
        <w:spacing w:line="440" w:lineRule="exact"/>
        <w:rPr>
          <w:rFonts w:hint="eastAsia" w:ascii="宋体" w:hAnsi="宋体"/>
          <w:color w:val="auto"/>
          <w:sz w:val="22"/>
        </w:rPr>
      </w:pPr>
      <w:r>
        <w:rPr>
          <w:rFonts w:hint="eastAsia" w:ascii="宋体" w:hAnsi="宋体"/>
          <w:color w:val="auto"/>
          <w:sz w:val="22"/>
          <w:lang w:val="en-US" w:eastAsia="zh-CN"/>
        </w:rPr>
        <w:t>3</w:t>
      </w:r>
      <w:r>
        <w:rPr>
          <w:rFonts w:ascii="宋体" w:hAnsi="宋体"/>
          <w:color w:val="auto"/>
          <w:sz w:val="22"/>
        </w:rPr>
        <w:t xml:space="preserve">.5  </w:t>
      </w:r>
      <w:r>
        <w:rPr>
          <w:rFonts w:hint="eastAsia" w:ascii="宋体" w:hAnsi="宋体"/>
          <w:color w:val="auto"/>
          <w:sz w:val="22"/>
        </w:rPr>
        <w:t>售后服务要求：</w:t>
      </w:r>
    </w:p>
    <w:p w14:paraId="6916E395">
      <w:pPr>
        <w:adjustRightInd w:val="0"/>
        <w:snapToGrid w:val="0"/>
        <w:spacing w:line="440" w:lineRule="exact"/>
        <w:rPr>
          <w:rFonts w:hint="eastAsia" w:ascii="宋体" w:hAnsi="宋体"/>
          <w:color w:val="auto"/>
          <w:sz w:val="22"/>
        </w:rPr>
      </w:pPr>
      <w:r>
        <w:rPr>
          <w:rFonts w:hint="eastAsia" w:ascii="宋体" w:hAnsi="宋体"/>
          <w:color w:val="auto"/>
          <w:sz w:val="22"/>
        </w:rPr>
        <w:t>（1）</w:t>
      </w:r>
      <w:r>
        <w:rPr>
          <w:rFonts w:hint="eastAsia" w:ascii="宋体" w:hAnsi="宋体"/>
          <w:color w:val="auto"/>
          <w:sz w:val="22"/>
          <w:lang w:val="en-US" w:eastAsia="zh-CN"/>
        </w:rPr>
        <w:t>投标人</w:t>
      </w:r>
      <w:r>
        <w:rPr>
          <w:rFonts w:hint="eastAsia" w:ascii="宋体" w:hAnsi="宋体"/>
          <w:color w:val="auto"/>
          <w:sz w:val="22"/>
        </w:rPr>
        <w:t>提供的售后服务应符合GB/T 37652-2019《家具售后服务要求》。</w:t>
      </w:r>
    </w:p>
    <w:p w14:paraId="11F33D5F">
      <w:pPr>
        <w:adjustRightInd w:val="0"/>
        <w:snapToGrid w:val="0"/>
        <w:spacing w:line="440" w:lineRule="exact"/>
        <w:rPr>
          <w:rFonts w:hint="eastAsia" w:ascii="宋体" w:hAnsi="宋体"/>
          <w:color w:val="auto"/>
          <w:sz w:val="22"/>
        </w:rPr>
      </w:pPr>
      <w:r>
        <w:rPr>
          <w:rFonts w:hint="eastAsia" w:ascii="宋体" w:hAnsi="宋体"/>
          <w:color w:val="auto"/>
          <w:sz w:val="22"/>
        </w:rPr>
        <w:t>（2）质量保证期：所有家具的质量保证期不少于5年，在此保证期内，如在正常使用过程中出现的质量问题，</w:t>
      </w:r>
      <w:r>
        <w:rPr>
          <w:rFonts w:hint="eastAsia" w:ascii="宋体" w:hAnsi="宋体"/>
          <w:color w:val="auto"/>
          <w:sz w:val="22"/>
          <w:lang w:val="en-US" w:eastAsia="zh-CN"/>
        </w:rPr>
        <w:t>投标人</w:t>
      </w:r>
      <w:r>
        <w:rPr>
          <w:rFonts w:hint="eastAsia" w:ascii="宋体" w:hAnsi="宋体"/>
          <w:color w:val="auto"/>
          <w:sz w:val="22"/>
        </w:rPr>
        <w:t>须负责免费维修或调换。</w:t>
      </w:r>
    </w:p>
    <w:p w14:paraId="2DFEED5E">
      <w:pPr>
        <w:adjustRightInd w:val="0"/>
        <w:snapToGrid w:val="0"/>
        <w:spacing w:line="440" w:lineRule="exact"/>
        <w:rPr>
          <w:rFonts w:hint="eastAsia" w:ascii="宋体" w:hAnsi="宋体"/>
          <w:color w:val="auto"/>
          <w:sz w:val="22"/>
        </w:rPr>
      </w:pPr>
      <w:r>
        <w:rPr>
          <w:rFonts w:hint="eastAsia" w:ascii="宋体" w:hAnsi="宋体"/>
          <w:color w:val="auto"/>
          <w:sz w:val="22"/>
        </w:rPr>
        <w:t>（3）</w:t>
      </w:r>
      <w:r>
        <w:rPr>
          <w:rFonts w:hint="eastAsia" w:ascii="宋体" w:hAnsi="宋体"/>
          <w:color w:val="auto"/>
          <w:sz w:val="22"/>
          <w:lang w:val="en-US" w:eastAsia="zh-CN"/>
        </w:rPr>
        <w:t>投标人</w:t>
      </w:r>
      <w:r>
        <w:rPr>
          <w:rFonts w:hint="eastAsia" w:ascii="宋体" w:hAnsi="宋体"/>
          <w:color w:val="auto"/>
          <w:sz w:val="22"/>
        </w:rPr>
        <w:t>需提供24小时售后服务，且维修人员须在接到维修电话后24小时内赶到现场，提供不间断的服务直到修复为止。维修点需提供足够的备件以适应采购人维修需求。</w:t>
      </w:r>
    </w:p>
    <w:p w14:paraId="43B0C949">
      <w:pPr>
        <w:adjustRightInd w:val="0"/>
        <w:snapToGrid w:val="0"/>
        <w:spacing w:line="440" w:lineRule="exact"/>
        <w:rPr>
          <w:rFonts w:ascii="宋体" w:hAnsi="宋体"/>
          <w:color w:val="auto"/>
          <w:sz w:val="22"/>
        </w:rPr>
      </w:pPr>
      <w:r>
        <w:rPr>
          <w:rFonts w:hint="eastAsia" w:ascii="宋体" w:hAnsi="宋体"/>
          <w:color w:val="auto"/>
          <w:sz w:val="22"/>
          <w:lang w:val="en-US" w:eastAsia="zh-CN"/>
        </w:rPr>
        <w:t>3</w:t>
      </w:r>
      <w:r>
        <w:rPr>
          <w:rFonts w:ascii="宋体" w:hAnsi="宋体"/>
          <w:color w:val="auto"/>
          <w:sz w:val="22"/>
        </w:rPr>
        <w:t xml:space="preserve">.6  </w:t>
      </w:r>
      <w:r>
        <w:rPr>
          <w:rFonts w:hint="eastAsia" w:ascii="宋体" w:hAnsi="宋体"/>
          <w:color w:val="auto"/>
          <w:sz w:val="22"/>
        </w:rPr>
        <w:t>项目团队要求：</w:t>
      </w:r>
      <w:r>
        <w:rPr>
          <w:rFonts w:hint="eastAsia" w:ascii="宋体" w:hAnsi="宋体"/>
          <w:color w:val="auto"/>
          <w:sz w:val="22"/>
          <w:lang w:val="en-US" w:eastAsia="zh-CN"/>
        </w:rPr>
        <w:t>投标人</w:t>
      </w:r>
      <w:r>
        <w:rPr>
          <w:rFonts w:hint="eastAsia" w:ascii="宋体" w:hAnsi="宋体"/>
          <w:color w:val="auto"/>
          <w:sz w:val="22"/>
        </w:rPr>
        <w:t>需要提供项目技术团队及其能力说明，提供人员清单、履历、专业技术能力等资料。</w:t>
      </w:r>
    </w:p>
    <w:p w14:paraId="432AD201">
      <w:pPr>
        <w:adjustRightInd w:val="0"/>
        <w:snapToGrid w:val="0"/>
        <w:spacing w:line="440" w:lineRule="exact"/>
        <w:rPr>
          <w:rFonts w:hint="eastAsia" w:ascii="宋体" w:hAnsi="宋体"/>
          <w:b/>
          <w:bCs/>
          <w:color w:val="auto"/>
          <w:sz w:val="22"/>
        </w:rPr>
      </w:pPr>
      <w:r>
        <w:rPr>
          <w:rFonts w:hint="eastAsia" w:ascii="宋体" w:hAnsi="宋体"/>
          <w:b/>
          <w:bCs/>
          <w:color w:val="auto"/>
          <w:sz w:val="22"/>
          <w:lang w:val="en-US" w:eastAsia="zh-CN"/>
        </w:rPr>
        <w:t>4</w:t>
      </w:r>
      <w:r>
        <w:rPr>
          <w:rFonts w:ascii="宋体" w:hAnsi="宋体"/>
          <w:b/>
          <w:bCs/>
          <w:color w:val="auto"/>
          <w:sz w:val="22"/>
        </w:rPr>
        <w:t xml:space="preserve">.   </w:t>
      </w:r>
      <w:r>
        <w:rPr>
          <w:rFonts w:hint="eastAsia" w:ascii="宋体" w:hAnsi="宋体"/>
          <w:b/>
          <w:bCs/>
          <w:color w:val="auto"/>
          <w:sz w:val="22"/>
        </w:rPr>
        <w:t>验收标准：</w:t>
      </w:r>
    </w:p>
    <w:p w14:paraId="558D08E2">
      <w:pPr>
        <w:adjustRightInd w:val="0"/>
        <w:snapToGrid w:val="0"/>
        <w:spacing w:line="440" w:lineRule="exact"/>
        <w:rPr>
          <w:rFonts w:hint="eastAsia" w:ascii="宋体" w:hAnsi="宋体"/>
          <w:color w:val="auto"/>
          <w:sz w:val="22"/>
        </w:rPr>
      </w:pPr>
      <w:r>
        <w:rPr>
          <w:rFonts w:hint="eastAsia" w:ascii="宋体" w:hAnsi="宋体"/>
          <w:color w:val="auto"/>
          <w:sz w:val="22"/>
          <w:lang w:val="en-US" w:eastAsia="zh-CN"/>
        </w:rPr>
        <w:t>4</w:t>
      </w:r>
      <w:r>
        <w:rPr>
          <w:rFonts w:ascii="宋体" w:hAnsi="宋体"/>
          <w:color w:val="auto"/>
          <w:sz w:val="22"/>
        </w:rPr>
        <w:t xml:space="preserve">.1  </w:t>
      </w:r>
      <w:r>
        <w:rPr>
          <w:rFonts w:hint="eastAsia" w:ascii="宋体" w:hAnsi="宋体"/>
          <w:color w:val="auto"/>
          <w:sz w:val="22"/>
        </w:rPr>
        <w:t>所供产品的规格、数量符合</w:t>
      </w:r>
      <w:r>
        <w:rPr>
          <w:rFonts w:hint="eastAsia" w:ascii="宋体" w:hAnsi="宋体"/>
          <w:color w:val="auto"/>
          <w:sz w:val="22"/>
          <w:lang w:val="en-US" w:eastAsia="zh-CN"/>
        </w:rPr>
        <w:t>招标</w:t>
      </w:r>
      <w:r>
        <w:rPr>
          <w:rFonts w:hint="eastAsia" w:ascii="宋体" w:hAnsi="宋体"/>
          <w:color w:val="auto"/>
          <w:sz w:val="22"/>
        </w:rPr>
        <w:t>文件、</w:t>
      </w:r>
      <w:r>
        <w:rPr>
          <w:rFonts w:hint="eastAsia" w:ascii="宋体" w:hAnsi="宋体"/>
          <w:color w:val="auto"/>
          <w:sz w:val="22"/>
          <w:lang w:val="en-US" w:eastAsia="zh-CN"/>
        </w:rPr>
        <w:t>投标人</w:t>
      </w:r>
      <w:r>
        <w:rPr>
          <w:rFonts w:hint="eastAsia" w:ascii="宋体" w:hAnsi="宋体"/>
          <w:color w:val="auto"/>
          <w:sz w:val="22"/>
        </w:rPr>
        <w:t>投标承诺及采购合同约定的要求。</w:t>
      </w:r>
    </w:p>
    <w:p w14:paraId="4B809296">
      <w:pPr>
        <w:adjustRightInd w:val="0"/>
        <w:snapToGrid w:val="0"/>
        <w:spacing w:line="440" w:lineRule="exact"/>
        <w:rPr>
          <w:rFonts w:hint="eastAsia" w:ascii="宋体" w:hAnsi="宋体"/>
          <w:color w:val="auto"/>
          <w:sz w:val="22"/>
        </w:rPr>
      </w:pPr>
      <w:r>
        <w:rPr>
          <w:rFonts w:hint="eastAsia" w:ascii="宋体" w:hAnsi="宋体"/>
          <w:color w:val="auto"/>
          <w:sz w:val="22"/>
          <w:lang w:val="en-US" w:eastAsia="zh-CN"/>
        </w:rPr>
        <w:t>4</w:t>
      </w:r>
      <w:r>
        <w:rPr>
          <w:rFonts w:ascii="宋体" w:hAnsi="宋体"/>
          <w:color w:val="auto"/>
          <w:sz w:val="22"/>
        </w:rPr>
        <w:t xml:space="preserve">.2  </w:t>
      </w:r>
      <w:r>
        <w:rPr>
          <w:rFonts w:hint="eastAsia" w:ascii="宋体" w:hAnsi="宋体"/>
          <w:color w:val="auto"/>
          <w:sz w:val="22"/>
        </w:rPr>
        <w:t>所供产品的材质、颜色符合</w:t>
      </w:r>
      <w:r>
        <w:rPr>
          <w:rFonts w:hint="eastAsia" w:ascii="宋体" w:hAnsi="宋体"/>
          <w:color w:val="auto"/>
          <w:sz w:val="22"/>
          <w:lang w:val="en-US" w:eastAsia="zh-CN"/>
        </w:rPr>
        <w:t>招标</w:t>
      </w:r>
      <w:r>
        <w:rPr>
          <w:rFonts w:hint="eastAsia" w:ascii="宋体" w:hAnsi="宋体"/>
          <w:color w:val="auto"/>
          <w:sz w:val="22"/>
        </w:rPr>
        <w:t>文件、</w:t>
      </w:r>
      <w:r>
        <w:rPr>
          <w:rFonts w:hint="eastAsia" w:ascii="宋体" w:hAnsi="宋体"/>
          <w:color w:val="auto"/>
          <w:sz w:val="22"/>
          <w:lang w:val="en-US" w:eastAsia="zh-CN"/>
        </w:rPr>
        <w:t>投标人</w:t>
      </w:r>
      <w:r>
        <w:rPr>
          <w:rFonts w:hint="eastAsia" w:ascii="宋体" w:hAnsi="宋体"/>
          <w:color w:val="auto"/>
          <w:sz w:val="22"/>
        </w:rPr>
        <w:t>投标承诺及采购合同约定的要求。</w:t>
      </w:r>
    </w:p>
    <w:p w14:paraId="23758D85">
      <w:pPr>
        <w:adjustRightInd w:val="0"/>
        <w:snapToGrid w:val="0"/>
        <w:spacing w:line="440" w:lineRule="exact"/>
        <w:rPr>
          <w:rFonts w:hint="eastAsia" w:ascii="宋体" w:hAnsi="宋体"/>
          <w:color w:val="auto"/>
          <w:sz w:val="22"/>
        </w:rPr>
      </w:pPr>
      <w:r>
        <w:rPr>
          <w:rFonts w:hint="eastAsia" w:ascii="宋体" w:hAnsi="宋体"/>
          <w:color w:val="auto"/>
          <w:sz w:val="22"/>
          <w:lang w:val="en-US" w:eastAsia="zh-CN"/>
        </w:rPr>
        <w:t>4</w:t>
      </w:r>
      <w:r>
        <w:rPr>
          <w:rFonts w:ascii="宋体" w:hAnsi="宋体"/>
          <w:color w:val="auto"/>
          <w:sz w:val="22"/>
        </w:rPr>
        <w:t xml:space="preserve">.3  </w:t>
      </w:r>
      <w:r>
        <w:rPr>
          <w:rFonts w:hint="eastAsia" w:ascii="宋体" w:hAnsi="宋体"/>
          <w:color w:val="auto"/>
          <w:sz w:val="22"/>
        </w:rPr>
        <w:t>所供产品的外观完好，无严重碰撞、表皮脱落、五金件生锈等明显瑕疵。</w:t>
      </w:r>
    </w:p>
    <w:p w14:paraId="7760896D">
      <w:pPr>
        <w:adjustRightInd w:val="0"/>
        <w:snapToGrid w:val="0"/>
        <w:spacing w:line="440" w:lineRule="exact"/>
        <w:rPr>
          <w:rFonts w:hint="eastAsia" w:ascii="宋体" w:hAnsi="宋体"/>
          <w:color w:val="auto"/>
          <w:sz w:val="22"/>
        </w:rPr>
      </w:pPr>
      <w:r>
        <w:rPr>
          <w:rFonts w:hint="eastAsia" w:ascii="宋体" w:hAnsi="宋体"/>
          <w:color w:val="auto"/>
          <w:sz w:val="22"/>
          <w:lang w:val="en-US" w:eastAsia="zh-CN"/>
        </w:rPr>
        <w:t>4</w:t>
      </w:r>
      <w:r>
        <w:rPr>
          <w:rFonts w:ascii="宋体" w:hAnsi="宋体"/>
          <w:color w:val="auto"/>
          <w:sz w:val="22"/>
        </w:rPr>
        <w:t xml:space="preserve">.4  </w:t>
      </w:r>
      <w:r>
        <w:rPr>
          <w:rFonts w:hint="eastAsia" w:ascii="宋体" w:hAnsi="宋体"/>
          <w:color w:val="auto"/>
          <w:sz w:val="22"/>
        </w:rPr>
        <w:t>所供产品结构牢固，无安全隐患。</w:t>
      </w:r>
    </w:p>
    <w:p w14:paraId="010D5852">
      <w:pPr>
        <w:adjustRightInd w:val="0"/>
        <w:snapToGrid w:val="0"/>
        <w:spacing w:line="440" w:lineRule="exact"/>
        <w:rPr>
          <w:rFonts w:hint="eastAsia" w:ascii="宋体" w:hAnsi="宋体"/>
          <w:color w:val="auto"/>
          <w:sz w:val="22"/>
        </w:rPr>
      </w:pPr>
      <w:r>
        <w:rPr>
          <w:rFonts w:hint="eastAsia" w:ascii="宋体" w:hAnsi="宋体"/>
          <w:color w:val="auto"/>
          <w:sz w:val="22"/>
          <w:lang w:val="en-US" w:eastAsia="zh-CN"/>
        </w:rPr>
        <w:t>4</w:t>
      </w:r>
      <w:r>
        <w:rPr>
          <w:rFonts w:ascii="宋体" w:hAnsi="宋体"/>
          <w:color w:val="auto"/>
          <w:sz w:val="22"/>
        </w:rPr>
        <w:t xml:space="preserve">.5  </w:t>
      </w:r>
      <w:r>
        <w:rPr>
          <w:rFonts w:hint="eastAsia" w:ascii="宋体" w:hAnsi="宋体"/>
          <w:color w:val="auto"/>
          <w:sz w:val="22"/>
        </w:rPr>
        <w:t>如有抽检要求的，检测结果符合</w:t>
      </w:r>
      <w:r>
        <w:rPr>
          <w:rFonts w:hint="eastAsia" w:ascii="宋体" w:hAnsi="宋体"/>
          <w:color w:val="auto"/>
          <w:sz w:val="22"/>
          <w:lang w:val="en-US" w:eastAsia="zh-CN"/>
        </w:rPr>
        <w:t>招标</w:t>
      </w:r>
      <w:r>
        <w:rPr>
          <w:rFonts w:hint="eastAsia" w:ascii="宋体" w:hAnsi="宋体"/>
          <w:color w:val="auto"/>
          <w:sz w:val="22"/>
        </w:rPr>
        <w:t>文件、</w:t>
      </w:r>
      <w:r>
        <w:rPr>
          <w:rFonts w:hint="eastAsia" w:ascii="宋体" w:hAnsi="宋体"/>
          <w:color w:val="auto"/>
          <w:sz w:val="22"/>
          <w:lang w:val="en-US" w:eastAsia="zh-CN"/>
        </w:rPr>
        <w:t>投标人</w:t>
      </w:r>
      <w:r>
        <w:rPr>
          <w:rFonts w:hint="eastAsia" w:ascii="宋体" w:hAnsi="宋体"/>
          <w:color w:val="auto"/>
          <w:sz w:val="22"/>
        </w:rPr>
        <w:t>投标承诺及采购合同约定的要求。</w:t>
      </w:r>
    </w:p>
    <w:p w14:paraId="0A0DC81C">
      <w:pPr>
        <w:adjustRightInd w:val="0"/>
        <w:snapToGrid w:val="0"/>
        <w:spacing w:line="440" w:lineRule="exact"/>
        <w:rPr>
          <w:rFonts w:hint="eastAsia" w:ascii="宋体" w:hAnsi="宋体"/>
          <w:color w:val="auto"/>
          <w:sz w:val="22"/>
        </w:rPr>
      </w:pPr>
      <w:r>
        <w:rPr>
          <w:rFonts w:hint="eastAsia" w:ascii="宋体" w:hAnsi="宋体"/>
          <w:color w:val="auto"/>
          <w:sz w:val="22"/>
          <w:lang w:val="en-US" w:eastAsia="zh-CN"/>
        </w:rPr>
        <w:t>4</w:t>
      </w:r>
      <w:r>
        <w:rPr>
          <w:rFonts w:ascii="宋体" w:hAnsi="宋体"/>
          <w:color w:val="auto"/>
          <w:sz w:val="22"/>
        </w:rPr>
        <w:t xml:space="preserve">.6  </w:t>
      </w:r>
      <w:r>
        <w:rPr>
          <w:rFonts w:hint="eastAsia" w:ascii="宋体" w:hAnsi="宋体"/>
          <w:color w:val="auto"/>
          <w:sz w:val="22"/>
        </w:rPr>
        <w:t>所有产品均已运输至指定地点，并安装调试完毕。</w:t>
      </w:r>
    </w:p>
    <w:p w14:paraId="39DF8168">
      <w:pPr>
        <w:adjustRightInd w:val="0"/>
        <w:snapToGrid w:val="0"/>
        <w:spacing w:line="440" w:lineRule="exact"/>
        <w:rPr>
          <w:rFonts w:hint="eastAsia" w:ascii="宋体" w:hAnsi="宋体"/>
          <w:color w:val="auto"/>
          <w:sz w:val="22"/>
        </w:rPr>
      </w:pPr>
      <w:r>
        <w:rPr>
          <w:rFonts w:hint="eastAsia" w:ascii="宋体" w:hAnsi="宋体"/>
          <w:color w:val="auto"/>
          <w:sz w:val="22"/>
          <w:lang w:val="en-US" w:eastAsia="zh-CN"/>
        </w:rPr>
        <w:t>4</w:t>
      </w:r>
      <w:r>
        <w:rPr>
          <w:rFonts w:ascii="宋体" w:hAnsi="宋体"/>
          <w:color w:val="auto"/>
          <w:sz w:val="22"/>
        </w:rPr>
        <w:t xml:space="preserve">.7  </w:t>
      </w:r>
      <w:r>
        <w:rPr>
          <w:rFonts w:hint="eastAsia" w:ascii="宋体" w:hAnsi="宋体"/>
          <w:color w:val="auto"/>
          <w:sz w:val="22"/>
          <w:lang w:val="en-US" w:eastAsia="zh-CN"/>
        </w:rPr>
        <w:t>招标</w:t>
      </w:r>
      <w:r>
        <w:rPr>
          <w:rFonts w:hint="eastAsia" w:ascii="宋体" w:hAnsi="宋体"/>
          <w:color w:val="auto"/>
          <w:sz w:val="22"/>
        </w:rPr>
        <w:t>文件、</w:t>
      </w:r>
      <w:r>
        <w:rPr>
          <w:rFonts w:hint="eastAsia" w:ascii="宋体" w:hAnsi="宋体"/>
          <w:color w:val="auto"/>
          <w:sz w:val="22"/>
          <w:lang w:val="en-US" w:eastAsia="zh-CN"/>
        </w:rPr>
        <w:t>投标人</w:t>
      </w:r>
      <w:r>
        <w:rPr>
          <w:rFonts w:hint="eastAsia" w:ascii="宋体" w:hAnsi="宋体"/>
          <w:color w:val="auto"/>
          <w:sz w:val="22"/>
        </w:rPr>
        <w:t>投标承诺及采购合同约定的附件、工具、技术资料等齐全；提供产品使用说明书、合格证。</w:t>
      </w:r>
    </w:p>
    <w:p w14:paraId="434F054C">
      <w:pPr>
        <w:adjustRightInd w:val="0"/>
        <w:snapToGrid w:val="0"/>
        <w:spacing w:line="440" w:lineRule="exact"/>
        <w:rPr>
          <w:rFonts w:hint="eastAsia" w:ascii="宋体" w:hAnsi="宋体"/>
          <w:b/>
          <w:bCs/>
          <w:color w:val="auto"/>
          <w:sz w:val="22"/>
        </w:rPr>
      </w:pPr>
      <w:r>
        <w:rPr>
          <w:rFonts w:hint="eastAsia" w:ascii="宋体" w:hAnsi="宋体"/>
          <w:b/>
          <w:bCs/>
          <w:color w:val="auto"/>
          <w:sz w:val="22"/>
          <w:lang w:val="en-US" w:eastAsia="zh-CN"/>
        </w:rPr>
        <w:t>5</w:t>
      </w:r>
      <w:r>
        <w:rPr>
          <w:rFonts w:ascii="宋体" w:hAnsi="宋体"/>
          <w:b/>
          <w:bCs/>
          <w:color w:val="auto"/>
          <w:sz w:val="22"/>
        </w:rPr>
        <w:t xml:space="preserve">.   </w:t>
      </w:r>
      <w:r>
        <w:rPr>
          <w:rFonts w:hint="eastAsia" w:ascii="宋体" w:hAnsi="宋体"/>
          <w:b/>
          <w:bCs/>
          <w:color w:val="auto"/>
          <w:sz w:val="22"/>
          <w:lang w:val="en-US" w:eastAsia="zh-CN"/>
        </w:rPr>
        <w:t>支付方式</w:t>
      </w:r>
      <w:r>
        <w:rPr>
          <w:rFonts w:hint="eastAsia" w:ascii="宋体" w:hAnsi="宋体"/>
          <w:b/>
          <w:bCs/>
          <w:color w:val="auto"/>
          <w:sz w:val="22"/>
        </w:rPr>
        <w:t>：</w:t>
      </w:r>
    </w:p>
    <w:p w14:paraId="1773736F">
      <w:pPr>
        <w:adjustRightInd w:val="0"/>
        <w:snapToGrid w:val="0"/>
        <w:spacing w:line="440" w:lineRule="exact"/>
        <w:rPr>
          <w:rFonts w:hint="eastAsia" w:ascii="宋体" w:hAnsi="宋体"/>
          <w:color w:val="auto"/>
          <w:sz w:val="22"/>
          <w:lang w:val="en-US" w:eastAsia="zh-CN"/>
        </w:rPr>
      </w:pPr>
      <w:r>
        <w:rPr>
          <w:rFonts w:hint="eastAsia" w:ascii="宋体" w:hAnsi="宋体"/>
          <w:color w:val="auto"/>
          <w:sz w:val="22"/>
          <w:lang w:val="en-US" w:eastAsia="zh-CN"/>
        </w:rPr>
        <w:t xml:space="preserve">5.1  履约保证金 </w:t>
      </w:r>
    </w:p>
    <w:p w14:paraId="6F0B423F">
      <w:pPr>
        <w:keepNext w:val="0"/>
        <w:keepLines w:val="0"/>
        <w:pageBreakBefore w:val="0"/>
        <w:widowControl w:val="0"/>
        <w:kinsoku/>
        <w:wordWrap/>
        <w:overflowPunct/>
        <w:topLinePunct w:val="0"/>
        <w:autoSpaceDE/>
        <w:autoSpaceDN/>
        <w:bidi w:val="0"/>
        <w:adjustRightInd w:val="0"/>
        <w:snapToGrid w:val="0"/>
        <w:spacing w:line="440" w:lineRule="exact"/>
        <w:ind w:firstLine="550" w:firstLineChars="250"/>
        <w:textAlignment w:val="auto"/>
        <w:rPr>
          <w:rFonts w:hint="eastAsia" w:ascii="宋体" w:hAnsi="宋体"/>
          <w:color w:val="auto"/>
          <w:sz w:val="22"/>
          <w:lang w:val="en-US" w:eastAsia="zh-CN"/>
        </w:rPr>
      </w:pPr>
      <w:r>
        <w:rPr>
          <w:rFonts w:hint="eastAsia" w:ascii="宋体" w:hAnsi="宋体"/>
          <w:color w:val="auto"/>
          <w:sz w:val="22"/>
          <w:lang w:val="en-US" w:eastAsia="zh-CN"/>
        </w:rPr>
        <w:t>中标人在合同签订后7个工作日内，支付给采购人合同金额1 %作为履约保证金（接受支票、汇票、本票、履约保函等多种非现金形式）。在合同履行期内乙方违约的，在履约保证金内先扣除中标人应承担的违约金。中标人没有违约或扣除违约金后有剩余的，履约保证金在中标人履约验收合格后5个工作日内无息返还。</w:t>
      </w:r>
    </w:p>
    <w:p w14:paraId="23994820">
      <w:pPr>
        <w:adjustRightInd w:val="0"/>
        <w:snapToGrid w:val="0"/>
        <w:spacing w:line="440" w:lineRule="exact"/>
        <w:rPr>
          <w:rFonts w:hint="eastAsia" w:ascii="宋体" w:hAnsi="宋体"/>
          <w:color w:val="auto"/>
          <w:sz w:val="22"/>
          <w:lang w:val="en-US" w:eastAsia="zh-CN"/>
        </w:rPr>
      </w:pPr>
      <w:r>
        <w:rPr>
          <w:rFonts w:hint="eastAsia" w:ascii="宋体" w:hAnsi="宋体"/>
          <w:color w:val="auto"/>
          <w:sz w:val="22"/>
          <w:lang w:val="en-US" w:eastAsia="zh-CN"/>
        </w:rPr>
        <w:t>5.2  合同价款支付方式</w:t>
      </w:r>
    </w:p>
    <w:p w14:paraId="42AC61FC">
      <w:pPr>
        <w:keepNext w:val="0"/>
        <w:keepLines w:val="0"/>
        <w:pageBreakBefore w:val="0"/>
        <w:widowControl w:val="0"/>
        <w:kinsoku/>
        <w:wordWrap/>
        <w:overflowPunct/>
        <w:topLinePunct w:val="0"/>
        <w:autoSpaceDE/>
        <w:autoSpaceDN/>
        <w:bidi w:val="0"/>
        <w:adjustRightInd w:val="0"/>
        <w:snapToGrid w:val="0"/>
        <w:spacing w:line="440" w:lineRule="exact"/>
        <w:ind w:firstLine="550" w:firstLineChars="250"/>
        <w:textAlignment w:val="auto"/>
        <w:rPr>
          <w:rFonts w:hint="eastAsia" w:ascii="宋体" w:hAnsi="宋体"/>
          <w:color w:val="auto"/>
          <w:sz w:val="22"/>
          <w:lang w:val="en-US" w:eastAsia="zh-CN"/>
        </w:rPr>
      </w:pPr>
      <w:r>
        <w:rPr>
          <w:rFonts w:hint="eastAsia" w:ascii="宋体" w:hAnsi="宋体"/>
          <w:color w:val="auto"/>
          <w:sz w:val="22"/>
          <w:lang w:val="en-US" w:eastAsia="zh-CN"/>
        </w:rPr>
        <w:t>合同签订后7个工作日内，采购人向中标人支付合同总价的40%作为预付款；全部货物交付使用后7个工作日内，采购人向中标人支付合同总价的50%；全部货物验收合格后收到中标人开具的全额正式发票后7个工作日内，采购人向中标人支付剩余合同总价的10%。</w:t>
      </w:r>
    </w:p>
    <w:p w14:paraId="484126E7">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color w:val="auto"/>
          <w:sz w:val="22"/>
          <w:lang w:val="en-US" w:eastAsia="zh-CN"/>
        </w:rPr>
      </w:pPr>
      <w:r>
        <w:rPr>
          <w:rFonts w:hint="eastAsia" w:ascii="宋体" w:hAnsi="宋体"/>
          <w:color w:val="auto"/>
          <w:sz w:val="22"/>
          <w:lang w:val="en-US" w:eastAsia="zh-CN"/>
        </w:rPr>
        <w:t>5.3  供货期限：合同签订后90天内完成全部货物供货、安装调试，由采购人进行验收。</w:t>
      </w:r>
    </w:p>
    <w:p w14:paraId="2FE3054A">
      <w:pPr>
        <w:keepNext w:val="0"/>
        <w:keepLines w:val="0"/>
        <w:pageBreakBefore w:val="0"/>
        <w:widowControl w:val="0"/>
        <w:kinsoku/>
        <w:wordWrap/>
        <w:overflowPunct/>
        <w:topLinePunct w:val="0"/>
        <w:autoSpaceDE/>
        <w:autoSpaceDN/>
        <w:bidi w:val="0"/>
        <w:adjustRightInd w:val="0"/>
        <w:snapToGrid w:val="0"/>
        <w:spacing w:line="440" w:lineRule="exact"/>
        <w:ind w:firstLine="550" w:firstLineChars="250"/>
        <w:textAlignment w:val="auto"/>
        <w:rPr>
          <w:rFonts w:hint="eastAsia" w:ascii="宋体" w:hAnsi="宋体"/>
          <w:color w:val="auto"/>
          <w:sz w:val="22"/>
          <w:lang w:val="en-US" w:eastAsia="zh-CN"/>
        </w:rPr>
      </w:pPr>
      <w:bookmarkStart w:id="112" w:name="_Toc9343395"/>
      <w:r>
        <w:rPr>
          <w:rFonts w:hint="eastAsia" w:ascii="宋体" w:hAnsi="宋体"/>
          <w:color w:val="auto"/>
          <w:sz w:val="22"/>
          <w:lang w:val="en-US" w:eastAsia="zh-CN"/>
        </w:rPr>
        <w:br w:type="page"/>
      </w:r>
    </w:p>
    <w:p w14:paraId="0F0ECF83">
      <w:pPr>
        <w:pStyle w:val="4"/>
        <w:spacing w:line="600" w:lineRule="exact"/>
        <w:jc w:val="center"/>
        <w:rPr>
          <w:rFonts w:hint="eastAsia" w:ascii="黑体" w:hAnsi="黑体"/>
          <w:bCs/>
          <w:color w:val="auto"/>
          <w:sz w:val="36"/>
          <w:szCs w:val="36"/>
        </w:rPr>
      </w:pPr>
      <w:bookmarkStart w:id="113" w:name="_Toc17193"/>
      <w:r>
        <w:rPr>
          <w:rFonts w:hint="eastAsia" w:ascii="黑体" w:hAnsi="黑体" w:eastAsia="黑体"/>
          <w:bCs/>
          <w:color w:val="auto"/>
          <w:sz w:val="36"/>
          <w:szCs w:val="36"/>
        </w:rPr>
        <w:t>第六部分  评标原则及方法</w:t>
      </w:r>
      <w:bookmarkEnd w:id="109"/>
      <w:bookmarkEnd w:id="112"/>
      <w:bookmarkEnd w:id="113"/>
    </w:p>
    <w:p w14:paraId="7897541D">
      <w:pPr>
        <w:pStyle w:val="19"/>
        <w:adjustRightInd w:val="0"/>
        <w:snapToGrid w:val="0"/>
        <w:spacing w:line="440" w:lineRule="exact"/>
        <w:ind w:left="546" w:leftChars="260"/>
        <w:rPr>
          <w:rFonts w:hint="eastAsia" w:ascii="宋体" w:hAnsi="宋体" w:cs="宋体"/>
          <w:b/>
          <w:bCs/>
          <w:color w:val="auto"/>
          <w:sz w:val="22"/>
          <w:szCs w:val="22"/>
        </w:rPr>
      </w:pPr>
      <w:r>
        <w:rPr>
          <w:rFonts w:hint="eastAsia" w:ascii="宋体" w:hAnsi="宋体" w:cs="宋体"/>
          <w:b/>
          <w:bCs/>
          <w:color w:val="auto"/>
          <w:sz w:val="22"/>
          <w:szCs w:val="22"/>
        </w:rPr>
        <w:t>根据《中华人民共和国政府采购法》、《政府采购货物和服务招标投标管理办法》（财政部第87号令）等相关法律、法规特制定以下评标办法。</w:t>
      </w:r>
    </w:p>
    <w:p w14:paraId="3EF63AAA">
      <w:pPr>
        <w:pStyle w:val="19"/>
        <w:adjustRightInd w:val="0"/>
        <w:snapToGrid w:val="0"/>
        <w:spacing w:line="440" w:lineRule="exact"/>
        <w:rPr>
          <w:rFonts w:hint="eastAsia" w:ascii="宋体" w:hAnsi="宋体" w:cs="宋体"/>
          <w:b/>
          <w:color w:val="auto"/>
          <w:sz w:val="22"/>
          <w:szCs w:val="22"/>
        </w:rPr>
      </w:pPr>
      <w:r>
        <w:rPr>
          <w:rFonts w:hint="eastAsia" w:ascii="宋体" w:hAnsi="宋体" w:cs="宋体"/>
          <w:b/>
          <w:color w:val="auto"/>
          <w:sz w:val="22"/>
          <w:szCs w:val="22"/>
        </w:rPr>
        <w:t>一． 总  则</w:t>
      </w:r>
    </w:p>
    <w:p w14:paraId="7C58935D">
      <w:pPr>
        <w:spacing w:line="440" w:lineRule="exact"/>
        <w:ind w:left="548" w:leftChars="261"/>
        <w:rPr>
          <w:rFonts w:hint="eastAsia" w:ascii="宋体" w:hAnsi="宋体" w:cs="宋体"/>
          <w:color w:val="auto"/>
          <w:sz w:val="22"/>
          <w:szCs w:val="22"/>
        </w:rPr>
      </w:pPr>
      <w:r>
        <w:rPr>
          <w:rFonts w:hint="eastAsia" w:ascii="宋体" w:hAnsi="宋体" w:cs="宋体"/>
          <w:color w:val="auto"/>
          <w:sz w:val="22"/>
          <w:szCs w:val="22"/>
        </w:rPr>
        <w:t>评标工作应遵循公平、公正、科学、择优原则，科学、严谨的态度，认真进行评标，推进技术进步，确保工程质量、交货期，节约投资，最大限度的保护当事人权益。严格按照招标文件的商务、技术要求，对投标文件进行综合评定，编写评标报告。对落标投标人，评标委员会不作任何解释。投标人不得以任何方式干扰招投标工作的进行，一经发现其投标文件将被拒绝。</w:t>
      </w:r>
    </w:p>
    <w:p w14:paraId="418414FC">
      <w:pPr>
        <w:pStyle w:val="19"/>
        <w:adjustRightInd w:val="0"/>
        <w:snapToGrid w:val="0"/>
        <w:spacing w:line="440" w:lineRule="exact"/>
        <w:rPr>
          <w:rFonts w:hint="eastAsia" w:ascii="宋体" w:hAnsi="宋体" w:cs="宋体"/>
          <w:b/>
          <w:color w:val="auto"/>
          <w:sz w:val="22"/>
          <w:szCs w:val="22"/>
        </w:rPr>
      </w:pPr>
      <w:r>
        <w:rPr>
          <w:rFonts w:hint="eastAsia" w:ascii="宋体" w:hAnsi="宋体" w:cs="宋体"/>
          <w:b/>
          <w:color w:val="auto"/>
          <w:sz w:val="22"/>
          <w:szCs w:val="22"/>
        </w:rPr>
        <w:t>二． 评标组织</w:t>
      </w:r>
    </w:p>
    <w:p w14:paraId="1D7FE1B9">
      <w:pPr>
        <w:spacing w:line="440" w:lineRule="exact"/>
        <w:ind w:left="548" w:leftChars="261"/>
        <w:rPr>
          <w:rFonts w:hint="eastAsia" w:ascii="宋体" w:hAnsi="宋体" w:cs="宋体"/>
          <w:color w:val="auto"/>
          <w:sz w:val="22"/>
          <w:szCs w:val="22"/>
        </w:rPr>
      </w:pPr>
      <w:r>
        <w:rPr>
          <w:rFonts w:hint="eastAsia" w:ascii="宋体" w:hAnsi="宋体" w:cs="宋体"/>
          <w:color w:val="auto"/>
          <w:sz w:val="22"/>
          <w:szCs w:val="22"/>
        </w:rPr>
        <w:t>评标工作由采购人和采购代理机构依法组建的评标委员会负责，评标全过程由有关部门指导监督。</w:t>
      </w:r>
    </w:p>
    <w:p w14:paraId="52199A3A">
      <w:pPr>
        <w:pStyle w:val="19"/>
        <w:adjustRightInd w:val="0"/>
        <w:snapToGrid w:val="0"/>
        <w:spacing w:line="440" w:lineRule="exact"/>
        <w:rPr>
          <w:rFonts w:hint="eastAsia" w:ascii="宋体" w:hAnsi="宋体" w:cs="宋体"/>
          <w:b/>
          <w:color w:val="auto"/>
          <w:sz w:val="22"/>
          <w:szCs w:val="22"/>
        </w:rPr>
      </w:pPr>
      <w:r>
        <w:rPr>
          <w:rFonts w:hint="eastAsia" w:ascii="宋体" w:hAnsi="宋体" w:cs="宋体"/>
          <w:b/>
          <w:color w:val="auto"/>
          <w:sz w:val="22"/>
          <w:szCs w:val="22"/>
        </w:rPr>
        <w:t>三．电子招投标开标及评审程序</w:t>
      </w:r>
    </w:p>
    <w:p w14:paraId="004AC25D">
      <w:pPr>
        <w:spacing w:line="440" w:lineRule="exact"/>
        <w:ind w:left="550" w:hanging="550" w:hangingChars="250"/>
        <w:rPr>
          <w:rFonts w:hint="eastAsia" w:ascii="宋体" w:hAnsi="宋体" w:cs="宋体"/>
          <w:color w:val="auto"/>
          <w:sz w:val="22"/>
          <w:szCs w:val="22"/>
        </w:rPr>
      </w:pPr>
      <w:r>
        <w:rPr>
          <w:rFonts w:ascii="宋体" w:hAnsi="宋体" w:cs="宋体"/>
          <w:color w:val="auto"/>
          <w:sz w:val="22"/>
          <w:szCs w:val="22"/>
        </w:rPr>
        <w:t xml:space="preserve">1.   </w:t>
      </w:r>
      <w:r>
        <w:rPr>
          <w:rFonts w:hint="eastAsia" w:ascii="宋体" w:hAnsi="宋体" w:cs="宋体"/>
          <w:color w:val="auto"/>
          <w:sz w:val="22"/>
          <w:szCs w:val="22"/>
        </w:rPr>
        <w:t>采购代理机构签收、开始解密投标文件；</w:t>
      </w:r>
    </w:p>
    <w:p w14:paraId="511CF060">
      <w:pPr>
        <w:spacing w:line="440" w:lineRule="exact"/>
        <w:ind w:left="550" w:hanging="550" w:hangingChars="250"/>
        <w:rPr>
          <w:rFonts w:hint="eastAsia" w:ascii="宋体" w:hAnsi="宋体" w:cs="宋体"/>
          <w:color w:val="auto"/>
          <w:sz w:val="22"/>
          <w:szCs w:val="22"/>
        </w:rPr>
      </w:pPr>
      <w:r>
        <w:rPr>
          <w:rFonts w:ascii="宋体" w:hAnsi="宋体" w:cs="宋体"/>
          <w:color w:val="auto"/>
          <w:sz w:val="22"/>
          <w:szCs w:val="22"/>
        </w:rPr>
        <w:t xml:space="preserve">2.   </w:t>
      </w:r>
      <w:r>
        <w:rPr>
          <w:rFonts w:hint="eastAsia" w:ascii="宋体" w:hAnsi="宋体" w:cs="宋体"/>
          <w:color w:val="auto"/>
          <w:sz w:val="22"/>
          <w:szCs w:val="22"/>
        </w:rPr>
        <w:t>投标人解密投标文件；</w:t>
      </w:r>
    </w:p>
    <w:p w14:paraId="45A1DFC0">
      <w:pPr>
        <w:spacing w:line="440" w:lineRule="exact"/>
        <w:rPr>
          <w:rFonts w:hint="eastAsia" w:ascii="宋体" w:hAnsi="宋体" w:cs="宋体"/>
          <w:color w:val="auto"/>
          <w:sz w:val="22"/>
          <w:szCs w:val="22"/>
        </w:rPr>
      </w:pPr>
      <w:r>
        <w:rPr>
          <w:rFonts w:ascii="宋体" w:hAnsi="宋体" w:cs="宋体"/>
          <w:color w:val="auto"/>
          <w:sz w:val="22"/>
          <w:szCs w:val="22"/>
        </w:rPr>
        <w:t xml:space="preserve">3.   </w:t>
      </w:r>
      <w:r>
        <w:rPr>
          <w:rFonts w:hint="eastAsia" w:ascii="宋体" w:hAnsi="宋体" w:cs="宋体"/>
          <w:color w:val="auto"/>
          <w:sz w:val="22"/>
          <w:szCs w:val="22"/>
        </w:rPr>
        <w:t>采购代理机构结束解密投标文件；</w:t>
      </w:r>
    </w:p>
    <w:p w14:paraId="2A16BA29">
      <w:pPr>
        <w:spacing w:line="440" w:lineRule="exact"/>
        <w:rPr>
          <w:rFonts w:hint="eastAsia" w:ascii="宋体" w:hAnsi="宋体" w:cs="宋体"/>
          <w:color w:val="auto"/>
          <w:sz w:val="22"/>
          <w:szCs w:val="22"/>
        </w:rPr>
      </w:pPr>
      <w:r>
        <w:rPr>
          <w:rFonts w:ascii="宋体" w:hAnsi="宋体" w:cs="宋体"/>
          <w:color w:val="auto"/>
          <w:sz w:val="22"/>
          <w:szCs w:val="22"/>
        </w:rPr>
        <w:t xml:space="preserve">4.   </w:t>
      </w:r>
      <w:r>
        <w:rPr>
          <w:rFonts w:hint="eastAsia" w:ascii="宋体" w:hAnsi="宋体" w:cs="宋体"/>
          <w:color w:val="auto"/>
          <w:sz w:val="22"/>
          <w:szCs w:val="22"/>
        </w:rPr>
        <w:t>采购代理机构或采购人在线资格性审查；</w:t>
      </w:r>
    </w:p>
    <w:p w14:paraId="50D4A673">
      <w:pPr>
        <w:spacing w:line="440" w:lineRule="exact"/>
        <w:rPr>
          <w:rFonts w:hint="eastAsia" w:ascii="宋体" w:hAnsi="宋体" w:cs="宋体"/>
          <w:color w:val="auto"/>
          <w:sz w:val="22"/>
          <w:szCs w:val="22"/>
        </w:rPr>
      </w:pPr>
      <w:r>
        <w:rPr>
          <w:rFonts w:ascii="宋体" w:hAnsi="宋体" w:cs="宋体"/>
          <w:color w:val="auto"/>
          <w:sz w:val="22"/>
          <w:szCs w:val="22"/>
        </w:rPr>
        <w:t xml:space="preserve">5.   </w:t>
      </w:r>
      <w:r>
        <w:rPr>
          <w:rFonts w:hint="eastAsia" w:ascii="宋体" w:hAnsi="宋体" w:cs="宋体"/>
          <w:color w:val="auto"/>
          <w:sz w:val="22"/>
          <w:szCs w:val="22"/>
        </w:rPr>
        <w:t>评标委员会对投标文件进行评审；</w:t>
      </w:r>
    </w:p>
    <w:p w14:paraId="61C0FBC9">
      <w:pPr>
        <w:spacing w:line="440" w:lineRule="exact"/>
        <w:rPr>
          <w:rFonts w:hint="eastAsia" w:ascii="宋体" w:hAnsi="宋体" w:cs="宋体"/>
          <w:color w:val="auto"/>
          <w:sz w:val="22"/>
          <w:szCs w:val="22"/>
        </w:rPr>
      </w:pPr>
      <w:r>
        <w:rPr>
          <w:rFonts w:ascii="宋体" w:hAnsi="宋体" w:cs="宋体"/>
          <w:color w:val="auto"/>
          <w:sz w:val="22"/>
          <w:szCs w:val="22"/>
        </w:rPr>
        <w:t xml:space="preserve">6.   </w:t>
      </w:r>
      <w:r>
        <w:rPr>
          <w:rFonts w:hint="eastAsia" w:ascii="宋体" w:hAnsi="宋体" w:cs="宋体"/>
          <w:color w:val="auto"/>
          <w:sz w:val="22"/>
          <w:szCs w:val="22"/>
        </w:rPr>
        <w:t>在政采云系统上公开资格和商务技术评审结果；</w:t>
      </w:r>
    </w:p>
    <w:p w14:paraId="76134F87">
      <w:pPr>
        <w:spacing w:line="440" w:lineRule="exact"/>
        <w:rPr>
          <w:rFonts w:hint="eastAsia" w:ascii="宋体" w:hAnsi="宋体" w:cs="宋体"/>
          <w:color w:val="auto"/>
          <w:sz w:val="22"/>
          <w:szCs w:val="22"/>
        </w:rPr>
      </w:pPr>
      <w:r>
        <w:rPr>
          <w:rFonts w:ascii="宋体" w:hAnsi="宋体" w:cs="宋体"/>
          <w:color w:val="auto"/>
          <w:sz w:val="22"/>
          <w:szCs w:val="22"/>
        </w:rPr>
        <w:t xml:space="preserve">7.   </w:t>
      </w:r>
      <w:r>
        <w:rPr>
          <w:rFonts w:hint="eastAsia" w:ascii="宋体" w:hAnsi="宋体" w:cs="宋体"/>
          <w:color w:val="auto"/>
          <w:sz w:val="22"/>
          <w:szCs w:val="22"/>
        </w:rPr>
        <w:t>在政采云系统上公开报价情况；</w:t>
      </w:r>
    </w:p>
    <w:p w14:paraId="38E1F6E5">
      <w:pPr>
        <w:spacing w:line="440" w:lineRule="exact"/>
        <w:rPr>
          <w:rFonts w:hint="eastAsia" w:ascii="宋体" w:hAnsi="宋体" w:cs="宋体"/>
          <w:color w:val="auto"/>
          <w:sz w:val="22"/>
          <w:szCs w:val="22"/>
        </w:rPr>
      </w:pPr>
      <w:r>
        <w:rPr>
          <w:rFonts w:ascii="宋体" w:hAnsi="宋体" w:cs="宋体"/>
          <w:color w:val="auto"/>
          <w:sz w:val="22"/>
          <w:szCs w:val="22"/>
        </w:rPr>
        <w:t xml:space="preserve">8.   </w:t>
      </w:r>
      <w:r>
        <w:rPr>
          <w:rFonts w:hint="eastAsia" w:ascii="宋体" w:hAnsi="宋体" w:cs="宋体"/>
          <w:color w:val="auto"/>
          <w:sz w:val="22"/>
          <w:szCs w:val="22"/>
        </w:rPr>
        <w:t>评标委员会对报价情况进行评审；</w:t>
      </w:r>
    </w:p>
    <w:p w14:paraId="5E54A7C5">
      <w:pPr>
        <w:spacing w:line="440" w:lineRule="exact"/>
        <w:rPr>
          <w:rFonts w:hint="eastAsia" w:ascii="宋体" w:hAnsi="宋体" w:cs="宋体"/>
          <w:color w:val="auto"/>
          <w:sz w:val="22"/>
          <w:szCs w:val="22"/>
        </w:rPr>
      </w:pPr>
      <w:r>
        <w:rPr>
          <w:rFonts w:ascii="宋体" w:hAnsi="宋体" w:cs="宋体"/>
          <w:color w:val="auto"/>
          <w:sz w:val="22"/>
          <w:szCs w:val="22"/>
        </w:rPr>
        <w:t xml:space="preserve">9. </w:t>
      </w:r>
      <w:r>
        <w:rPr>
          <w:rFonts w:hint="eastAsia" w:ascii="宋体" w:hAnsi="宋体" w:cs="宋体"/>
          <w:color w:val="auto"/>
          <w:sz w:val="22"/>
          <w:szCs w:val="22"/>
        </w:rPr>
        <w:t xml:space="preserve">  在系统上公布评审结果。</w:t>
      </w:r>
    </w:p>
    <w:p w14:paraId="2B5B817D">
      <w:pPr>
        <w:spacing w:line="440" w:lineRule="exact"/>
        <w:ind w:left="548" w:leftChars="261"/>
        <w:rPr>
          <w:rFonts w:hint="eastAsia" w:ascii="宋体" w:hAnsi="宋体" w:cs="宋体"/>
          <w:color w:val="auto"/>
          <w:sz w:val="22"/>
          <w:szCs w:val="22"/>
        </w:rPr>
      </w:pPr>
      <w:r>
        <w:rPr>
          <w:rFonts w:hint="eastAsia" w:ascii="宋体" w:hAnsi="宋体" w:cs="宋体"/>
          <w:color w:val="auto"/>
          <w:sz w:val="22"/>
          <w:szCs w:val="22"/>
        </w:rPr>
        <w:t>特别说明：政采云公司如对电子化开标及评审程序有调整的，按调整后的程序操作。</w:t>
      </w:r>
    </w:p>
    <w:p w14:paraId="045ED325">
      <w:pPr>
        <w:pStyle w:val="19"/>
        <w:adjustRightInd w:val="0"/>
        <w:snapToGrid w:val="0"/>
        <w:spacing w:line="440" w:lineRule="exact"/>
        <w:rPr>
          <w:rFonts w:hint="eastAsia" w:ascii="宋体" w:hAnsi="宋体" w:cs="宋体"/>
          <w:b/>
          <w:color w:val="auto"/>
          <w:sz w:val="22"/>
          <w:szCs w:val="22"/>
        </w:rPr>
      </w:pPr>
      <w:r>
        <w:rPr>
          <w:rFonts w:hint="eastAsia" w:ascii="宋体" w:hAnsi="宋体" w:cs="宋体"/>
          <w:b/>
          <w:color w:val="auto"/>
          <w:sz w:val="22"/>
          <w:szCs w:val="22"/>
        </w:rPr>
        <w:t>四． 评标办法</w:t>
      </w:r>
    </w:p>
    <w:p w14:paraId="293E9DEE">
      <w:pPr>
        <w:spacing w:line="440" w:lineRule="exact"/>
        <w:ind w:left="550" w:hanging="550" w:hangingChars="250"/>
        <w:rPr>
          <w:rFonts w:hint="eastAsia" w:ascii="宋体" w:hAnsi="宋体" w:cs="宋体"/>
          <w:color w:val="auto"/>
          <w:sz w:val="22"/>
          <w:szCs w:val="22"/>
        </w:rPr>
      </w:pPr>
      <w:r>
        <w:rPr>
          <w:rFonts w:hint="eastAsia" w:ascii="宋体" w:hAnsi="宋体" w:cs="宋体"/>
          <w:color w:val="auto"/>
          <w:sz w:val="22"/>
          <w:szCs w:val="22"/>
        </w:rPr>
        <w:t>1.   本次评标采用综合评分法，总分100分，其中商务技术7</w:t>
      </w:r>
      <w:r>
        <w:rPr>
          <w:rFonts w:ascii="宋体" w:hAnsi="宋体" w:cs="宋体"/>
          <w:color w:val="auto"/>
          <w:sz w:val="22"/>
          <w:szCs w:val="22"/>
        </w:rPr>
        <w:t>0</w:t>
      </w:r>
      <w:r>
        <w:rPr>
          <w:rFonts w:hint="eastAsia" w:ascii="宋体" w:hAnsi="宋体" w:cs="宋体"/>
          <w:color w:val="auto"/>
          <w:sz w:val="22"/>
          <w:szCs w:val="22"/>
        </w:rPr>
        <w:t>分（商务技术权值7</w:t>
      </w:r>
      <w:r>
        <w:rPr>
          <w:rFonts w:ascii="宋体" w:hAnsi="宋体" w:cs="宋体"/>
          <w:color w:val="auto"/>
          <w:sz w:val="22"/>
          <w:szCs w:val="22"/>
        </w:rPr>
        <w:t>0</w:t>
      </w:r>
      <w:r>
        <w:rPr>
          <w:rFonts w:hint="eastAsia" w:ascii="宋体" w:hAnsi="宋体" w:cs="宋体"/>
          <w:color w:val="auto"/>
          <w:sz w:val="22"/>
          <w:szCs w:val="22"/>
        </w:rPr>
        <w:t>%），价格3</w:t>
      </w:r>
      <w:r>
        <w:rPr>
          <w:rFonts w:ascii="宋体" w:hAnsi="宋体" w:cs="宋体"/>
          <w:color w:val="auto"/>
          <w:sz w:val="22"/>
          <w:szCs w:val="22"/>
        </w:rPr>
        <w:t>0</w:t>
      </w:r>
      <w:r>
        <w:rPr>
          <w:rFonts w:hint="eastAsia" w:ascii="宋体" w:hAnsi="宋体" w:cs="宋体"/>
          <w:color w:val="auto"/>
          <w:sz w:val="22"/>
          <w:szCs w:val="22"/>
        </w:rPr>
        <w:t>分（价格权值3</w:t>
      </w:r>
      <w:r>
        <w:rPr>
          <w:rFonts w:ascii="宋体" w:hAnsi="宋体" w:cs="宋体"/>
          <w:color w:val="auto"/>
          <w:sz w:val="22"/>
          <w:szCs w:val="22"/>
        </w:rPr>
        <w:t>0</w:t>
      </w:r>
      <w:r>
        <w:rPr>
          <w:rFonts w:hint="eastAsia" w:ascii="宋体" w:hAnsi="宋体" w:cs="宋体"/>
          <w:color w:val="auto"/>
          <w:sz w:val="22"/>
          <w:szCs w:val="22"/>
        </w:rPr>
        <w:t>%）。即最大限度地满足招标文件实质性要求前提下，按照招标文件中规定的各项评分内容评审后，以评标总得分最高的投标人，作为中标人。</w:t>
      </w:r>
    </w:p>
    <w:p w14:paraId="3DC27BDA">
      <w:pPr>
        <w:spacing w:line="440" w:lineRule="exact"/>
        <w:ind w:left="550" w:hanging="550" w:hangingChars="250"/>
        <w:rPr>
          <w:rFonts w:hint="eastAsia" w:ascii="宋体" w:hAnsi="宋体" w:cs="宋体"/>
          <w:color w:val="auto"/>
          <w:sz w:val="22"/>
          <w:szCs w:val="22"/>
        </w:rPr>
      </w:pPr>
      <w:r>
        <w:rPr>
          <w:rFonts w:hint="eastAsia" w:ascii="宋体" w:hAnsi="宋体" w:cs="宋体"/>
          <w:color w:val="auto"/>
          <w:sz w:val="22"/>
          <w:szCs w:val="22"/>
        </w:rPr>
        <w:t>2.   投标截止时间止及评审期间，如出现有效投标人＜3家时，本项目废标，并重新组织招标。</w:t>
      </w:r>
    </w:p>
    <w:p w14:paraId="7C473AB5">
      <w:pPr>
        <w:pStyle w:val="19"/>
        <w:adjustRightInd w:val="0"/>
        <w:snapToGrid w:val="0"/>
        <w:spacing w:line="440" w:lineRule="exact"/>
        <w:rPr>
          <w:rFonts w:hint="eastAsia" w:ascii="宋体" w:hAnsi="宋体" w:cs="宋体"/>
          <w:b/>
          <w:color w:val="auto"/>
          <w:sz w:val="22"/>
          <w:szCs w:val="22"/>
        </w:rPr>
      </w:pPr>
      <w:r>
        <w:rPr>
          <w:rFonts w:hint="eastAsia" w:ascii="宋体" w:hAnsi="宋体" w:cs="宋体"/>
          <w:b/>
          <w:color w:val="auto"/>
          <w:sz w:val="22"/>
          <w:szCs w:val="22"/>
        </w:rPr>
        <w:t>五． 评分细则</w:t>
      </w:r>
    </w:p>
    <w:p w14:paraId="10ADCB0B">
      <w:pPr>
        <w:spacing w:line="440" w:lineRule="exact"/>
        <w:rPr>
          <w:rFonts w:hint="eastAsia" w:ascii="宋体" w:hAnsi="宋体" w:cs="宋体"/>
          <w:color w:val="auto"/>
          <w:sz w:val="22"/>
          <w:szCs w:val="22"/>
        </w:rPr>
      </w:pPr>
      <w:r>
        <w:rPr>
          <w:rFonts w:hint="eastAsia" w:ascii="宋体" w:hAnsi="宋体" w:cs="宋体"/>
          <w:color w:val="auto"/>
          <w:sz w:val="22"/>
          <w:szCs w:val="22"/>
        </w:rPr>
        <w:t>1.   商务技术分的评定（7</w:t>
      </w:r>
      <w:r>
        <w:rPr>
          <w:rFonts w:ascii="宋体" w:hAnsi="宋体" w:cs="宋体"/>
          <w:color w:val="auto"/>
          <w:sz w:val="22"/>
          <w:szCs w:val="22"/>
        </w:rPr>
        <w:t>0</w:t>
      </w:r>
      <w:r>
        <w:rPr>
          <w:rFonts w:hint="eastAsia" w:ascii="宋体" w:hAnsi="宋体" w:cs="宋体"/>
          <w:color w:val="auto"/>
          <w:sz w:val="22"/>
          <w:szCs w:val="22"/>
        </w:rPr>
        <w:t>分）</w:t>
      </w:r>
    </w:p>
    <w:p w14:paraId="10C53C02">
      <w:pPr>
        <w:spacing w:line="440" w:lineRule="exact"/>
        <w:ind w:left="548" w:leftChars="261"/>
        <w:rPr>
          <w:color w:val="auto"/>
        </w:rPr>
      </w:pPr>
      <w:r>
        <w:rPr>
          <w:rFonts w:hint="eastAsia" w:ascii="宋体" w:hAnsi="宋体" w:cs="宋体"/>
          <w:color w:val="auto"/>
          <w:sz w:val="22"/>
          <w:szCs w:val="22"/>
        </w:rPr>
        <w:t>各评委成员按下列评分内容进行评定，每人一张评分计算表，由评标委员会成员各自评定独立打分并记实名。如某张表的一项评分内容分值超过规定的范围，则该张表无效。评标委员会成员对投标人的各项评分内容评分的合计分汇总后的算术平均值为该投标人商务技术的最终得分（四舍五入，保留小数点后二位）。</w:t>
      </w:r>
    </w:p>
    <w:p w14:paraId="53EF1E15">
      <w:pPr>
        <w:spacing w:line="440" w:lineRule="exact"/>
        <w:rPr>
          <w:rFonts w:hint="eastAsia" w:ascii="宋体" w:hAnsi="宋体" w:cs="宋体"/>
          <w:b/>
          <w:color w:val="auto"/>
          <w:szCs w:val="22"/>
        </w:rPr>
      </w:pPr>
      <w:r>
        <w:rPr>
          <w:rFonts w:hint="eastAsia" w:ascii="宋体" w:hAnsi="宋体" w:cs="宋体"/>
          <w:b/>
          <w:color w:val="auto"/>
          <w:szCs w:val="22"/>
        </w:rPr>
        <w:t>商务技术70分</w:t>
      </w:r>
    </w:p>
    <w:tbl>
      <w:tblPr>
        <w:tblStyle w:val="37"/>
        <w:tblW w:w="499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5"/>
        <w:gridCol w:w="1472"/>
        <w:gridCol w:w="6381"/>
        <w:gridCol w:w="677"/>
        <w:gridCol w:w="679"/>
      </w:tblGrid>
      <w:tr w14:paraId="55E8B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318" w:type="pct"/>
            <w:noWrap w:val="0"/>
            <w:vAlign w:val="center"/>
          </w:tcPr>
          <w:p w14:paraId="4E093AB3">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序号</w:t>
            </w:r>
          </w:p>
        </w:tc>
        <w:tc>
          <w:tcPr>
            <w:tcW w:w="748" w:type="pct"/>
            <w:noWrap w:val="0"/>
            <w:vAlign w:val="center"/>
          </w:tcPr>
          <w:p w14:paraId="53646A8B">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评分内容</w:t>
            </w:r>
          </w:p>
        </w:tc>
        <w:tc>
          <w:tcPr>
            <w:tcW w:w="3243" w:type="pct"/>
            <w:noWrap w:val="0"/>
            <w:vAlign w:val="center"/>
          </w:tcPr>
          <w:p w14:paraId="72DB4A9A">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评分标准</w:t>
            </w:r>
          </w:p>
        </w:tc>
        <w:tc>
          <w:tcPr>
            <w:tcW w:w="344" w:type="pct"/>
            <w:noWrap w:val="0"/>
            <w:vAlign w:val="center"/>
          </w:tcPr>
          <w:p w14:paraId="2C4AF7FF">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分值</w:t>
            </w:r>
          </w:p>
        </w:tc>
        <w:tc>
          <w:tcPr>
            <w:tcW w:w="345" w:type="pct"/>
            <w:noWrap w:val="0"/>
            <w:vAlign w:val="center"/>
          </w:tcPr>
          <w:p w14:paraId="053F48D9">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
                <w:bCs/>
                <w:color w:val="auto"/>
                <w:sz w:val="22"/>
                <w:szCs w:val="22"/>
                <w:highlight w:val="none"/>
                <w:lang w:val="en-US" w:eastAsia="zh-CN"/>
              </w:rPr>
            </w:pPr>
            <w:r>
              <w:rPr>
                <w:rFonts w:hint="eastAsia" w:ascii="宋体" w:hAnsi="宋体" w:cs="宋体"/>
                <w:b/>
                <w:bCs/>
                <w:color w:val="auto"/>
                <w:sz w:val="22"/>
                <w:szCs w:val="22"/>
                <w:highlight w:val="none"/>
                <w:lang w:val="en-US" w:eastAsia="zh-CN"/>
              </w:rPr>
              <w:t>备注</w:t>
            </w:r>
          </w:p>
        </w:tc>
      </w:tr>
      <w:tr w14:paraId="1011B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318" w:type="pct"/>
            <w:noWrap w:val="0"/>
            <w:vAlign w:val="center"/>
          </w:tcPr>
          <w:p w14:paraId="3D2126B1">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1</w:t>
            </w:r>
          </w:p>
        </w:tc>
        <w:tc>
          <w:tcPr>
            <w:tcW w:w="748" w:type="pct"/>
            <w:noWrap w:val="0"/>
            <w:vAlign w:val="center"/>
          </w:tcPr>
          <w:p w14:paraId="38CFF181">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color w:val="auto"/>
                <w:kern w:val="2"/>
                <w:sz w:val="22"/>
                <w:szCs w:val="22"/>
                <w:highlight w:val="none"/>
                <w:lang w:val="en-US" w:eastAsia="zh-CN" w:bidi="en-US"/>
              </w:rPr>
            </w:pPr>
            <w:r>
              <w:rPr>
                <w:rFonts w:hint="eastAsia" w:ascii="宋体" w:hAnsi="宋体" w:cs="宋体"/>
                <w:color w:val="auto"/>
                <w:sz w:val="22"/>
                <w:szCs w:val="22"/>
                <w:highlight w:val="none"/>
                <w:lang w:val="en-US" w:eastAsia="zh-CN" w:bidi="en-US"/>
              </w:rPr>
              <w:t>投标人</w:t>
            </w:r>
            <w:r>
              <w:rPr>
                <w:rFonts w:hint="eastAsia" w:ascii="宋体" w:hAnsi="宋体" w:eastAsia="宋体" w:cs="宋体"/>
                <w:color w:val="auto"/>
                <w:sz w:val="22"/>
                <w:szCs w:val="22"/>
                <w:highlight w:val="none"/>
                <w:lang w:bidi="en-US"/>
              </w:rPr>
              <w:t>体系认证</w:t>
            </w:r>
          </w:p>
        </w:tc>
        <w:tc>
          <w:tcPr>
            <w:tcW w:w="3243" w:type="pct"/>
            <w:noWrap w:val="0"/>
            <w:vAlign w:val="center"/>
          </w:tcPr>
          <w:p w14:paraId="2DA824F6">
            <w:pPr>
              <w:keepNext w:val="0"/>
              <w:keepLines w:val="0"/>
              <w:pageBreakBefore w:val="0"/>
              <w:kinsoku/>
              <w:wordWrap/>
              <w:overflowPunct/>
              <w:topLinePunct w:val="0"/>
              <w:autoSpaceDE/>
              <w:autoSpaceDN/>
              <w:bidi w:val="0"/>
              <w:spacing w:line="360" w:lineRule="exact"/>
              <w:jc w:val="left"/>
              <w:rPr>
                <w:rFonts w:hint="eastAsia" w:ascii="宋体" w:hAnsi="宋体" w:eastAsia="宋体" w:cs="宋体"/>
                <w:color w:val="auto"/>
                <w:sz w:val="22"/>
                <w:szCs w:val="22"/>
                <w:highlight w:val="none"/>
                <w:lang w:val="en-US" w:eastAsia="zh-CN" w:bidi="en-US"/>
              </w:rPr>
            </w:pPr>
            <w:r>
              <w:rPr>
                <w:rFonts w:hint="eastAsia" w:ascii="宋体" w:hAnsi="宋体" w:cs="宋体"/>
                <w:color w:val="auto"/>
                <w:sz w:val="22"/>
                <w:szCs w:val="22"/>
                <w:highlight w:val="none"/>
                <w:lang w:val="en-US" w:eastAsia="zh-CN" w:bidi="en-US"/>
              </w:rPr>
              <w:t>投标人</w:t>
            </w:r>
            <w:r>
              <w:rPr>
                <w:rFonts w:hint="eastAsia" w:ascii="宋体" w:hAnsi="宋体" w:eastAsia="宋体" w:cs="宋体"/>
                <w:color w:val="auto"/>
                <w:sz w:val="22"/>
                <w:szCs w:val="22"/>
                <w:highlight w:val="none"/>
                <w:lang w:val="en-US" w:eastAsia="zh-CN" w:bidi="en-US"/>
              </w:rPr>
              <w:t>提供有效期内的ISO</w:t>
            </w:r>
            <w:r>
              <w:rPr>
                <w:rFonts w:hint="eastAsia" w:ascii="宋体" w:hAnsi="宋体" w:cs="宋体"/>
                <w:color w:val="auto"/>
                <w:sz w:val="22"/>
                <w:szCs w:val="22"/>
                <w:highlight w:val="none"/>
                <w:lang w:val="en-US" w:eastAsia="zh-CN" w:bidi="en-US"/>
              </w:rPr>
              <w:t>系列</w:t>
            </w:r>
            <w:r>
              <w:rPr>
                <w:rFonts w:hint="eastAsia" w:ascii="宋体" w:hAnsi="宋体" w:eastAsia="宋体" w:cs="宋体"/>
                <w:color w:val="auto"/>
                <w:sz w:val="22"/>
                <w:szCs w:val="22"/>
                <w:highlight w:val="none"/>
                <w:lang w:val="en-US" w:eastAsia="zh-CN" w:bidi="en-US"/>
              </w:rPr>
              <w:t>质量管理体系认证证书、环境管理体系认证证书、职业健康安全管理体系认证证书（以上证书须覆盖范围至少包含：</w:t>
            </w:r>
            <w:r>
              <w:rPr>
                <w:rFonts w:hint="eastAsia" w:ascii="宋体" w:hAnsi="宋体" w:cs="宋体"/>
                <w:color w:val="auto"/>
                <w:sz w:val="22"/>
                <w:szCs w:val="22"/>
                <w:highlight w:val="none"/>
                <w:lang w:val="en-US" w:eastAsia="zh-CN" w:bidi="en-US"/>
              </w:rPr>
              <w:t>板式家具、钢木家具、实木家具、软体家具</w:t>
            </w:r>
            <w:r>
              <w:rPr>
                <w:rFonts w:hint="eastAsia" w:ascii="宋体" w:hAnsi="宋体" w:eastAsia="宋体" w:cs="宋体"/>
                <w:color w:val="auto"/>
                <w:sz w:val="22"/>
                <w:szCs w:val="22"/>
                <w:highlight w:val="none"/>
                <w:lang w:val="en-US" w:eastAsia="zh-CN" w:bidi="en-US"/>
              </w:rPr>
              <w:t>），每个得</w:t>
            </w:r>
            <w:r>
              <w:rPr>
                <w:rFonts w:hint="eastAsia" w:ascii="宋体" w:hAnsi="宋体" w:cs="宋体"/>
                <w:color w:val="auto"/>
                <w:sz w:val="22"/>
                <w:szCs w:val="22"/>
                <w:highlight w:val="none"/>
                <w:lang w:val="en-US" w:eastAsia="zh-CN" w:bidi="en-US"/>
              </w:rPr>
              <w:t>1</w:t>
            </w:r>
            <w:r>
              <w:rPr>
                <w:rFonts w:hint="eastAsia" w:ascii="宋体" w:hAnsi="宋体" w:eastAsia="宋体" w:cs="宋体"/>
                <w:color w:val="auto"/>
                <w:sz w:val="22"/>
                <w:szCs w:val="22"/>
                <w:highlight w:val="none"/>
                <w:lang w:val="en-US" w:eastAsia="zh-CN" w:bidi="en-US"/>
              </w:rPr>
              <w:t>分，最高</w:t>
            </w:r>
            <w:r>
              <w:rPr>
                <w:rFonts w:hint="eastAsia" w:ascii="宋体" w:hAnsi="宋体" w:cs="宋体"/>
                <w:color w:val="auto"/>
                <w:sz w:val="22"/>
                <w:szCs w:val="22"/>
                <w:highlight w:val="none"/>
                <w:lang w:val="en-US" w:eastAsia="zh-CN" w:bidi="en-US"/>
              </w:rPr>
              <w:t>3</w:t>
            </w:r>
            <w:r>
              <w:rPr>
                <w:rFonts w:hint="eastAsia" w:ascii="宋体" w:hAnsi="宋体" w:eastAsia="宋体" w:cs="宋体"/>
                <w:color w:val="auto"/>
                <w:sz w:val="22"/>
                <w:szCs w:val="22"/>
                <w:highlight w:val="none"/>
                <w:lang w:val="en-US" w:eastAsia="zh-CN" w:bidi="en-US"/>
              </w:rPr>
              <w:t>分</w:t>
            </w:r>
            <w:r>
              <w:rPr>
                <w:rFonts w:hint="eastAsia" w:ascii="宋体" w:hAnsi="宋体" w:cs="宋体"/>
                <w:color w:val="auto"/>
                <w:sz w:val="22"/>
                <w:szCs w:val="22"/>
                <w:highlight w:val="none"/>
                <w:lang w:val="en-US" w:eastAsia="zh-CN" w:bidi="en-US"/>
              </w:rPr>
              <w:t>。</w:t>
            </w:r>
          </w:p>
          <w:p w14:paraId="663ED0B2">
            <w:pPr>
              <w:keepNext w:val="0"/>
              <w:keepLines w:val="0"/>
              <w:pageBreakBefore w:val="0"/>
              <w:kinsoku/>
              <w:wordWrap/>
              <w:overflowPunct/>
              <w:topLinePunct w:val="0"/>
              <w:autoSpaceDE/>
              <w:autoSpaceDN/>
              <w:bidi w:val="0"/>
              <w:spacing w:line="360" w:lineRule="exact"/>
              <w:jc w:val="left"/>
              <w:rPr>
                <w:rFonts w:hint="eastAsia" w:ascii="宋体" w:hAnsi="宋体" w:eastAsia="宋体" w:cs="宋体"/>
                <w:b/>
                <w:bCs/>
                <w:color w:val="auto"/>
                <w:kern w:val="0"/>
                <w:sz w:val="22"/>
                <w:szCs w:val="22"/>
                <w:highlight w:val="none"/>
                <w:lang w:val="en-US" w:eastAsia="zh-CN" w:bidi="ar-SA"/>
              </w:rPr>
            </w:pPr>
            <w:r>
              <w:rPr>
                <w:rFonts w:hint="eastAsia" w:ascii="宋体" w:hAnsi="宋体" w:eastAsia="宋体" w:cs="宋体"/>
                <w:color w:val="auto"/>
                <w:sz w:val="22"/>
                <w:szCs w:val="22"/>
                <w:highlight w:val="none"/>
                <w:lang w:val="en-US" w:eastAsia="zh-CN" w:bidi="en-US"/>
              </w:rPr>
              <w:t>注：须同时提供证书及全国认证认可信息公共服务平台查询截图并加盖投标人公章，否则不予认可。</w:t>
            </w:r>
          </w:p>
        </w:tc>
        <w:tc>
          <w:tcPr>
            <w:tcW w:w="344" w:type="pct"/>
            <w:noWrap w:val="0"/>
            <w:vAlign w:val="center"/>
          </w:tcPr>
          <w:p w14:paraId="33704A59">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bCs/>
                <w:color w:val="auto"/>
                <w:kern w:val="2"/>
                <w:sz w:val="22"/>
                <w:szCs w:val="22"/>
                <w:highlight w:val="none"/>
                <w:lang w:val="en-US" w:eastAsia="zh-CN" w:bidi="ar-SA"/>
              </w:rPr>
            </w:pPr>
            <w:r>
              <w:rPr>
                <w:rFonts w:hint="eastAsia" w:ascii="宋体" w:hAnsi="宋体" w:cs="宋体"/>
                <w:bCs/>
                <w:color w:val="auto"/>
                <w:sz w:val="22"/>
                <w:szCs w:val="22"/>
                <w:highlight w:val="none"/>
                <w:lang w:val="en-US" w:eastAsia="zh-CN"/>
              </w:rPr>
              <w:t>3</w:t>
            </w:r>
          </w:p>
        </w:tc>
        <w:tc>
          <w:tcPr>
            <w:tcW w:w="345" w:type="pct"/>
            <w:noWrap w:val="0"/>
            <w:vAlign w:val="center"/>
          </w:tcPr>
          <w:p w14:paraId="6F3D8F38">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客 观 分</w:t>
            </w:r>
          </w:p>
        </w:tc>
      </w:tr>
      <w:tr w14:paraId="0AAB3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318" w:type="pct"/>
            <w:noWrap w:val="0"/>
            <w:vAlign w:val="center"/>
          </w:tcPr>
          <w:p w14:paraId="666851D9">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 w:val="0"/>
                <w:bCs w:val="0"/>
                <w:color w:val="auto"/>
                <w:sz w:val="22"/>
                <w:szCs w:val="22"/>
                <w:highlight w:val="none"/>
                <w:lang w:val="en-US" w:eastAsia="zh-CN"/>
              </w:rPr>
            </w:pPr>
            <w:r>
              <w:rPr>
                <w:rFonts w:hint="eastAsia" w:ascii="宋体" w:hAnsi="宋体" w:eastAsia="宋体" w:cs="宋体"/>
                <w:b w:val="0"/>
                <w:bCs w:val="0"/>
                <w:color w:val="auto"/>
                <w:sz w:val="22"/>
                <w:szCs w:val="22"/>
                <w:highlight w:val="none"/>
                <w:lang w:val="en-US" w:eastAsia="zh-CN"/>
              </w:rPr>
              <w:t>2</w:t>
            </w:r>
          </w:p>
        </w:tc>
        <w:tc>
          <w:tcPr>
            <w:tcW w:w="748" w:type="pct"/>
            <w:noWrap w:val="0"/>
            <w:vAlign w:val="center"/>
          </w:tcPr>
          <w:p w14:paraId="3FCB11C3">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color w:val="auto"/>
                <w:kern w:val="2"/>
                <w:sz w:val="22"/>
                <w:szCs w:val="22"/>
                <w:highlight w:val="none"/>
                <w:lang w:val="en-US" w:eastAsia="zh-CN" w:bidi="en-US"/>
              </w:rPr>
            </w:pPr>
            <w:r>
              <w:rPr>
                <w:rFonts w:hint="eastAsia" w:ascii="宋体" w:hAnsi="宋体" w:cs="宋体"/>
                <w:color w:val="auto"/>
                <w:sz w:val="22"/>
                <w:szCs w:val="22"/>
                <w:highlight w:val="none"/>
                <w:lang w:val="en-US" w:eastAsia="zh-CN" w:bidi="en-US"/>
              </w:rPr>
              <w:t>投标人</w:t>
            </w:r>
            <w:r>
              <w:rPr>
                <w:rFonts w:hint="eastAsia" w:ascii="宋体" w:hAnsi="宋体" w:eastAsia="宋体" w:cs="宋体"/>
                <w:color w:val="auto"/>
                <w:sz w:val="22"/>
                <w:szCs w:val="22"/>
                <w:highlight w:val="none"/>
                <w:lang w:bidi="en-US"/>
              </w:rPr>
              <w:t>业绩</w:t>
            </w:r>
          </w:p>
        </w:tc>
        <w:tc>
          <w:tcPr>
            <w:tcW w:w="3243" w:type="pct"/>
            <w:noWrap w:val="0"/>
            <w:vAlign w:val="center"/>
          </w:tcPr>
          <w:p w14:paraId="525646E4">
            <w:pPr>
              <w:keepNext w:val="0"/>
              <w:keepLines w:val="0"/>
              <w:pageBreakBefore w:val="0"/>
              <w:widowControl/>
              <w:kinsoku/>
              <w:wordWrap/>
              <w:overflowPunct/>
              <w:topLinePunct w:val="0"/>
              <w:autoSpaceDE/>
              <w:autoSpaceDN/>
              <w:bidi w:val="0"/>
              <w:spacing w:line="360" w:lineRule="exact"/>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202</w:t>
            </w:r>
            <w:r>
              <w:rPr>
                <w:rFonts w:hint="eastAsia" w:ascii="宋体" w:hAnsi="宋体" w:cs="宋体"/>
                <w:color w:val="auto"/>
                <w:kern w:val="0"/>
                <w:sz w:val="22"/>
                <w:szCs w:val="22"/>
                <w:highlight w:val="none"/>
                <w:lang w:val="en-US" w:eastAsia="zh-CN"/>
              </w:rPr>
              <w:t>1</w:t>
            </w:r>
            <w:r>
              <w:rPr>
                <w:rFonts w:hint="eastAsia" w:ascii="宋体" w:hAnsi="宋体" w:eastAsia="宋体" w:cs="宋体"/>
                <w:color w:val="auto"/>
                <w:kern w:val="0"/>
                <w:sz w:val="22"/>
                <w:szCs w:val="22"/>
                <w:highlight w:val="none"/>
              </w:rPr>
              <w:t>年1月1日以来（以合同签订时间为准），</w:t>
            </w:r>
            <w:r>
              <w:rPr>
                <w:rFonts w:hint="eastAsia" w:ascii="宋体" w:hAnsi="宋体" w:cs="宋体"/>
                <w:color w:val="auto"/>
                <w:kern w:val="0"/>
                <w:sz w:val="22"/>
                <w:szCs w:val="22"/>
                <w:highlight w:val="none"/>
                <w:lang w:val="en-US" w:eastAsia="zh-CN"/>
              </w:rPr>
              <w:t>投标人</w:t>
            </w:r>
            <w:r>
              <w:rPr>
                <w:rFonts w:hint="eastAsia" w:ascii="宋体" w:hAnsi="宋体" w:eastAsia="宋体" w:cs="宋体"/>
                <w:color w:val="auto"/>
                <w:kern w:val="0"/>
                <w:sz w:val="22"/>
                <w:szCs w:val="22"/>
                <w:highlight w:val="none"/>
              </w:rPr>
              <w:t>具有</w:t>
            </w:r>
            <w:r>
              <w:rPr>
                <w:rFonts w:hint="eastAsia" w:ascii="宋体" w:hAnsi="宋体" w:cs="宋体"/>
                <w:color w:val="auto"/>
                <w:kern w:val="0"/>
                <w:sz w:val="22"/>
                <w:szCs w:val="22"/>
                <w:highlight w:val="none"/>
                <w:lang w:val="en-US" w:eastAsia="zh-CN"/>
              </w:rPr>
              <w:t>同类</w:t>
            </w:r>
            <w:r>
              <w:rPr>
                <w:rFonts w:hint="eastAsia" w:ascii="宋体" w:hAnsi="宋体" w:eastAsia="宋体" w:cs="宋体"/>
                <w:color w:val="auto"/>
                <w:kern w:val="0"/>
                <w:sz w:val="22"/>
                <w:szCs w:val="22"/>
                <w:highlight w:val="none"/>
              </w:rPr>
              <w:t>项目业绩，每提供一个项目业绩得 1 分，满分</w:t>
            </w:r>
            <w:r>
              <w:rPr>
                <w:rFonts w:hint="eastAsia" w:ascii="宋体" w:hAnsi="宋体" w:cs="宋体"/>
                <w:color w:val="auto"/>
                <w:kern w:val="0"/>
                <w:sz w:val="22"/>
                <w:szCs w:val="22"/>
                <w:highlight w:val="none"/>
                <w:lang w:val="en-US" w:eastAsia="zh-CN"/>
              </w:rPr>
              <w:t>3</w:t>
            </w:r>
            <w:r>
              <w:rPr>
                <w:rFonts w:hint="eastAsia" w:ascii="宋体" w:hAnsi="宋体" w:eastAsia="宋体" w:cs="宋体"/>
                <w:color w:val="auto"/>
                <w:kern w:val="0"/>
                <w:sz w:val="22"/>
                <w:szCs w:val="22"/>
                <w:highlight w:val="none"/>
              </w:rPr>
              <w:t xml:space="preserve">分。 </w:t>
            </w:r>
          </w:p>
          <w:p w14:paraId="2691FF5E">
            <w:pPr>
              <w:keepNext w:val="0"/>
              <w:keepLines w:val="0"/>
              <w:pageBreakBefore w:val="0"/>
              <w:widowControl/>
              <w:kinsoku/>
              <w:wordWrap/>
              <w:overflowPunct/>
              <w:topLinePunct w:val="0"/>
              <w:autoSpaceDE/>
              <w:autoSpaceDN/>
              <w:bidi w:val="0"/>
              <w:spacing w:line="360" w:lineRule="exact"/>
              <w:jc w:val="left"/>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b/>
                <w:bCs/>
                <w:color w:val="auto"/>
                <w:kern w:val="0"/>
                <w:sz w:val="22"/>
                <w:szCs w:val="22"/>
                <w:highlight w:val="none"/>
              </w:rPr>
              <w:t>注：</w:t>
            </w:r>
            <w:r>
              <w:rPr>
                <w:rFonts w:hint="eastAsia" w:ascii="宋体" w:hAnsi="宋体" w:cs="宋体"/>
                <w:b/>
                <w:bCs/>
                <w:color w:val="auto"/>
                <w:kern w:val="0"/>
                <w:sz w:val="22"/>
                <w:szCs w:val="22"/>
                <w:highlight w:val="none"/>
                <w:lang w:val="en-US" w:eastAsia="zh-CN"/>
              </w:rPr>
              <w:t>投标</w:t>
            </w:r>
            <w:r>
              <w:rPr>
                <w:rFonts w:hint="eastAsia" w:ascii="宋体" w:hAnsi="宋体" w:eastAsia="宋体" w:cs="宋体"/>
                <w:b/>
                <w:bCs/>
                <w:color w:val="auto"/>
                <w:kern w:val="0"/>
                <w:sz w:val="22"/>
                <w:szCs w:val="22"/>
                <w:highlight w:val="none"/>
              </w:rPr>
              <w:t>响应文件中提供业绩合同</w:t>
            </w:r>
            <w:r>
              <w:rPr>
                <w:rFonts w:hint="eastAsia" w:ascii="宋体" w:hAnsi="宋体" w:cs="宋体"/>
                <w:b/>
                <w:bCs/>
                <w:color w:val="auto"/>
                <w:kern w:val="0"/>
                <w:sz w:val="22"/>
                <w:szCs w:val="22"/>
                <w:highlight w:val="none"/>
                <w:lang w:val="en-US" w:eastAsia="zh-CN"/>
              </w:rPr>
              <w:t>加盖电子公章</w:t>
            </w:r>
            <w:r>
              <w:rPr>
                <w:rFonts w:hint="eastAsia" w:ascii="宋体" w:hAnsi="宋体" w:eastAsia="宋体" w:cs="宋体"/>
                <w:b/>
                <w:bCs/>
                <w:color w:val="auto"/>
                <w:kern w:val="0"/>
                <w:sz w:val="22"/>
                <w:szCs w:val="22"/>
                <w:highlight w:val="none"/>
              </w:rPr>
              <w:t>。</w:t>
            </w:r>
          </w:p>
        </w:tc>
        <w:tc>
          <w:tcPr>
            <w:tcW w:w="344" w:type="pct"/>
            <w:noWrap w:val="0"/>
            <w:vAlign w:val="center"/>
          </w:tcPr>
          <w:p w14:paraId="105734B6">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bCs/>
                <w:color w:val="auto"/>
                <w:kern w:val="2"/>
                <w:sz w:val="22"/>
                <w:szCs w:val="22"/>
                <w:highlight w:val="none"/>
                <w:lang w:val="en-US" w:eastAsia="zh-CN" w:bidi="ar-SA"/>
              </w:rPr>
            </w:pPr>
            <w:r>
              <w:rPr>
                <w:rFonts w:hint="eastAsia" w:ascii="宋体" w:hAnsi="宋体" w:cs="宋体"/>
                <w:bCs/>
                <w:color w:val="auto"/>
                <w:sz w:val="22"/>
                <w:szCs w:val="22"/>
                <w:highlight w:val="none"/>
                <w:lang w:val="en-US" w:eastAsia="zh-CN"/>
              </w:rPr>
              <w:t>3</w:t>
            </w:r>
          </w:p>
        </w:tc>
        <w:tc>
          <w:tcPr>
            <w:tcW w:w="345" w:type="pct"/>
            <w:noWrap w:val="0"/>
            <w:vAlign w:val="center"/>
          </w:tcPr>
          <w:p w14:paraId="49E21ED8">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bCs/>
                <w:color w:val="auto"/>
                <w:kern w:val="2"/>
                <w:sz w:val="22"/>
                <w:szCs w:val="22"/>
                <w:highlight w:val="none"/>
                <w:lang w:val="en-US" w:eastAsia="zh-CN" w:bidi="ar-SA"/>
              </w:rPr>
            </w:pPr>
            <w:r>
              <w:rPr>
                <w:rFonts w:hint="eastAsia" w:ascii="宋体" w:hAnsi="宋体" w:cs="宋体"/>
                <w:bCs/>
                <w:color w:val="auto"/>
                <w:sz w:val="22"/>
                <w:szCs w:val="22"/>
                <w:highlight w:val="none"/>
                <w:lang w:val="en-US" w:eastAsia="zh-CN"/>
              </w:rPr>
              <w:t>客 观 分</w:t>
            </w:r>
          </w:p>
        </w:tc>
      </w:tr>
      <w:tr w14:paraId="1301D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318" w:type="pct"/>
            <w:noWrap w:val="0"/>
            <w:vAlign w:val="center"/>
          </w:tcPr>
          <w:p w14:paraId="0C7E8107">
            <w:pPr>
              <w:keepNext w:val="0"/>
              <w:keepLines w:val="0"/>
              <w:pageBreakBefore w:val="0"/>
              <w:kinsoku/>
              <w:wordWrap/>
              <w:overflowPunct/>
              <w:topLinePunct w:val="0"/>
              <w:autoSpaceDE/>
              <w:autoSpaceDN/>
              <w:bidi w:val="0"/>
              <w:spacing w:line="360" w:lineRule="exact"/>
              <w:jc w:val="center"/>
              <w:rPr>
                <w:rFonts w:hint="default" w:ascii="宋体" w:hAnsi="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3</w:t>
            </w:r>
          </w:p>
        </w:tc>
        <w:tc>
          <w:tcPr>
            <w:tcW w:w="748" w:type="pct"/>
            <w:noWrap w:val="0"/>
            <w:vAlign w:val="center"/>
          </w:tcPr>
          <w:p w14:paraId="4A906F65">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bidi="en-US"/>
              </w:rPr>
              <w:t>对招标文件的响应度及符合性</w:t>
            </w:r>
          </w:p>
        </w:tc>
        <w:tc>
          <w:tcPr>
            <w:tcW w:w="3243" w:type="pct"/>
            <w:noWrap w:val="0"/>
            <w:vAlign w:val="center"/>
          </w:tcPr>
          <w:p w14:paraId="79D9C441">
            <w:pPr>
              <w:keepNext w:val="0"/>
              <w:keepLines w:val="0"/>
              <w:pageBreakBefore w:val="0"/>
              <w:kinsoku/>
              <w:wordWrap/>
              <w:overflowPunct/>
              <w:topLinePunct w:val="0"/>
              <w:autoSpaceDE/>
              <w:autoSpaceDN/>
              <w:bidi w:val="0"/>
              <w:spacing w:line="3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根据投标产品的各项技术性能指标、功能要求与招标文件要求的符合程度及偏离情况进行打分。所有参数均符合招标文件的要求的得</w:t>
            </w:r>
            <w:r>
              <w:rPr>
                <w:rFonts w:hint="eastAsia" w:ascii="宋体" w:hAnsi="宋体" w:cs="宋体"/>
                <w:color w:val="auto"/>
                <w:sz w:val="22"/>
                <w:szCs w:val="22"/>
                <w:highlight w:val="none"/>
                <w:lang w:val="en-US" w:eastAsia="zh-CN"/>
              </w:rPr>
              <w:t>10</w:t>
            </w:r>
            <w:r>
              <w:rPr>
                <w:rFonts w:hint="eastAsia" w:ascii="宋体" w:hAnsi="宋体" w:eastAsia="宋体" w:cs="宋体"/>
                <w:color w:val="auto"/>
                <w:sz w:val="22"/>
                <w:szCs w:val="22"/>
                <w:highlight w:val="none"/>
              </w:rPr>
              <w:t>分，</w:t>
            </w:r>
            <w:r>
              <w:rPr>
                <w:rFonts w:hint="eastAsia" w:ascii="宋体" w:hAnsi="宋体" w:eastAsia="宋体" w:cs="宋体"/>
                <w:color w:val="auto"/>
                <w:sz w:val="22"/>
                <w:szCs w:val="22"/>
                <w:highlight w:val="none"/>
                <w:lang w:val="en-US" w:eastAsia="zh-CN"/>
              </w:rPr>
              <w:t>技术参数每</w:t>
            </w:r>
            <w:r>
              <w:rPr>
                <w:rFonts w:hint="eastAsia" w:ascii="宋体" w:hAnsi="宋体" w:eastAsia="宋体" w:cs="宋体"/>
                <w:color w:val="auto"/>
                <w:sz w:val="22"/>
                <w:szCs w:val="22"/>
                <w:highlight w:val="none"/>
              </w:rPr>
              <w:t>负偏离</w:t>
            </w:r>
            <w:r>
              <w:rPr>
                <w:rFonts w:hint="eastAsia" w:ascii="宋体" w:hAnsi="宋体" w:eastAsia="宋体" w:cs="宋体"/>
                <w:color w:val="auto"/>
                <w:sz w:val="22"/>
                <w:szCs w:val="22"/>
                <w:highlight w:val="none"/>
                <w:lang w:eastAsia="zh-CN"/>
              </w:rPr>
              <w:t>一项</w:t>
            </w:r>
            <w:r>
              <w:rPr>
                <w:rFonts w:hint="eastAsia" w:ascii="宋体" w:hAnsi="宋体" w:eastAsia="宋体" w:cs="宋体"/>
                <w:color w:val="auto"/>
                <w:sz w:val="22"/>
                <w:szCs w:val="22"/>
                <w:highlight w:val="none"/>
              </w:rPr>
              <w:t>扣1分，扣完为止。</w:t>
            </w:r>
          </w:p>
          <w:p w14:paraId="211D3B83">
            <w:pPr>
              <w:keepNext w:val="0"/>
              <w:keepLines w:val="0"/>
              <w:pageBreakBefore w:val="0"/>
              <w:kinsoku/>
              <w:wordWrap/>
              <w:overflowPunct/>
              <w:topLinePunct w:val="0"/>
              <w:autoSpaceDE/>
              <w:autoSpaceDN/>
              <w:bidi w:val="0"/>
              <w:spacing w:line="3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注：投标人须在《偏离表》中明确偏离情况</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投标人必须提供所投产品的具体参数值，完全复制招标文件要求的将承担不利评审风险</w:t>
            </w:r>
            <w:r>
              <w:rPr>
                <w:rFonts w:hint="eastAsia" w:ascii="宋体" w:hAnsi="宋体" w:cs="宋体"/>
                <w:color w:val="auto"/>
                <w:sz w:val="22"/>
                <w:szCs w:val="22"/>
                <w:highlight w:val="none"/>
                <w:lang w:eastAsia="zh-CN"/>
              </w:rPr>
              <w:t>，</w:t>
            </w:r>
            <w:r>
              <w:rPr>
                <w:rFonts w:hint="eastAsia" w:ascii="宋体" w:hAnsi="宋体" w:eastAsia="宋体" w:cs="宋体"/>
                <w:color w:val="auto"/>
                <w:sz w:val="22"/>
                <w:szCs w:val="22"/>
                <w:highlight w:val="none"/>
              </w:rPr>
              <w:t>如果提供样品的，参数响应情况以样品实际参数为准。</w:t>
            </w:r>
          </w:p>
        </w:tc>
        <w:tc>
          <w:tcPr>
            <w:tcW w:w="344" w:type="pct"/>
            <w:noWrap w:val="0"/>
            <w:vAlign w:val="center"/>
          </w:tcPr>
          <w:p w14:paraId="037A9EA1">
            <w:pPr>
              <w:keepNext w:val="0"/>
              <w:keepLines w:val="0"/>
              <w:pageBreakBefore w:val="0"/>
              <w:widowControl/>
              <w:kinsoku/>
              <w:wordWrap/>
              <w:overflowPunct/>
              <w:topLinePunct w:val="0"/>
              <w:autoSpaceDE/>
              <w:autoSpaceDN/>
              <w:bidi w:val="0"/>
              <w:spacing w:line="360" w:lineRule="exact"/>
              <w:jc w:val="center"/>
              <w:rPr>
                <w:rFonts w:hint="default" w:ascii="宋体" w:hAnsi="宋体" w:cs="宋体"/>
                <w:color w:val="auto"/>
                <w:sz w:val="22"/>
                <w:szCs w:val="22"/>
                <w:highlight w:val="none"/>
                <w:lang w:val="en-US" w:eastAsia="zh-CN"/>
              </w:rPr>
            </w:pPr>
            <w:r>
              <w:rPr>
                <w:rFonts w:hint="eastAsia" w:ascii="宋体" w:hAnsi="宋体" w:cs="宋体"/>
                <w:bCs/>
                <w:color w:val="auto"/>
                <w:sz w:val="22"/>
                <w:szCs w:val="22"/>
                <w:highlight w:val="none"/>
                <w:lang w:val="en-US" w:eastAsia="zh-CN"/>
              </w:rPr>
              <w:t>10</w:t>
            </w:r>
          </w:p>
        </w:tc>
        <w:tc>
          <w:tcPr>
            <w:tcW w:w="345" w:type="pct"/>
            <w:noWrap w:val="0"/>
            <w:vAlign w:val="center"/>
          </w:tcPr>
          <w:p w14:paraId="484A7BC3">
            <w:pPr>
              <w:keepNext w:val="0"/>
              <w:keepLines w:val="0"/>
              <w:pageBreakBefore w:val="0"/>
              <w:widowControl/>
              <w:kinsoku/>
              <w:wordWrap/>
              <w:overflowPunct/>
              <w:topLinePunct w:val="0"/>
              <w:autoSpaceDE/>
              <w:autoSpaceDN/>
              <w:bidi w:val="0"/>
              <w:spacing w:line="360" w:lineRule="exact"/>
              <w:jc w:val="center"/>
              <w:rPr>
                <w:rFonts w:hint="eastAsia" w:ascii="宋体" w:hAnsi="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客 观 分</w:t>
            </w:r>
          </w:p>
        </w:tc>
      </w:tr>
      <w:tr w14:paraId="44BCA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318" w:type="pct"/>
            <w:noWrap w:val="0"/>
            <w:vAlign w:val="center"/>
          </w:tcPr>
          <w:p w14:paraId="76F1624A">
            <w:pPr>
              <w:keepNext w:val="0"/>
              <w:keepLines w:val="0"/>
              <w:pageBreakBefore w:val="0"/>
              <w:kinsoku/>
              <w:wordWrap/>
              <w:overflowPunct/>
              <w:topLinePunct w:val="0"/>
              <w:autoSpaceDE/>
              <w:autoSpaceDN/>
              <w:bidi w:val="0"/>
              <w:spacing w:line="360" w:lineRule="exact"/>
              <w:jc w:val="center"/>
              <w:rPr>
                <w:rFonts w:hint="default" w:ascii="宋体" w:hAnsi="宋体" w:eastAsia="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4</w:t>
            </w:r>
          </w:p>
        </w:tc>
        <w:tc>
          <w:tcPr>
            <w:tcW w:w="748" w:type="pct"/>
            <w:noWrap w:val="0"/>
            <w:vAlign w:val="center"/>
          </w:tcPr>
          <w:p w14:paraId="22C48834">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主要产品的环保性</w:t>
            </w:r>
          </w:p>
        </w:tc>
        <w:tc>
          <w:tcPr>
            <w:tcW w:w="3243" w:type="pct"/>
            <w:noWrap w:val="0"/>
            <w:vAlign w:val="center"/>
          </w:tcPr>
          <w:p w14:paraId="50EE0F24">
            <w:pPr>
              <w:keepNext w:val="0"/>
              <w:keepLines w:val="0"/>
              <w:pageBreakBefore w:val="0"/>
              <w:kinsoku/>
              <w:wordWrap/>
              <w:overflowPunct/>
              <w:topLinePunct w:val="0"/>
              <w:autoSpaceDE/>
              <w:autoSpaceDN/>
              <w:bidi w:val="0"/>
              <w:spacing w:line="3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投标产品的生产厂家提供检测单位为</w:t>
            </w:r>
            <w:r>
              <w:rPr>
                <w:rFonts w:hint="eastAsia" w:ascii="宋体" w:hAnsi="宋体" w:cs="宋体"/>
                <w:color w:val="auto"/>
                <w:sz w:val="22"/>
                <w:szCs w:val="22"/>
                <w:highlight w:val="none"/>
                <w:lang w:val="en-US" w:eastAsia="zh-CN"/>
              </w:rPr>
              <w:t>国家认可的</w:t>
            </w:r>
            <w:r>
              <w:rPr>
                <w:rFonts w:hint="eastAsia" w:ascii="宋体" w:hAnsi="宋体" w:eastAsia="宋体" w:cs="宋体"/>
                <w:color w:val="auto"/>
                <w:sz w:val="22"/>
                <w:szCs w:val="22"/>
                <w:highlight w:val="none"/>
              </w:rPr>
              <w:t>质量技术监督检测</w:t>
            </w:r>
            <w:r>
              <w:rPr>
                <w:rFonts w:hint="eastAsia" w:ascii="宋体" w:hAnsi="宋体" w:cs="宋体"/>
                <w:color w:val="auto"/>
                <w:sz w:val="22"/>
                <w:szCs w:val="22"/>
                <w:highlight w:val="none"/>
                <w:lang w:val="en-US" w:eastAsia="zh-CN"/>
              </w:rPr>
              <w:t>部门送检的同类标的</w:t>
            </w:r>
            <w:r>
              <w:rPr>
                <w:rFonts w:hint="eastAsia" w:ascii="宋体" w:hAnsi="宋体" w:eastAsia="宋体" w:cs="宋体"/>
                <w:color w:val="auto"/>
                <w:sz w:val="22"/>
                <w:szCs w:val="22"/>
                <w:highlight w:val="none"/>
              </w:rPr>
              <w:t>产品检测报告</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每提供一个产品</w:t>
            </w:r>
            <w:r>
              <w:rPr>
                <w:rFonts w:hint="eastAsia" w:ascii="宋体" w:hAnsi="宋体" w:eastAsia="宋体" w:cs="宋体"/>
                <w:color w:val="auto"/>
                <w:sz w:val="22"/>
                <w:szCs w:val="22"/>
                <w:highlight w:val="none"/>
              </w:rPr>
              <w:t>的甲醛释放量≤0.3mg/L的</w:t>
            </w:r>
            <w:r>
              <w:rPr>
                <w:rFonts w:hint="eastAsia" w:ascii="宋体" w:hAnsi="宋体" w:cs="宋体"/>
                <w:color w:val="auto"/>
                <w:sz w:val="22"/>
                <w:szCs w:val="22"/>
                <w:highlight w:val="none"/>
                <w:lang w:val="en-US" w:eastAsia="zh-CN"/>
              </w:rPr>
              <w:t>检测报告</w:t>
            </w:r>
            <w:r>
              <w:rPr>
                <w:rFonts w:hint="eastAsia" w:ascii="宋体" w:hAnsi="宋体" w:eastAsia="宋体" w:cs="宋体"/>
                <w:color w:val="auto"/>
                <w:sz w:val="22"/>
                <w:szCs w:val="22"/>
                <w:highlight w:val="none"/>
              </w:rPr>
              <w:t>得</w:t>
            </w: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分</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最高得3分</w:t>
            </w:r>
            <w:r>
              <w:rPr>
                <w:rFonts w:hint="eastAsia" w:ascii="宋体" w:hAnsi="宋体" w:eastAsia="宋体" w:cs="宋体"/>
                <w:color w:val="auto"/>
                <w:sz w:val="22"/>
                <w:szCs w:val="22"/>
                <w:highlight w:val="none"/>
              </w:rPr>
              <w:t>。</w:t>
            </w:r>
          </w:p>
        </w:tc>
        <w:tc>
          <w:tcPr>
            <w:tcW w:w="344" w:type="pct"/>
            <w:noWrap w:val="0"/>
            <w:vAlign w:val="center"/>
          </w:tcPr>
          <w:p w14:paraId="5812A0DE">
            <w:pPr>
              <w:keepNext w:val="0"/>
              <w:keepLines w:val="0"/>
              <w:pageBreakBefore w:val="0"/>
              <w:kinsoku/>
              <w:wordWrap/>
              <w:overflowPunct/>
              <w:topLinePunct w:val="0"/>
              <w:autoSpaceDE/>
              <w:autoSpaceDN/>
              <w:bidi w:val="0"/>
              <w:spacing w:line="360" w:lineRule="exact"/>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3</w:t>
            </w:r>
          </w:p>
        </w:tc>
        <w:tc>
          <w:tcPr>
            <w:tcW w:w="345" w:type="pct"/>
            <w:noWrap w:val="0"/>
            <w:vAlign w:val="center"/>
          </w:tcPr>
          <w:p w14:paraId="4A9B01C0">
            <w:pPr>
              <w:keepNext w:val="0"/>
              <w:keepLines w:val="0"/>
              <w:pageBreakBefore w:val="0"/>
              <w:kinsoku/>
              <w:wordWrap/>
              <w:overflowPunct/>
              <w:topLinePunct w:val="0"/>
              <w:autoSpaceDE/>
              <w:autoSpaceDN/>
              <w:bidi w:val="0"/>
              <w:spacing w:line="360" w:lineRule="exact"/>
              <w:jc w:val="center"/>
              <w:rPr>
                <w:rFonts w:hint="eastAsia" w:ascii="宋体" w:hAnsi="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客 观 分</w:t>
            </w:r>
          </w:p>
        </w:tc>
      </w:tr>
      <w:tr w14:paraId="48721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318" w:type="pct"/>
            <w:noWrap w:val="0"/>
            <w:vAlign w:val="center"/>
          </w:tcPr>
          <w:p w14:paraId="428C8DE8">
            <w:pPr>
              <w:keepNext w:val="0"/>
              <w:keepLines w:val="0"/>
              <w:pageBreakBefore w:val="0"/>
              <w:kinsoku/>
              <w:wordWrap/>
              <w:overflowPunct/>
              <w:topLinePunct w:val="0"/>
              <w:autoSpaceDE/>
              <w:autoSpaceDN/>
              <w:bidi w:val="0"/>
              <w:spacing w:line="360" w:lineRule="exact"/>
              <w:jc w:val="center"/>
              <w:rPr>
                <w:rFonts w:hint="default" w:ascii="宋体" w:hAnsi="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5</w:t>
            </w:r>
          </w:p>
        </w:tc>
        <w:tc>
          <w:tcPr>
            <w:tcW w:w="748" w:type="pct"/>
            <w:noWrap w:val="0"/>
            <w:vAlign w:val="center"/>
          </w:tcPr>
          <w:p w14:paraId="5D1EFE75">
            <w:pPr>
              <w:keepNext w:val="0"/>
              <w:keepLines w:val="0"/>
              <w:pageBreakBefore w:val="0"/>
              <w:kinsoku/>
              <w:wordWrap/>
              <w:overflowPunct/>
              <w:topLinePunct w:val="0"/>
              <w:autoSpaceDE/>
              <w:autoSpaceDN/>
              <w:bidi w:val="0"/>
              <w:spacing w:line="360" w:lineRule="exact"/>
              <w:jc w:val="center"/>
              <w:rPr>
                <w:rFonts w:hint="default" w:ascii="宋体" w:hAnsi="宋体" w:eastAsia="宋体" w:cs="宋体"/>
                <w:color w:val="auto"/>
                <w:sz w:val="22"/>
                <w:szCs w:val="22"/>
                <w:highlight w:val="none"/>
                <w:lang w:val="en-US"/>
              </w:rPr>
            </w:pPr>
            <w:r>
              <w:rPr>
                <w:rFonts w:hint="eastAsia" w:ascii="宋体" w:hAnsi="宋体" w:eastAsia="宋体" w:cs="宋体"/>
                <w:color w:val="auto"/>
                <w:kern w:val="2"/>
                <w:sz w:val="22"/>
                <w:szCs w:val="22"/>
                <w:highlight w:val="none"/>
                <w:lang w:val="en-US" w:eastAsia="zh-CN" w:bidi="ar-SA"/>
              </w:rPr>
              <w:t>主要原材料的环保性、稳定性、安全性</w:t>
            </w:r>
          </w:p>
        </w:tc>
        <w:tc>
          <w:tcPr>
            <w:tcW w:w="3243" w:type="pct"/>
            <w:noWrap w:val="0"/>
            <w:vAlign w:val="center"/>
          </w:tcPr>
          <w:p w14:paraId="0F3B4B66">
            <w:pPr>
              <w:keepNext w:val="0"/>
              <w:keepLines w:val="0"/>
              <w:pageBreakBefore w:val="0"/>
              <w:kinsoku/>
              <w:wordWrap/>
              <w:overflowPunct/>
              <w:topLinePunct w:val="0"/>
              <w:autoSpaceDE/>
              <w:autoSpaceDN/>
              <w:bidi w:val="0"/>
              <w:adjustRightInd w:val="0"/>
              <w:snapToGrid w:val="0"/>
              <w:spacing w:line="360" w:lineRule="exact"/>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须提供符合国家标准或行业标准要求的主要原材料 （多层板</w:t>
            </w:r>
            <w:r>
              <w:rPr>
                <w:rFonts w:hint="eastAsia" w:ascii="宋体" w:hAnsi="宋体" w:cs="宋体"/>
                <w:color w:val="auto"/>
                <w:kern w:val="2"/>
                <w:sz w:val="22"/>
                <w:szCs w:val="22"/>
                <w:highlight w:val="none"/>
                <w:lang w:val="en-US" w:eastAsia="zh-CN" w:bidi="ar-SA"/>
              </w:rPr>
              <w:t>、超纤皮、油漆、中密度纤维板、实木颗粒板</w:t>
            </w:r>
            <w:r>
              <w:rPr>
                <w:rFonts w:hint="eastAsia" w:ascii="宋体" w:hAnsi="宋体" w:eastAsia="宋体" w:cs="宋体"/>
                <w:color w:val="auto"/>
                <w:kern w:val="2"/>
                <w:sz w:val="22"/>
                <w:szCs w:val="22"/>
                <w:highlight w:val="none"/>
                <w:lang w:val="en-US" w:eastAsia="zh-CN" w:bidi="ar-SA"/>
              </w:rPr>
              <w:t>）的检测报告（自2023年0</w:t>
            </w:r>
            <w:r>
              <w:rPr>
                <w:rFonts w:hint="eastAsia" w:ascii="宋体" w:hAnsi="宋体" w:cs="宋体"/>
                <w:color w:val="auto"/>
                <w:kern w:val="2"/>
                <w:sz w:val="22"/>
                <w:szCs w:val="22"/>
                <w:highlight w:val="none"/>
                <w:lang w:val="en-US" w:eastAsia="zh-CN" w:bidi="ar-SA"/>
              </w:rPr>
              <w:t>1</w:t>
            </w:r>
            <w:r>
              <w:rPr>
                <w:rFonts w:hint="eastAsia" w:ascii="宋体" w:hAnsi="宋体" w:eastAsia="宋体" w:cs="宋体"/>
                <w:color w:val="auto"/>
                <w:kern w:val="2"/>
                <w:sz w:val="22"/>
                <w:szCs w:val="22"/>
                <w:highlight w:val="none"/>
                <w:lang w:val="en-US" w:eastAsia="zh-CN" w:bidi="ar-SA"/>
              </w:rPr>
              <w:t>月01日以来） 。每提供一个种类的原材料检测报告，得</w:t>
            </w:r>
            <w:r>
              <w:rPr>
                <w:rFonts w:hint="eastAsia" w:ascii="宋体" w:hAnsi="宋体" w:cs="宋体"/>
                <w:color w:val="auto"/>
                <w:kern w:val="2"/>
                <w:sz w:val="22"/>
                <w:szCs w:val="22"/>
                <w:highlight w:val="none"/>
                <w:lang w:val="en-US" w:eastAsia="zh-CN" w:bidi="ar-SA"/>
              </w:rPr>
              <w:t>1</w:t>
            </w:r>
            <w:r>
              <w:rPr>
                <w:rFonts w:hint="eastAsia" w:ascii="宋体" w:hAnsi="宋体" w:eastAsia="宋体" w:cs="宋体"/>
                <w:color w:val="auto"/>
                <w:kern w:val="2"/>
                <w:sz w:val="22"/>
                <w:szCs w:val="22"/>
                <w:highlight w:val="none"/>
                <w:lang w:val="en-US" w:eastAsia="zh-CN" w:bidi="ar-SA"/>
              </w:rPr>
              <w:t>分，最高得</w:t>
            </w:r>
            <w:r>
              <w:rPr>
                <w:rFonts w:hint="eastAsia" w:ascii="宋体" w:hAnsi="宋体" w:cs="宋体"/>
                <w:color w:val="auto"/>
                <w:kern w:val="2"/>
                <w:sz w:val="22"/>
                <w:szCs w:val="22"/>
                <w:highlight w:val="none"/>
                <w:lang w:val="en-US" w:eastAsia="zh-CN" w:bidi="ar-SA"/>
              </w:rPr>
              <w:t>5</w:t>
            </w:r>
            <w:r>
              <w:rPr>
                <w:rFonts w:hint="eastAsia" w:ascii="宋体" w:hAnsi="宋体" w:eastAsia="宋体" w:cs="宋体"/>
                <w:color w:val="auto"/>
                <w:kern w:val="2"/>
                <w:sz w:val="22"/>
                <w:szCs w:val="22"/>
                <w:highlight w:val="none"/>
                <w:lang w:val="en-US" w:eastAsia="zh-CN" w:bidi="ar-SA"/>
              </w:rPr>
              <w:t>分。</w:t>
            </w:r>
          </w:p>
          <w:p w14:paraId="522AEF74">
            <w:pPr>
              <w:keepNext w:val="0"/>
              <w:keepLines w:val="0"/>
              <w:pageBreakBefore w:val="0"/>
              <w:kinsoku/>
              <w:wordWrap/>
              <w:overflowPunct/>
              <w:topLinePunct w:val="0"/>
              <w:autoSpaceDE/>
              <w:autoSpaceDN/>
              <w:bidi w:val="0"/>
              <w:adjustRightInd w:val="0"/>
              <w:snapToGrid w:val="0"/>
              <w:spacing w:line="360" w:lineRule="exact"/>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备注：出具的检测报告必须由具备家具成品及其原辅材料检测能力且具有CMA资质的第三方检测机构提供。</w:t>
            </w:r>
          </w:p>
        </w:tc>
        <w:tc>
          <w:tcPr>
            <w:tcW w:w="344" w:type="pct"/>
            <w:noWrap w:val="0"/>
            <w:vAlign w:val="center"/>
          </w:tcPr>
          <w:p w14:paraId="16A0A94A">
            <w:pPr>
              <w:keepNext w:val="0"/>
              <w:keepLines w:val="0"/>
              <w:pageBreakBefore w:val="0"/>
              <w:kinsoku/>
              <w:wordWrap/>
              <w:overflowPunct/>
              <w:topLinePunct w:val="0"/>
              <w:autoSpaceDE/>
              <w:autoSpaceDN/>
              <w:bidi w:val="0"/>
              <w:spacing w:line="360" w:lineRule="exact"/>
              <w:jc w:val="center"/>
              <w:rPr>
                <w:rFonts w:hint="default" w:ascii="宋体" w:hAnsi="宋体" w:cs="宋体"/>
                <w:color w:val="auto"/>
                <w:sz w:val="22"/>
                <w:szCs w:val="22"/>
                <w:highlight w:val="none"/>
                <w:lang w:val="en-US" w:eastAsia="zh-CN"/>
              </w:rPr>
            </w:pPr>
            <w:r>
              <w:rPr>
                <w:rFonts w:hint="eastAsia" w:ascii="宋体" w:hAnsi="宋体" w:cs="宋体"/>
                <w:color w:val="auto"/>
                <w:sz w:val="22"/>
                <w:szCs w:val="22"/>
                <w:highlight w:val="none"/>
                <w:lang w:val="en-US" w:eastAsia="zh-CN"/>
              </w:rPr>
              <w:t>5</w:t>
            </w:r>
          </w:p>
        </w:tc>
        <w:tc>
          <w:tcPr>
            <w:tcW w:w="345" w:type="pct"/>
            <w:noWrap w:val="0"/>
            <w:vAlign w:val="center"/>
          </w:tcPr>
          <w:p w14:paraId="460A8F8B">
            <w:pPr>
              <w:keepNext w:val="0"/>
              <w:keepLines w:val="0"/>
              <w:pageBreakBefore w:val="0"/>
              <w:kinsoku/>
              <w:wordWrap/>
              <w:overflowPunct/>
              <w:topLinePunct w:val="0"/>
              <w:autoSpaceDE/>
              <w:autoSpaceDN/>
              <w:bidi w:val="0"/>
              <w:spacing w:line="360" w:lineRule="exact"/>
              <w:jc w:val="center"/>
              <w:rPr>
                <w:rFonts w:hint="eastAsia" w:ascii="宋体" w:hAnsi="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客 观 分</w:t>
            </w:r>
          </w:p>
        </w:tc>
      </w:tr>
      <w:tr w14:paraId="10F21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318" w:type="pct"/>
            <w:noWrap w:val="0"/>
            <w:vAlign w:val="center"/>
          </w:tcPr>
          <w:p w14:paraId="56B4CF8D">
            <w:pPr>
              <w:keepNext w:val="0"/>
              <w:keepLines w:val="0"/>
              <w:pageBreakBefore w:val="0"/>
              <w:kinsoku/>
              <w:wordWrap/>
              <w:overflowPunct/>
              <w:topLinePunct w:val="0"/>
              <w:autoSpaceDE/>
              <w:autoSpaceDN/>
              <w:bidi w:val="0"/>
              <w:spacing w:line="360" w:lineRule="exact"/>
              <w:jc w:val="center"/>
              <w:rPr>
                <w:rFonts w:hint="default" w:ascii="宋体" w:hAnsi="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6</w:t>
            </w:r>
          </w:p>
        </w:tc>
        <w:tc>
          <w:tcPr>
            <w:tcW w:w="748" w:type="pct"/>
            <w:noWrap w:val="0"/>
            <w:vAlign w:val="center"/>
          </w:tcPr>
          <w:p w14:paraId="379B4EC0">
            <w:pPr>
              <w:keepNext w:val="0"/>
              <w:keepLines w:val="0"/>
              <w:pageBreakBefore w:val="0"/>
              <w:kinsoku/>
              <w:wordWrap/>
              <w:overflowPunct/>
              <w:topLinePunct w:val="0"/>
              <w:autoSpaceDE/>
              <w:autoSpaceDN/>
              <w:bidi w:val="0"/>
              <w:spacing w:line="360" w:lineRule="exact"/>
              <w:jc w:val="center"/>
              <w:rPr>
                <w:rFonts w:hint="default" w:ascii="宋体" w:hAnsi="宋体" w:eastAsia="宋体" w:cs="宋体"/>
                <w:color w:val="auto"/>
                <w:sz w:val="22"/>
                <w:szCs w:val="22"/>
                <w:highlight w:val="none"/>
                <w:lang w:val="en-US"/>
              </w:rPr>
            </w:pPr>
            <w:r>
              <w:rPr>
                <w:rFonts w:hint="default" w:ascii="宋体" w:hAnsi="宋体" w:eastAsia="宋体" w:cs="宋体"/>
                <w:color w:val="auto"/>
                <w:sz w:val="22"/>
                <w:szCs w:val="22"/>
                <w:highlight w:val="none"/>
                <w:lang w:val="en-US"/>
              </w:rPr>
              <w:t>生产设备配置情况</w:t>
            </w:r>
          </w:p>
        </w:tc>
        <w:tc>
          <w:tcPr>
            <w:tcW w:w="3243" w:type="pct"/>
            <w:noWrap w:val="0"/>
            <w:vAlign w:val="center"/>
          </w:tcPr>
          <w:p w14:paraId="4A5994D9">
            <w:pPr>
              <w:keepNext w:val="0"/>
              <w:keepLines w:val="0"/>
              <w:pageBreakBefore w:val="0"/>
              <w:kinsoku/>
              <w:wordWrap/>
              <w:overflowPunct/>
              <w:topLinePunct w:val="0"/>
              <w:autoSpaceDE/>
              <w:autoSpaceDN/>
              <w:bidi w:val="0"/>
              <w:adjustRightInd w:val="0"/>
              <w:snapToGrid w:val="0"/>
              <w:spacing w:line="360" w:lineRule="exact"/>
              <w:jc w:val="left"/>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kern w:val="2"/>
                <w:sz w:val="22"/>
                <w:szCs w:val="22"/>
                <w:highlight w:val="none"/>
                <w:lang w:val="en-US" w:eastAsia="zh-CN" w:bidi="ar-SA"/>
              </w:rPr>
              <w:t>投标人</w:t>
            </w:r>
            <w:r>
              <w:rPr>
                <w:rFonts w:hint="eastAsia" w:ascii="宋体" w:hAnsi="宋体" w:eastAsia="宋体" w:cs="宋体"/>
                <w:color w:val="auto"/>
                <w:kern w:val="2"/>
                <w:sz w:val="22"/>
                <w:szCs w:val="22"/>
                <w:highlight w:val="none"/>
                <w:lang w:val="en-US" w:eastAsia="zh-CN" w:bidi="ar-SA"/>
              </w:rPr>
              <w:t>提供核心专业生产设备和检验设备的购置发票扫描件，满足核心生产设备的得</w:t>
            </w:r>
            <w:r>
              <w:rPr>
                <w:rFonts w:hint="eastAsia" w:ascii="宋体" w:hAnsi="宋体" w:cs="宋体"/>
                <w:color w:val="auto"/>
                <w:kern w:val="2"/>
                <w:sz w:val="22"/>
                <w:szCs w:val="22"/>
                <w:highlight w:val="none"/>
                <w:lang w:val="en-US" w:eastAsia="zh-CN" w:bidi="ar-SA"/>
              </w:rPr>
              <w:t>4</w:t>
            </w:r>
            <w:r>
              <w:rPr>
                <w:rFonts w:hint="eastAsia" w:ascii="宋体" w:hAnsi="宋体" w:eastAsia="宋体" w:cs="宋体"/>
                <w:color w:val="auto"/>
                <w:kern w:val="2"/>
                <w:sz w:val="22"/>
                <w:szCs w:val="22"/>
                <w:highlight w:val="none"/>
                <w:lang w:val="en-US" w:eastAsia="zh-CN" w:bidi="ar-SA"/>
              </w:rPr>
              <w:t>分，缺一项扣0.5分，扣完为止。</w:t>
            </w:r>
          </w:p>
          <w:p w14:paraId="71E91E23">
            <w:pPr>
              <w:keepNext w:val="0"/>
              <w:keepLines w:val="0"/>
              <w:pageBreakBefore w:val="0"/>
              <w:kinsoku/>
              <w:wordWrap/>
              <w:overflowPunct/>
              <w:topLinePunct w:val="0"/>
              <w:autoSpaceDE/>
              <w:autoSpaceDN/>
              <w:bidi w:val="0"/>
              <w:adjustRightInd w:val="0"/>
              <w:snapToGrid w:val="0"/>
              <w:spacing w:line="360" w:lineRule="exact"/>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核心生产设备按品类，具体要求如下：封边机、裁板锯、钻孔中心、加工中心、榫头机、平刨、压刨、截锯机。</w:t>
            </w:r>
          </w:p>
          <w:p w14:paraId="19D6303C">
            <w:pPr>
              <w:keepNext w:val="0"/>
              <w:keepLines w:val="0"/>
              <w:pageBreakBefore w:val="0"/>
              <w:kinsoku/>
              <w:wordWrap/>
              <w:overflowPunct/>
              <w:topLinePunct w:val="0"/>
              <w:autoSpaceDE/>
              <w:autoSpaceDN/>
              <w:bidi w:val="0"/>
              <w:adjustRightInd w:val="0"/>
              <w:snapToGrid w:val="0"/>
              <w:spacing w:line="360" w:lineRule="exact"/>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t>注：须按以上顺序提供相应设备的实景照片以及发票复印件加盖投标人单位公章，提供的设备名称叫法不一致，实则为同种设备或同种更先进的设备，需提供证明材料经评委会一致认可可以得分</w:t>
            </w:r>
            <w:r>
              <w:rPr>
                <w:rFonts w:hint="eastAsia" w:ascii="宋体" w:hAnsi="宋体" w:cs="宋体"/>
                <w:color w:val="auto"/>
                <w:kern w:val="2"/>
                <w:sz w:val="22"/>
                <w:szCs w:val="22"/>
                <w:highlight w:val="none"/>
                <w:lang w:val="en-US" w:eastAsia="zh-CN" w:bidi="ar-SA"/>
              </w:rPr>
              <w:t>。</w:t>
            </w:r>
          </w:p>
        </w:tc>
        <w:tc>
          <w:tcPr>
            <w:tcW w:w="344" w:type="pct"/>
            <w:noWrap w:val="0"/>
            <w:vAlign w:val="center"/>
          </w:tcPr>
          <w:p w14:paraId="66350AE3">
            <w:pPr>
              <w:keepNext w:val="0"/>
              <w:keepLines w:val="0"/>
              <w:pageBreakBefore w:val="0"/>
              <w:kinsoku/>
              <w:wordWrap/>
              <w:overflowPunct/>
              <w:topLinePunct w:val="0"/>
              <w:autoSpaceDE/>
              <w:autoSpaceDN/>
              <w:bidi w:val="0"/>
              <w:spacing w:line="360" w:lineRule="exact"/>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4</w:t>
            </w:r>
          </w:p>
        </w:tc>
        <w:tc>
          <w:tcPr>
            <w:tcW w:w="345" w:type="pct"/>
            <w:noWrap w:val="0"/>
            <w:vAlign w:val="center"/>
          </w:tcPr>
          <w:p w14:paraId="6E79488E">
            <w:pPr>
              <w:keepNext w:val="0"/>
              <w:keepLines w:val="0"/>
              <w:pageBreakBefore w:val="0"/>
              <w:kinsoku/>
              <w:wordWrap/>
              <w:overflowPunct/>
              <w:topLinePunct w:val="0"/>
              <w:autoSpaceDE/>
              <w:autoSpaceDN/>
              <w:bidi w:val="0"/>
              <w:spacing w:line="360" w:lineRule="exact"/>
              <w:jc w:val="center"/>
              <w:rPr>
                <w:rFonts w:hint="eastAsia" w:ascii="宋体" w:hAnsi="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客</w:t>
            </w:r>
          </w:p>
          <w:p w14:paraId="52F64DB4">
            <w:pPr>
              <w:keepNext w:val="0"/>
              <w:keepLines w:val="0"/>
              <w:pageBreakBefore w:val="0"/>
              <w:kinsoku/>
              <w:wordWrap/>
              <w:overflowPunct/>
              <w:topLinePunct w:val="0"/>
              <w:autoSpaceDE/>
              <w:autoSpaceDN/>
              <w:bidi w:val="0"/>
              <w:spacing w:line="360" w:lineRule="exact"/>
              <w:jc w:val="center"/>
              <w:rPr>
                <w:rFonts w:hint="eastAsia" w:ascii="宋体" w:hAnsi="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观</w:t>
            </w:r>
          </w:p>
          <w:p w14:paraId="207E6246">
            <w:pPr>
              <w:keepNext w:val="0"/>
              <w:keepLines w:val="0"/>
              <w:pageBreakBefore w:val="0"/>
              <w:kinsoku/>
              <w:wordWrap/>
              <w:overflowPunct/>
              <w:topLinePunct w:val="0"/>
              <w:autoSpaceDE/>
              <w:autoSpaceDN/>
              <w:bidi w:val="0"/>
              <w:spacing w:line="360" w:lineRule="exact"/>
              <w:jc w:val="center"/>
              <w:rPr>
                <w:rFonts w:hint="default" w:ascii="宋体" w:hAnsi="宋体" w:eastAsia="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分</w:t>
            </w:r>
          </w:p>
        </w:tc>
      </w:tr>
      <w:tr w14:paraId="610C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318" w:type="pct"/>
            <w:noWrap w:val="0"/>
            <w:vAlign w:val="center"/>
          </w:tcPr>
          <w:p w14:paraId="77103CF2">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7</w:t>
            </w:r>
          </w:p>
        </w:tc>
        <w:tc>
          <w:tcPr>
            <w:tcW w:w="748" w:type="pct"/>
            <w:noWrap w:val="0"/>
            <w:vAlign w:val="center"/>
          </w:tcPr>
          <w:p w14:paraId="3A0F9B09">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bCs/>
                <w:color w:val="auto"/>
                <w:sz w:val="22"/>
                <w:szCs w:val="22"/>
                <w:highlight w:val="none"/>
              </w:rPr>
              <w:t>所提供的样品的质量水平</w:t>
            </w:r>
          </w:p>
        </w:tc>
        <w:tc>
          <w:tcPr>
            <w:tcW w:w="3243" w:type="pct"/>
            <w:noWrap w:val="0"/>
            <w:vAlign w:val="center"/>
          </w:tcPr>
          <w:p w14:paraId="5E7CFBA6">
            <w:pPr>
              <w:keepNext w:val="0"/>
              <w:keepLines w:val="0"/>
              <w:pageBreakBefore w:val="0"/>
              <w:kinsoku/>
              <w:wordWrap/>
              <w:overflowPunct/>
              <w:topLinePunct w:val="0"/>
              <w:autoSpaceDE/>
              <w:autoSpaceDN/>
              <w:bidi w:val="0"/>
              <w:spacing w:line="360" w:lineRule="exact"/>
              <w:jc w:val="left"/>
              <w:rPr>
                <w:rFonts w:hint="default" w:ascii="宋体" w:hAnsi="宋体" w:eastAsia="宋体"/>
                <w:color w:val="auto"/>
                <w:szCs w:val="22"/>
                <w:highlight w:val="none"/>
                <w:lang w:val="en-US" w:eastAsia="zh-CN"/>
              </w:rPr>
            </w:pPr>
            <w:r>
              <w:rPr>
                <w:rFonts w:hint="default" w:ascii="宋体" w:hAnsi="宋体" w:eastAsia="宋体"/>
                <w:color w:val="auto"/>
                <w:szCs w:val="22"/>
                <w:highlight w:val="none"/>
                <w:lang w:val="en-US" w:eastAsia="zh-CN"/>
              </w:rPr>
              <w:t>评标委员会根据样品造型尺寸与采购需求的符合程度，样品的材质、功能、外观整体效果、制作工艺、安装工艺等进行综合打分，</w:t>
            </w:r>
            <w:r>
              <w:rPr>
                <w:rFonts w:hint="eastAsia" w:ascii="宋体" w:hAnsi="宋体"/>
                <w:color w:val="auto"/>
                <w:szCs w:val="22"/>
                <w:highlight w:val="none"/>
                <w:lang w:val="en-US" w:eastAsia="zh-CN"/>
              </w:rPr>
              <w:t>满分</w:t>
            </w:r>
            <w:r>
              <w:rPr>
                <w:rFonts w:hint="default" w:ascii="宋体" w:hAnsi="宋体" w:eastAsia="宋体"/>
                <w:color w:val="auto"/>
                <w:szCs w:val="22"/>
                <w:highlight w:val="none"/>
                <w:lang w:val="en-US" w:eastAsia="zh-CN"/>
              </w:rPr>
              <w:t>1</w:t>
            </w:r>
            <w:r>
              <w:rPr>
                <w:rFonts w:hint="eastAsia" w:ascii="宋体" w:hAnsi="宋体"/>
                <w:color w:val="auto"/>
                <w:szCs w:val="22"/>
                <w:highlight w:val="none"/>
                <w:lang w:val="en-US" w:eastAsia="zh-CN"/>
              </w:rPr>
              <w:t>5</w:t>
            </w:r>
            <w:r>
              <w:rPr>
                <w:rFonts w:hint="default" w:ascii="宋体" w:hAnsi="宋体" w:eastAsia="宋体"/>
                <w:color w:val="auto"/>
                <w:szCs w:val="22"/>
                <w:highlight w:val="none"/>
                <w:lang w:val="en-US" w:eastAsia="zh-CN"/>
              </w:rPr>
              <w:t>分。样品严重偏离采购要求的，样品分为零分。</w:t>
            </w:r>
          </w:p>
          <w:p w14:paraId="3F735753">
            <w:pPr>
              <w:keepNext w:val="0"/>
              <w:keepLines w:val="0"/>
              <w:pageBreakBefore w:val="0"/>
              <w:kinsoku/>
              <w:wordWrap/>
              <w:overflowPunct/>
              <w:topLinePunct w:val="0"/>
              <w:autoSpaceDE/>
              <w:autoSpaceDN/>
              <w:bidi w:val="0"/>
              <w:spacing w:line="360" w:lineRule="exact"/>
              <w:jc w:val="left"/>
              <w:rPr>
                <w:rFonts w:hint="default" w:ascii="宋体" w:hAnsi="宋体" w:eastAsia="宋体"/>
                <w:color w:val="auto"/>
                <w:szCs w:val="22"/>
                <w:highlight w:val="none"/>
                <w:lang w:val="en-US" w:eastAsia="zh-CN"/>
              </w:rPr>
            </w:pPr>
            <w:r>
              <w:rPr>
                <w:rFonts w:hint="eastAsia" w:ascii="宋体" w:hAnsi="宋体"/>
                <w:color w:val="auto"/>
                <w:szCs w:val="22"/>
                <w:highlight w:val="none"/>
                <w:lang w:val="en-US" w:eastAsia="zh-CN"/>
              </w:rPr>
              <w:t>1</w:t>
            </w:r>
            <w:r>
              <w:rPr>
                <w:rFonts w:hint="default" w:ascii="宋体" w:hAnsi="宋体" w:eastAsia="宋体"/>
                <w:color w:val="auto"/>
                <w:szCs w:val="22"/>
                <w:highlight w:val="none"/>
                <w:lang w:val="en-US" w:eastAsia="zh-CN"/>
              </w:rPr>
              <w:t>、根据样品主要材料及五金配件的质量、规格、等级等进行评分</w:t>
            </w:r>
            <w:r>
              <w:rPr>
                <w:rFonts w:hint="eastAsia" w:ascii="宋体" w:hAnsi="宋体" w:eastAsia="宋体"/>
                <w:color w:val="auto"/>
                <w:szCs w:val="22"/>
                <w:highlight w:val="none"/>
                <w:lang w:val="en-US" w:eastAsia="zh-CN"/>
              </w:rPr>
              <w:t>，</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评分范围：4,3,2,1,0</w:t>
            </w:r>
            <w:r>
              <w:rPr>
                <w:rFonts w:hint="eastAsia" w:ascii="宋体" w:hAnsi="宋体" w:cs="宋体"/>
                <w:color w:val="auto"/>
                <w:sz w:val="22"/>
                <w:szCs w:val="22"/>
                <w:highlight w:val="none"/>
                <w:lang w:eastAsia="zh-CN"/>
              </w:rPr>
              <w:t>）；</w:t>
            </w:r>
          </w:p>
          <w:p w14:paraId="20C5540A">
            <w:pPr>
              <w:keepNext w:val="0"/>
              <w:keepLines w:val="0"/>
              <w:pageBreakBefore w:val="0"/>
              <w:kinsoku/>
              <w:wordWrap/>
              <w:overflowPunct/>
              <w:topLinePunct w:val="0"/>
              <w:autoSpaceDE/>
              <w:autoSpaceDN/>
              <w:bidi w:val="0"/>
              <w:spacing w:line="360" w:lineRule="exact"/>
              <w:jc w:val="left"/>
              <w:rPr>
                <w:rFonts w:hint="default" w:ascii="宋体" w:hAnsi="宋体" w:eastAsia="宋体"/>
                <w:color w:val="auto"/>
                <w:szCs w:val="22"/>
                <w:highlight w:val="none"/>
                <w:lang w:val="en-US" w:eastAsia="zh-CN"/>
              </w:rPr>
            </w:pPr>
            <w:r>
              <w:rPr>
                <w:rFonts w:hint="eastAsia" w:ascii="宋体" w:hAnsi="宋体"/>
                <w:color w:val="auto"/>
                <w:szCs w:val="22"/>
                <w:highlight w:val="none"/>
                <w:lang w:val="en-US" w:eastAsia="zh-CN"/>
              </w:rPr>
              <w:t>2</w:t>
            </w:r>
            <w:r>
              <w:rPr>
                <w:rFonts w:hint="default" w:ascii="宋体" w:hAnsi="宋体" w:eastAsia="宋体"/>
                <w:color w:val="auto"/>
                <w:szCs w:val="22"/>
                <w:highlight w:val="none"/>
                <w:lang w:val="en-US" w:eastAsia="zh-CN"/>
              </w:rPr>
              <w:t>、根据样品的规格尺寸与采购需求的契合程度</w:t>
            </w:r>
            <w:r>
              <w:rPr>
                <w:rFonts w:hint="eastAsia" w:ascii="宋体" w:hAnsi="宋体"/>
                <w:color w:val="auto"/>
                <w:szCs w:val="22"/>
                <w:highlight w:val="none"/>
                <w:lang w:val="en-US" w:eastAsia="zh-CN"/>
              </w:rPr>
              <w:t>、</w:t>
            </w:r>
            <w:r>
              <w:rPr>
                <w:rFonts w:hint="default" w:ascii="宋体" w:hAnsi="宋体" w:eastAsia="宋体"/>
                <w:color w:val="auto"/>
                <w:szCs w:val="22"/>
                <w:highlight w:val="none"/>
                <w:lang w:val="en-US" w:eastAsia="zh-CN"/>
              </w:rPr>
              <w:t>结构合理性、使用功能性及牢固度等进行评分</w:t>
            </w:r>
            <w:r>
              <w:rPr>
                <w:rFonts w:hint="eastAsia" w:ascii="宋体" w:hAnsi="宋体" w:eastAsia="宋体"/>
                <w:color w:val="auto"/>
                <w:szCs w:val="22"/>
                <w:highlight w:val="none"/>
                <w:lang w:val="en-US" w:eastAsia="zh-CN"/>
              </w:rPr>
              <w:t>，</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评分范围：3,2,1,0</w:t>
            </w:r>
            <w:r>
              <w:rPr>
                <w:rFonts w:hint="eastAsia" w:ascii="宋体" w:hAnsi="宋体" w:cs="宋体"/>
                <w:color w:val="auto"/>
                <w:sz w:val="22"/>
                <w:szCs w:val="22"/>
                <w:highlight w:val="none"/>
                <w:lang w:eastAsia="zh-CN"/>
              </w:rPr>
              <w:t>）；</w:t>
            </w:r>
          </w:p>
          <w:p w14:paraId="026937ED">
            <w:pPr>
              <w:keepNext w:val="0"/>
              <w:keepLines w:val="0"/>
              <w:pageBreakBefore w:val="0"/>
              <w:kinsoku/>
              <w:wordWrap/>
              <w:overflowPunct/>
              <w:topLinePunct w:val="0"/>
              <w:autoSpaceDE/>
              <w:autoSpaceDN/>
              <w:bidi w:val="0"/>
              <w:spacing w:line="360" w:lineRule="exact"/>
              <w:jc w:val="left"/>
              <w:rPr>
                <w:rFonts w:hint="default" w:ascii="宋体" w:hAnsi="宋体" w:eastAsia="宋体"/>
                <w:color w:val="auto"/>
                <w:szCs w:val="22"/>
                <w:highlight w:val="none"/>
                <w:lang w:val="en-US" w:eastAsia="zh-CN"/>
              </w:rPr>
            </w:pPr>
            <w:r>
              <w:rPr>
                <w:rFonts w:hint="eastAsia" w:ascii="宋体" w:hAnsi="宋体"/>
                <w:color w:val="auto"/>
                <w:szCs w:val="22"/>
                <w:highlight w:val="none"/>
                <w:lang w:val="en-US" w:eastAsia="zh-CN"/>
              </w:rPr>
              <w:t>3</w:t>
            </w:r>
            <w:r>
              <w:rPr>
                <w:rFonts w:hint="default" w:ascii="宋体" w:hAnsi="宋体" w:eastAsia="宋体"/>
                <w:color w:val="auto"/>
                <w:szCs w:val="22"/>
                <w:highlight w:val="none"/>
                <w:lang w:val="en-US" w:eastAsia="zh-CN"/>
              </w:rPr>
              <w:t>、根据样品的制作工艺、组合结构、油漆制作（喷涂）工艺、样品安装精密度、节点细部处理等进行评分</w:t>
            </w:r>
            <w:r>
              <w:rPr>
                <w:rFonts w:hint="eastAsia" w:ascii="宋体" w:hAnsi="宋体" w:eastAsia="宋体"/>
                <w:color w:val="auto"/>
                <w:szCs w:val="22"/>
                <w:highlight w:val="none"/>
                <w:lang w:val="en-US" w:eastAsia="zh-CN"/>
              </w:rPr>
              <w:t>，</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评分范围：4,3,2,1,0</w:t>
            </w:r>
            <w:r>
              <w:rPr>
                <w:rFonts w:hint="eastAsia" w:ascii="宋体" w:hAnsi="宋体" w:cs="宋体"/>
                <w:color w:val="auto"/>
                <w:sz w:val="22"/>
                <w:szCs w:val="22"/>
                <w:highlight w:val="none"/>
                <w:lang w:eastAsia="zh-CN"/>
              </w:rPr>
              <w:t>）；</w:t>
            </w:r>
          </w:p>
          <w:p w14:paraId="41D89D60">
            <w:pPr>
              <w:keepNext w:val="0"/>
              <w:keepLines w:val="0"/>
              <w:pageBreakBefore w:val="0"/>
              <w:kinsoku/>
              <w:wordWrap/>
              <w:overflowPunct/>
              <w:topLinePunct w:val="0"/>
              <w:autoSpaceDE/>
              <w:autoSpaceDN/>
              <w:bidi w:val="0"/>
              <w:spacing w:line="360" w:lineRule="exact"/>
              <w:jc w:val="left"/>
              <w:rPr>
                <w:rFonts w:hint="default" w:ascii="宋体" w:hAnsi="宋体" w:eastAsia="宋体"/>
                <w:color w:val="auto"/>
                <w:szCs w:val="22"/>
                <w:highlight w:val="none"/>
                <w:lang w:val="en-US" w:eastAsia="zh-CN"/>
              </w:rPr>
            </w:pPr>
            <w:r>
              <w:rPr>
                <w:rFonts w:hint="eastAsia" w:ascii="宋体" w:hAnsi="宋体"/>
                <w:color w:val="auto"/>
                <w:szCs w:val="22"/>
                <w:highlight w:val="none"/>
                <w:lang w:val="en-US" w:eastAsia="zh-CN"/>
              </w:rPr>
              <w:t>4</w:t>
            </w:r>
            <w:r>
              <w:rPr>
                <w:rFonts w:hint="default" w:ascii="宋体" w:hAnsi="宋体" w:eastAsia="宋体"/>
                <w:color w:val="auto"/>
                <w:szCs w:val="22"/>
                <w:highlight w:val="none"/>
                <w:lang w:val="en-US" w:eastAsia="zh-CN"/>
              </w:rPr>
              <w:t>、根据样品的外观式样、美观度、色调搭配合理性及统一性进行评分</w:t>
            </w:r>
            <w:r>
              <w:rPr>
                <w:rFonts w:hint="eastAsia" w:ascii="宋体" w:hAnsi="宋体" w:eastAsia="宋体"/>
                <w:color w:val="auto"/>
                <w:szCs w:val="22"/>
                <w:highlight w:val="none"/>
                <w:lang w:val="en-US" w:eastAsia="zh-CN"/>
              </w:rPr>
              <w:t>，</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评分范围：4,3,2,1,0</w:t>
            </w:r>
            <w:r>
              <w:rPr>
                <w:rFonts w:hint="eastAsia" w:ascii="宋体" w:hAnsi="宋体" w:cs="宋体"/>
                <w:color w:val="auto"/>
                <w:sz w:val="22"/>
                <w:szCs w:val="22"/>
                <w:highlight w:val="none"/>
                <w:lang w:eastAsia="zh-CN"/>
              </w:rPr>
              <w:t>）。</w:t>
            </w:r>
          </w:p>
        </w:tc>
        <w:tc>
          <w:tcPr>
            <w:tcW w:w="344" w:type="pct"/>
            <w:noWrap w:val="0"/>
            <w:vAlign w:val="center"/>
          </w:tcPr>
          <w:p w14:paraId="1CF4C96F">
            <w:pPr>
              <w:keepNext w:val="0"/>
              <w:keepLines w:val="0"/>
              <w:pageBreakBefore w:val="0"/>
              <w:kinsoku/>
              <w:wordWrap/>
              <w:overflowPunct/>
              <w:topLinePunct w:val="0"/>
              <w:autoSpaceDE/>
              <w:autoSpaceDN/>
              <w:bidi w:val="0"/>
              <w:spacing w:line="360" w:lineRule="exact"/>
              <w:jc w:val="center"/>
              <w:rPr>
                <w:rFonts w:hint="default" w:ascii="宋体" w:hAnsi="宋体" w:eastAsia="宋体" w:cs="宋体"/>
                <w:color w:val="auto"/>
                <w:kern w:val="2"/>
                <w:sz w:val="22"/>
                <w:szCs w:val="22"/>
                <w:highlight w:val="none"/>
                <w:lang w:val="en-US" w:eastAsia="zh-CN" w:bidi="ar-SA"/>
              </w:rPr>
            </w:pPr>
            <w:r>
              <w:rPr>
                <w:rFonts w:hint="eastAsia" w:ascii="宋体" w:hAnsi="宋体" w:cs="宋体"/>
                <w:bCs/>
                <w:color w:val="auto"/>
                <w:sz w:val="22"/>
                <w:szCs w:val="22"/>
                <w:highlight w:val="none"/>
                <w:lang w:val="en-US" w:eastAsia="zh-CN"/>
              </w:rPr>
              <w:t>15</w:t>
            </w:r>
          </w:p>
        </w:tc>
        <w:tc>
          <w:tcPr>
            <w:tcW w:w="345" w:type="pct"/>
            <w:noWrap w:val="0"/>
            <w:vAlign w:val="center"/>
          </w:tcPr>
          <w:p w14:paraId="2A555935">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主 观 分</w:t>
            </w:r>
          </w:p>
        </w:tc>
      </w:tr>
      <w:tr w14:paraId="220C9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 w:type="pct"/>
            <w:vMerge w:val="restart"/>
            <w:noWrap w:val="0"/>
            <w:vAlign w:val="center"/>
          </w:tcPr>
          <w:p w14:paraId="74484E81">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color w:val="auto"/>
                <w:kern w:val="0"/>
                <w:sz w:val="22"/>
                <w:szCs w:val="22"/>
                <w:highlight w:val="none"/>
                <w:lang w:eastAsia="zh-CN"/>
              </w:rPr>
            </w:pPr>
            <w:r>
              <w:rPr>
                <w:rFonts w:hint="eastAsia" w:ascii="宋体" w:hAnsi="宋体" w:cs="宋体"/>
                <w:color w:val="auto"/>
                <w:kern w:val="0"/>
                <w:sz w:val="22"/>
                <w:szCs w:val="22"/>
                <w:highlight w:val="none"/>
                <w:lang w:val="en-US" w:eastAsia="zh-CN"/>
              </w:rPr>
              <w:t>8</w:t>
            </w:r>
          </w:p>
        </w:tc>
        <w:tc>
          <w:tcPr>
            <w:tcW w:w="748" w:type="pct"/>
            <w:vMerge w:val="restart"/>
            <w:noWrap w:val="0"/>
            <w:vAlign w:val="center"/>
          </w:tcPr>
          <w:p w14:paraId="71C128F8">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项目实施方案</w:t>
            </w:r>
          </w:p>
        </w:tc>
        <w:tc>
          <w:tcPr>
            <w:tcW w:w="3243" w:type="pct"/>
            <w:noWrap w:val="0"/>
            <w:vAlign w:val="center"/>
          </w:tcPr>
          <w:p w14:paraId="5383ADCF">
            <w:pPr>
              <w:keepNext w:val="0"/>
              <w:keepLines w:val="0"/>
              <w:pageBreakBefore w:val="0"/>
              <w:widowControl/>
              <w:kinsoku/>
              <w:wordWrap/>
              <w:overflowPunct/>
              <w:topLinePunct w:val="0"/>
              <w:autoSpaceDE/>
              <w:autoSpaceDN/>
              <w:bidi w:val="0"/>
              <w:spacing w:line="360" w:lineRule="exact"/>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sz w:val="22"/>
                <w:szCs w:val="22"/>
                <w:highlight w:val="none"/>
                <w:lang w:val="en-US" w:eastAsia="zh-CN"/>
              </w:rPr>
              <w:t>项目实施规划方案，提出合理的项目整体实施方案，能按照项目分解节点，并可跟踪实施</w:t>
            </w:r>
            <w:r>
              <w:rPr>
                <w:rFonts w:hint="eastAsia" w:ascii="宋体" w:hAnsi="宋体" w:eastAsia="宋体" w:cs="宋体"/>
                <w:color w:val="auto"/>
                <w:sz w:val="22"/>
                <w:szCs w:val="22"/>
                <w:highlight w:val="none"/>
              </w:rPr>
              <w:t>的可行性、完整性、合理性、科学性，由评审小组判定评分</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评分范围：4,3,2,1,0</w:t>
            </w:r>
            <w:r>
              <w:rPr>
                <w:rFonts w:hint="eastAsia" w:ascii="宋体" w:hAnsi="宋体" w:cs="宋体"/>
                <w:color w:val="auto"/>
                <w:sz w:val="22"/>
                <w:szCs w:val="22"/>
                <w:highlight w:val="none"/>
                <w:lang w:eastAsia="zh-CN"/>
              </w:rPr>
              <w:t>）</w:t>
            </w:r>
          </w:p>
        </w:tc>
        <w:tc>
          <w:tcPr>
            <w:tcW w:w="344" w:type="pct"/>
            <w:noWrap w:val="0"/>
            <w:vAlign w:val="center"/>
          </w:tcPr>
          <w:p w14:paraId="0F4A5192">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color w:val="auto"/>
                <w:sz w:val="22"/>
                <w:szCs w:val="22"/>
                <w:highlight w:val="none"/>
                <w:lang w:eastAsia="zh-CN"/>
              </w:rPr>
            </w:pPr>
            <w:r>
              <w:rPr>
                <w:rFonts w:hint="eastAsia" w:ascii="宋体" w:hAnsi="宋体" w:cs="宋体"/>
                <w:bCs/>
                <w:color w:val="auto"/>
                <w:sz w:val="22"/>
                <w:szCs w:val="22"/>
                <w:highlight w:val="none"/>
                <w:lang w:val="en-US" w:eastAsia="zh-CN"/>
              </w:rPr>
              <w:t>4</w:t>
            </w:r>
          </w:p>
        </w:tc>
        <w:tc>
          <w:tcPr>
            <w:tcW w:w="345" w:type="pct"/>
            <w:noWrap w:val="0"/>
            <w:vAlign w:val="center"/>
          </w:tcPr>
          <w:p w14:paraId="3A398B6E">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Cs/>
                <w:color w:val="auto"/>
                <w:sz w:val="22"/>
                <w:szCs w:val="22"/>
                <w:highlight w:val="none"/>
              </w:rPr>
            </w:pPr>
            <w:r>
              <w:rPr>
                <w:rFonts w:hint="eastAsia" w:ascii="宋体" w:hAnsi="宋体" w:cs="宋体"/>
                <w:bCs/>
                <w:color w:val="auto"/>
                <w:sz w:val="22"/>
                <w:szCs w:val="22"/>
                <w:highlight w:val="none"/>
                <w:lang w:val="en-US" w:eastAsia="zh-CN"/>
              </w:rPr>
              <w:t>主 观 分</w:t>
            </w:r>
          </w:p>
        </w:tc>
      </w:tr>
      <w:tr w14:paraId="6ADC1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 w:type="pct"/>
            <w:vMerge w:val="continue"/>
            <w:noWrap w:val="0"/>
            <w:vAlign w:val="center"/>
          </w:tcPr>
          <w:p w14:paraId="4A9E2FE1">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color w:val="auto"/>
                <w:kern w:val="0"/>
                <w:sz w:val="22"/>
                <w:szCs w:val="22"/>
                <w:highlight w:val="none"/>
              </w:rPr>
            </w:pPr>
          </w:p>
        </w:tc>
        <w:tc>
          <w:tcPr>
            <w:tcW w:w="748" w:type="pct"/>
            <w:vMerge w:val="continue"/>
            <w:noWrap w:val="0"/>
            <w:vAlign w:val="center"/>
          </w:tcPr>
          <w:p w14:paraId="1723C982">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color w:val="auto"/>
                <w:kern w:val="0"/>
                <w:sz w:val="22"/>
                <w:szCs w:val="22"/>
                <w:highlight w:val="none"/>
              </w:rPr>
            </w:pPr>
          </w:p>
        </w:tc>
        <w:tc>
          <w:tcPr>
            <w:tcW w:w="3243" w:type="pct"/>
            <w:noWrap w:val="0"/>
            <w:vAlign w:val="center"/>
          </w:tcPr>
          <w:p w14:paraId="63F97C30">
            <w:pPr>
              <w:keepNext w:val="0"/>
              <w:keepLines w:val="0"/>
              <w:pageBreakBefore w:val="0"/>
              <w:widowControl/>
              <w:kinsoku/>
              <w:wordWrap/>
              <w:overflowPunct/>
              <w:topLinePunct w:val="0"/>
              <w:autoSpaceDE/>
              <w:autoSpaceDN/>
              <w:bidi w:val="0"/>
              <w:adjustRightInd w:val="0"/>
              <w:snapToGrid w:val="0"/>
              <w:spacing w:line="360" w:lineRule="exact"/>
              <w:textAlignment w:val="baseline"/>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生产实施方案，要具备生产能力，在规定的时间内有计划的完成项目需求产品的生产装配</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评分范围：4,3,2,1,0</w:t>
            </w:r>
            <w:r>
              <w:rPr>
                <w:rFonts w:hint="eastAsia" w:ascii="宋体" w:hAnsi="宋体" w:cs="宋体"/>
                <w:color w:val="auto"/>
                <w:sz w:val="22"/>
                <w:szCs w:val="22"/>
                <w:highlight w:val="none"/>
                <w:lang w:eastAsia="zh-CN"/>
              </w:rPr>
              <w:t>）</w:t>
            </w:r>
          </w:p>
        </w:tc>
        <w:tc>
          <w:tcPr>
            <w:tcW w:w="344" w:type="pct"/>
            <w:noWrap w:val="0"/>
            <w:vAlign w:val="center"/>
          </w:tcPr>
          <w:p w14:paraId="0AB8B023">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Cs/>
                <w:color w:val="auto"/>
                <w:sz w:val="22"/>
                <w:szCs w:val="22"/>
                <w:highlight w:val="none"/>
                <w:lang w:eastAsia="zh-CN"/>
              </w:rPr>
            </w:pPr>
            <w:r>
              <w:rPr>
                <w:rFonts w:hint="eastAsia" w:ascii="宋体" w:hAnsi="宋体" w:cs="宋体"/>
                <w:bCs/>
                <w:color w:val="auto"/>
                <w:sz w:val="22"/>
                <w:szCs w:val="22"/>
                <w:highlight w:val="none"/>
                <w:lang w:val="en-US" w:eastAsia="zh-CN"/>
              </w:rPr>
              <w:t>4</w:t>
            </w:r>
          </w:p>
        </w:tc>
        <w:tc>
          <w:tcPr>
            <w:tcW w:w="345" w:type="pct"/>
            <w:noWrap w:val="0"/>
            <w:vAlign w:val="center"/>
          </w:tcPr>
          <w:p w14:paraId="3F805A4B">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Cs/>
                <w:color w:val="auto"/>
                <w:sz w:val="22"/>
                <w:szCs w:val="22"/>
                <w:highlight w:val="none"/>
              </w:rPr>
            </w:pPr>
            <w:r>
              <w:rPr>
                <w:rFonts w:hint="eastAsia" w:ascii="宋体" w:hAnsi="宋体" w:cs="宋体"/>
                <w:bCs/>
                <w:color w:val="auto"/>
                <w:sz w:val="22"/>
                <w:szCs w:val="22"/>
                <w:highlight w:val="none"/>
                <w:lang w:val="en-US" w:eastAsia="zh-CN"/>
              </w:rPr>
              <w:t>主 观 分</w:t>
            </w:r>
          </w:p>
        </w:tc>
      </w:tr>
      <w:tr w14:paraId="2D1C1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8" w:type="pct"/>
            <w:vMerge w:val="continue"/>
            <w:noWrap w:val="0"/>
            <w:vAlign w:val="center"/>
          </w:tcPr>
          <w:p w14:paraId="26F69F9C">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color w:val="auto"/>
                <w:kern w:val="0"/>
                <w:sz w:val="22"/>
                <w:szCs w:val="22"/>
                <w:highlight w:val="none"/>
              </w:rPr>
            </w:pPr>
          </w:p>
        </w:tc>
        <w:tc>
          <w:tcPr>
            <w:tcW w:w="748" w:type="pct"/>
            <w:vMerge w:val="continue"/>
            <w:noWrap w:val="0"/>
            <w:vAlign w:val="center"/>
          </w:tcPr>
          <w:p w14:paraId="32406EE8">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color w:val="auto"/>
                <w:kern w:val="0"/>
                <w:sz w:val="22"/>
                <w:szCs w:val="22"/>
                <w:highlight w:val="none"/>
              </w:rPr>
            </w:pPr>
          </w:p>
        </w:tc>
        <w:tc>
          <w:tcPr>
            <w:tcW w:w="3243" w:type="pct"/>
            <w:noWrap w:val="0"/>
            <w:vAlign w:val="center"/>
          </w:tcPr>
          <w:p w14:paraId="6CC835A7">
            <w:pPr>
              <w:keepNext w:val="0"/>
              <w:keepLines w:val="0"/>
              <w:pageBreakBefore w:val="0"/>
              <w:widowControl/>
              <w:kinsoku/>
              <w:wordWrap/>
              <w:overflowPunct/>
              <w:topLinePunct w:val="0"/>
              <w:autoSpaceDE/>
              <w:autoSpaceDN/>
              <w:bidi w:val="0"/>
              <w:spacing w:line="360" w:lineRule="exact"/>
              <w:jc w:val="left"/>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lang w:val="en-US" w:eastAsia="zh-CN"/>
              </w:rPr>
              <w:t>安装服务实施方案，安装方案的制定，根据货物交付时间节点，落实送货安装时间和人员安排，确保按期交付使用</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评分范围：4,3,2,1,0</w:t>
            </w:r>
            <w:r>
              <w:rPr>
                <w:rFonts w:hint="eastAsia" w:ascii="宋体" w:hAnsi="宋体" w:cs="宋体"/>
                <w:color w:val="auto"/>
                <w:sz w:val="22"/>
                <w:szCs w:val="22"/>
                <w:highlight w:val="none"/>
                <w:lang w:eastAsia="zh-CN"/>
              </w:rPr>
              <w:t>）</w:t>
            </w:r>
          </w:p>
        </w:tc>
        <w:tc>
          <w:tcPr>
            <w:tcW w:w="344" w:type="pct"/>
            <w:noWrap w:val="0"/>
            <w:vAlign w:val="center"/>
          </w:tcPr>
          <w:p w14:paraId="6B0A1A48">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Cs/>
                <w:color w:val="auto"/>
                <w:sz w:val="22"/>
                <w:szCs w:val="22"/>
                <w:highlight w:val="none"/>
                <w:lang w:eastAsia="zh-CN"/>
              </w:rPr>
            </w:pPr>
            <w:r>
              <w:rPr>
                <w:rFonts w:hint="eastAsia" w:ascii="宋体" w:hAnsi="宋体" w:cs="宋体"/>
                <w:bCs/>
                <w:color w:val="auto"/>
                <w:sz w:val="22"/>
                <w:szCs w:val="22"/>
                <w:highlight w:val="none"/>
                <w:lang w:val="en-US" w:eastAsia="zh-CN"/>
              </w:rPr>
              <w:t>4</w:t>
            </w:r>
          </w:p>
        </w:tc>
        <w:tc>
          <w:tcPr>
            <w:tcW w:w="345" w:type="pct"/>
            <w:noWrap w:val="0"/>
            <w:vAlign w:val="center"/>
          </w:tcPr>
          <w:p w14:paraId="1B1DFEC9">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Cs/>
                <w:color w:val="auto"/>
                <w:sz w:val="22"/>
                <w:szCs w:val="22"/>
                <w:highlight w:val="none"/>
              </w:rPr>
            </w:pPr>
            <w:r>
              <w:rPr>
                <w:rFonts w:hint="eastAsia" w:ascii="宋体" w:hAnsi="宋体" w:cs="宋体"/>
                <w:bCs/>
                <w:color w:val="auto"/>
                <w:sz w:val="22"/>
                <w:szCs w:val="22"/>
                <w:highlight w:val="none"/>
                <w:lang w:val="en-US" w:eastAsia="zh-CN"/>
              </w:rPr>
              <w:t>主 观 分</w:t>
            </w:r>
          </w:p>
        </w:tc>
      </w:tr>
      <w:tr w14:paraId="1CE24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18" w:type="pct"/>
            <w:vMerge w:val="restart"/>
            <w:noWrap w:val="0"/>
            <w:vAlign w:val="center"/>
          </w:tcPr>
          <w:p w14:paraId="31EA0A66">
            <w:pPr>
              <w:keepNext w:val="0"/>
              <w:keepLines w:val="0"/>
              <w:pageBreakBefore w:val="0"/>
              <w:widowControl/>
              <w:kinsoku/>
              <w:wordWrap/>
              <w:overflowPunct/>
              <w:topLinePunct w:val="0"/>
              <w:autoSpaceDE/>
              <w:autoSpaceDN/>
              <w:bidi w:val="0"/>
              <w:spacing w:line="360" w:lineRule="exact"/>
              <w:jc w:val="center"/>
              <w:rPr>
                <w:rFonts w:hint="default" w:ascii="宋体" w:hAnsi="宋体" w:eastAsia="宋体" w:cs="宋体"/>
                <w:color w:val="auto"/>
                <w:kern w:val="0"/>
                <w:sz w:val="22"/>
                <w:szCs w:val="22"/>
                <w:highlight w:val="none"/>
                <w:lang w:val="en-US" w:eastAsia="zh-CN"/>
              </w:rPr>
            </w:pPr>
            <w:r>
              <w:rPr>
                <w:rFonts w:hint="eastAsia" w:ascii="宋体" w:hAnsi="宋体" w:cs="宋体"/>
                <w:color w:val="auto"/>
                <w:kern w:val="0"/>
                <w:sz w:val="22"/>
                <w:szCs w:val="22"/>
                <w:highlight w:val="none"/>
                <w:lang w:val="en-US" w:eastAsia="zh-CN"/>
              </w:rPr>
              <w:t>9</w:t>
            </w:r>
          </w:p>
        </w:tc>
        <w:tc>
          <w:tcPr>
            <w:tcW w:w="748" w:type="pct"/>
            <w:vMerge w:val="restart"/>
            <w:noWrap w:val="0"/>
            <w:vAlign w:val="center"/>
          </w:tcPr>
          <w:p w14:paraId="0FF5C8AB">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售后服务应对方案及承诺</w:t>
            </w:r>
          </w:p>
        </w:tc>
        <w:tc>
          <w:tcPr>
            <w:tcW w:w="3243" w:type="pct"/>
            <w:noWrap w:val="0"/>
            <w:vAlign w:val="center"/>
          </w:tcPr>
          <w:p w14:paraId="4670C51E">
            <w:pPr>
              <w:pStyle w:val="28"/>
              <w:keepNext w:val="0"/>
              <w:keepLines w:val="0"/>
              <w:pageBreakBefore w:val="0"/>
              <w:kinsoku/>
              <w:wordWrap/>
              <w:overflowPunct/>
              <w:topLinePunct w:val="0"/>
              <w:autoSpaceDE/>
              <w:autoSpaceDN/>
              <w:bidi w:val="0"/>
              <w:spacing w:line="36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提供产品5年质量保证期（5年内免费维修，不能维修免费更换），超过5年的每一年加</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rPr>
              <w:t>分，最高得</w:t>
            </w:r>
            <w:r>
              <w:rPr>
                <w:rFonts w:hint="eastAsia" w:ascii="宋体" w:hAnsi="宋体" w:cs="宋体"/>
                <w:color w:val="auto"/>
                <w:sz w:val="22"/>
                <w:szCs w:val="22"/>
                <w:highlight w:val="none"/>
                <w:lang w:val="en-US" w:eastAsia="zh-CN"/>
              </w:rPr>
              <w:t>6</w:t>
            </w:r>
            <w:r>
              <w:rPr>
                <w:rFonts w:hint="eastAsia" w:ascii="宋体" w:hAnsi="宋体" w:eastAsia="宋体" w:cs="宋体"/>
                <w:color w:val="auto"/>
                <w:sz w:val="22"/>
                <w:szCs w:val="22"/>
                <w:highlight w:val="none"/>
              </w:rPr>
              <w:t>分。</w:t>
            </w:r>
          </w:p>
        </w:tc>
        <w:tc>
          <w:tcPr>
            <w:tcW w:w="344" w:type="pct"/>
            <w:noWrap w:val="0"/>
            <w:vAlign w:val="center"/>
          </w:tcPr>
          <w:p w14:paraId="72DCF07F">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Cs/>
                <w:color w:val="auto"/>
                <w:sz w:val="22"/>
                <w:szCs w:val="22"/>
                <w:highlight w:val="none"/>
                <w:lang w:eastAsia="zh-CN"/>
              </w:rPr>
            </w:pPr>
            <w:r>
              <w:rPr>
                <w:rFonts w:hint="eastAsia" w:ascii="宋体" w:hAnsi="宋体" w:cs="宋体"/>
                <w:bCs/>
                <w:color w:val="auto"/>
                <w:sz w:val="22"/>
                <w:szCs w:val="22"/>
                <w:highlight w:val="none"/>
                <w:lang w:val="en-US" w:eastAsia="zh-CN"/>
              </w:rPr>
              <w:t>6</w:t>
            </w:r>
          </w:p>
        </w:tc>
        <w:tc>
          <w:tcPr>
            <w:tcW w:w="345" w:type="pct"/>
            <w:noWrap w:val="0"/>
            <w:vAlign w:val="center"/>
          </w:tcPr>
          <w:p w14:paraId="1A141D97">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客 观 分</w:t>
            </w:r>
          </w:p>
        </w:tc>
      </w:tr>
      <w:tr w14:paraId="3295C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318" w:type="pct"/>
            <w:vMerge w:val="continue"/>
            <w:noWrap w:val="0"/>
            <w:vAlign w:val="center"/>
          </w:tcPr>
          <w:p w14:paraId="2BD57627">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color w:val="auto"/>
                <w:kern w:val="0"/>
                <w:sz w:val="22"/>
                <w:szCs w:val="22"/>
                <w:highlight w:val="none"/>
                <w:lang w:val="en-US" w:eastAsia="zh-CN"/>
              </w:rPr>
            </w:pPr>
          </w:p>
        </w:tc>
        <w:tc>
          <w:tcPr>
            <w:tcW w:w="748" w:type="pct"/>
            <w:vMerge w:val="continue"/>
            <w:noWrap w:val="0"/>
            <w:vAlign w:val="center"/>
          </w:tcPr>
          <w:p w14:paraId="26BAE367">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color w:val="auto"/>
                <w:sz w:val="22"/>
                <w:szCs w:val="22"/>
                <w:highlight w:val="none"/>
              </w:rPr>
            </w:pPr>
          </w:p>
        </w:tc>
        <w:tc>
          <w:tcPr>
            <w:tcW w:w="3243" w:type="pct"/>
            <w:noWrap w:val="0"/>
            <w:vAlign w:val="center"/>
          </w:tcPr>
          <w:p w14:paraId="02C25620">
            <w:pPr>
              <w:pStyle w:val="28"/>
              <w:keepNext w:val="0"/>
              <w:keepLines w:val="0"/>
              <w:pageBreakBefore w:val="0"/>
              <w:numPr>
                <w:ilvl w:val="0"/>
                <w:numId w:val="0"/>
              </w:numPr>
              <w:kinsoku/>
              <w:wordWrap/>
              <w:overflowPunct/>
              <w:topLinePunct w:val="0"/>
              <w:autoSpaceDE/>
              <w:autoSpaceDN/>
              <w:bidi w:val="0"/>
              <w:spacing w:line="360" w:lineRule="exact"/>
              <w:rPr>
                <w:rFonts w:hint="default"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提供详细完整的“三包”措施及售后服务措施和方案（包括服务措施、产品质量保证、回访、技术培训等）。根据</w:t>
            </w:r>
            <w:r>
              <w:rPr>
                <w:rFonts w:hint="eastAsia" w:ascii="宋体" w:hAnsi="宋体" w:cs="宋体"/>
                <w:color w:val="auto"/>
                <w:sz w:val="22"/>
                <w:szCs w:val="22"/>
                <w:highlight w:val="none"/>
                <w:lang w:val="en-US" w:eastAsia="zh-CN"/>
              </w:rPr>
              <w:t>投标人</w:t>
            </w:r>
            <w:r>
              <w:rPr>
                <w:rFonts w:hint="eastAsia" w:ascii="宋体" w:hAnsi="宋体" w:eastAsia="宋体" w:cs="宋体"/>
                <w:color w:val="auto"/>
                <w:sz w:val="22"/>
                <w:szCs w:val="22"/>
                <w:highlight w:val="none"/>
              </w:rPr>
              <w:t>提供的方案能否满足采购需求，由评审小组判定。</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评分范围：4,3，2,1,0</w:t>
            </w:r>
            <w:r>
              <w:rPr>
                <w:rFonts w:hint="eastAsia" w:ascii="宋体" w:hAnsi="宋体" w:cs="宋体"/>
                <w:color w:val="auto"/>
                <w:sz w:val="22"/>
                <w:szCs w:val="22"/>
                <w:highlight w:val="none"/>
                <w:lang w:eastAsia="zh-CN"/>
              </w:rPr>
              <w:t>）</w:t>
            </w:r>
          </w:p>
        </w:tc>
        <w:tc>
          <w:tcPr>
            <w:tcW w:w="344" w:type="pct"/>
            <w:noWrap w:val="0"/>
            <w:vAlign w:val="center"/>
          </w:tcPr>
          <w:p w14:paraId="4FE764DE">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4</w:t>
            </w:r>
          </w:p>
        </w:tc>
        <w:tc>
          <w:tcPr>
            <w:tcW w:w="345" w:type="pct"/>
            <w:noWrap w:val="0"/>
            <w:vAlign w:val="center"/>
          </w:tcPr>
          <w:p w14:paraId="5A62B3C4">
            <w:pPr>
              <w:keepNext w:val="0"/>
              <w:keepLines w:val="0"/>
              <w:pageBreakBefore w:val="0"/>
              <w:kinsoku/>
              <w:wordWrap/>
              <w:overflowPunct/>
              <w:topLinePunct w:val="0"/>
              <w:autoSpaceDE/>
              <w:autoSpaceDN/>
              <w:bidi w:val="0"/>
              <w:spacing w:line="360" w:lineRule="exact"/>
              <w:jc w:val="center"/>
              <w:rPr>
                <w:rFonts w:hint="eastAsia" w:ascii="宋体" w:hAnsi="宋体" w:eastAsia="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主 观 分</w:t>
            </w:r>
          </w:p>
        </w:tc>
      </w:tr>
      <w:tr w14:paraId="2BB7A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318" w:type="pct"/>
            <w:vMerge w:val="continue"/>
            <w:noWrap w:val="0"/>
            <w:vAlign w:val="center"/>
          </w:tcPr>
          <w:p w14:paraId="221D214F">
            <w:pPr>
              <w:keepNext w:val="0"/>
              <w:keepLines w:val="0"/>
              <w:pageBreakBefore w:val="0"/>
              <w:kinsoku/>
              <w:wordWrap/>
              <w:overflowPunct/>
              <w:topLinePunct w:val="0"/>
              <w:autoSpaceDE/>
              <w:autoSpaceDN/>
              <w:bidi w:val="0"/>
              <w:spacing w:line="360" w:lineRule="exact"/>
              <w:jc w:val="center"/>
              <w:rPr>
                <w:color w:val="auto"/>
                <w:highlight w:val="none"/>
              </w:rPr>
            </w:pPr>
          </w:p>
        </w:tc>
        <w:tc>
          <w:tcPr>
            <w:tcW w:w="748" w:type="pct"/>
            <w:vMerge w:val="continue"/>
            <w:noWrap w:val="0"/>
            <w:vAlign w:val="center"/>
          </w:tcPr>
          <w:p w14:paraId="424D8061">
            <w:pPr>
              <w:keepNext w:val="0"/>
              <w:keepLines w:val="0"/>
              <w:pageBreakBefore w:val="0"/>
              <w:kinsoku/>
              <w:wordWrap/>
              <w:overflowPunct/>
              <w:topLinePunct w:val="0"/>
              <w:autoSpaceDE/>
              <w:autoSpaceDN/>
              <w:bidi w:val="0"/>
              <w:spacing w:line="360" w:lineRule="exact"/>
              <w:jc w:val="center"/>
              <w:rPr>
                <w:color w:val="auto"/>
                <w:highlight w:val="none"/>
              </w:rPr>
            </w:pPr>
          </w:p>
        </w:tc>
        <w:tc>
          <w:tcPr>
            <w:tcW w:w="3243" w:type="pct"/>
            <w:noWrap w:val="0"/>
            <w:vAlign w:val="center"/>
          </w:tcPr>
          <w:p w14:paraId="44A5ACEC">
            <w:pPr>
              <w:keepNext w:val="0"/>
              <w:keepLines w:val="0"/>
              <w:pageBreakBefore w:val="0"/>
              <w:kinsoku/>
              <w:wordWrap/>
              <w:overflowPunct/>
              <w:topLinePunct w:val="0"/>
              <w:autoSpaceDE/>
              <w:autoSpaceDN/>
              <w:bidi w:val="0"/>
              <w:spacing w:line="360" w:lineRule="exact"/>
              <w:jc w:val="both"/>
              <w:rPr>
                <w:color w:val="auto"/>
                <w:highlight w:val="none"/>
              </w:rPr>
            </w:pPr>
            <w:r>
              <w:rPr>
                <w:rFonts w:hint="eastAsia" w:ascii="宋体" w:hAnsi="宋体" w:cs="宋体"/>
                <w:color w:val="auto"/>
                <w:sz w:val="22"/>
                <w:szCs w:val="22"/>
                <w:highlight w:val="none"/>
                <w:lang w:val="en-US" w:eastAsia="zh-CN"/>
              </w:rPr>
              <w:t>投标人具有《商品售后服务评价体系》GB/T27922-2011或 CTEAS1001-2017的得1分。</w:t>
            </w:r>
          </w:p>
        </w:tc>
        <w:tc>
          <w:tcPr>
            <w:tcW w:w="344" w:type="pct"/>
            <w:noWrap w:val="0"/>
            <w:vAlign w:val="center"/>
          </w:tcPr>
          <w:p w14:paraId="60C9EDE8">
            <w:pPr>
              <w:keepNext w:val="0"/>
              <w:keepLines w:val="0"/>
              <w:pageBreakBefore w:val="0"/>
              <w:kinsoku/>
              <w:wordWrap/>
              <w:overflowPunct/>
              <w:topLinePunct w:val="0"/>
              <w:autoSpaceDE/>
              <w:autoSpaceDN/>
              <w:bidi w:val="0"/>
              <w:spacing w:line="360" w:lineRule="exact"/>
              <w:jc w:val="center"/>
              <w:rPr>
                <w:rFonts w:hint="default" w:ascii="宋体" w:hAnsi="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1</w:t>
            </w:r>
          </w:p>
        </w:tc>
        <w:tc>
          <w:tcPr>
            <w:tcW w:w="345" w:type="pct"/>
            <w:noWrap w:val="0"/>
            <w:vAlign w:val="center"/>
          </w:tcPr>
          <w:p w14:paraId="45B18219">
            <w:pPr>
              <w:keepNext w:val="0"/>
              <w:keepLines w:val="0"/>
              <w:pageBreakBefore w:val="0"/>
              <w:kinsoku/>
              <w:wordWrap/>
              <w:overflowPunct/>
              <w:topLinePunct w:val="0"/>
              <w:autoSpaceDE/>
              <w:autoSpaceDN/>
              <w:bidi w:val="0"/>
              <w:spacing w:line="360" w:lineRule="exact"/>
              <w:jc w:val="center"/>
              <w:rPr>
                <w:rFonts w:hint="eastAsia" w:ascii="宋体" w:hAnsi="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客 观 分</w:t>
            </w:r>
          </w:p>
        </w:tc>
      </w:tr>
      <w:tr w14:paraId="13265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trPr>
        <w:tc>
          <w:tcPr>
            <w:tcW w:w="318" w:type="pct"/>
            <w:noWrap w:val="0"/>
            <w:vAlign w:val="center"/>
          </w:tcPr>
          <w:p w14:paraId="7C361EBE">
            <w:pPr>
              <w:keepNext w:val="0"/>
              <w:keepLines w:val="0"/>
              <w:pageBreakBefore w:val="0"/>
              <w:widowControl/>
              <w:kinsoku/>
              <w:wordWrap/>
              <w:overflowPunct/>
              <w:topLinePunct w:val="0"/>
              <w:autoSpaceDE/>
              <w:autoSpaceDN/>
              <w:bidi w:val="0"/>
              <w:spacing w:line="360" w:lineRule="exact"/>
              <w:jc w:val="center"/>
              <w:rPr>
                <w:rFonts w:hint="default" w:ascii="宋体" w:hAnsi="宋体" w:eastAsia="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10</w:t>
            </w:r>
          </w:p>
        </w:tc>
        <w:tc>
          <w:tcPr>
            <w:tcW w:w="748" w:type="pct"/>
            <w:noWrap w:val="0"/>
            <w:vAlign w:val="center"/>
          </w:tcPr>
          <w:p w14:paraId="6A8F9CEC">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技术力量</w:t>
            </w:r>
          </w:p>
        </w:tc>
        <w:tc>
          <w:tcPr>
            <w:tcW w:w="3243" w:type="pct"/>
            <w:noWrap w:val="0"/>
            <w:vAlign w:val="center"/>
          </w:tcPr>
          <w:p w14:paraId="32DC5998">
            <w:pPr>
              <w:keepNext w:val="0"/>
              <w:keepLines w:val="0"/>
              <w:pageBreakBefore w:val="0"/>
              <w:widowControl/>
              <w:kinsoku/>
              <w:wordWrap/>
              <w:overflowPunct/>
              <w:topLinePunct w:val="0"/>
              <w:autoSpaceDE/>
              <w:autoSpaceDN/>
              <w:bidi w:val="0"/>
              <w:spacing w:line="360" w:lineRule="exact"/>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根据投标人项目经理及项目组人员技术水平、专业等情况打分。（评分范围：3,2,1,0）</w:t>
            </w:r>
          </w:p>
          <w:p w14:paraId="70F21C75">
            <w:pPr>
              <w:keepNext w:val="0"/>
              <w:keepLines w:val="0"/>
              <w:pageBreakBefore w:val="0"/>
              <w:widowControl/>
              <w:kinsoku/>
              <w:wordWrap/>
              <w:overflowPunct/>
              <w:topLinePunct w:val="0"/>
              <w:autoSpaceDE/>
              <w:autoSpaceDN/>
              <w:bidi w:val="0"/>
              <w:spacing w:line="360" w:lineRule="exact"/>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注：提供相关证明材料并加盖投标人公章，人员须提供近三个月社保证明并加盖投标人公章，未提供不得分。</w:t>
            </w:r>
          </w:p>
        </w:tc>
        <w:tc>
          <w:tcPr>
            <w:tcW w:w="344" w:type="pct"/>
            <w:noWrap w:val="0"/>
            <w:vAlign w:val="center"/>
          </w:tcPr>
          <w:p w14:paraId="5D85D2AC">
            <w:pPr>
              <w:keepNext w:val="0"/>
              <w:keepLines w:val="0"/>
              <w:pageBreakBefore w:val="0"/>
              <w:kinsoku/>
              <w:wordWrap/>
              <w:overflowPunct/>
              <w:topLinePunct w:val="0"/>
              <w:autoSpaceDE/>
              <w:autoSpaceDN/>
              <w:bidi w:val="0"/>
              <w:spacing w:line="360" w:lineRule="exact"/>
              <w:jc w:val="center"/>
              <w:rPr>
                <w:rFonts w:hint="default" w:ascii="宋体" w:hAnsi="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3</w:t>
            </w:r>
          </w:p>
        </w:tc>
        <w:tc>
          <w:tcPr>
            <w:tcW w:w="345" w:type="pct"/>
            <w:noWrap w:val="0"/>
            <w:vAlign w:val="center"/>
          </w:tcPr>
          <w:p w14:paraId="006D1DCC">
            <w:pPr>
              <w:keepNext w:val="0"/>
              <w:keepLines w:val="0"/>
              <w:pageBreakBefore w:val="0"/>
              <w:kinsoku/>
              <w:wordWrap/>
              <w:overflowPunct/>
              <w:topLinePunct w:val="0"/>
              <w:autoSpaceDE/>
              <w:autoSpaceDN/>
              <w:bidi w:val="0"/>
              <w:spacing w:line="360" w:lineRule="exact"/>
              <w:jc w:val="center"/>
              <w:rPr>
                <w:rFonts w:hint="eastAsia" w:ascii="宋体" w:hAnsi="宋体" w:cs="宋体"/>
                <w:bCs/>
                <w:color w:val="auto"/>
                <w:sz w:val="22"/>
                <w:szCs w:val="22"/>
                <w:highlight w:val="none"/>
                <w:lang w:val="en-US" w:eastAsia="zh-CN"/>
              </w:rPr>
            </w:pPr>
            <w:r>
              <w:rPr>
                <w:rFonts w:hint="eastAsia" w:ascii="宋体" w:hAnsi="宋体" w:eastAsia="宋体" w:cs="宋体"/>
                <w:bCs/>
                <w:color w:val="auto"/>
                <w:sz w:val="22"/>
                <w:szCs w:val="22"/>
                <w:highlight w:val="none"/>
                <w:lang w:val="en-US" w:eastAsia="zh-CN"/>
              </w:rPr>
              <w:t>主 观 分</w:t>
            </w:r>
          </w:p>
        </w:tc>
      </w:tr>
      <w:tr w14:paraId="71986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trPr>
        <w:tc>
          <w:tcPr>
            <w:tcW w:w="318" w:type="pct"/>
            <w:noWrap w:val="0"/>
            <w:vAlign w:val="center"/>
          </w:tcPr>
          <w:p w14:paraId="74B63F77">
            <w:pPr>
              <w:keepNext w:val="0"/>
              <w:keepLines w:val="0"/>
              <w:pageBreakBefore w:val="0"/>
              <w:widowControl/>
              <w:kinsoku/>
              <w:wordWrap/>
              <w:overflowPunct/>
              <w:topLinePunct w:val="0"/>
              <w:autoSpaceDE/>
              <w:autoSpaceDN/>
              <w:bidi w:val="0"/>
              <w:spacing w:line="360" w:lineRule="exact"/>
              <w:jc w:val="center"/>
              <w:rPr>
                <w:rFonts w:hint="default" w:ascii="宋体" w:hAnsi="宋体" w:eastAsia="宋体" w:cs="宋体"/>
                <w:color w:val="auto"/>
                <w:kern w:val="0"/>
                <w:sz w:val="22"/>
                <w:szCs w:val="22"/>
                <w:highlight w:val="none"/>
                <w:lang w:val="en-US" w:eastAsia="zh-CN"/>
              </w:rPr>
            </w:pPr>
            <w:r>
              <w:rPr>
                <w:rFonts w:hint="eastAsia" w:ascii="宋体" w:hAnsi="宋体" w:cs="宋体"/>
                <w:bCs/>
                <w:color w:val="auto"/>
                <w:sz w:val="22"/>
                <w:szCs w:val="22"/>
                <w:highlight w:val="none"/>
                <w:lang w:val="en-US" w:eastAsia="zh-CN"/>
              </w:rPr>
              <w:t>11</w:t>
            </w:r>
          </w:p>
        </w:tc>
        <w:tc>
          <w:tcPr>
            <w:tcW w:w="748" w:type="pct"/>
            <w:noWrap w:val="0"/>
            <w:vAlign w:val="center"/>
          </w:tcPr>
          <w:p w14:paraId="55DEE639">
            <w:pPr>
              <w:keepNext w:val="0"/>
              <w:keepLines w:val="0"/>
              <w:pageBreakBefore w:val="0"/>
              <w:widowControl/>
              <w:kinsoku/>
              <w:wordWrap/>
              <w:overflowPunct/>
              <w:topLinePunct w:val="0"/>
              <w:autoSpaceDE/>
              <w:autoSpaceDN/>
              <w:bidi w:val="0"/>
              <w:spacing w:line="360" w:lineRule="exact"/>
              <w:jc w:val="center"/>
              <w:rPr>
                <w:rFonts w:hint="eastAsia" w:ascii="宋体" w:hAnsi="宋体" w:eastAsia="宋体" w:cs="宋体"/>
                <w:color w:val="auto"/>
                <w:sz w:val="22"/>
                <w:szCs w:val="22"/>
                <w:highlight w:val="none"/>
              </w:rPr>
            </w:pPr>
            <w:r>
              <w:rPr>
                <w:rFonts w:hint="eastAsia" w:ascii="宋体" w:hAnsi="宋体" w:eastAsia="宋体" w:cs="宋体"/>
                <w:bCs/>
                <w:color w:val="auto"/>
                <w:sz w:val="22"/>
                <w:szCs w:val="22"/>
                <w:highlight w:val="none"/>
              </w:rPr>
              <w:t>环保节能产品</w:t>
            </w:r>
          </w:p>
        </w:tc>
        <w:tc>
          <w:tcPr>
            <w:tcW w:w="3243" w:type="pct"/>
            <w:noWrap w:val="0"/>
            <w:vAlign w:val="center"/>
          </w:tcPr>
          <w:p w14:paraId="2F7C18DB">
            <w:pPr>
              <w:pStyle w:val="28"/>
              <w:keepNext w:val="0"/>
              <w:keepLines w:val="0"/>
              <w:pageBreakBefore w:val="0"/>
              <w:numPr>
                <w:ilvl w:val="0"/>
                <w:numId w:val="0"/>
              </w:numPr>
              <w:kinsoku/>
              <w:wordWrap/>
              <w:overflowPunct/>
              <w:topLinePunct w:val="0"/>
              <w:autoSpaceDE/>
              <w:autoSpaceDN/>
              <w:bidi w:val="0"/>
              <w:spacing w:line="360" w:lineRule="exact"/>
              <w:rPr>
                <w:rFonts w:hint="eastAsia" w:ascii="宋体" w:hAnsi="宋体" w:eastAsia="宋体" w:cs="宋体"/>
                <w:color w:val="auto"/>
                <w:sz w:val="22"/>
                <w:szCs w:val="22"/>
                <w:highlight w:val="none"/>
              </w:rPr>
            </w:pPr>
            <w:bookmarkStart w:id="114" w:name="_GoBack"/>
            <w:r>
              <w:rPr>
                <w:rFonts w:hint="eastAsia" w:ascii="宋体" w:hAnsi="宋体" w:eastAsia="宋体" w:cs="宋体"/>
                <w:color w:val="auto"/>
                <w:sz w:val="22"/>
                <w:szCs w:val="22"/>
                <w:highlight w:val="none"/>
              </w:rPr>
              <w:t>投标产品列入财政部、生态环境部等部门发布的“环境标志产品品目清单”，且获得指定认证机构出具的环境标志产品认证证书的，每项产品得</w:t>
            </w:r>
            <w:r>
              <w:rPr>
                <w:rFonts w:hint="eastAsia" w:ascii="宋体" w:hAnsi="宋体" w:cs="宋体"/>
                <w:color w:val="auto"/>
                <w:sz w:val="22"/>
                <w:szCs w:val="22"/>
                <w:highlight w:val="none"/>
                <w:lang w:val="en-US" w:eastAsia="zh-CN"/>
              </w:rPr>
              <w:t>0.5</w:t>
            </w:r>
            <w:r>
              <w:rPr>
                <w:rFonts w:hint="eastAsia" w:ascii="宋体" w:hAnsi="宋体" w:eastAsia="宋体" w:cs="宋体"/>
                <w:color w:val="auto"/>
                <w:sz w:val="22"/>
                <w:szCs w:val="22"/>
                <w:highlight w:val="none"/>
              </w:rPr>
              <w:t>分，最高得</w:t>
            </w: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rPr>
              <w:t>分。</w:t>
            </w:r>
            <w:r>
              <w:rPr>
                <w:rFonts w:hint="eastAsia" w:ascii="宋体" w:hAnsi="宋体" w:eastAsia="宋体" w:cs="宋体"/>
                <w:color w:val="auto"/>
                <w:sz w:val="22"/>
                <w:szCs w:val="22"/>
                <w:highlight w:val="none"/>
                <w:lang w:eastAsia="zh-CN"/>
              </w:rPr>
              <w:t>投标人</w:t>
            </w:r>
            <w:r>
              <w:rPr>
                <w:rFonts w:hint="eastAsia" w:ascii="宋体" w:hAnsi="宋体" w:eastAsia="宋体" w:cs="宋体"/>
                <w:color w:val="auto"/>
                <w:sz w:val="22"/>
                <w:szCs w:val="22"/>
                <w:highlight w:val="none"/>
              </w:rPr>
              <w:t>须提供国家确定的认证机构出具的、处于有效期之内的环境标志产品认证证书复印件，否则不得分。</w:t>
            </w:r>
            <w:bookmarkEnd w:id="114"/>
          </w:p>
        </w:tc>
        <w:tc>
          <w:tcPr>
            <w:tcW w:w="344" w:type="pct"/>
            <w:noWrap w:val="0"/>
            <w:vAlign w:val="center"/>
          </w:tcPr>
          <w:p w14:paraId="52DF257B">
            <w:pPr>
              <w:keepNext w:val="0"/>
              <w:keepLines w:val="0"/>
              <w:pageBreakBefore w:val="0"/>
              <w:kinsoku/>
              <w:wordWrap/>
              <w:overflowPunct/>
              <w:topLinePunct w:val="0"/>
              <w:autoSpaceDE/>
              <w:autoSpaceDN/>
              <w:bidi w:val="0"/>
              <w:spacing w:line="360" w:lineRule="exact"/>
              <w:jc w:val="center"/>
              <w:rPr>
                <w:rFonts w:hint="default" w:ascii="宋体" w:hAnsi="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1</w:t>
            </w:r>
          </w:p>
        </w:tc>
        <w:tc>
          <w:tcPr>
            <w:tcW w:w="345" w:type="pct"/>
            <w:noWrap w:val="0"/>
            <w:vAlign w:val="center"/>
          </w:tcPr>
          <w:p w14:paraId="38B46FFC">
            <w:pPr>
              <w:keepNext w:val="0"/>
              <w:keepLines w:val="0"/>
              <w:pageBreakBefore w:val="0"/>
              <w:kinsoku/>
              <w:wordWrap/>
              <w:overflowPunct/>
              <w:topLinePunct w:val="0"/>
              <w:autoSpaceDE/>
              <w:autoSpaceDN/>
              <w:bidi w:val="0"/>
              <w:spacing w:line="360" w:lineRule="exact"/>
              <w:jc w:val="center"/>
              <w:rPr>
                <w:rFonts w:hint="eastAsia" w:ascii="宋体" w:hAnsi="宋体" w:cs="宋体"/>
                <w:bCs/>
                <w:color w:val="auto"/>
                <w:sz w:val="22"/>
                <w:szCs w:val="22"/>
                <w:highlight w:val="none"/>
                <w:lang w:val="en-US" w:eastAsia="zh-CN"/>
              </w:rPr>
            </w:pPr>
            <w:r>
              <w:rPr>
                <w:rFonts w:hint="eastAsia" w:ascii="宋体" w:hAnsi="宋体" w:cs="宋体"/>
                <w:bCs/>
                <w:color w:val="auto"/>
                <w:sz w:val="22"/>
                <w:szCs w:val="22"/>
                <w:highlight w:val="none"/>
                <w:lang w:val="en-US" w:eastAsia="zh-CN"/>
              </w:rPr>
              <w:t>客 观 分</w:t>
            </w:r>
          </w:p>
        </w:tc>
      </w:tr>
    </w:tbl>
    <w:p w14:paraId="1A84D88F">
      <w:pPr>
        <w:spacing w:line="440" w:lineRule="exact"/>
        <w:rPr>
          <w:rFonts w:hint="eastAsia" w:ascii="宋体" w:hAnsi="宋体" w:cs="宋体"/>
          <w:color w:val="auto"/>
          <w:sz w:val="22"/>
          <w:szCs w:val="22"/>
        </w:rPr>
      </w:pPr>
      <w:r>
        <w:rPr>
          <w:rFonts w:hint="eastAsia" w:ascii="宋体" w:hAnsi="宋体" w:cs="宋体"/>
          <w:color w:val="auto"/>
          <w:sz w:val="22"/>
          <w:szCs w:val="22"/>
        </w:rPr>
        <w:t xml:space="preserve">2.   </w:t>
      </w:r>
      <w:r>
        <w:rPr>
          <w:rFonts w:hint="eastAsia" w:ascii="宋体" w:hAnsi="宋体" w:cs="宋体"/>
          <w:b/>
          <w:color w:val="auto"/>
          <w:sz w:val="22"/>
          <w:szCs w:val="22"/>
        </w:rPr>
        <w:t>价格评分（3</w:t>
      </w:r>
      <w:r>
        <w:rPr>
          <w:rFonts w:ascii="宋体" w:hAnsi="宋体" w:cs="宋体"/>
          <w:b/>
          <w:color w:val="auto"/>
          <w:sz w:val="22"/>
          <w:szCs w:val="22"/>
        </w:rPr>
        <w:t>0</w:t>
      </w:r>
      <w:r>
        <w:rPr>
          <w:rFonts w:hint="eastAsia" w:ascii="宋体" w:hAnsi="宋体" w:cs="宋体"/>
          <w:b/>
          <w:color w:val="auto"/>
          <w:sz w:val="22"/>
          <w:szCs w:val="22"/>
        </w:rPr>
        <w:t>分）</w:t>
      </w:r>
      <w:r>
        <w:rPr>
          <w:rFonts w:hint="eastAsia" w:ascii="宋体" w:hAnsi="宋体" w:cs="宋体"/>
          <w:color w:val="auto"/>
          <w:sz w:val="22"/>
          <w:szCs w:val="22"/>
        </w:rPr>
        <w:t>：</w:t>
      </w:r>
    </w:p>
    <w:p w14:paraId="6E4F3C5C">
      <w:pPr>
        <w:spacing w:line="440" w:lineRule="exact"/>
        <w:ind w:left="328" w:leftChars="156" w:firstLine="220" w:firstLineChars="100"/>
        <w:rPr>
          <w:rFonts w:hint="eastAsia" w:ascii="宋体" w:hAnsi="宋体" w:cs="宋体"/>
          <w:color w:val="auto"/>
          <w:sz w:val="22"/>
          <w:szCs w:val="22"/>
        </w:rPr>
      </w:pPr>
      <w:r>
        <w:rPr>
          <w:rFonts w:hint="eastAsia" w:ascii="宋体" w:hAnsi="宋体" w:cs="宋体"/>
          <w:color w:val="auto"/>
          <w:sz w:val="22"/>
          <w:szCs w:val="22"/>
        </w:rPr>
        <w:t>满足招标文件要求且投标价格最低的投标报价为评标基准价。</w:t>
      </w:r>
    </w:p>
    <w:p w14:paraId="3F2CB7B5">
      <w:pPr>
        <w:spacing w:line="440" w:lineRule="exact"/>
        <w:rPr>
          <w:rFonts w:hint="eastAsia" w:ascii="宋体" w:hAnsi="宋体" w:cs="宋体"/>
          <w:color w:val="auto"/>
          <w:sz w:val="22"/>
          <w:szCs w:val="22"/>
        </w:rPr>
      </w:pPr>
      <w:r>
        <w:rPr>
          <w:rFonts w:hint="eastAsia" w:ascii="宋体" w:hAnsi="宋体" w:cs="宋体"/>
          <w:color w:val="auto"/>
          <w:sz w:val="22"/>
          <w:szCs w:val="22"/>
        </w:rPr>
        <w:t>（1）有效投标人的投标报价等于评标基准价时其价格分为满分3</w:t>
      </w:r>
      <w:r>
        <w:rPr>
          <w:rFonts w:ascii="宋体" w:hAnsi="宋体" w:cs="宋体"/>
          <w:color w:val="auto"/>
          <w:sz w:val="22"/>
          <w:szCs w:val="22"/>
        </w:rPr>
        <w:t>0</w:t>
      </w:r>
      <w:r>
        <w:rPr>
          <w:rFonts w:hint="eastAsia" w:ascii="宋体" w:hAnsi="宋体" w:cs="宋体"/>
          <w:color w:val="auto"/>
          <w:sz w:val="22"/>
          <w:szCs w:val="22"/>
        </w:rPr>
        <w:t>分；</w:t>
      </w:r>
    </w:p>
    <w:p w14:paraId="79AF76F2">
      <w:pPr>
        <w:spacing w:line="440" w:lineRule="exact"/>
        <w:rPr>
          <w:rFonts w:hint="eastAsia" w:ascii="宋体" w:hAnsi="宋体" w:cs="宋体"/>
          <w:color w:val="auto"/>
          <w:sz w:val="22"/>
          <w:szCs w:val="22"/>
        </w:rPr>
      </w:pPr>
      <w:r>
        <w:rPr>
          <w:rFonts w:hint="eastAsia" w:ascii="宋体" w:hAnsi="宋体" w:cs="宋体"/>
          <w:color w:val="auto"/>
          <w:sz w:val="22"/>
          <w:szCs w:val="22"/>
        </w:rPr>
        <w:t>（2）其他投标人的价格分按以下公式计算：</w:t>
      </w:r>
    </w:p>
    <w:p w14:paraId="04FE7CB1">
      <w:pPr>
        <w:spacing w:line="440" w:lineRule="exact"/>
        <w:ind w:left="548" w:leftChars="261"/>
        <w:rPr>
          <w:rFonts w:hint="eastAsia" w:ascii="宋体" w:hAnsi="宋体" w:cs="宋体"/>
          <w:color w:val="auto"/>
          <w:sz w:val="22"/>
          <w:szCs w:val="22"/>
        </w:rPr>
      </w:pPr>
      <w:r>
        <w:rPr>
          <w:rFonts w:hint="eastAsia" w:ascii="宋体" w:hAnsi="宋体" w:cs="宋体"/>
          <w:color w:val="auto"/>
          <w:sz w:val="22"/>
          <w:szCs w:val="22"/>
        </w:rPr>
        <w:t>投标报价得分=（评标基准价/投标人投标价）× 价格权值 ×100（四舍五入，保留小数点后2位）</w:t>
      </w:r>
    </w:p>
    <w:p w14:paraId="5BEF8217">
      <w:pPr>
        <w:spacing w:line="440" w:lineRule="exact"/>
        <w:rPr>
          <w:rFonts w:hint="eastAsia" w:ascii="宋体" w:hAnsi="宋体" w:cs="宋体"/>
          <w:color w:val="auto"/>
          <w:sz w:val="22"/>
          <w:szCs w:val="22"/>
        </w:rPr>
      </w:pPr>
      <w:r>
        <w:rPr>
          <w:rFonts w:hint="eastAsia" w:ascii="宋体" w:hAnsi="宋体" w:cs="宋体"/>
          <w:color w:val="auto"/>
          <w:sz w:val="22"/>
          <w:szCs w:val="22"/>
        </w:rPr>
        <w:t>（3）如投标人报价超过采购预算，按无效标处理。</w:t>
      </w:r>
    </w:p>
    <w:p w14:paraId="69B5B9DA">
      <w:pPr>
        <w:spacing w:line="440" w:lineRule="exact"/>
        <w:rPr>
          <w:rFonts w:hint="eastAsia" w:ascii="宋体" w:hAnsi="宋体" w:cs="宋体"/>
          <w:color w:val="auto"/>
          <w:sz w:val="22"/>
          <w:szCs w:val="22"/>
        </w:rPr>
      </w:pPr>
      <w:r>
        <w:rPr>
          <w:rFonts w:hint="eastAsia" w:ascii="宋体" w:hAnsi="宋体" w:cs="宋体"/>
          <w:color w:val="auto"/>
          <w:sz w:val="22"/>
          <w:szCs w:val="22"/>
        </w:rPr>
        <w:t>3．  有效投标人的综合得分为商务技术分和价格分的总和。</w:t>
      </w:r>
    </w:p>
    <w:p w14:paraId="1E2D5E7E">
      <w:pPr>
        <w:spacing w:line="440" w:lineRule="exact"/>
        <w:ind w:left="552" w:hanging="552" w:hangingChars="250"/>
        <w:rPr>
          <w:rFonts w:hint="eastAsia" w:ascii="宋体" w:hAnsi="宋体" w:cs="宋体"/>
          <w:b/>
          <w:color w:val="auto"/>
          <w:sz w:val="22"/>
          <w:szCs w:val="22"/>
        </w:rPr>
      </w:pPr>
      <w:r>
        <w:rPr>
          <w:rFonts w:hint="eastAsia" w:ascii="宋体" w:hAnsi="宋体" w:cs="宋体"/>
          <w:b/>
          <w:color w:val="auto"/>
          <w:sz w:val="22"/>
          <w:szCs w:val="22"/>
        </w:rPr>
        <w:t>六． 推荐中标候选人</w:t>
      </w:r>
    </w:p>
    <w:p w14:paraId="4A2BD548">
      <w:pPr>
        <w:spacing w:line="440" w:lineRule="exact"/>
        <w:ind w:left="548" w:leftChars="261"/>
        <w:rPr>
          <w:rFonts w:hint="eastAsia" w:ascii="宋体" w:hAnsi="宋体" w:cs="宋体"/>
          <w:color w:val="auto"/>
          <w:sz w:val="22"/>
          <w:szCs w:val="22"/>
        </w:rPr>
      </w:pPr>
      <w:r>
        <w:rPr>
          <w:rFonts w:hint="eastAsia" w:ascii="宋体" w:hAnsi="宋体" w:cs="宋体"/>
          <w:color w:val="auto"/>
          <w:sz w:val="22"/>
          <w:szCs w:val="22"/>
        </w:rPr>
        <w:t>评标委员会依据投标文件满足招标文件全部实质性要求，且按照评审因素的量化指标评审得分（即商务技术分与价格分之和）由高到低顺序排序，得分前二名的投标人推荐为该项目的第一和第二中标候选人（得分相同的，按投标报价由低到高排序；得分且投标报价相同的并列）。</w:t>
      </w:r>
    </w:p>
    <w:p w14:paraId="14BE6038">
      <w:pPr>
        <w:spacing w:line="440" w:lineRule="exact"/>
        <w:rPr>
          <w:rFonts w:hint="eastAsia" w:ascii="宋体" w:hAnsi="宋体" w:cs="宋体"/>
          <w:b/>
          <w:color w:val="auto"/>
          <w:sz w:val="22"/>
          <w:szCs w:val="22"/>
        </w:rPr>
      </w:pPr>
      <w:r>
        <w:rPr>
          <w:rFonts w:hint="eastAsia" w:ascii="宋体" w:hAnsi="宋体" w:cs="宋体"/>
          <w:b/>
          <w:color w:val="auto"/>
          <w:sz w:val="22"/>
          <w:szCs w:val="22"/>
        </w:rPr>
        <w:t>七． 确定中标人</w:t>
      </w:r>
    </w:p>
    <w:p w14:paraId="7D5D8672">
      <w:pPr>
        <w:spacing w:line="440" w:lineRule="exact"/>
        <w:ind w:left="548" w:leftChars="261"/>
        <w:rPr>
          <w:rFonts w:hint="eastAsia" w:ascii="宋体" w:hAnsi="宋体" w:cs="宋体"/>
          <w:color w:val="auto"/>
          <w:sz w:val="22"/>
          <w:szCs w:val="22"/>
        </w:rPr>
      </w:pPr>
      <w:r>
        <w:rPr>
          <w:rFonts w:hint="eastAsia" w:ascii="宋体" w:hAnsi="宋体" w:cs="宋体"/>
          <w:color w:val="auto"/>
          <w:sz w:val="22"/>
          <w:szCs w:val="22"/>
        </w:rPr>
        <w:t>采购人根据评标委员会推荐的中标候选人确定中标人。中标人确定后，中标结果在财政部门指定的信息发布媒体上公告并公布《中小企业声明函》（如有），在发布中标公告的同时，采购人和采购代理机构将向中标人发出中标通知书。中标通知书对采购人和中标人具有同等法律效力。</w:t>
      </w:r>
    </w:p>
    <w:p w14:paraId="4CC8471D">
      <w:pPr>
        <w:pStyle w:val="19"/>
        <w:adjustRightInd w:val="0"/>
        <w:snapToGrid w:val="0"/>
        <w:spacing w:line="440" w:lineRule="exact"/>
        <w:rPr>
          <w:rFonts w:hint="eastAsia" w:ascii="宋体" w:hAnsi="宋体" w:cs="宋体"/>
          <w:b/>
          <w:color w:val="auto"/>
          <w:sz w:val="22"/>
          <w:szCs w:val="22"/>
        </w:rPr>
      </w:pPr>
      <w:r>
        <w:rPr>
          <w:rFonts w:hint="eastAsia" w:ascii="宋体" w:hAnsi="宋体" w:cs="宋体"/>
          <w:b/>
          <w:color w:val="auto"/>
          <w:sz w:val="22"/>
          <w:szCs w:val="22"/>
        </w:rPr>
        <w:t>八． 投标人义务</w:t>
      </w:r>
    </w:p>
    <w:p w14:paraId="69D97CDC">
      <w:pPr>
        <w:spacing w:line="440" w:lineRule="exact"/>
        <w:ind w:left="548" w:leftChars="261"/>
        <w:rPr>
          <w:rFonts w:hint="eastAsia" w:ascii="宋体" w:hAnsi="宋体" w:cs="宋体"/>
          <w:color w:val="auto"/>
        </w:rPr>
      </w:pPr>
      <w:r>
        <w:rPr>
          <w:rFonts w:hint="eastAsia" w:ascii="宋体" w:hAnsi="宋体" w:cs="宋体"/>
          <w:color w:val="auto"/>
          <w:sz w:val="22"/>
          <w:szCs w:val="22"/>
        </w:rPr>
        <w:t>投标人应随时接受评标委员会的询标，解答包括有关的商务、技术等问题。评标结束，所有评标资料归档备查。</w:t>
      </w:r>
    </w:p>
    <w:p w14:paraId="2401D995">
      <w:pPr>
        <w:rPr>
          <w:color w:val="auto"/>
        </w:rPr>
      </w:pPr>
    </w:p>
    <w:sectPr>
      <w:pgSz w:w="11906" w:h="16838"/>
      <w:pgMar w:top="1134" w:right="1134" w:bottom="1134" w:left="1134"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0A1322A-84B2-40E0-B8B5-B5E51E47426D}"/>
  </w:font>
  <w:font w:name="Arial">
    <w:panose1 w:val="020B0604020202020204"/>
    <w:charset w:val="01"/>
    <w:family w:val="swiss"/>
    <w:pitch w:val="default"/>
    <w:sig w:usb0="E0002EFF" w:usb1="C000785B" w:usb2="00000009" w:usb3="00000000" w:csb0="400001FF" w:csb1="FFFF0000"/>
    <w:embedRegular r:id="rId2" w:fontKey="{AD061167-912C-4492-8A23-AFFBE25BE72C}"/>
  </w:font>
  <w:font w:name="黑体">
    <w:panose1 w:val="02010609060101010101"/>
    <w:charset w:val="86"/>
    <w:family w:val="auto"/>
    <w:pitch w:val="default"/>
    <w:sig w:usb0="800002BF" w:usb1="38CF7CFA" w:usb2="00000016" w:usb3="00000000" w:csb0="00040001" w:csb1="00000000"/>
    <w:embedRegular r:id="rId3" w:fontKey="{100F7765-6ED4-41A4-A594-4475E162BD1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4" w:fontKey="{657AEC66-1642-422F-842A-373C9D25E603}"/>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default"/>
    <w:sig w:usb0="A00006FF" w:usb1="4000205B" w:usb2="00000010" w:usb3="00000000" w:csb0="2000019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Helvetica Neue">
    <w:altName w:val="Times New Roman"/>
    <w:panose1 w:val="02000503000000020004"/>
    <w:charset w:val="00"/>
    <w:family w:val="auto"/>
    <w:pitch w:val="default"/>
    <w:sig w:usb0="00000000" w:usb1="00000000" w:usb2="00000010" w:usb3="00000000" w:csb0="00000000" w:csb1="00000000"/>
  </w:font>
  <w:font w:name="DaxPro-CondRegular">
    <w:altName w:val="宋体"/>
    <w:panose1 w:val="00000000000000000000"/>
    <w:charset w:val="86"/>
    <w:family w:val="swiss"/>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embedRegular r:id="rId5" w:fontKey="{2AA33134-0FF4-49A5-891D-BE5080443F3A}"/>
  </w:font>
  <w:font w:name="仿宋">
    <w:panose1 w:val="02010609060101010101"/>
    <w:charset w:val="86"/>
    <w:family w:val="modern"/>
    <w:pitch w:val="default"/>
    <w:sig w:usb0="800002BF" w:usb1="38CF7CFA" w:usb2="00000016" w:usb3="00000000" w:csb0="00040001" w:csb1="00000000"/>
    <w:embedRegular r:id="rId6" w:fontKey="{61018DC2-C7B5-4ABC-8FF9-CD33BD650A11}"/>
  </w:font>
  <w:font w:name="方正小标宋_GBK">
    <w:panose1 w:val="02000000000000000000"/>
    <w:charset w:val="86"/>
    <w:family w:val="script"/>
    <w:pitch w:val="default"/>
    <w:sig w:usb0="A00002BF" w:usb1="38CF7CFA" w:usb2="00082016" w:usb3="00000000" w:csb0="00040001" w:csb1="00000000"/>
    <w:embedRegular r:id="rId7" w:fontKey="{C02F4DA2-B2DB-4D81-A4ED-E91C61531E3C}"/>
  </w:font>
  <w:font w:name="新宋体">
    <w:panose1 w:val="02010609030101010101"/>
    <w:charset w:val="86"/>
    <w:family w:val="modern"/>
    <w:pitch w:val="default"/>
    <w:sig w:usb0="00000203" w:usb1="288F0000" w:usb2="00000006" w:usb3="00000000" w:csb0="00040001" w:csb1="00000000"/>
    <w:embedRegular r:id="rId8" w:fontKey="{9D60B600-66CC-4668-A248-4A9959C5365F}"/>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A1DF0">
    <w:pPr>
      <w:pStyle w:val="2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F899B">
    <w:pPr>
      <w:pStyle w:val="28"/>
      <w:framePr w:wrap="around" w:vAnchor="text" w:hAnchor="margin" w:xAlign="center" w:y="1"/>
      <w:rPr>
        <w:rStyle w:val="41"/>
      </w:rPr>
    </w:pPr>
    <w:r>
      <w:fldChar w:fldCharType="begin"/>
    </w:r>
    <w:r>
      <w:rPr>
        <w:rStyle w:val="41"/>
      </w:rPr>
      <w:instrText xml:space="preserve">PAGE  </w:instrText>
    </w:r>
    <w:r>
      <w:fldChar w:fldCharType="separate"/>
    </w:r>
    <w:r>
      <w:rPr>
        <w:rStyle w:val="41"/>
      </w:rPr>
      <w:t>23</w:t>
    </w:r>
    <w:r>
      <w:fldChar w:fldCharType="end"/>
    </w:r>
  </w:p>
  <w:p w14:paraId="6F3621C9">
    <w:pPr>
      <w:pStyle w:val="2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6A06B">
    <w:pPr>
      <w:pStyle w:val="28"/>
      <w:jc w:val="center"/>
    </w:pPr>
    <w:r>
      <w:fldChar w:fldCharType="begin"/>
    </w:r>
    <w:r>
      <w:instrText xml:space="preserve">PAGE   \* MERGEFORMAT</w:instrText>
    </w:r>
    <w:r>
      <w:fldChar w:fldCharType="separate"/>
    </w:r>
    <w:r>
      <w:rPr>
        <w:lang w:val="zh-CN"/>
      </w:rPr>
      <w:t>21</w:t>
    </w:r>
    <w:r>
      <w:rPr>
        <w:lang w:val="zh-CN"/>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3F261">
    <w:pPr>
      <w:pStyle w:val="28"/>
      <w:jc w:val="center"/>
    </w:pPr>
    <w:r>
      <w:fldChar w:fldCharType="begin"/>
    </w:r>
    <w:r>
      <w:instrText xml:space="preserve">PAGE   \* MERGEFORMAT</w:instrText>
    </w:r>
    <w:r>
      <w:fldChar w:fldCharType="separate"/>
    </w:r>
    <w:r>
      <w:rPr>
        <w:lang w:val="zh-CN"/>
      </w:rPr>
      <w:t>1</w:t>
    </w:r>
    <w:r>
      <w:rPr>
        <w:lang w:val="zh-CN"/>
      </w:rPr>
      <w:fldChar w:fldCharType="end"/>
    </w:r>
  </w:p>
  <w:p w14:paraId="51416F03">
    <w:pPr>
      <w:pStyle w:val="2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2341A">
    <w:pPr>
      <w:pStyle w:val="28"/>
      <w:jc w:val="center"/>
    </w:pPr>
    <w:r>
      <w:fldChar w:fldCharType="begin"/>
    </w:r>
    <w:r>
      <w:instrText xml:space="preserve">PAGE   \* MERGEFORMAT</w:instrText>
    </w:r>
    <w:r>
      <w:fldChar w:fldCharType="separate"/>
    </w:r>
    <w:r>
      <w:rPr>
        <w:lang w:val="zh-CN"/>
      </w:rPr>
      <w:t>42</w:t>
    </w:r>
    <w:r>
      <w:rPr>
        <w:lang w:val="zh-C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1106B">
    <w:pPr>
      <w:pStyle w:val="28"/>
      <w:jc w:val="center"/>
      <w:rPr>
        <w:rFonts w:hint="eastAsia" w:ascii="宋体" w:hAnsi="宋体"/>
      </w:rPr>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49</w:t>
    </w:r>
    <w:r>
      <w:rPr>
        <w:rFonts w:ascii="宋体" w:hAnsi="宋体"/>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CA5750">
    <w:pPr>
      <w:pStyle w:val="2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5496A">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E28E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AC9DD">
    <w:r>
      <w:tab/>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73A3A">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multilevel"/>
    <w:tmpl w:val="00000003"/>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2245DF04"/>
    <w:multiLevelType w:val="singleLevel"/>
    <w:tmpl w:val="2245DF04"/>
    <w:lvl w:ilvl="0" w:tentative="0">
      <w:start w:val="8"/>
      <w:numFmt w:val="chineseCounting"/>
      <w:suff w:val="space"/>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NjMzZiNzczYzc5OGExMjEyMDUxOGFjMjhhMmEwNzIifQ=="/>
  </w:docVars>
  <w:rsids>
    <w:rsidRoot w:val="00172A27"/>
    <w:rsid w:val="00001165"/>
    <w:rsid w:val="00001E40"/>
    <w:rsid w:val="00002389"/>
    <w:rsid w:val="0000268F"/>
    <w:rsid w:val="00002BA3"/>
    <w:rsid w:val="00003159"/>
    <w:rsid w:val="000036E5"/>
    <w:rsid w:val="00003A5F"/>
    <w:rsid w:val="00004ADA"/>
    <w:rsid w:val="000051B1"/>
    <w:rsid w:val="00005A7A"/>
    <w:rsid w:val="000060CC"/>
    <w:rsid w:val="00006B27"/>
    <w:rsid w:val="00006E79"/>
    <w:rsid w:val="00006F21"/>
    <w:rsid w:val="00006F92"/>
    <w:rsid w:val="0000753A"/>
    <w:rsid w:val="000079E4"/>
    <w:rsid w:val="00007E4C"/>
    <w:rsid w:val="00007FBC"/>
    <w:rsid w:val="000107FE"/>
    <w:rsid w:val="00010DC1"/>
    <w:rsid w:val="00011854"/>
    <w:rsid w:val="0001207E"/>
    <w:rsid w:val="00012314"/>
    <w:rsid w:val="00013EA0"/>
    <w:rsid w:val="000142B3"/>
    <w:rsid w:val="00014596"/>
    <w:rsid w:val="00014742"/>
    <w:rsid w:val="000147A7"/>
    <w:rsid w:val="00015107"/>
    <w:rsid w:val="000152CF"/>
    <w:rsid w:val="00015923"/>
    <w:rsid w:val="0001651B"/>
    <w:rsid w:val="00017151"/>
    <w:rsid w:val="00017BA4"/>
    <w:rsid w:val="00020372"/>
    <w:rsid w:val="00020FE9"/>
    <w:rsid w:val="00021563"/>
    <w:rsid w:val="0002165E"/>
    <w:rsid w:val="0002168B"/>
    <w:rsid w:val="00021C20"/>
    <w:rsid w:val="000221E5"/>
    <w:rsid w:val="00022538"/>
    <w:rsid w:val="00022B42"/>
    <w:rsid w:val="00023D2B"/>
    <w:rsid w:val="00023F9D"/>
    <w:rsid w:val="000240E3"/>
    <w:rsid w:val="000245E9"/>
    <w:rsid w:val="00024E13"/>
    <w:rsid w:val="00025712"/>
    <w:rsid w:val="00025C90"/>
    <w:rsid w:val="00025DAC"/>
    <w:rsid w:val="000262A0"/>
    <w:rsid w:val="0002692B"/>
    <w:rsid w:val="00026D0F"/>
    <w:rsid w:val="00026EEE"/>
    <w:rsid w:val="000270F3"/>
    <w:rsid w:val="000272E6"/>
    <w:rsid w:val="00027467"/>
    <w:rsid w:val="00030130"/>
    <w:rsid w:val="00031782"/>
    <w:rsid w:val="00031FD8"/>
    <w:rsid w:val="00032042"/>
    <w:rsid w:val="000326AC"/>
    <w:rsid w:val="000327DC"/>
    <w:rsid w:val="00032819"/>
    <w:rsid w:val="000330F7"/>
    <w:rsid w:val="0003377F"/>
    <w:rsid w:val="0003425B"/>
    <w:rsid w:val="000343DF"/>
    <w:rsid w:val="000346A1"/>
    <w:rsid w:val="00034B1D"/>
    <w:rsid w:val="00034D91"/>
    <w:rsid w:val="00035454"/>
    <w:rsid w:val="00036008"/>
    <w:rsid w:val="00036219"/>
    <w:rsid w:val="000366F1"/>
    <w:rsid w:val="00036C10"/>
    <w:rsid w:val="00037E5F"/>
    <w:rsid w:val="00040C1C"/>
    <w:rsid w:val="00040E51"/>
    <w:rsid w:val="00041119"/>
    <w:rsid w:val="00042345"/>
    <w:rsid w:val="00042389"/>
    <w:rsid w:val="000428E3"/>
    <w:rsid w:val="00042E50"/>
    <w:rsid w:val="00042E80"/>
    <w:rsid w:val="000431B8"/>
    <w:rsid w:val="00043771"/>
    <w:rsid w:val="000453D7"/>
    <w:rsid w:val="00045869"/>
    <w:rsid w:val="000464EC"/>
    <w:rsid w:val="00046F83"/>
    <w:rsid w:val="0004727E"/>
    <w:rsid w:val="00047653"/>
    <w:rsid w:val="00050109"/>
    <w:rsid w:val="00051083"/>
    <w:rsid w:val="00051B24"/>
    <w:rsid w:val="0005219B"/>
    <w:rsid w:val="00052869"/>
    <w:rsid w:val="00052CE2"/>
    <w:rsid w:val="000536EA"/>
    <w:rsid w:val="00053C0F"/>
    <w:rsid w:val="00054949"/>
    <w:rsid w:val="00054CCC"/>
    <w:rsid w:val="0005503C"/>
    <w:rsid w:val="00055186"/>
    <w:rsid w:val="0005557C"/>
    <w:rsid w:val="0005630D"/>
    <w:rsid w:val="0005674F"/>
    <w:rsid w:val="00056768"/>
    <w:rsid w:val="00056948"/>
    <w:rsid w:val="00057465"/>
    <w:rsid w:val="0005747E"/>
    <w:rsid w:val="00060BCF"/>
    <w:rsid w:val="00060D2E"/>
    <w:rsid w:val="00060DF8"/>
    <w:rsid w:val="0006109B"/>
    <w:rsid w:val="000619A5"/>
    <w:rsid w:val="00061CEE"/>
    <w:rsid w:val="00062BA2"/>
    <w:rsid w:val="00062E4A"/>
    <w:rsid w:val="000632BB"/>
    <w:rsid w:val="0006332B"/>
    <w:rsid w:val="00063372"/>
    <w:rsid w:val="0006356E"/>
    <w:rsid w:val="000638F0"/>
    <w:rsid w:val="00063C1E"/>
    <w:rsid w:val="00064183"/>
    <w:rsid w:val="000643A5"/>
    <w:rsid w:val="00064DD8"/>
    <w:rsid w:val="000650FA"/>
    <w:rsid w:val="000657EA"/>
    <w:rsid w:val="0007050A"/>
    <w:rsid w:val="000714AC"/>
    <w:rsid w:val="00071832"/>
    <w:rsid w:val="00071A4F"/>
    <w:rsid w:val="00071EBC"/>
    <w:rsid w:val="00072105"/>
    <w:rsid w:val="000722DA"/>
    <w:rsid w:val="00073CF3"/>
    <w:rsid w:val="00073D5C"/>
    <w:rsid w:val="00073D60"/>
    <w:rsid w:val="0007428B"/>
    <w:rsid w:val="00075284"/>
    <w:rsid w:val="00077999"/>
    <w:rsid w:val="00081091"/>
    <w:rsid w:val="0008182E"/>
    <w:rsid w:val="0008194D"/>
    <w:rsid w:val="00081CC1"/>
    <w:rsid w:val="00082BF8"/>
    <w:rsid w:val="00083060"/>
    <w:rsid w:val="00083B1B"/>
    <w:rsid w:val="00084539"/>
    <w:rsid w:val="00085514"/>
    <w:rsid w:val="000871D4"/>
    <w:rsid w:val="0008775E"/>
    <w:rsid w:val="00092434"/>
    <w:rsid w:val="000929B3"/>
    <w:rsid w:val="000934F6"/>
    <w:rsid w:val="00093976"/>
    <w:rsid w:val="000939F1"/>
    <w:rsid w:val="00093A38"/>
    <w:rsid w:val="000941BD"/>
    <w:rsid w:val="00094486"/>
    <w:rsid w:val="000954C1"/>
    <w:rsid w:val="00095E04"/>
    <w:rsid w:val="00096F17"/>
    <w:rsid w:val="00097FC2"/>
    <w:rsid w:val="00097FF5"/>
    <w:rsid w:val="000A0578"/>
    <w:rsid w:val="000A0D54"/>
    <w:rsid w:val="000A1233"/>
    <w:rsid w:val="000A1862"/>
    <w:rsid w:val="000A18B1"/>
    <w:rsid w:val="000A1C5A"/>
    <w:rsid w:val="000A2C31"/>
    <w:rsid w:val="000A2CF3"/>
    <w:rsid w:val="000A3574"/>
    <w:rsid w:val="000A40E0"/>
    <w:rsid w:val="000A42E7"/>
    <w:rsid w:val="000A456E"/>
    <w:rsid w:val="000A45A1"/>
    <w:rsid w:val="000A4634"/>
    <w:rsid w:val="000A51FC"/>
    <w:rsid w:val="000A54A1"/>
    <w:rsid w:val="000A5B6D"/>
    <w:rsid w:val="000A651A"/>
    <w:rsid w:val="000A749B"/>
    <w:rsid w:val="000A77AA"/>
    <w:rsid w:val="000A7880"/>
    <w:rsid w:val="000A7971"/>
    <w:rsid w:val="000A7E8A"/>
    <w:rsid w:val="000B037B"/>
    <w:rsid w:val="000B0465"/>
    <w:rsid w:val="000B0D00"/>
    <w:rsid w:val="000B1492"/>
    <w:rsid w:val="000B154C"/>
    <w:rsid w:val="000B26B7"/>
    <w:rsid w:val="000B28F6"/>
    <w:rsid w:val="000B2A50"/>
    <w:rsid w:val="000B2BA3"/>
    <w:rsid w:val="000B42F1"/>
    <w:rsid w:val="000B4414"/>
    <w:rsid w:val="000B512D"/>
    <w:rsid w:val="000B517D"/>
    <w:rsid w:val="000B55D7"/>
    <w:rsid w:val="000B598D"/>
    <w:rsid w:val="000B66AF"/>
    <w:rsid w:val="000B73C5"/>
    <w:rsid w:val="000B7C66"/>
    <w:rsid w:val="000C01C5"/>
    <w:rsid w:val="000C16CF"/>
    <w:rsid w:val="000C2735"/>
    <w:rsid w:val="000C2AF2"/>
    <w:rsid w:val="000C2C51"/>
    <w:rsid w:val="000C2C6F"/>
    <w:rsid w:val="000C3986"/>
    <w:rsid w:val="000C3EEC"/>
    <w:rsid w:val="000C425F"/>
    <w:rsid w:val="000C4408"/>
    <w:rsid w:val="000C5A19"/>
    <w:rsid w:val="000C5F95"/>
    <w:rsid w:val="000C613C"/>
    <w:rsid w:val="000C68A2"/>
    <w:rsid w:val="000C6B42"/>
    <w:rsid w:val="000C6D06"/>
    <w:rsid w:val="000C7201"/>
    <w:rsid w:val="000C771F"/>
    <w:rsid w:val="000C7777"/>
    <w:rsid w:val="000C7A38"/>
    <w:rsid w:val="000C7C00"/>
    <w:rsid w:val="000C7C3A"/>
    <w:rsid w:val="000D05E6"/>
    <w:rsid w:val="000D0869"/>
    <w:rsid w:val="000D0BA1"/>
    <w:rsid w:val="000D18DD"/>
    <w:rsid w:val="000D1975"/>
    <w:rsid w:val="000D1AE1"/>
    <w:rsid w:val="000D24C5"/>
    <w:rsid w:val="000D26D8"/>
    <w:rsid w:val="000D2B26"/>
    <w:rsid w:val="000D3CE1"/>
    <w:rsid w:val="000D4801"/>
    <w:rsid w:val="000D5A14"/>
    <w:rsid w:val="000D6659"/>
    <w:rsid w:val="000D735C"/>
    <w:rsid w:val="000D7B83"/>
    <w:rsid w:val="000E0729"/>
    <w:rsid w:val="000E0E4F"/>
    <w:rsid w:val="000E1732"/>
    <w:rsid w:val="000E1D03"/>
    <w:rsid w:val="000E2DF9"/>
    <w:rsid w:val="000E35AA"/>
    <w:rsid w:val="000E35E5"/>
    <w:rsid w:val="000E4271"/>
    <w:rsid w:val="000E4DA7"/>
    <w:rsid w:val="000E4E87"/>
    <w:rsid w:val="000E5198"/>
    <w:rsid w:val="000E62AF"/>
    <w:rsid w:val="000E66C8"/>
    <w:rsid w:val="000E6A41"/>
    <w:rsid w:val="000E7A07"/>
    <w:rsid w:val="000E7F5B"/>
    <w:rsid w:val="000F0031"/>
    <w:rsid w:val="000F050E"/>
    <w:rsid w:val="000F0C81"/>
    <w:rsid w:val="000F15AA"/>
    <w:rsid w:val="000F1F36"/>
    <w:rsid w:val="000F2B07"/>
    <w:rsid w:val="000F2F3F"/>
    <w:rsid w:val="000F307A"/>
    <w:rsid w:val="000F378A"/>
    <w:rsid w:val="000F3E0D"/>
    <w:rsid w:val="000F3FF5"/>
    <w:rsid w:val="000F4153"/>
    <w:rsid w:val="000F4E1E"/>
    <w:rsid w:val="000F4E6E"/>
    <w:rsid w:val="000F504E"/>
    <w:rsid w:val="000F56E0"/>
    <w:rsid w:val="000F5719"/>
    <w:rsid w:val="000F57F8"/>
    <w:rsid w:val="000F74BD"/>
    <w:rsid w:val="001004FF"/>
    <w:rsid w:val="00100DEB"/>
    <w:rsid w:val="00101CDB"/>
    <w:rsid w:val="0010216A"/>
    <w:rsid w:val="001022A9"/>
    <w:rsid w:val="00102C55"/>
    <w:rsid w:val="001032D0"/>
    <w:rsid w:val="001047D2"/>
    <w:rsid w:val="00104EC6"/>
    <w:rsid w:val="00105F69"/>
    <w:rsid w:val="00105FC5"/>
    <w:rsid w:val="001063F3"/>
    <w:rsid w:val="00107D2F"/>
    <w:rsid w:val="00110686"/>
    <w:rsid w:val="001108F6"/>
    <w:rsid w:val="00110B5B"/>
    <w:rsid w:val="00110D39"/>
    <w:rsid w:val="00110D43"/>
    <w:rsid w:val="00110E67"/>
    <w:rsid w:val="00112097"/>
    <w:rsid w:val="001120B1"/>
    <w:rsid w:val="0011219E"/>
    <w:rsid w:val="00112333"/>
    <w:rsid w:val="00112873"/>
    <w:rsid w:val="00112993"/>
    <w:rsid w:val="001133B8"/>
    <w:rsid w:val="001136C8"/>
    <w:rsid w:val="00113881"/>
    <w:rsid w:val="001138AC"/>
    <w:rsid w:val="00113B10"/>
    <w:rsid w:val="00113E81"/>
    <w:rsid w:val="0011400E"/>
    <w:rsid w:val="001142E3"/>
    <w:rsid w:val="00114472"/>
    <w:rsid w:val="00114CF1"/>
    <w:rsid w:val="00114DE5"/>
    <w:rsid w:val="00114DFC"/>
    <w:rsid w:val="001150D9"/>
    <w:rsid w:val="00115450"/>
    <w:rsid w:val="00116A19"/>
    <w:rsid w:val="00116EC7"/>
    <w:rsid w:val="00117802"/>
    <w:rsid w:val="0011790E"/>
    <w:rsid w:val="001202A1"/>
    <w:rsid w:val="001205F7"/>
    <w:rsid w:val="00120845"/>
    <w:rsid w:val="00121290"/>
    <w:rsid w:val="00121C86"/>
    <w:rsid w:val="00121ED9"/>
    <w:rsid w:val="001221F2"/>
    <w:rsid w:val="00122B56"/>
    <w:rsid w:val="00123891"/>
    <w:rsid w:val="00123979"/>
    <w:rsid w:val="00123DC7"/>
    <w:rsid w:val="00125A48"/>
    <w:rsid w:val="00125D8D"/>
    <w:rsid w:val="001261DC"/>
    <w:rsid w:val="001267D2"/>
    <w:rsid w:val="00126AFA"/>
    <w:rsid w:val="00126F2B"/>
    <w:rsid w:val="00126F64"/>
    <w:rsid w:val="00127EA6"/>
    <w:rsid w:val="00130006"/>
    <w:rsid w:val="001309CB"/>
    <w:rsid w:val="00131471"/>
    <w:rsid w:val="001314EF"/>
    <w:rsid w:val="00131712"/>
    <w:rsid w:val="001317F0"/>
    <w:rsid w:val="00131FC9"/>
    <w:rsid w:val="0013257E"/>
    <w:rsid w:val="0013263C"/>
    <w:rsid w:val="001327CF"/>
    <w:rsid w:val="00132930"/>
    <w:rsid w:val="00132F72"/>
    <w:rsid w:val="00133A53"/>
    <w:rsid w:val="00134F9F"/>
    <w:rsid w:val="00135366"/>
    <w:rsid w:val="001354FB"/>
    <w:rsid w:val="0013639D"/>
    <w:rsid w:val="001366A1"/>
    <w:rsid w:val="001374E7"/>
    <w:rsid w:val="00137E43"/>
    <w:rsid w:val="00140410"/>
    <w:rsid w:val="00142030"/>
    <w:rsid w:val="0014215E"/>
    <w:rsid w:val="001421E5"/>
    <w:rsid w:val="00142D98"/>
    <w:rsid w:val="001430F6"/>
    <w:rsid w:val="001439D7"/>
    <w:rsid w:val="00145885"/>
    <w:rsid w:val="00146014"/>
    <w:rsid w:val="0014730B"/>
    <w:rsid w:val="001515CD"/>
    <w:rsid w:val="00151EE0"/>
    <w:rsid w:val="00152989"/>
    <w:rsid w:val="00153645"/>
    <w:rsid w:val="00154922"/>
    <w:rsid w:val="00154BD7"/>
    <w:rsid w:val="00154D82"/>
    <w:rsid w:val="00155600"/>
    <w:rsid w:val="00155A4F"/>
    <w:rsid w:val="001560D5"/>
    <w:rsid w:val="00156719"/>
    <w:rsid w:val="0015706A"/>
    <w:rsid w:val="00157B83"/>
    <w:rsid w:val="00160ABF"/>
    <w:rsid w:val="00160FAF"/>
    <w:rsid w:val="001614D6"/>
    <w:rsid w:val="001616EA"/>
    <w:rsid w:val="00161B88"/>
    <w:rsid w:val="00161D24"/>
    <w:rsid w:val="0016225B"/>
    <w:rsid w:val="00162287"/>
    <w:rsid w:val="00162850"/>
    <w:rsid w:val="00163663"/>
    <w:rsid w:val="00163C6A"/>
    <w:rsid w:val="00163D5A"/>
    <w:rsid w:val="00163E41"/>
    <w:rsid w:val="00164375"/>
    <w:rsid w:val="001649C8"/>
    <w:rsid w:val="00164C30"/>
    <w:rsid w:val="00164C3B"/>
    <w:rsid w:val="00164FE5"/>
    <w:rsid w:val="00165ACB"/>
    <w:rsid w:val="00165FA6"/>
    <w:rsid w:val="0016641D"/>
    <w:rsid w:val="00166D82"/>
    <w:rsid w:val="00166DC6"/>
    <w:rsid w:val="0016743A"/>
    <w:rsid w:val="00170979"/>
    <w:rsid w:val="00170B10"/>
    <w:rsid w:val="00170C06"/>
    <w:rsid w:val="00170CCF"/>
    <w:rsid w:val="00170EB8"/>
    <w:rsid w:val="00172208"/>
    <w:rsid w:val="00172998"/>
    <w:rsid w:val="001729FD"/>
    <w:rsid w:val="00172A27"/>
    <w:rsid w:val="00172B18"/>
    <w:rsid w:val="0017400D"/>
    <w:rsid w:val="0017425D"/>
    <w:rsid w:val="00174A51"/>
    <w:rsid w:val="00175D76"/>
    <w:rsid w:val="00175FFC"/>
    <w:rsid w:val="001766C6"/>
    <w:rsid w:val="00176FC2"/>
    <w:rsid w:val="00181DF8"/>
    <w:rsid w:val="00183850"/>
    <w:rsid w:val="00183CAA"/>
    <w:rsid w:val="001840CB"/>
    <w:rsid w:val="0018413D"/>
    <w:rsid w:val="0018478A"/>
    <w:rsid w:val="001848C1"/>
    <w:rsid w:val="00185539"/>
    <w:rsid w:val="00185BC8"/>
    <w:rsid w:val="00187129"/>
    <w:rsid w:val="00187342"/>
    <w:rsid w:val="00187D72"/>
    <w:rsid w:val="00187EDB"/>
    <w:rsid w:val="00187F98"/>
    <w:rsid w:val="001908E7"/>
    <w:rsid w:val="00190A92"/>
    <w:rsid w:val="00191021"/>
    <w:rsid w:val="00191476"/>
    <w:rsid w:val="00192B3F"/>
    <w:rsid w:val="0019389D"/>
    <w:rsid w:val="0019478A"/>
    <w:rsid w:val="00194A37"/>
    <w:rsid w:val="001952C2"/>
    <w:rsid w:val="00195F04"/>
    <w:rsid w:val="00196262"/>
    <w:rsid w:val="001963B1"/>
    <w:rsid w:val="0019670B"/>
    <w:rsid w:val="00196B76"/>
    <w:rsid w:val="0019704E"/>
    <w:rsid w:val="00197316"/>
    <w:rsid w:val="001A03DD"/>
    <w:rsid w:val="001A11B2"/>
    <w:rsid w:val="001A12E1"/>
    <w:rsid w:val="001A14BE"/>
    <w:rsid w:val="001A1582"/>
    <w:rsid w:val="001A17B0"/>
    <w:rsid w:val="001A25A2"/>
    <w:rsid w:val="001A3895"/>
    <w:rsid w:val="001A3BDD"/>
    <w:rsid w:val="001A48FC"/>
    <w:rsid w:val="001A4BCC"/>
    <w:rsid w:val="001A4BDA"/>
    <w:rsid w:val="001A5333"/>
    <w:rsid w:val="001A5D07"/>
    <w:rsid w:val="001A60CF"/>
    <w:rsid w:val="001A647A"/>
    <w:rsid w:val="001A7084"/>
    <w:rsid w:val="001A786A"/>
    <w:rsid w:val="001A7FA4"/>
    <w:rsid w:val="001B069A"/>
    <w:rsid w:val="001B09F7"/>
    <w:rsid w:val="001B1392"/>
    <w:rsid w:val="001B31FC"/>
    <w:rsid w:val="001B3CC8"/>
    <w:rsid w:val="001B3DB1"/>
    <w:rsid w:val="001B40EC"/>
    <w:rsid w:val="001B4145"/>
    <w:rsid w:val="001B4A6A"/>
    <w:rsid w:val="001B4F8A"/>
    <w:rsid w:val="001B5D48"/>
    <w:rsid w:val="001B5FB3"/>
    <w:rsid w:val="001B6389"/>
    <w:rsid w:val="001B6AD9"/>
    <w:rsid w:val="001B6D62"/>
    <w:rsid w:val="001C1846"/>
    <w:rsid w:val="001C1CFE"/>
    <w:rsid w:val="001C1E6E"/>
    <w:rsid w:val="001C24E5"/>
    <w:rsid w:val="001C2751"/>
    <w:rsid w:val="001C32C9"/>
    <w:rsid w:val="001C42AD"/>
    <w:rsid w:val="001C44B8"/>
    <w:rsid w:val="001C473C"/>
    <w:rsid w:val="001C4C62"/>
    <w:rsid w:val="001C51C1"/>
    <w:rsid w:val="001C5481"/>
    <w:rsid w:val="001C5518"/>
    <w:rsid w:val="001C5E68"/>
    <w:rsid w:val="001C6DAC"/>
    <w:rsid w:val="001C7D87"/>
    <w:rsid w:val="001D0EB1"/>
    <w:rsid w:val="001D1277"/>
    <w:rsid w:val="001D160F"/>
    <w:rsid w:val="001D1B19"/>
    <w:rsid w:val="001D268A"/>
    <w:rsid w:val="001D29DD"/>
    <w:rsid w:val="001D2BD2"/>
    <w:rsid w:val="001D2DAF"/>
    <w:rsid w:val="001D3156"/>
    <w:rsid w:val="001D3278"/>
    <w:rsid w:val="001D3C45"/>
    <w:rsid w:val="001D416B"/>
    <w:rsid w:val="001D5E21"/>
    <w:rsid w:val="001D5FBE"/>
    <w:rsid w:val="001D67E2"/>
    <w:rsid w:val="001D6B5C"/>
    <w:rsid w:val="001D6C82"/>
    <w:rsid w:val="001D751F"/>
    <w:rsid w:val="001E0616"/>
    <w:rsid w:val="001E0942"/>
    <w:rsid w:val="001E09BB"/>
    <w:rsid w:val="001E0AF8"/>
    <w:rsid w:val="001E0FB0"/>
    <w:rsid w:val="001E1B49"/>
    <w:rsid w:val="001E2A06"/>
    <w:rsid w:val="001E3222"/>
    <w:rsid w:val="001E41CF"/>
    <w:rsid w:val="001E4551"/>
    <w:rsid w:val="001E493C"/>
    <w:rsid w:val="001E5B00"/>
    <w:rsid w:val="001E5B81"/>
    <w:rsid w:val="001E647E"/>
    <w:rsid w:val="001E74DD"/>
    <w:rsid w:val="001F0218"/>
    <w:rsid w:val="001F0FA1"/>
    <w:rsid w:val="001F100F"/>
    <w:rsid w:val="001F11D1"/>
    <w:rsid w:val="001F19E6"/>
    <w:rsid w:val="001F1A66"/>
    <w:rsid w:val="001F1F4E"/>
    <w:rsid w:val="001F2C4E"/>
    <w:rsid w:val="001F36B6"/>
    <w:rsid w:val="001F41C1"/>
    <w:rsid w:val="001F4884"/>
    <w:rsid w:val="001F5456"/>
    <w:rsid w:val="001F5D59"/>
    <w:rsid w:val="001F63E1"/>
    <w:rsid w:val="001F6E65"/>
    <w:rsid w:val="001F7B90"/>
    <w:rsid w:val="00200B30"/>
    <w:rsid w:val="00200BCB"/>
    <w:rsid w:val="00200DC4"/>
    <w:rsid w:val="00200E3B"/>
    <w:rsid w:val="002028D1"/>
    <w:rsid w:val="002030B4"/>
    <w:rsid w:val="002034C1"/>
    <w:rsid w:val="002038A2"/>
    <w:rsid w:val="00203ADD"/>
    <w:rsid w:val="00203FEE"/>
    <w:rsid w:val="002045BE"/>
    <w:rsid w:val="00204699"/>
    <w:rsid w:val="002047E5"/>
    <w:rsid w:val="00205C5E"/>
    <w:rsid w:val="00205DD2"/>
    <w:rsid w:val="0020678D"/>
    <w:rsid w:val="00207916"/>
    <w:rsid w:val="0021000F"/>
    <w:rsid w:val="00210303"/>
    <w:rsid w:val="002103A6"/>
    <w:rsid w:val="002107A8"/>
    <w:rsid w:val="00210C6F"/>
    <w:rsid w:val="00211592"/>
    <w:rsid w:val="002115A0"/>
    <w:rsid w:val="00211E6E"/>
    <w:rsid w:val="00211EDA"/>
    <w:rsid w:val="00212C77"/>
    <w:rsid w:val="002131EC"/>
    <w:rsid w:val="00213223"/>
    <w:rsid w:val="002136A2"/>
    <w:rsid w:val="0021397F"/>
    <w:rsid w:val="00213A0A"/>
    <w:rsid w:val="00214F32"/>
    <w:rsid w:val="0021526D"/>
    <w:rsid w:val="00215D26"/>
    <w:rsid w:val="00216D91"/>
    <w:rsid w:val="00216EB4"/>
    <w:rsid w:val="00217027"/>
    <w:rsid w:val="00217243"/>
    <w:rsid w:val="002173B0"/>
    <w:rsid w:val="002174B1"/>
    <w:rsid w:val="00217A74"/>
    <w:rsid w:val="00217F59"/>
    <w:rsid w:val="00221951"/>
    <w:rsid w:val="00221987"/>
    <w:rsid w:val="00221B13"/>
    <w:rsid w:val="00221CBC"/>
    <w:rsid w:val="00222619"/>
    <w:rsid w:val="00222FD6"/>
    <w:rsid w:val="00223345"/>
    <w:rsid w:val="002239CB"/>
    <w:rsid w:val="00223FAB"/>
    <w:rsid w:val="0022481E"/>
    <w:rsid w:val="002248D2"/>
    <w:rsid w:val="00224BFE"/>
    <w:rsid w:val="0022585E"/>
    <w:rsid w:val="002259C0"/>
    <w:rsid w:val="00225D80"/>
    <w:rsid w:val="0022639F"/>
    <w:rsid w:val="00226C05"/>
    <w:rsid w:val="0023038F"/>
    <w:rsid w:val="0023079C"/>
    <w:rsid w:val="002309C1"/>
    <w:rsid w:val="002315E9"/>
    <w:rsid w:val="00231769"/>
    <w:rsid w:val="00231D7B"/>
    <w:rsid w:val="00232BB2"/>
    <w:rsid w:val="00232E11"/>
    <w:rsid w:val="00233D2A"/>
    <w:rsid w:val="00234021"/>
    <w:rsid w:val="002343E4"/>
    <w:rsid w:val="002346E7"/>
    <w:rsid w:val="00235A58"/>
    <w:rsid w:val="00235B36"/>
    <w:rsid w:val="00235BAD"/>
    <w:rsid w:val="002363DF"/>
    <w:rsid w:val="002372E7"/>
    <w:rsid w:val="00237A2E"/>
    <w:rsid w:val="00240F51"/>
    <w:rsid w:val="00241034"/>
    <w:rsid w:val="002414F2"/>
    <w:rsid w:val="00241756"/>
    <w:rsid w:val="00242D45"/>
    <w:rsid w:val="002433F3"/>
    <w:rsid w:val="00243C23"/>
    <w:rsid w:val="00244112"/>
    <w:rsid w:val="00244810"/>
    <w:rsid w:val="0024487A"/>
    <w:rsid w:val="00244B5B"/>
    <w:rsid w:val="00244EC3"/>
    <w:rsid w:val="0024597B"/>
    <w:rsid w:val="00245AE1"/>
    <w:rsid w:val="00245E50"/>
    <w:rsid w:val="0024604C"/>
    <w:rsid w:val="00246689"/>
    <w:rsid w:val="0024679C"/>
    <w:rsid w:val="00250294"/>
    <w:rsid w:val="002508D1"/>
    <w:rsid w:val="00250A00"/>
    <w:rsid w:val="00250DD5"/>
    <w:rsid w:val="00251506"/>
    <w:rsid w:val="00251E82"/>
    <w:rsid w:val="00251ECF"/>
    <w:rsid w:val="00254859"/>
    <w:rsid w:val="00254BE6"/>
    <w:rsid w:val="00255609"/>
    <w:rsid w:val="0025578D"/>
    <w:rsid w:val="00255D50"/>
    <w:rsid w:val="002561B3"/>
    <w:rsid w:val="00257BAB"/>
    <w:rsid w:val="00257BD5"/>
    <w:rsid w:val="002601D4"/>
    <w:rsid w:val="00261139"/>
    <w:rsid w:val="00262656"/>
    <w:rsid w:val="002629D4"/>
    <w:rsid w:val="00262EB9"/>
    <w:rsid w:val="00263283"/>
    <w:rsid w:val="00263771"/>
    <w:rsid w:val="00263C0B"/>
    <w:rsid w:val="002642F0"/>
    <w:rsid w:val="002647C2"/>
    <w:rsid w:val="00264950"/>
    <w:rsid w:val="00264B27"/>
    <w:rsid w:val="00266388"/>
    <w:rsid w:val="00266631"/>
    <w:rsid w:val="0026669A"/>
    <w:rsid w:val="00266A3C"/>
    <w:rsid w:val="00266C22"/>
    <w:rsid w:val="00266DE7"/>
    <w:rsid w:val="002670FE"/>
    <w:rsid w:val="00267B03"/>
    <w:rsid w:val="00270493"/>
    <w:rsid w:val="0027082C"/>
    <w:rsid w:val="00271109"/>
    <w:rsid w:val="002711C8"/>
    <w:rsid w:val="00271A24"/>
    <w:rsid w:val="00271CF3"/>
    <w:rsid w:val="00272478"/>
    <w:rsid w:val="00272F1B"/>
    <w:rsid w:val="0027358F"/>
    <w:rsid w:val="0027367B"/>
    <w:rsid w:val="002737AB"/>
    <w:rsid w:val="0027413E"/>
    <w:rsid w:val="00274945"/>
    <w:rsid w:val="00275459"/>
    <w:rsid w:val="00275798"/>
    <w:rsid w:val="00275B27"/>
    <w:rsid w:val="00275CFF"/>
    <w:rsid w:val="002763F8"/>
    <w:rsid w:val="002768C0"/>
    <w:rsid w:val="00276983"/>
    <w:rsid w:val="00276E7B"/>
    <w:rsid w:val="00277BC4"/>
    <w:rsid w:val="00277DAC"/>
    <w:rsid w:val="0028004F"/>
    <w:rsid w:val="002800DF"/>
    <w:rsid w:val="0028085C"/>
    <w:rsid w:val="00280BE3"/>
    <w:rsid w:val="00280FB7"/>
    <w:rsid w:val="002821BE"/>
    <w:rsid w:val="00283A35"/>
    <w:rsid w:val="00283CBF"/>
    <w:rsid w:val="002843C2"/>
    <w:rsid w:val="0028497C"/>
    <w:rsid w:val="00286517"/>
    <w:rsid w:val="00286AC3"/>
    <w:rsid w:val="00286D39"/>
    <w:rsid w:val="002907BA"/>
    <w:rsid w:val="00290D43"/>
    <w:rsid w:val="00290D77"/>
    <w:rsid w:val="002911DE"/>
    <w:rsid w:val="00291357"/>
    <w:rsid w:val="002913F8"/>
    <w:rsid w:val="002921A1"/>
    <w:rsid w:val="002922AE"/>
    <w:rsid w:val="00292CD2"/>
    <w:rsid w:val="00293CEC"/>
    <w:rsid w:val="002947AD"/>
    <w:rsid w:val="00294BD0"/>
    <w:rsid w:val="00294DBC"/>
    <w:rsid w:val="0029578E"/>
    <w:rsid w:val="00295F04"/>
    <w:rsid w:val="002960E5"/>
    <w:rsid w:val="00296422"/>
    <w:rsid w:val="00297970"/>
    <w:rsid w:val="002979A8"/>
    <w:rsid w:val="002A00FA"/>
    <w:rsid w:val="002A19B1"/>
    <w:rsid w:val="002A1D83"/>
    <w:rsid w:val="002A2330"/>
    <w:rsid w:val="002A2D53"/>
    <w:rsid w:val="002A3060"/>
    <w:rsid w:val="002A32FD"/>
    <w:rsid w:val="002A36EE"/>
    <w:rsid w:val="002A3A37"/>
    <w:rsid w:val="002A3B69"/>
    <w:rsid w:val="002A3E24"/>
    <w:rsid w:val="002A4068"/>
    <w:rsid w:val="002A4113"/>
    <w:rsid w:val="002A48F6"/>
    <w:rsid w:val="002A4EBB"/>
    <w:rsid w:val="002A53FA"/>
    <w:rsid w:val="002A5E21"/>
    <w:rsid w:val="002A611C"/>
    <w:rsid w:val="002A6540"/>
    <w:rsid w:val="002A7273"/>
    <w:rsid w:val="002A794F"/>
    <w:rsid w:val="002B025A"/>
    <w:rsid w:val="002B0543"/>
    <w:rsid w:val="002B06DE"/>
    <w:rsid w:val="002B0844"/>
    <w:rsid w:val="002B0B64"/>
    <w:rsid w:val="002B1219"/>
    <w:rsid w:val="002B1580"/>
    <w:rsid w:val="002B17F0"/>
    <w:rsid w:val="002B1DEB"/>
    <w:rsid w:val="002B245E"/>
    <w:rsid w:val="002B28FF"/>
    <w:rsid w:val="002B33B9"/>
    <w:rsid w:val="002B4028"/>
    <w:rsid w:val="002B40F6"/>
    <w:rsid w:val="002B4713"/>
    <w:rsid w:val="002B522A"/>
    <w:rsid w:val="002B5330"/>
    <w:rsid w:val="002B5A48"/>
    <w:rsid w:val="002B5A7D"/>
    <w:rsid w:val="002B6333"/>
    <w:rsid w:val="002B68CE"/>
    <w:rsid w:val="002B6CE9"/>
    <w:rsid w:val="002B6FBA"/>
    <w:rsid w:val="002B796A"/>
    <w:rsid w:val="002B7F5D"/>
    <w:rsid w:val="002C00CC"/>
    <w:rsid w:val="002C06C6"/>
    <w:rsid w:val="002C109C"/>
    <w:rsid w:val="002C13FD"/>
    <w:rsid w:val="002C1B47"/>
    <w:rsid w:val="002C22AF"/>
    <w:rsid w:val="002C2353"/>
    <w:rsid w:val="002C2D2B"/>
    <w:rsid w:val="002C2DB8"/>
    <w:rsid w:val="002C33C6"/>
    <w:rsid w:val="002C376F"/>
    <w:rsid w:val="002C3966"/>
    <w:rsid w:val="002C40C7"/>
    <w:rsid w:val="002C4806"/>
    <w:rsid w:val="002C49D1"/>
    <w:rsid w:val="002C4F67"/>
    <w:rsid w:val="002C5182"/>
    <w:rsid w:val="002C5DE8"/>
    <w:rsid w:val="002C77EA"/>
    <w:rsid w:val="002C796F"/>
    <w:rsid w:val="002D0042"/>
    <w:rsid w:val="002D00B9"/>
    <w:rsid w:val="002D13F1"/>
    <w:rsid w:val="002D1E01"/>
    <w:rsid w:val="002D1E3C"/>
    <w:rsid w:val="002D21C5"/>
    <w:rsid w:val="002D287B"/>
    <w:rsid w:val="002D2F7C"/>
    <w:rsid w:val="002D34D1"/>
    <w:rsid w:val="002D37F1"/>
    <w:rsid w:val="002D39AF"/>
    <w:rsid w:val="002D4DF7"/>
    <w:rsid w:val="002D6623"/>
    <w:rsid w:val="002D676D"/>
    <w:rsid w:val="002D6B3A"/>
    <w:rsid w:val="002D7072"/>
    <w:rsid w:val="002D7CA4"/>
    <w:rsid w:val="002D7F97"/>
    <w:rsid w:val="002E03B8"/>
    <w:rsid w:val="002E06A8"/>
    <w:rsid w:val="002E0CA9"/>
    <w:rsid w:val="002E0EA3"/>
    <w:rsid w:val="002E134D"/>
    <w:rsid w:val="002E13BE"/>
    <w:rsid w:val="002E20CD"/>
    <w:rsid w:val="002E2496"/>
    <w:rsid w:val="002E2BDB"/>
    <w:rsid w:val="002E4475"/>
    <w:rsid w:val="002E4865"/>
    <w:rsid w:val="002E4943"/>
    <w:rsid w:val="002E4B40"/>
    <w:rsid w:val="002E5394"/>
    <w:rsid w:val="002F166A"/>
    <w:rsid w:val="002F1DBD"/>
    <w:rsid w:val="002F20FA"/>
    <w:rsid w:val="002F2243"/>
    <w:rsid w:val="002F2404"/>
    <w:rsid w:val="002F24F5"/>
    <w:rsid w:val="002F2575"/>
    <w:rsid w:val="002F28DB"/>
    <w:rsid w:val="002F2C07"/>
    <w:rsid w:val="002F325C"/>
    <w:rsid w:val="002F4C45"/>
    <w:rsid w:val="002F553A"/>
    <w:rsid w:val="002F5A22"/>
    <w:rsid w:val="002F7207"/>
    <w:rsid w:val="002F7C5D"/>
    <w:rsid w:val="002F7DCC"/>
    <w:rsid w:val="00300233"/>
    <w:rsid w:val="003003FF"/>
    <w:rsid w:val="00300831"/>
    <w:rsid w:val="00300D5B"/>
    <w:rsid w:val="00301CA2"/>
    <w:rsid w:val="00301D7D"/>
    <w:rsid w:val="003028D8"/>
    <w:rsid w:val="00302D1F"/>
    <w:rsid w:val="00302DD9"/>
    <w:rsid w:val="00302F2D"/>
    <w:rsid w:val="003034C0"/>
    <w:rsid w:val="00303A2D"/>
    <w:rsid w:val="00304080"/>
    <w:rsid w:val="003050B6"/>
    <w:rsid w:val="00305277"/>
    <w:rsid w:val="00305567"/>
    <w:rsid w:val="003060A7"/>
    <w:rsid w:val="003073F5"/>
    <w:rsid w:val="003101D3"/>
    <w:rsid w:val="003104E4"/>
    <w:rsid w:val="003107BD"/>
    <w:rsid w:val="00311365"/>
    <w:rsid w:val="00311AB3"/>
    <w:rsid w:val="00311D5D"/>
    <w:rsid w:val="003121EA"/>
    <w:rsid w:val="0031263E"/>
    <w:rsid w:val="00312AC3"/>
    <w:rsid w:val="00312DE0"/>
    <w:rsid w:val="00313231"/>
    <w:rsid w:val="00315BB7"/>
    <w:rsid w:val="00317F64"/>
    <w:rsid w:val="00320184"/>
    <w:rsid w:val="00320B64"/>
    <w:rsid w:val="00320D28"/>
    <w:rsid w:val="00321361"/>
    <w:rsid w:val="00321622"/>
    <w:rsid w:val="00321881"/>
    <w:rsid w:val="00321D3C"/>
    <w:rsid w:val="00321E6E"/>
    <w:rsid w:val="00322044"/>
    <w:rsid w:val="003225FA"/>
    <w:rsid w:val="0032283D"/>
    <w:rsid w:val="00322C95"/>
    <w:rsid w:val="0032384A"/>
    <w:rsid w:val="00323A98"/>
    <w:rsid w:val="00323C84"/>
    <w:rsid w:val="00323F15"/>
    <w:rsid w:val="00324212"/>
    <w:rsid w:val="003247AB"/>
    <w:rsid w:val="003248F6"/>
    <w:rsid w:val="0032513D"/>
    <w:rsid w:val="003253A3"/>
    <w:rsid w:val="00325C96"/>
    <w:rsid w:val="00326160"/>
    <w:rsid w:val="0032642C"/>
    <w:rsid w:val="003268EF"/>
    <w:rsid w:val="00326B0F"/>
    <w:rsid w:val="00327362"/>
    <w:rsid w:val="0032780B"/>
    <w:rsid w:val="0033041E"/>
    <w:rsid w:val="00330612"/>
    <w:rsid w:val="003319AD"/>
    <w:rsid w:val="00334032"/>
    <w:rsid w:val="00334558"/>
    <w:rsid w:val="00334889"/>
    <w:rsid w:val="00335E37"/>
    <w:rsid w:val="00336044"/>
    <w:rsid w:val="00336333"/>
    <w:rsid w:val="003363F0"/>
    <w:rsid w:val="003368A0"/>
    <w:rsid w:val="003372F0"/>
    <w:rsid w:val="00340422"/>
    <w:rsid w:val="0034058A"/>
    <w:rsid w:val="003408AE"/>
    <w:rsid w:val="0034393B"/>
    <w:rsid w:val="00343E99"/>
    <w:rsid w:val="0034407D"/>
    <w:rsid w:val="0034479F"/>
    <w:rsid w:val="003447FE"/>
    <w:rsid w:val="00344A60"/>
    <w:rsid w:val="00344A9A"/>
    <w:rsid w:val="00344C98"/>
    <w:rsid w:val="003450E8"/>
    <w:rsid w:val="00345A9A"/>
    <w:rsid w:val="0034646D"/>
    <w:rsid w:val="0034732C"/>
    <w:rsid w:val="00347DD8"/>
    <w:rsid w:val="00350086"/>
    <w:rsid w:val="00350120"/>
    <w:rsid w:val="0035018C"/>
    <w:rsid w:val="00350821"/>
    <w:rsid w:val="00350977"/>
    <w:rsid w:val="00350C47"/>
    <w:rsid w:val="003514A9"/>
    <w:rsid w:val="00351D2D"/>
    <w:rsid w:val="00351E72"/>
    <w:rsid w:val="0035222B"/>
    <w:rsid w:val="003523D1"/>
    <w:rsid w:val="00352E67"/>
    <w:rsid w:val="003535E6"/>
    <w:rsid w:val="00353FB5"/>
    <w:rsid w:val="003544A1"/>
    <w:rsid w:val="00355339"/>
    <w:rsid w:val="00355B6E"/>
    <w:rsid w:val="00355BB0"/>
    <w:rsid w:val="00355C69"/>
    <w:rsid w:val="00355CCB"/>
    <w:rsid w:val="00355DDB"/>
    <w:rsid w:val="003561D7"/>
    <w:rsid w:val="00356242"/>
    <w:rsid w:val="00356924"/>
    <w:rsid w:val="0035696F"/>
    <w:rsid w:val="0035758D"/>
    <w:rsid w:val="003577EE"/>
    <w:rsid w:val="00357C05"/>
    <w:rsid w:val="00357F43"/>
    <w:rsid w:val="00360608"/>
    <w:rsid w:val="00360715"/>
    <w:rsid w:val="003614B2"/>
    <w:rsid w:val="003618C3"/>
    <w:rsid w:val="00361979"/>
    <w:rsid w:val="00361EB8"/>
    <w:rsid w:val="00362303"/>
    <w:rsid w:val="0036379E"/>
    <w:rsid w:val="003639F5"/>
    <w:rsid w:val="00363C36"/>
    <w:rsid w:val="00364B98"/>
    <w:rsid w:val="00364CEE"/>
    <w:rsid w:val="00364DDE"/>
    <w:rsid w:val="00365879"/>
    <w:rsid w:val="003659F6"/>
    <w:rsid w:val="003661F9"/>
    <w:rsid w:val="00366CEE"/>
    <w:rsid w:val="00366F13"/>
    <w:rsid w:val="00367BFC"/>
    <w:rsid w:val="00367C04"/>
    <w:rsid w:val="003716A6"/>
    <w:rsid w:val="00371CB7"/>
    <w:rsid w:val="0037217E"/>
    <w:rsid w:val="00372E62"/>
    <w:rsid w:val="003739C0"/>
    <w:rsid w:val="00374A4A"/>
    <w:rsid w:val="00374A4C"/>
    <w:rsid w:val="00374CBA"/>
    <w:rsid w:val="003752F9"/>
    <w:rsid w:val="00375DF7"/>
    <w:rsid w:val="00376249"/>
    <w:rsid w:val="00376462"/>
    <w:rsid w:val="00376BDD"/>
    <w:rsid w:val="00376E8B"/>
    <w:rsid w:val="0037711B"/>
    <w:rsid w:val="0037732B"/>
    <w:rsid w:val="00380CD9"/>
    <w:rsid w:val="00380E86"/>
    <w:rsid w:val="003818C7"/>
    <w:rsid w:val="00381E33"/>
    <w:rsid w:val="00381F7B"/>
    <w:rsid w:val="003823BB"/>
    <w:rsid w:val="003823EA"/>
    <w:rsid w:val="00382449"/>
    <w:rsid w:val="00382D85"/>
    <w:rsid w:val="00383646"/>
    <w:rsid w:val="00383A5C"/>
    <w:rsid w:val="00383A6F"/>
    <w:rsid w:val="0038456A"/>
    <w:rsid w:val="00384947"/>
    <w:rsid w:val="00384BAB"/>
    <w:rsid w:val="00384FAE"/>
    <w:rsid w:val="003856E5"/>
    <w:rsid w:val="00385718"/>
    <w:rsid w:val="00385973"/>
    <w:rsid w:val="00386035"/>
    <w:rsid w:val="0038725C"/>
    <w:rsid w:val="0038787F"/>
    <w:rsid w:val="003912BD"/>
    <w:rsid w:val="003918FA"/>
    <w:rsid w:val="00391D6A"/>
    <w:rsid w:val="00392548"/>
    <w:rsid w:val="0039330E"/>
    <w:rsid w:val="0039356C"/>
    <w:rsid w:val="00393743"/>
    <w:rsid w:val="00393AF8"/>
    <w:rsid w:val="00395659"/>
    <w:rsid w:val="00397457"/>
    <w:rsid w:val="00397EE3"/>
    <w:rsid w:val="003A0710"/>
    <w:rsid w:val="003A1203"/>
    <w:rsid w:val="003A184E"/>
    <w:rsid w:val="003A1982"/>
    <w:rsid w:val="003A217B"/>
    <w:rsid w:val="003A218C"/>
    <w:rsid w:val="003A2592"/>
    <w:rsid w:val="003A2720"/>
    <w:rsid w:val="003A3937"/>
    <w:rsid w:val="003A3FA2"/>
    <w:rsid w:val="003A4B2A"/>
    <w:rsid w:val="003A4ECA"/>
    <w:rsid w:val="003A4FE3"/>
    <w:rsid w:val="003A54D8"/>
    <w:rsid w:val="003A5592"/>
    <w:rsid w:val="003A5AE4"/>
    <w:rsid w:val="003A6438"/>
    <w:rsid w:val="003A672A"/>
    <w:rsid w:val="003A6985"/>
    <w:rsid w:val="003A6A86"/>
    <w:rsid w:val="003A6B3C"/>
    <w:rsid w:val="003A6B89"/>
    <w:rsid w:val="003A6C46"/>
    <w:rsid w:val="003A6D04"/>
    <w:rsid w:val="003A76C2"/>
    <w:rsid w:val="003A7ADB"/>
    <w:rsid w:val="003B0783"/>
    <w:rsid w:val="003B0B35"/>
    <w:rsid w:val="003B0EFE"/>
    <w:rsid w:val="003B110C"/>
    <w:rsid w:val="003B17A7"/>
    <w:rsid w:val="003B1E41"/>
    <w:rsid w:val="003B259F"/>
    <w:rsid w:val="003B2758"/>
    <w:rsid w:val="003B2F72"/>
    <w:rsid w:val="003B40AD"/>
    <w:rsid w:val="003B4D3C"/>
    <w:rsid w:val="003B63B3"/>
    <w:rsid w:val="003B6631"/>
    <w:rsid w:val="003B70F8"/>
    <w:rsid w:val="003C021C"/>
    <w:rsid w:val="003C07FE"/>
    <w:rsid w:val="003C1135"/>
    <w:rsid w:val="003C19B2"/>
    <w:rsid w:val="003C2541"/>
    <w:rsid w:val="003C2EDF"/>
    <w:rsid w:val="003C32B5"/>
    <w:rsid w:val="003C3B31"/>
    <w:rsid w:val="003C40AB"/>
    <w:rsid w:val="003C4286"/>
    <w:rsid w:val="003C46DE"/>
    <w:rsid w:val="003C4AC5"/>
    <w:rsid w:val="003C4F2C"/>
    <w:rsid w:val="003C589A"/>
    <w:rsid w:val="003C593E"/>
    <w:rsid w:val="003C7338"/>
    <w:rsid w:val="003C7B1A"/>
    <w:rsid w:val="003D041D"/>
    <w:rsid w:val="003D04F7"/>
    <w:rsid w:val="003D0511"/>
    <w:rsid w:val="003D0B31"/>
    <w:rsid w:val="003D0E71"/>
    <w:rsid w:val="003D0F96"/>
    <w:rsid w:val="003D1BF6"/>
    <w:rsid w:val="003D1DB0"/>
    <w:rsid w:val="003D20EE"/>
    <w:rsid w:val="003D2720"/>
    <w:rsid w:val="003D2743"/>
    <w:rsid w:val="003D2B56"/>
    <w:rsid w:val="003D2DA3"/>
    <w:rsid w:val="003D351C"/>
    <w:rsid w:val="003D4CFB"/>
    <w:rsid w:val="003D4DF2"/>
    <w:rsid w:val="003D4FA6"/>
    <w:rsid w:val="003D516F"/>
    <w:rsid w:val="003D62D0"/>
    <w:rsid w:val="003D6551"/>
    <w:rsid w:val="003D68F7"/>
    <w:rsid w:val="003D6D38"/>
    <w:rsid w:val="003D6EA6"/>
    <w:rsid w:val="003D7634"/>
    <w:rsid w:val="003D781D"/>
    <w:rsid w:val="003D7DFB"/>
    <w:rsid w:val="003D7F7D"/>
    <w:rsid w:val="003E178B"/>
    <w:rsid w:val="003E19C8"/>
    <w:rsid w:val="003E26B8"/>
    <w:rsid w:val="003E4826"/>
    <w:rsid w:val="003E5A8C"/>
    <w:rsid w:val="003E5D43"/>
    <w:rsid w:val="003E5EA5"/>
    <w:rsid w:val="003E5FA1"/>
    <w:rsid w:val="003E6B15"/>
    <w:rsid w:val="003E6F5D"/>
    <w:rsid w:val="003E772D"/>
    <w:rsid w:val="003F0209"/>
    <w:rsid w:val="003F0AB3"/>
    <w:rsid w:val="003F0CAE"/>
    <w:rsid w:val="003F12EA"/>
    <w:rsid w:val="003F16E8"/>
    <w:rsid w:val="003F1902"/>
    <w:rsid w:val="003F2055"/>
    <w:rsid w:val="003F223A"/>
    <w:rsid w:val="003F2DDB"/>
    <w:rsid w:val="003F3225"/>
    <w:rsid w:val="003F4909"/>
    <w:rsid w:val="003F540D"/>
    <w:rsid w:val="003F6E0C"/>
    <w:rsid w:val="003F75CE"/>
    <w:rsid w:val="003F75F5"/>
    <w:rsid w:val="003F77CD"/>
    <w:rsid w:val="003F789B"/>
    <w:rsid w:val="003F7E58"/>
    <w:rsid w:val="00400324"/>
    <w:rsid w:val="00400492"/>
    <w:rsid w:val="00400876"/>
    <w:rsid w:val="004008C5"/>
    <w:rsid w:val="004008FD"/>
    <w:rsid w:val="0040225C"/>
    <w:rsid w:val="0040306D"/>
    <w:rsid w:val="00403C4E"/>
    <w:rsid w:val="004041FA"/>
    <w:rsid w:val="004046C6"/>
    <w:rsid w:val="00404764"/>
    <w:rsid w:val="004068A8"/>
    <w:rsid w:val="00410DD4"/>
    <w:rsid w:val="00411991"/>
    <w:rsid w:val="00412DE7"/>
    <w:rsid w:val="00413B99"/>
    <w:rsid w:val="0041403A"/>
    <w:rsid w:val="004144DC"/>
    <w:rsid w:val="00414886"/>
    <w:rsid w:val="00414B47"/>
    <w:rsid w:val="00414D6C"/>
    <w:rsid w:val="00415CA2"/>
    <w:rsid w:val="0041653F"/>
    <w:rsid w:val="00416BE2"/>
    <w:rsid w:val="00416E89"/>
    <w:rsid w:val="00416FEF"/>
    <w:rsid w:val="004171AD"/>
    <w:rsid w:val="00417F04"/>
    <w:rsid w:val="00420509"/>
    <w:rsid w:val="0042070E"/>
    <w:rsid w:val="00421179"/>
    <w:rsid w:val="00421539"/>
    <w:rsid w:val="004221B0"/>
    <w:rsid w:val="00422C68"/>
    <w:rsid w:val="00422F51"/>
    <w:rsid w:val="00423C35"/>
    <w:rsid w:val="0042420F"/>
    <w:rsid w:val="00424330"/>
    <w:rsid w:val="004243C0"/>
    <w:rsid w:val="004246EA"/>
    <w:rsid w:val="00424AA2"/>
    <w:rsid w:val="00424B2F"/>
    <w:rsid w:val="00424B58"/>
    <w:rsid w:val="00425148"/>
    <w:rsid w:val="004262BE"/>
    <w:rsid w:val="00426349"/>
    <w:rsid w:val="0042708D"/>
    <w:rsid w:val="004314AC"/>
    <w:rsid w:val="004319D9"/>
    <w:rsid w:val="00431A76"/>
    <w:rsid w:val="004325D5"/>
    <w:rsid w:val="00432752"/>
    <w:rsid w:val="00432918"/>
    <w:rsid w:val="00432994"/>
    <w:rsid w:val="00432AD6"/>
    <w:rsid w:val="0043380A"/>
    <w:rsid w:val="00434070"/>
    <w:rsid w:val="00434A17"/>
    <w:rsid w:val="00434FA5"/>
    <w:rsid w:val="004350DC"/>
    <w:rsid w:val="00435335"/>
    <w:rsid w:val="00435505"/>
    <w:rsid w:val="00435E0E"/>
    <w:rsid w:val="004362C2"/>
    <w:rsid w:val="00436D4C"/>
    <w:rsid w:val="00436FFE"/>
    <w:rsid w:val="00437609"/>
    <w:rsid w:val="00440F03"/>
    <w:rsid w:val="0044138A"/>
    <w:rsid w:val="00441D2D"/>
    <w:rsid w:val="0044212C"/>
    <w:rsid w:val="004427E8"/>
    <w:rsid w:val="004442F0"/>
    <w:rsid w:val="004451E5"/>
    <w:rsid w:val="00445BDA"/>
    <w:rsid w:val="00447258"/>
    <w:rsid w:val="00447786"/>
    <w:rsid w:val="00447D99"/>
    <w:rsid w:val="0045089D"/>
    <w:rsid w:val="00450DBE"/>
    <w:rsid w:val="00450E13"/>
    <w:rsid w:val="0045100E"/>
    <w:rsid w:val="00451B0A"/>
    <w:rsid w:val="00452551"/>
    <w:rsid w:val="00452B34"/>
    <w:rsid w:val="00453353"/>
    <w:rsid w:val="00453B10"/>
    <w:rsid w:val="004544C8"/>
    <w:rsid w:val="0045453F"/>
    <w:rsid w:val="00454711"/>
    <w:rsid w:val="00454AF7"/>
    <w:rsid w:val="0045508B"/>
    <w:rsid w:val="0045686B"/>
    <w:rsid w:val="0045749E"/>
    <w:rsid w:val="00457667"/>
    <w:rsid w:val="004601D5"/>
    <w:rsid w:val="004620D2"/>
    <w:rsid w:val="00462714"/>
    <w:rsid w:val="00462E44"/>
    <w:rsid w:val="00463834"/>
    <w:rsid w:val="00463FB0"/>
    <w:rsid w:val="00464B98"/>
    <w:rsid w:val="00464F17"/>
    <w:rsid w:val="00465727"/>
    <w:rsid w:val="00465F8E"/>
    <w:rsid w:val="004673C2"/>
    <w:rsid w:val="004677D7"/>
    <w:rsid w:val="004710B5"/>
    <w:rsid w:val="00472278"/>
    <w:rsid w:val="00474764"/>
    <w:rsid w:val="00475129"/>
    <w:rsid w:val="004757BA"/>
    <w:rsid w:val="00475C9E"/>
    <w:rsid w:val="004763A6"/>
    <w:rsid w:val="004767BF"/>
    <w:rsid w:val="00477605"/>
    <w:rsid w:val="004776B7"/>
    <w:rsid w:val="004776C1"/>
    <w:rsid w:val="0048091C"/>
    <w:rsid w:val="00481BF2"/>
    <w:rsid w:val="00481DB1"/>
    <w:rsid w:val="00482028"/>
    <w:rsid w:val="00482B54"/>
    <w:rsid w:val="004830DF"/>
    <w:rsid w:val="0048379B"/>
    <w:rsid w:val="004837C0"/>
    <w:rsid w:val="00483A0C"/>
    <w:rsid w:val="00483C55"/>
    <w:rsid w:val="00484787"/>
    <w:rsid w:val="0048485C"/>
    <w:rsid w:val="00484902"/>
    <w:rsid w:val="00484B44"/>
    <w:rsid w:val="00484BC0"/>
    <w:rsid w:val="004853FB"/>
    <w:rsid w:val="0048595A"/>
    <w:rsid w:val="004859D2"/>
    <w:rsid w:val="0048645F"/>
    <w:rsid w:val="00486C88"/>
    <w:rsid w:val="00487020"/>
    <w:rsid w:val="00487869"/>
    <w:rsid w:val="00487E7E"/>
    <w:rsid w:val="00490007"/>
    <w:rsid w:val="00490A74"/>
    <w:rsid w:val="0049114C"/>
    <w:rsid w:val="004924C8"/>
    <w:rsid w:val="004926D5"/>
    <w:rsid w:val="00492A15"/>
    <w:rsid w:val="004932E0"/>
    <w:rsid w:val="00493B30"/>
    <w:rsid w:val="00493BAD"/>
    <w:rsid w:val="00494930"/>
    <w:rsid w:val="00495357"/>
    <w:rsid w:val="0049652F"/>
    <w:rsid w:val="004967F7"/>
    <w:rsid w:val="00497799"/>
    <w:rsid w:val="00497C2D"/>
    <w:rsid w:val="00497F50"/>
    <w:rsid w:val="004A078C"/>
    <w:rsid w:val="004A1474"/>
    <w:rsid w:val="004A1A2D"/>
    <w:rsid w:val="004A21F7"/>
    <w:rsid w:val="004A313B"/>
    <w:rsid w:val="004A385B"/>
    <w:rsid w:val="004A3CB2"/>
    <w:rsid w:val="004A490A"/>
    <w:rsid w:val="004A521C"/>
    <w:rsid w:val="004A55C3"/>
    <w:rsid w:val="004A5E15"/>
    <w:rsid w:val="004A6161"/>
    <w:rsid w:val="004A6A35"/>
    <w:rsid w:val="004A7E56"/>
    <w:rsid w:val="004B01D2"/>
    <w:rsid w:val="004B0605"/>
    <w:rsid w:val="004B0C9C"/>
    <w:rsid w:val="004B0DA2"/>
    <w:rsid w:val="004B1D12"/>
    <w:rsid w:val="004B1FE6"/>
    <w:rsid w:val="004B2128"/>
    <w:rsid w:val="004B2400"/>
    <w:rsid w:val="004B4B8A"/>
    <w:rsid w:val="004B4D01"/>
    <w:rsid w:val="004B4D7F"/>
    <w:rsid w:val="004B65DA"/>
    <w:rsid w:val="004B696A"/>
    <w:rsid w:val="004B7315"/>
    <w:rsid w:val="004B7D36"/>
    <w:rsid w:val="004C0826"/>
    <w:rsid w:val="004C0B37"/>
    <w:rsid w:val="004C1105"/>
    <w:rsid w:val="004C13A4"/>
    <w:rsid w:val="004C1EE2"/>
    <w:rsid w:val="004C26D3"/>
    <w:rsid w:val="004C2803"/>
    <w:rsid w:val="004C2D0D"/>
    <w:rsid w:val="004C4F1D"/>
    <w:rsid w:val="004C55B0"/>
    <w:rsid w:val="004C5C44"/>
    <w:rsid w:val="004C693B"/>
    <w:rsid w:val="004C6A5B"/>
    <w:rsid w:val="004C6DB2"/>
    <w:rsid w:val="004C74CE"/>
    <w:rsid w:val="004D0BF1"/>
    <w:rsid w:val="004D0EA1"/>
    <w:rsid w:val="004D213A"/>
    <w:rsid w:val="004D2FBA"/>
    <w:rsid w:val="004D33B2"/>
    <w:rsid w:val="004D4770"/>
    <w:rsid w:val="004D48E7"/>
    <w:rsid w:val="004D4CB0"/>
    <w:rsid w:val="004D4D70"/>
    <w:rsid w:val="004D5219"/>
    <w:rsid w:val="004D5444"/>
    <w:rsid w:val="004D572D"/>
    <w:rsid w:val="004D58B9"/>
    <w:rsid w:val="004D61D4"/>
    <w:rsid w:val="004D62BB"/>
    <w:rsid w:val="004D6A65"/>
    <w:rsid w:val="004D6A93"/>
    <w:rsid w:val="004D7C60"/>
    <w:rsid w:val="004E1438"/>
    <w:rsid w:val="004E15F8"/>
    <w:rsid w:val="004E2477"/>
    <w:rsid w:val="004E579F"/>
    <w:rsid w:val="004E58DF"/>
    <w:rsid w:val="004E6A04"/>
    <w:rsid w:val="004E70C4"/>
    <w:rsid w:val="004E78CF"/>
    <w:rsid w:val="004F01E2"/>
    <w:rsid w:val="004F1503"/>
    <w:rsid w:val="004F187B"/>
    <w:rsid w:val="004F33D7"/>
    <w:rsid w:val="004F36CA"/>
    <w:rsid w:val="004F399D"/>
    <w:rsid w:val="004F3E39"/>
    <w:rsid w:val="004F4769"/>
    <w:rsid w:val="004F5641"/>
    <w:rsid w:val="004F5FCC"/>
    <w:rsid w:val="004F68CC"/>
    <w:rsid w:val="004F7295"/>
    <w:rsid w:val="004F754F"/>
    <w:rsid w:val="004F77F7"/>
    <w:rsid w:val="00500473"/>
    <w:rsid w:val="00501B3C"/>
    <w:rsid w:val="00501E3E"/>
    <w:rsid w:val="00502443"/>
    <w:rsid w:val="005026B9"/>
    <w:rsid w:val="00502891"/>
    <w:rsid w:val="005030F9"/>
    <w:rsid w:val="0050366F"/>
    <w:rsid w:val="0050375D"/>
    <w:rsid w:val="00503C01"/>
    <w:rsid w:val="00505237"/>
    <w:rsid w:val="0050543A"/>
    <w:rsid w:val="0050569B"/>
    <w:rsid w:val="00505708"/>
    <w:rsid w:val="0050580A"/>
    <w:rsid w:val="00505AAD"/>
    <w:rsid w:val="00505FA8"/>
    <w:rsid w:val="00506192"/>
    <w:rsid w:val="00506EDC"/>
    <w:rsid w:val="00507636"/>
    <w:rsid w:val="00507B1D"/>
    <w:rsid w:val="00510990"/>
    <w:rsid w:val="0051201B"/>
    <w:rsid w:val="005126F5"/>
    <w:rsid w:val="00513D1A"/>
    <w:rsid w:val="00513DB0"/>
    <w:rsid w:val="00513F52"/>
    <w:rsid w:val="005141A6"/>
    <w:rsid w:val="00514ACC"/>
    <w:rsid w:val="00517209"/>
    <w:rsid w:val="00521222"/>
    <w:rsid w:val="00521E2A"/>
    <w:rsid w:val="00523488"/>
    <w:rsid w:val="00525D29"/>
    <w:rsid w:val="00525D2D"/>
    <w:rsid w:val="00525E9F"/>
    <w:rsid w:val="005262DB"/>
    <w:rsid w:val="00527956"/>
    <w:rsid w:val="00527ED9"/>
    <w:rsid w:val="00527F6B"/>
    <w:rsid w:val="00530236"/>
    <w:rsid w:val="005306ED"/>
    <w:rsid w:val="00530937"/>
    <w:rsid w:val="00530964"/>
    <w:rsid w:val="005310B7"/>
    <w:rsid w:val="005321DD"/>
    <w:rsid w:val="00532970"/>
    <w:rsid w:val="00532E00"/>
    <w:rsid w:val="00533715"/>
    <w:rsid w:val="00533828"/>
    <w:rsid w:val="00533F99"/>
    <w:rsid w:val="005345C3"/>
    <w:rsid w:val="005359D2"/>
    <w:rsid w:val="00535B73"/>
    <w:rsid w:val="00535F15"/>
    <w:rsid w:val="0053707F"/>
    <w:rsid w:val="00537164"/>
    <w:rsid w:val="00537420"/>
    <w:rsid w:val="0053754E"/>
    <w:rsid w:val="005375DF"/>
    <w:rsid w:val="0053790E"/>
    <w:rsid w:val="00537BF7"/>
    <w:rsid w:val="00537D59"/>
    <w:rsid w:val="00540174"/>
    <w:rsid w:val="0054131D"/>
    <w:rsid w:val="0054255C"/>
    <w:rsid w:val="005426B8"/>
    <w:rsid w:val="00542975"/>
    <w:rsid w:val="005438EF"/>
    <w:rsid w:val="00543F60"/>
    <w:rsid w:val="00544B51"/>
    <w:rsid w:val="00544F22"/>
    <w:rsid w:val="00544F8B"/>
    <w:rsid w:val="0054509C"/>
    <w:rsid w:val="0054559D"/>
    <w:rsid w:val="00546594"/>
    <w:rsid w:val="00546DAD"/>
    <w:rsid w:val="00546F91"/>
    <w:rsid w:val="00547A9C"/>
    <w:rsid w:val="00547D9A"/>
    <w:rsid w:val="00550D2F"/>
    <w:rsid w:val="00552D91"/>
    <w:rsid w:val="00552F0F"/>
    <w:rsid w:val="00553CAE"/>
    <w:rsid w:val="00553F6F"/>
    <w:rsid w:val="005550FE"/>
    <w:rsid w:val="0055551B"/>
    <w:rsid w:val="00555A81"/>
    <w:rsid w:val="00555DA7"/>
    <w:rsid w:val="005568CF"/>
    <w:rsid w:val="00557E40"/>
    <w:rsid w:val="005606C4"/>
    <w:rsid w:val="00561981"/>
    <w:rsid w:val="00561D44"/>
    <w:rsid w:val="00561E61"/>
    <w:rsid w:val="00561F56"/>
    <w:rsid w:val="00562A6D"/>
    <w:rsid w:val="00562C0B"/>
    <w:rsid w:val="00562D11"/>
    <w:rsid w:val="00563466"/>
    <w:rsid w:val="00564B36"/>
    <w:rsid w:val="005651DC"/>
    <w:rsid w:val="00565486"/>
    <w:rsid w:val="005655D0"/>
    <w:rsid w:val="00565786"/>
    <w:rsid w:val="00565DF5"/>
    <w:rsid w:val="00567FF5"/>
    <w:rsid w:val="00570724"/>
    <w:rsid w:val="00571360"/>
    <w:rsid w:val="005718E2"/>
    <w:rsid w:val="00571DB1"/>
    <w:rsid w:val="00572145"/>
    <w:rsid w:val="00572BD9"/>
    <w:rsid w:val="00573ED3"/>
    <w:rsid w:val="00574161"/>
    <w:rsid w:val="0057555E"/>
    <w:rsid w:val="00575FB6"/>
    <w:rsid w:val="0057786A"/>
    <w:rsid w:val="005778B9"/>
    <w:rsid w:val="0058042F"/>
    <w:rsid w:val="005820C3"/>
    <w:rsid w:val="00582662"/>
    <w:rsid w:val="00582844"/>
    <w:rsid w:val="00582923"/>
    <w:rsid w:val="005830A7"/>
    <w:rsid w:val="00583354"/>
    <w:rsid w:val="00583ACF"/>
    <w:rsid w:val="00583DFA"/>
    <w:rsid w:val="00583FC6"/>
    <w:rsid w:val="005849AF"/>
    <w:rsid w:val="00584FC6"/>
    <w:rsid w:val="00585DEB"/>
    <w:rsid w:val="005860F6"/>
    <w:rsid w:val="005866BB"/>
    <w:rsid w:val="0058674B"/>
    <w:rsid w:val="00586D00"/>
    <w:rsid w:val="005870C5"/>
    <w:rsid w:val="005904A9"/>
    <w:rsid w:val="0059075B"/>
    <w:rsid w:val="00590BD9"/>
    <w:rsid w:val="005914CD"/>
    <w:rsid w:val="00591E0A"/>
    <w:rsid w:val="00591ED0"/>
    <w:rsid w:val="0059259F"/>
    <w:rsid w:val="00593CCA"/>
    <w:rsid w:val="00594067"/>
    <w:rsid w:val="005944F3"/>
    <w:rsid w:val="005945FA"/>
    <w:rsid w:val="0059476D"/>
    <w:rsid w:val="0059488E"/>
    <w:rsid w:val="00594988"/>
    <w:rsid w:val="00594B41"/>
    <w:rsid w:val="00595450"/>
    <w:rsid w:val="00595CA6"/>
    <w:rsid w:val="00595E94"/>
    <w:rsid w:val="00596049"/>
    <w:rsid w:val="00597643"/>
    <w:rsid w:val="00597BFB"/>
    <w:rsid w:val="00597D06"/>
    <w:rsid w:val="005A06E0"/>
    <w:rsid w:val="005A0FB7"/>
    <w:rsid w:val="005A1D88"/>
    <w:rsid w:val="005A1FE0"/>
    <w:rsid w:val="005A20E9"/>
    <w:rsid w:val="005A2167"/>
    <w:rsid w:val="005A35D9"/>
    <w:rsid w:val="005A3604"/>
    <w:rsid w:val="005A3E76"/>
    <w:rsid w:val="005A40A2"/>
    <w:rsid w:val="005A40CB"/>
    <w:rsid w:val="005A51EB"/>
    <w:rsid w:val="005A5445"/>
    <w:rsid w:val="005A59FA"/>
    <w:rsid w:val="005A5CC2"/>
    <w:rsid w:val="005A6182"/>
    <w:rsid w:val="005A61EA"/>
    <w:rsid w:val="005A68C3"/>
    <w:rsid w:val="005B0A51"/>
    <w:rsid w:val="005B1646"/>
    <w:rsid w:val="005B16F7"/>
    <w:rsid w:val="005B1A6E"/>
    <w:rsid w:val="005B1D04"/>
    <w:rsid w:val="005B1F9C"/>
    <w:rsid w:val="005B28BF"/>
    <w:rsid w:val="005B3C45"/>
    <w:rsid w:val="005B4824"/>
    <w:rsid w:val="005B4830"/>
    <w:rsid w:val="005B5E26"/>
    <w:rsid w:val="005B5FF5"/>
    <w:rsid w:val="005B6537"/>
    <w:rsid w:val="005B6637"/>
    <w:rsid w:val="005B7398"/>
    <w:rsid w:val="005B74F6"/>
    <w:rsid w:val="005B7A58"/>
    <w:rsid w:val="005B7EC8"/>
    <w:rsid w:val="005C005F"/>
    <w:rsid w:val="005C084C"/>
    <w:rsid w:val="005C0DAD"/>
    <w:rsid w:val="005C128B"/>
    <w:rsid w:val="005C12FF"/>
    <w:rsid w:val="005C148F"/>
    <w:rsid w:val="005C15C5"/>
    <w:rsid w:val="005C1710"/>
    <w:rsid w:val="005C2217"/>
    <w:rsid w:val="005C2711"/>
    <w:rsid w:val="005C2C34"/>
    <w:rsid w:val="005C2E37"/>
    <w:rsid w:val="005C344B"/>
    <w:rsid w:val="005C34C1"/>
    <w:rsid w:val="005C3A64"/>
    <w:rsid w:val="005C3DDB"/>
    <w:rsid w:val="005C4409"/>
    <w:rsid w:val="005C445B"/>
    <w:rsid w:val="005C4D4E"/>
    <w:rsid w:val="005C5AAD"/>
    <w:rsid w:val="005C773B"/>
    <w:rsid w:val="005C7C4B"/>
    <w:rsid w:val="005D00E5"/>
    <w:rsid w:val="005D029E"/>
    <w:rsid w:val="005D0B7E"/>
    <w:rsid w:val="005D0E49"/>
    <w:rsid w:val="005D1584"/>
    <w:rsid w:val="005D31E0"/>
    <w:rsid w:val="005D32B8"/>
    <w:rsid w:val="005D32DB"/>
    <w:rsid w:val="005D38A7"/>
    <w:rsid w:val="005D480F"/>
    <w:rsid w:val="005D77F1"/>
    <w:rsid w:val="005E00ED"/>
    <w:rsid w:val="005E030F"/>
    <w:rsid w:val="005E07B7"/>
    <w:rsid w:val="005E1BD7"/>
    <w:rsid w:val="005E2073"/>
    <w:rsid w:val="005E2280"/>
    <w:rsid w:val="005E237F"/>
    <w:rsid w:val="005E3039"/>
    <w:rsid w:val="005E3D5A"/>
    <w:rsid w:val="005E3F73"/>
    <w:rsid w:val="005E4784"/>
    <w:rsid w:val="005E4E69"/>
    <w:rsid w:val="005E4F1A"/>
    <w:rsid w:val="005E577E"/>
    <w:rsid w:val="005E581D"/>
    <w:rsid w:val="005E5FA0"/>
    <w:rsid w:val="005E7096"/>
    <w:rsid w:val="005E759A"/>
    <w:rsid w:val="005E7F86"/>
    <w:rsid w:val="005F04F1"/>
    <w:rsid w:val="005F1476"/>
    <w:rsid w:val="005F1642"/>
    <w:rsid w:val="005F397E"/>
    <w:rsid w:val="005F39D4"/>
    <w:rsid w:val="005F521E"/>
    <w:rsid w:val="005F6009"/>
    <w:rsid w:val="005F6272"/>
    <w:rsid w:val="005F648E"/>
    <w:rsid w:val="005F68FC"/>
    <w:rsid w:val="005F7261"/>
    <w:rsid w:val="005F7344"/>
    <w:rsid w:val="005F7E4E"/>
    <w:rsid w:val="00600319"/>
    <w:rsid w:val="00600D65"/>
    <w:rsid w:val="00600E9F"/>
    <w:rsid w:val="00601C7A"/>
    <w:rsid w:val="00601F9C"/>
    <w:rsid w:val="00602F27"/>
    <w:rsid w:val="0060335A"/>
    <w:rsid w:val="0060389F"/>
    <w:rsid w:val="00603BDE"/>
    <w:rsid w:val="006042F4"/>
    <w:rsid w:val="006049B8"/>
    <w:rsid w:val="00604E3B"/>
    <w:rsid w:val="00605088"/>
    <w:rsid w:val="00605404"/>
    <w:rsid w:val="006054C6"/>
    <w:rsid w:val="00605D3A"/>
    <w:rsid w:val="00606214"/>
    <w:rsid w:val="0060674F"/>
    <w:rsid w:val="00606DCF"/>
    <w:rsid w:val="0060754F"/>
    <w:rsid w:val="00607AE1"/>
    <w:rsid w:val="00607ECB"/>
    <w:rsid w:val="0061098F"/>
    <w:rsid w:val="00610E75"/>
    <w:rsid w:val="00611533"/>
    <w:rsid w:val="0061185E"/>
    <w:rsid w:val="006120D7"/>
    <w:rsid w:val="006126FB"/>
    <w:rsid w:val="00613036"/>
    <w:rsid w:val="006138F3"/>
    <w:rsid w:val="00613D10"/>
    <w:rsid w:val="006142A2"/>
    <w:rsid w:val="00614356"/>
    <w:rsid w:val="0061436B"/>
    <w:rsid w:val="006150EF"/>
    <w:rsid w:val="00615A09"/>
    <w:rsid w:val="00615D9C"/>
    <w:rsid w:val="00616B65"/>
    <w:rsid w:val="006201C4"/>
    <w:rsid w:val="00620C05"/>
    <w:rsid w:val="00620E66"/>
    <w:rsid w:val="006211B0"/>
    <w:rsid w:val="00622827"/>
    <w:rsid w:val="006228A3"/>
    <w:rsid w:val="00623DA7"/>
    <w:rsid w:val="00623E4D"/>
    <w:rsid w:val="0062431D"/>
    <w:rsid w:val="00624AC1"/>
    <w:rsid w:val="00625108"/>
    <w:rsid w:val="00625687"/>
    <w:rsid w:val="00625D0C"/>
    <w:rsid w:val="00626446"/>
    <w:rsid w:val="00626578"/>
    <w:rsid w:val="006265CA"/>
    <w:rsid w:val="006265F0"/>
    <w:rsid w:val="006266DF"/>
    <w:rsid w:val="006271BB"/>
    <w:rsid w:val="0063031F"/>
    <w:rsid w:val="006303A4"/>
    <w:rsid w:val="006304AC"/>
    <w:rsid w:val="006308D0"/>
    <w:rsid w:val="006311BB"/>
    <w:rsid w:val="00631283"/>
    <w:rsid w:val="00631346"/>
    <w:rsid w:val="00631ADE"/>
    <w:rsid w:val="006321D2"/>
    <w:rsid w:val="006328FF"/>
    <w:rsid w:val="00632C20"/>
    <w:rsid w:val="00632DCA"/>
    <w:rsid w:val="00633284"/>
    <w:rsid w:val="006332E6"/>
    <w:rsid w:val="006336BB"/>
    <w:rsid w:val="00634EDF"/>
    <w:rsid w:val="0063522C"/>
    <w:rsid w:val="00635244"/>
    <w:rsid w:val="0063553D"/>
    <w:rsid w:val="0063570A"/>
    <w:rsid w:val="006358BC"/>
    <w:rsid w:val="00636113"/>
    <w:rsid w:val="00637406"/>
    <w:rsid w:val="00637647"/>
    <w:rsid w:val="00640010"/>
    <w:rsid w:val="00640190"/>
    <w:rsid w:val="0064038E"/>
    <w:rsid w:val="0064044F"/>
    <w:rsid w:val="006407CD"/>
    <w:rsid w:val="00640BD1"/>
    <w:rsid w:val="00640D9B"/>
    <w:rsid w:val="0064168F"/>
    <w:rsid w:val="00641BA6"/>
    <w:rsid w:val="00642018"/>
    <w:rsid w:val="0064463E"/>
    <w:rsid w:val="00644FD3"/>
    <w:rsid w:val="0064512B"/>
    <w:rsid w:val="006454E5"/>
    <w:rsid w:val="006455E1"/>
    <w:rsid w:val="00645EB6"/>
    <w:rsid w:val="00646422"/>
    <w:rsid w:val="006466A0"/>
    <w:rsid w:val="00646DA4"/>
    <w:rsid w:val="006473CC"/>
    <w:rsid w:val="0064779F"/>
    <w:rsid w:val="006509DC"/>
    <w:rsid w:val="00650B6E"/>
    <w:rsid w:val="00650F28"/>
    <w:rsid w:val="00651405"/>
    <w:rsid w:val="006517CC"/>
    <w:rsid w:val="0065316B"/>
    <w:rsid w:val="0065406B"/>
    <w:rsid w:val="0065497A"/>
    <w:rsid w:val="00654A50"/>
    <w:rsid w:val="00655BC2"/>
    <w:rsid w:val="00655F0C"/>
    <w:rsid w:val="00656673"/>
    <w:rsid w:val="0065711D"/>
    <w:rsid w:val="0065718F"/>
    <w:rsid w:val="00657492"/>
    <w:rsid w:val="006577D9"/>
    <w:rsid w:val="00657B63"/>
    <w:rsid w:val="0066020A"/>
    <w:rsid w:val="00660504"/>
    <w:rsid w:val="00661BFF"/>
    <w:rsid w:val="00662B00"/>
    <w:rsid w:val="0066330F"/>
    <w:rsid w:val="00663352"/>
    <w:rsid w:val="006636A3"/>
    <w:rsid w:val="00663C5A"/>
    <w:rsid w:val="006643A5"/>
    <w:rsid w:val="006650AC"/>
    <w:rsid w:val="006653CA"/>
    <w:rsid w:val="006653D4"/>
    <w:rsid w:val="00665477"/>
    <w:rsid w:val="00665526"/>
    <w:rsid w:val="00665760"/>
    <w:rsid w:val="00665924"/>
    <w:rsid w:val="006659D8"/>
    <w:rsid w:val="0066650E"/>
    <w:rsid w:val="00666994"/>
    <w:rsid w:val="00667678"/>
    <w:rsid w:val="006704AF"/>
    <w:rsid w:val="0067160C"/>
    <w:rsid w:val="00671F42"/>
    <w:rsid w:val="006720C3"/>
    <w:rsid w:val="006722FE"/>
    <w:rsid w:val="006723E2"/>
    <w:rsid w:val="00672423"/>
    <w:rsid w:val="006728CD"/>
    <w:rsid w:val="0067291B"/>
    <w:rsid w:val="00672F9A"/>
    <w:rsid w:val="00673CE2"/>
    <w:rsid w:val="006747F9"/>
    <w:rsid w:val="00674A52"/>
    <w:rsid w:val="00674DC9"/>
    <w:rsid w:val="00674F17"/>
    <w:rsid w:val="006751A8"/>
    <w:rsid w:val="00676935"/>
    <w:rsid w:val="006779F9"/>
    <w:rsid w:val="00677AA0"/>
    <w:rsid w:val="006809FE"/>
    <w:rsid w:val="00681158"/>
    <w:rsid w:val="00681DF7"/>
    <w:rsid w:val="0068254D"/>
    <w:rsid w:val="00682C01"/>
    <w:rsid w:val="00683080"/>
    <w:rsid w:val="0068350D"/>
    <w:rsid w:val="0068375B"/>
    <w:rsid w:val="006851F3"/>
    <w:rsid w:val="00685EA4"/>
    <w:rsid w:val="00687083"/>
    <w:rsid w:val="00687977"/>
    <w:rsid w:val="00687F0B"/>
    <w:rsid w:val="00691000"/>
    <w:rsid w:val="0069101F"/>
    <w:rsid w:val="006911BD"/>
    <w:rsid w:val="006928E5"/>
    <w:rsid w:val="00692FEA"/>
    <w:rsid w:val="006931A3"/>
    <w:rsid w:val="006932C7"/>
    <w:rsid w:val="0069363B"/>
    <w:rsid w:val="00693B5E"/>
    <w:rsid w:val="00693BE2"/>
    <w:rsid w:val="00694B3E"/>
    <w:rsid w:val="0069538E"/>
    <w:rsid w:val="006954F4"/>
    <w:rsid w:val="00695946"/>
    <w:rsid w:val="006970B5"/>
    <w:rsid w:val="00697D2B"/>
    <w:rsid w:val="00697FB8"/>
    <w:rsid w:val="006A1764"/>
    <w:rsid w:val="006A207A"/>
    <w:rsid w:val="006A240A"/>
    <w:rsid w:val="006A25F7"/>
    <w:rsid w:val="006A2C4C"/>
    <w:rsid w:val="006A392D"/>
    <w:rsid w:val="006A3D0F"/>
    <w:rsid w:val="006A3D60"/>
    <w:rsid w:val="006A40FA"/>
    <w:rsid w:val="006A44BC"/>
    <w:rsid w:val="006A45D4"/>
    <w:rsid w:val="006A51C6"/>
    <w:rsid w:val="006A51F8"/>
    <w:rsid w:val="006A584A"/>
    <w:rsid w:val="006A58D0"/>
    <w:rsid w:val="006A5FAE"/>
    <w:rsid w:val="006A5FD9"/>
    <w:rsid w:val="006A6270"/>
    <w:rsid w:val="006A64DE"/>
    <w:rsid w:val="006A672E"/>
    <w:rsid w:val="006A676E"/>
    <w:rsid w:val="006A6BD0"/>
    <w:rsid w:val="006A6D1C"/>
    <w:rsid w:val="006A6EAD"/>
    <w:rsid w:val="006A7231"/>
    <w:rsid w:val="006A731A"/>
    <w:rsid w:val="006A7FC8"/>
    <w:rsid w:val="006B133F"/>
    <w:rsid w:val="006B1A5B"/>
    <w:rsid w:val="006B1E6D"/>
    <w:rsid w:val="006B2D73"/>
    <w:rsid w:val="006B43DF"/>
    <w:rsid w:val="006B4B84"/>
    <w:rsid w:val="006B532C"/>
    <w:rsid w:val="006B573E"/>
    <w:rsid w:val="006B5924"/>
    <w:rsid w:val="006B5FDD"/>
    <w:rsid w:val="006B6117"/>
    <w:rsid w:val="006B61B3"/>
    <w:rsid w:val="006B71E2"/>
    <w:rsid w:val="006B7385"/>
    <w:rsid w:val="006B7625"/>
    <w:rsid w:val="006B7683"/>
    <w:rsid w:val="006C0A73"/>
    <w:rsid w:val="006C1622"/>
    <w:rsid w:val="006C1DA8"/>
    <w:rsid w:val="006C1DB1"/>
    <w:rsid w:val="006C22E5"/>
    <w:rsid w:val="006C2633"/>
    <w:rsid w:val="006C27DB"/>
    <w:rsid w:val="006C2848"/>
    <w:rsid w:val="006C377D"/>
    <w:rsid w:val="006C39FD"/>
    <w:rsid w:val="006C4910"/>
    <w:rsid w:val="006C574A"/>
    <w:rsid w:val="006C59F8"/>
    <w:rsid w:val="006C5F2B"/>
    <w:rsid w:val="006C69A6"/>
    <w:rsid w:val="006C6B02"/>
    <w:rsid w:val="006C6C3B"/>
    <w:rsid w:val="006C6C48"/>
    <w:rsid w:val="006C743C"/>
    <w:rsid w:val="006D01ED"/>
    <w:rsid w:val="006D059E"/>
    <w:rsid w:val="006D098B"/>
    <w:rsid w:val="006D1386"/>
    <w:rsid w:val="006D233E"/>
    <w:rsid w:val="006D27E4"/>
    <w:rsid w:val="006D3044"/>
    <w:rsid w:val="006D3490"/>
    <w:rsid w:val="006D398E"/>
    <w:rsid w:val="006D40D3"/>
    <w:rsid w:val="006D4569"/>
    <w:rsid w:val="006D4645"/>
    <w:rsid w:val="006D4982"/>
    <w:rsid w:val="006D4B58"/>
    <w:rsid w:val="006D4D5F"/>
    <w:rsid w:val="006D4F96"/>
    <w:rsid w:val="006D571D"/>
    <w:rsid w:val="006D6FB1"/>
    <w:rsid w:val="006E0123"/>
    <w:rsid w:val="006E0B94"/>
    <w:rsid w:val="006E10F5"/>
    <w:rsid w:val="006E148F"/>
    <w:rsid w:val="006E1714"/>
    <w:rsid w:val="006E196D"/>
    <w:rsid w:val="006E2323"/>
    <w:rsid w:val="006E271D"/>
    <w:rsid w:val="006E37FB"/>
    <w:rsid w:val="006E43EC"/>
    <w:rsid w:val="006E497B"/>
    <w:rsid w:val="006E5300"/>
    <w:rsid w:val="006E5EFE"/>
    <w:rsid w:val="006E5FAB"/>
    <w:rsid w:val="006E6004"/>
    <w:rsid w:val="006E64E9"/>
    <w:rsid w:val="006E6615"/>
    <w:rsid w:val="006E6DF6"/>
    <w:rsid w:val="006F0131"/>
    <w:rsid w:val="006F04D9"/>
    <w:rsid w:val="006F088D"/>
    <w:rsid w:val="006F0ABA"/>
    <w:rsid w:val="006F10C2"/>
    <w:rsid w:val="006F1406"/>
    <w:rsid w:val="006F1824"/>
    <w:rsid w:val="006F1D2B"/>
    <w:rsid w:val="006F25A5"/>
    <w:rsid w:val="006F3A19"/>
    <w:rsid w:val="006F3CDD"/>
    <w:rsid w:val="006F42EB"/>
    <w:rsid w:val="006F47BD"/>
    <w:rsid w:val="006F4D09"/>
    <w:rsid w:val="006F6306"/>
    <w:rsid w:val="006F66B7"/>
    <w:rsid w:val="006F68AC"/>
    <w:rsid w:val="006F6B37"/>
    <w:rsid w:val="006F6C7E"/>
    <w:rsid w:val="006F79C0"/>
    <w:rsid w:val="006F7B26"/>
    <w:rsid w:val="006F7E2B"/>
    <w:rsid w:val="00700217"/>
    <w:rsid w:val="00700906"/>
    <w:rsid w:val="00700A61"/>
    <w:rsid w:val="00700C4B"/>
    <w:rsid w:val="00701651"/>
    <w:rsid w:val="00702012"/>
    <w:rsid w:val="0070254C"/>
    <w:rsid w:val="00702713"/>
    <w:rsid w:val="00702BDF"/>
    <w:rsid w:val="00703BF0"/>
    <w:rsid w:val="00703E1D"/>
    <w:rsid w:val="00704624"/>
    <w:rsid w:val="007047E8"/>
    <w:rsid w:val="007054CF"/>
    <w:rsid w:val="00705513"/>
    <w:rsid w:val="00705D40"/>
    <w:rsid w:val="0070701D"/>
    <w:rsid w:val="007070C0"/>
    <w:rsid w:val="00707CB7"/>
    <w:rsid w:val="00707E80"/>
    <w:rsid w:val="00710BF4"/>
    <w:rsid w:val="00711183"/>
    <w:rsid w:val="0071139A"/>
    <w:rsid w:val="00712388"/>
    <w:rsid w:val="00712CE4"/>
    <w:rsid w:val="00713972"/>
    <w:rsid w:val="0071416E"/>
    <w:rsid w:val="007143CA"/>
    <w:rsid w:val="00714A9B"/>
    <w:rsid w:val="00714B78"/>
    <w:rsid w:val="00715398"/>
    <w:rsid w:val="00715717"/>
    <w:rsid w:val="00716272"/>
    <w:rsid w:val="00716B6B"/>
    <w:rsid w:val="007171D9"/>
    <w:rsid w:val="00717285"/>
    <w:rsid w:val="00717364"/>
    <w:rsid w:val="007178FB"/>
    <w:rsid w:val="00717980"/>
    <w:rsid w:val="00717C87"/>
    <w:rsid w:val="007208BC"/>
    <w:rsid w:val="0072090C"/>
    <w:rsid w:val="00721161"/>
    <w:rsid w:val="007218FD"/>
    <w:rsid w:val="00721A0C"/>
    <w:rsid w:val="00721E70"/>
    <w:rsid w:val="00722574"/>
    <w:rsid w:val="0072275D"/>
    <w:rsid w:val="007227F0"/>
    <w:rsid w:val="00722BAF"/>
    <w:rsid w:val="00722C41"/>
    <w:rsid w:val="00722D13"/>
    <w:rsid w:val="00723012"/>
    <w:rsid w:val="007237D9"/>
    <w:rsid w:val="00723C91"/>
    <w:rsid w:val="007243D4"/>
    <w:rsid w:val="0072561E"/>
    <w:rsid w:val="00725B40"/>
    <w:rsid w:val="0072618E"/>
    <w:rsid w:val="007262CF"/>
    <w:rsid w:val="00726568"/>
    <w:rsid w:val="00726C93"/>
    <w:rsid w:val="00727532"/>
    <w:rsid w:val="00727535"/>
    <w:rsid w:val="00727582"/>
    <w:rsid w:val="00727883"/>
    <w:rsid w:val="0073026C"/>
    <w:rsid w:val="007315EA"/>
    <w:rsid w:val="00731C5D"/>
    <w:rsid w:val="00732582"/>
    <w:rsid w:val="00732E28"/>
    <w:rsid w:val="0073382C"/>
    <w:rsid w:val="00733D0F"/>
    <w:rsid w:val="0073481B"/>
    <w:rsid w:val="00734A31"/>
    <w:rsid w:val="00735525"/>
    <w:rsid w:val="007355CD"/>
    <w:rsid w:val="00736346"/>
    <w:rsid w:val="0073657C"/>
    <w:rsid w:val="00736612"/>
    <w:rsid w:val="00736B7B"/>
    <w:rsid w:val="00737193"/>
    <w:rsid w:val="007375C6"/>
    <w:rsid w:val="0074076F"/>
    <w:rsid w:val="007421AE"/>
    <w:rsid w:val="00742E3E"/>
    <w:rsid w:val="00742FA0"/>
    <w:rsid w:val="00743129"/>
    <w:rsid w:val="00743A03"/>
    <w:rsid w:val="00743D3B"/>
    <w:rsid w:val="00744B5E"/>
    <w:rsid w:val="00744C91"/>
    <w:rsid w:val="0074555A"/>
    <w:rsid w:val="00745DE2"/>
    <w:rsid w:val="00746000"/>
    <w:rsid w:val="00746032"/>
    <w:rsid w:val="00746CD5"/>
    <w:rsid w:val="00746CFF"/>
    <w:rsid w:val="0075010E"/>
    <w:rsid w:val="007502EF"/>
    <w:rsid w:val="00751484"/>
    <w:rsid w:val="007520EE"/>
    <w:rsid w:val="0075280B"/>
    <w:rsid w:val="007536CC"/>
    <w:rsid w:val="0075414E"/>
    <w:rsid w:val="007545FB"/>
    <w:rsid w:val="00754CA8"/>
    <w:rsid w:val="00755B4E"/>
    <w:rsid w:val="00756032"/>
    <w:rsid w:val="0075609E"/>
    <w:rsid w:val="00756E33"/>
    <w:rsid w:val="00757B9A"/>
    <w:rsid w:val="00757D7B"/>
    <w:rsid w:val="007617ED"/>
    <w:rsid w:val="00761B28"/>
    <w:rsid w:val="0076222F"/>
    <w:rsid w:val="00762511"/>
    <w:rsid w:val="00763262"/>
    <w:rsid w:val="00763B13"/>
    <w:rsid w:val="0076429A"/>
    <w:rsid w:val="007642D2"/>
    <w:rsid w:val="007648E2"/>
    <w:rsid w:val="00764ED4"/>
    <w:rsid w:val="00765356"/>
    <w:rsid w:val="00765BBC"/>
    <w:rsid w:val="0076605C"/>
    <w:rsid w:val="007666AA"/>
    <w:rsid w:val="007707E3"/>
    <w:rsid w:val="00770DE0"/>
    <w:rsid w:val="00770E10"/>
    <w:rsid w:val="00771076"/>
    <w:rsid w:val="00771B89"/>
    <w:rsid w:val="00771C88"/>
    <w:rsid w:val="00772745"/>
    <w:rsid w:val="00772A01"/>
    <w:rsid w:val="00773F9C"/>
    <w:rsid w:val="00774213"/>
    <w:rsid w:val="0077439F"/>
    <w:rsid w:val="00774E77"/>
    <w:rsid w:val="00774F6B"/>
    <w:rsid w:val="00775014"/>
    <w:rsid w:val="007773C5"/>
    <w:rsid w:val="00777B5D"/>
    <w:rsid w:val="00777BFA"/>
    <w:rsid w:val="00777D48"/>
    <w:rsid w:val="00780482"/>
    <w:rsid w:val="00780972"/>
    <w:rsid w:val="00780E7B"/>
    <w:rsid w:val="00780FA6"/>
    <w:rsid w:val="00781017"/>
    <w:rsid w:val="00781596"/>
    <w:rsid w:val="0078189C"/>
    <w:rsid w:val="007819CA"/>
    <w:rsid w:val="00781A98"/>
    <w:rsid w:val="00781C7F"/>
    <w:rsid w:val="00781E84"/>
    <w:rsid w:val="00782F46"/>
    <w:rsid w:val="007832E2"/>
    <w:rsid w:val="00785B14"/>
    <w:rsid w:val="00785B7B"/>
    <w:rsid w:val="00786325"/>
    <w:rsid w:val="0078632D"/>
    <w:rsid w:val="007864B2"/>
    <w:rsid w:val="007865A0"/>
    <w:rsid w:val="00786812"/>
    <w:rsid w:val="007869D8"/>
    <w:rsid w:val="00786B73"/>
    <w:rsid w:val="00787819"/>
    <w:rsid w:val="00787906"/>
    <w:rsid w:val="00787CC6"/>
    <w:rsid w:val="00790893"/>
    <w:rsid w:val="00790C45"/>
    <w:rsid w:val="00791A86"/>
    <w:rsid w:val="00791B77"/>
    <w:rsid w:val="00791BB7"/>
    <w:rsid w:val="0079214F"/>
    <w:rsid w:val="00792277"/>
    <w:rsid w:val="00792BD8"/>
    <w:rsid w:val="00793EA4"/>
    <w:rsid w:val="00794812"/>
    <w:rsid w:val="00794C82"/>
    <w:rsid w:val="00794D86"/>
    <w:rsid w:val="00794E74"/>
    <w:rsid w:val="0079521C"/>
    <w:rsid w:val="00795A97"/>
    <w:rsid w:val="0079646D"/>
    <w:rsid w:val="00796A15"/>
    <w:rsid w:val="007979B0"/>
    <w:rsid w:val="00797CE2"/>
    <w:rsid w:val="007A13DB"/>
    <w:rsid w:val="007A17A4"/>
    <w:rsid w:val="007A2683"/>
    <w:rsid w:val="007A2C08"/>
    <w:rsid w:val="007A3380"/>
    <w:rsid w:val="007A340E"/>
    <w:rsid w:val="007A3909"/>
    <w:rsid w:val="007A3DDB"/>
    <w:rsid w:val="007A4A50"/>
    <w:rsid w:val="007A4FEB"/>
    <w:rsid w:val="007A50A6"/>
    <w:rsid w:val="007A589E"/>
    <w:rsid w:val="007A5D09"/>
    <w:rsid w:val="007A5FF4"/>
    <w:rsid w:val="007A6C56"/>
    <w:rsid w:val="007A70A5"/>
    <w:rsid w:val="007A783F"/>
    <w:rsid w:val="007A7848"/>
    <w:rsid w:val="007B0046"/>
    <w:rsid w:val="007B0A31"/>
    <w:rsid w:val="007B0D18"/>
    <w:rsid w:val="007B10B4"/>
    <w:rsid w:val="007B161E"/>
    <w:rsid w:val="007B18D3"/>
    <w:rsid w:val="007B1C9C"/>
    <w:rsid w:val="007B2708"/>
    <w:rsid w:val="007B3592"/>
    <w:rsid w:val="007B38EE"/>
    <w:rsid w:val="007B3C83"/>
    <w:rsid w:val="007B5FD4"/>
    <w:rsid w:val="007B6FEB"/>
    <w:rsid w:val="007B772F"/>
    <w:rsid w:val="007B77CD"/>
    <w:rsid w:val="007C0480"/>
    <w:rsid w:val="007C0909"/>
    <w:rsid w:val="007C197E"/>
    <w:rsid w:val="007C254C"/>
    <w:rsid w:val="007C2895"/>
    <w:rsid w:val="007C2CDB"/>
    <w:rsid w:val="007C3124"/>
    <w:rsid w:val="007C3EC7"/>
    <w:rsid w:val="007C3F40"/>
    <w:rsid w:val="007C3F66"/>
    <w:rsid w:val="007C4034"/>
    <w:rsid w:val="007C5520"/>
    <w:rsid w:val="007C5647"/>
    <w:rsid w:val="007C5914"/>
    <w:rsid w:val="007C6AA4"/>
    <w:rsid w:val="007C6BEC"/>
    <w:rsid w:val="007C6D51"/>
    <w:rsid w:val="007C7966"/>
    <w:rsid w:val="007C7983"/>
    <w:rsid w:val="007D0E82"/>
    <w:rsid w:val="007D0EE4"/>
    <w:rsid w:val="007D1094"/>
    <w:rsid w:val="007D113B"/>
    <w:rsid w:val="007D19BE"/>
    <w:rsid w:val="007D250D"/>
    <w:rsid w:val="007D2983"/>
    <w:rsid w:val="007D381B"/>
    <w:rsid w:val="007D415A"/>
    <w:rsid w:val="007D4200"/>
    <w:rsid w:val="007D47D3"/>
    <w:rsid w:val="007D485A"/>
    <w:rsid w:val="007D5B1F"/>
    <w:rsid w:val="007D5B90"/>
    <w:rsid w:val="007D6961"/>
    <w:rsid w:val="007D6DA9"/>
    <w:rsid w:val="007D6E94"/>
    <w:rsid w:val="007D75EF"/>
    <w:rsid w:val="007D76D1"/>
    <w:rsid w:val="007D7EDF"/>
    <w:rsid w:val="007E02C7"/>
    <w:rsid w:val="007E150C"/>
    <w:rsid w:val="007E2344"/>
    <w:rsid w:val="007E248C"/>
    <w:rsid w:val="007E2BCE"/>
    <w:rsid w:val="007E2E66"/>
    <w:rsid w:val="007E3133"/>
    <w:rsid w:val="007E36F4"/>
    <w:rsid w:val="007E39F3"/>
    <w:rsid w:val="007E3A1A"/>
    <w:rsid w:val="007E406B"/>
    <w:rsid w:val="007E4451"/>
    <w:rsid w:val="007E4A29"/>
    <w:rsid w:val="007E4D57"/>
    <w:rsid w:val="007E5E3D"/>
    <w:rsid w:val="007E60AF"/>
    <w:rsid w:val="007E6C5B"/>
    <w:rsid w:val="007F072E"/>
    <w:rsid w:val="007F0AEC"/>
    <w:rsid w:val="007F0C66"/>
    <w:rsid w:val="007F0E2E"/>
    <w:rsid w:val="007F1085"/>
    <w:rsid w:val="007F413E"/>
    <w:rsid w:val="007F43BE"/>
    <w:rsid w:val="007F51FB"/>
    <w:rsid w:val="007F53B7"/>
    <w:rsid w:val="007F57E7"/>
    <w:rsid w:val="007F5B26"/>
    <w:rsid w:val="007F5C77"/>
    <w:rsid w:val="007F660B"/>
    <w:rsid w:val="007F6805"/>
    <w:rsid w:val="007F6A42"/>
    <w:rsid w:val="007F6B77"/>
    <w:rsid w:val="007F715F"/>
    <w:rsid w:val="007F7B28"/>
    <w:rsid w:val="00800D4D"/>
    <w:rsid w:val="0080199F"/>
    <w:rsid w:val="00801A8A"/>
    <w:rsid w:val="00801BC7"/>
    <w:rsid w:val="0080219E"/>
    <w:rsid w:val="008028D6"/>
    <w:rsid w:val="00802B1A"/>
    <w:rsid w:val="00802F6B"/>
    <w:rsid w:val="00803641"/>
    <w:rsid w:val="008040E6"/>
    <w:rsid w:val="0080480A"/>
    <w:rsid w:val="00804B7F"/>
    <w:rsid w:val="00804DB2"/>
    <w:rsid w:val="0080505A"/>
    <w:rsid w:val="00805857"/>
    <w:rsid w:val="00806A00"/>
    <w:rsid w:val="00806BEF"/>
    <w:rsid w:val="00807133"/>
    <w:rsid w:val="0080752A"/>
    <w:rsid w:val="00807674"/>
    <w:rsid w:val="00807748"/>
    <w:rsid w:val="00810E7B"/>
    <w:rsid w:val="00811AAC"/>
    <w:rsid w:val="00812866"/>
    <w:rsid w:val="00812DC9"/>
    <w:rsid w:val="00813301"/>
    <w:rsid w:val="008135E0"/>
    <w:rsid w:val="00813B98"/>
    <w:rsid w:val="008140AA"/>
    <w:rsid w:val="00814838"/>
    <w:rsid w:val="00815B65"/>
    <w:rsid w:val="008160FC"/>
    <w:rsid w:val="00816B51"/>
    <w:rsid w:val="0081726B"/>
    <w:rsid w:val="00817571"/>
    <w:rsid w:val="00817965"/>
    <w:rsid w:val="00817BDB"/>
    <w:rsid w:val="00817F98"/>
    <w:rsid w:val="008204D8"/>
    <w:rsid w:val="008211FB"/>
    <w:rsid w:val="00821493"/>
    <w:rsid w:val="008217CD"/>
    <w:rsid w:val="008221F9"/>
    <w:rsid w:val="00822A1F"/>
    <w:rsid w:val="008231B4"/>
    <w:rsid w:val="00824384"/>
    <w:rsid w:val="00824656"/>
    <w:rsid w:val="00824810"/>
    <w:rsid w:val="00824868"/>
    <w:rsid w:val="008249BC"/>
    <w:rsid w:val="00826318"/>
    <w:rsid w:val="00826BB1"/>
    <w:rsid w:val="00827654"/>
    <w:rsid w:val="00827FAC"/>
    <w:rsid w:val="00830150"/>
    <w:rsid w:val="00831339"/>
    <w:rsid w:val="00831DEE"/>
    <w:rsid w:val="008320A6"/>
    <w:rsid w:val="008328DA"/>
    <w:rsid w:val="00832FC3"/>
    <w:rsid w:val="0083317D"/>
    <w:rsid w:val="0083383A"/>
    <w:rsid w:val="00833EAD"/>
    <w:rsid w:val="008340CF"/>
    <w:rsid w:val="008343AA"/>
    <w:rsid w:val="00834F9F"/>
    <w:rsid w:val="00835936"/>
    <w:rsid w:val="00835E8D"/>
    <w:rsid w:val="0083634C"/>
    <w:rsid w:val="008363D4"/>
    <w:rsid w:val="0083739F"/>
    <w:rsid w:val="00837CFF"/>
    <w:rsid w:val="00840209"/>
    <w:rsid w:val="008402BC"/>
    <w:rsid w:val="008402D8"/>
    <w:rsid w:val="00840B94"/>
    <w:rsid w:val="00840D65"/>
    <w:rsid w:val="0084131C"/>
    <w:rsid w:val="008413C0"/>
    <w:rsid w:val="008414A1"/>
    <w:rsid w:val="00841520"/>
    <w:rsid w:val="0084166B"/>
    <w:rsid w:val="008417B1"/>
    <w:rsid w:val="008419C8"/>
    <w:rsid w:val="00841B17"/>
    <w:rsid w:val="008421F1"/>
    <w:rsid w:val="008425CC"/>
    <w:rsid w:val="008426FE"/>
    <w:rsid w:val="0084273B"/>
    <w:rsid w:val="008428BC"/>
    <w:rsid w:val="00842CC7"/>
    <w:rsid w:val="00842DB1"/>
    <w:rsid w:val="008436D6"/>
    <w:rsid w:val="00843712"/>
    <w:rsid w:val="00843783"/>
    <w:rsid w:val="00844958"/>
    <w:rsid w:val="00844F41"/>
    <w:rsid w:val="00845089"/>
    <w:rsid w:val="00845653"/>
    <w:rsid w:val="00845A6F"/>
    <w:rsid w:val="008462D5"/>
    <w:rsid w:val="008468D9"/>
    <w:rsid w:val="00846B30"/>
    <w:rsid w:val="00847C0A"/>
    <w:rsid w:val="008500C2"/>
    <w:rsid w:val="008501B2"/>
    <w:rsid w:val="008517F4"/>
    <w:rsid w:val="00851807"/>
    <w:rsid w:val="00851DDB"/>
    <w:rsid w:val="00852A52"/>
    <w:rsid w:val="00852C08"/>
    <w:rsid w:val="00852F38"/>
    <w:rsid w:val="00853274"/>
    <w:rsid w:val="00853402"/>
    <w:rsid w:val="00854177"/>
    <w:rsid w:val="00854484"/>
    <w:rsid w:val="008544F1"/>
    <w:rsid w:val="00854509"/>
    <w:rsid w:val="008545F2"/>
    <w:rsid w:val="008554B2"/>
    <w:rsid w:val="00855927"/>
    <w:rsid w:val="00855FE2"/>
    <w:rsid w:val="00856D86"/>
    <w:rsid w:val="008572BF"/>
    <w:rsid w:val="00857355"/>
    <w:rsid w:val="008576D6"/>
    <w:rsid w:val="00857B01"/>
    <w:rsid w:val="008605CA"/>
    <w:rsid w:val="008609DF"/>
    <w:rsid w:val="00860D39"/>
    <w:rsid w:val="008611AC"/>
    <w:rsid w:val="0086139D"/>
    <w:rsid w:val="00861DF3"/>
    <w:rsid w:val="008620D0"/>
    <w:rsid w:val="00862A45"/>
    <w:rsid w:val="00862CD2"/>
    <w:rsid w:val="00862D1B"/>
    <w:rsid w:val="00862DB1"/>
    <w:rsid w:val="00863326"/>
    <w:rsid w:val="00865199"/>
    <w:rsid w:val="0086528F"/>
    <w:rsid w:val="008654A7"/>
    <w:rsid w:val="0086576F"/>
    <w:rsid w:val="00866642"/>
    <w:rsid w:val="008666E8"/>
    <w:rsid w:val="00866E8D"/>
    <w:rsid w:val="008672CE"/>
    <w:rsid w:val="00867A1A"/>
    <w:rsid w:val="008703D5"/>
    <w:rsid w:val="008709BC"/>
    <w:rsid w:val="00870CFC"/>
    <w:rsid w:val="00870E0E"/>
    <w:rsid w:val="00870EE3"/>
    <w:rsid w:val="008714DB"/>
    <w:rsid w:val="0087176D"/>
    <w:rsid w:val="008717A9"/>
    <w:rsid w:val="00871913"/>
    <w:rsid w:val="00871DE8"/>
    <w:rsid w:val="00871EE5"/>
    <w:rsid w:val="00872049"/>
    <w:rsid w:val="00872077"/>
    <w:rsid w:val="0087230D"/>
    <w:rsid w:val="00872AE1"/>
    <w:rsid w:val="008732BE"/>
    <w:rsid w:val="00873EE8"/>
    <w:rsid w:val="0087419F"/>
    <w:rsid w:val="008743DA"/>
    <w:rsid w:val="00875BC2"/>
    <w:rsid w:val="0087652C"/>
    <w:rsid w:val="0087738A"/>
    <w:rsid w:val="00880A5A"/>
    <w:rsid w:val="008810D2"/>
    <w:rsid w:val="00881244"/>
    <w:rsid w:val="00881958"/>
    <w:rsid w:val="00881D13"/>
    <w:rsid w:val="00882F46"/>
    <w:rsid w:val="008832C9"/>
    <w:rsid w:val="00883724"/>
    <w:rsid w:val="00883BBC"/>
    <w:rsid w:val="00883E45"/>
    <w:rsid w:val="008845A4"/>
    <w:rsid w:val="008847D7"/>
    <w:rsid w:val="00884DD6"/>
    <w:rsid w:val="00885834"/>
    <w:rsid w:val="008859DE"/>
    <w:rsid w:val="00885AAB"/>
    <w:rsid w:val="0088672F"/>
    <w:rsid w:val="0088732F"/>
    <w:rsid w:val="00887730"/>
    <w:rsid w:val="00887982"/>
    <w:rsid w:val="00887B13"/>
    <w:rsid w:val="00887B8B"/>
    <w:rsid w:val="00887E84"/>
    <w:rsid w:val="00887F02"/>
    <w:rsid w:val="008911E7"/>
    <w:rsid w:val="008921ED"/>
    <w:rsid w:val="008925B4"/>
    <w:rsid w:val="0089263E"/>
    <w:rsid w:val="00892818"/>
    <w:rsid w:val="00892AE1"/>
    <w:rsid w:val="008930A1"/>
    <w:rsid w:val="00893AE6"/>
    <w:rsid w:val="00893D00"/>
    <w:rsid w:val="008953AE"/>
    <w:rsid w:val="00895821"/>
    <w:rsid w:val="00895BAE"/>
    <w:rsid w:val="008965E4"/>
    <w:rsid w:val="008966EE"/>
    <w:rsid w:val="00896939"/>
    <w:rsid w:val="00896B0B"/>
    <w:rsid w:val="0089713D"/>
    <w:rsid w:val="00897DDE"/>
    <w:rsid w:val="008A0013"/>
    <w:rsid w:val="008A0699"/>
    <w:rsid w:val="008A0732"/>
    <w:rsid w:val="008A13A1"/>
    <w:rsid w:val="008A14CE"/>
    <w:rsid w:val="008A226D"/>
    <w:rsid w:val="008A2580"/>
    <w:rsid w:val="008A25FA"/>
    <w:rsid w:val="008A3011"/>
    <w:rsid w:val="008A41BD"/>
    <w:rsid w:val="008A429C"/>
    <w:rsid w:val="008A4A25"/>
    <w:rsid w:val="008A4E37"/>
    <w:rsid w:val="008A4F03"/>
    <w:rsid w:val="008A6AEF"/>
    <w:rsid w:val="008A6E93"/>
    <w:rsid w:val="008A6EDB"/>
    <w:rsid w:val="008A7355"/>
    <w:rsid w:val="008A74A1"/>
    <w:rsid w:val="008A764C"/>
    <w:rsid w:val="008A7756"/>
    <w:rsid w:val="008A7C2F"/>
    <w:rsid w:val="008B0253"/>
    <w:rsid w:val="008B24CD"/>
    <w:rsid w:val="008B35A4"/>
    <w:rsid w:val="008B3849"/>
    <w:rsid w:val="008B4016"/>
    <w:rsid w:val="008B5197"/>
    <w:rsid w:val="008B521D"/>
    <w:rsid w:val="008B5739"/>
    <w:rsid w:val="008B57C7"/>
    <w:rsid w:val="008B618E"/>
    <w:rsid w:val="008B650D"/>
    <w:rsid w:val="008B6AE7"/>
    <w:rsid w:val="008C12DE"/>
    <w:rsid w:val="008C1F88"/>
    <w:rsid w:val="008C2020"/>
    <w:rsid w:val="008C35A8"/>
    <w:rsid w:val="008C3F5D"/>
    <w:rsid w:val="008C414E"/>
    <w:rsid w:val="008C4402"/>
    <w:rsid w:val="008C48FB"/>
    <w:rsid w:val="008C51EC"/>
    <w:rsid w:val="008C5F36"/>
    <w:rsid w:val="008C6125"/>
    <w:rsid w:val="008C657B"/>
    <w:rsid w:val="008C694A"/>
    <w:rsid w:val="008C7B59"/>
    <w:rsid w:val="008C7C53"/>
    <w:rsid w:val="008D04DE"/>
    <w:rsid w:val="008D0776"/>
    <w:rsid w:val="008D0C19"/>
    <w:rsid w:val="008D1145"/>
    <w:rsid w:val="008D170D"/>
    <w:rsid w:val="008D24EF"/>
    <w:rsid w:val="008D2C45"/>
    <w:rsid w:val="008D3091"/>
    <w:rsid w:val="008D3A50"/>
    <w:rsid w:val="008D3B04"/>
    <w:rsid w:val="008D3E42"/>
    <w:rsid w:val="008D44ED"/>
    <w:rsid w:val="008D5104"/>
    <w:rsid w:val="008D547E"/>
    <w:rsid w:val="008D573C"/>
    <w:rsid w:val="008D580D"/>
    <w:rsid w:val="008D611E"/>
    <w:rsid w:val="008D6603"/>
    <w:rsid w:val="008D6C04"/>
    <w:rsid w:val="008D7861"/>
    <w:rsid w:val="008E050D"/>
    <w:rsid w:val="008E0527"/>
    <w:rsid w:val="008E1EAA"/>
    <w:rsid w:val="008E2012"/>
    <w:rsid w:val="008E230B"/>
    <w:rsid w:val="008E2612"/>
    <w:rsid w:val="008E2BC7"/>
    <w:rsid w:val="008E3031"/>
    <w:rsid w:val="008E35A6"/>
    <w:rsid w:val="008E3A56"/>
    <w:rsid w:val="008E4156"/>
    <w:rsid w:val="008E4174"/>
    <w:rsid w:val="008E4AE6"/>
    <w:rsid w:val="008E4CED"/>
    <w:rsid w:val="008E50A0"/>
    <w:rsid w:val="008E58D8"/>
    <w:rsid w:val="008E5F38"/>
    <w:rsid w:val="008E68A7"/>
    <w:rsid w:val="008E6CFE"/>
    <w:rsid w:val="008F011E"/>
    <w:rsid w:val="008F0196"/>
    <w:rsid w:val="008F01A7"/>
    <w:rsid w:val="008F07AD"/>
    <w:rsid w:val="008F0D37"/>
    <w:rsid w:val="008F1B0C"/>
    <w:rsid w:val="008F1B7C"/>
    <w:rsid w:val="008F2490"/>
    <w:rsid w:val="008F2B66"/>
    <w:rsid w:val="008F41C6"/>
    <w:rsid w:val="008F4306"/>
    <w:rsid w:val="008F45E7"/>
    <w:rsid w:val="008F464F"/>
    <w:rsid w:val="008F4885"/>
    <w:rsid w:val="008F4B5B"/>
    <w:rsid w:val="008F502F"/>
    <w:rsid w:val="008F5257"/>
    <w:rsid w:val="008F6B40"/>
    <w:rsid w:val="0090134E"/>
    <w:rsid w:val="0090163C"/>
    <w:rsid w:val="00903028"/>
    <w:rsid w:val="00903531"/>
    <w:rsid w:val="0090360A"/>
    <w:rsid w:val="0090392B"/>
    <w:rsid w:val="00904BE5"/>
    <w:rsid w:val="00905010"/>
    <w:rsid w:val="0090711E"/>
    <w:rsid w:val="00907893"/>
    <w:rsid w:val="00907B63"/>
    <w:rsid w:val="0091033E"/>
    <w:rsid w:val="00910687"/>
    <w:rsid w:val="009115D7"/>
    <w:rsid w:val="009115EA"/>
    <w:rsid w:val="00911F75"/>
    <w:rsid w:val="00913A02"/>
    <w:rsid w:val="009141B2"/>
    <w:rsid w:val="0091438D"/>
    <w:rsid w:val="0091490A"/>
    <w:rsid w:val="009153EE"/>
    <w:rsid w:val="0091599B"/>
    <w:rsid w:val="00915C83"/>
    <w:rsid w:val="009163BD"/>
    <w:rsid w:val="009164D9"/>
    <w:rsid w:val="0091671E"/>
    <w:rsid w:val="0091768F"/>
    <w:rsid w:val="00917742"/>
    <w:rsid w:val="0092068F"/>
    <w:rsid w:val="00920CAB"/>
    <w:rsid w:val="00921E6E"/>
    <w:rsid w:val="00922C00"/>
    <w:rsid w:val="009245DE"/>
    <w:rsid w:val="00925B09"/>
    <w:rsid w:val="00925BCB"/>
    <w:rsid w:val="009273C9"/>
    <w:rsid w:val="00930C72"/>
    <w:rsid w:val="00931B76"/>
    <w:rsid w:val="00932133"/>
    <w:rsid w:val="0093238B"/>
    <w:rsid w:val="00933547"/>
    <w:rsid w:val="00933795"/>
    <w:rsid w:val="00933B88"/>
    <w:rsid w:val="00933D31"/>
    <w:rsid w:val="009348B0"/>
    <w:rsid w:val="009360A2"/>
    <w:rsid w:val="009364CB"/>
    <w:rsid w:val="009367AC"/>
    <w:rsid w:val="00937851"/>
    <w:rsid w:val="00937A2D"/>
    <w:rsid w:val="00941CFF"/>
    <w:rsid w:val="00941F6C"/>
    <w:rsid w:val="0094237C"/>
    <w:rsid w:val="009426CC"/>
    <w:rsid w:val="00942B81"/>
    <w:rsid w:val="00943094"/>
    <w:rsid w:val="00943188"/>
    <w:rsid w:val="0094387A"/>
    <w:rsid w:val="00944545"/>
    <w:rsid w:val="00944576"/>
    <w:rsid w:val="009446A4"/>
    <w:rsid w:val="0094517F"/>
    <w:rsid w:val="009454C9"/>
    <w:rsid w:val="00945502"/>
    <w:rsid w:val="00945AB7"/>
    <w:rsid w:val="00946093"/>
    <w:rsid w:val="00946EC7"/>
    <w:rsid w:val="009478DD"/>
    <w:rsid w:val="009508D9"/>
    <w:rsid w:val="00950B5A"/>
    <w:rsid w:val="00951BAE"/>
    <w:rsid w:val="009533D0"/>
    <w:rsid w:val="00953514"/>
    <w:rsid w:val="00953B95"/>
    <w:rsid w:val="00954362"/>
    <w:rsid w:val="00954DB0"/>
    <w:rsid w:val="0095572F"/>
    <w:rsid w:val="009559F6"/>
    <w:rsid w:val="00955FF1"/>
    <w:rsid w:val="00956614"/>
    <w:rsid w:val="00956836"/>
    <w:rsid w:val="00956EF2"/>
    <w:rsid w:val="00957FE9"/>
    <w:rsid w:val="00960399"/>
    <w:rsid w:val="0096098F"/>
    <w:rsid w:val="0096120B"/>
    <w:rsid w:val="0096135F"/>
    <w:rsid w:val="00961A66"/>
    <w:rsid w:val="009624AD"/>
    <w:rsid w:val="00962796"/>
    <w:rsid w:val="009629D0"/>
    <w:rsid w:val="00962FA2"/>
    <w:rsid w:val="00963041"/>
    <w:rsid w:val="00963106"/>
    <w:rsid w:val="00964761"/>
    <w:rsid w:val="00965772"/>
    <w:rsid w:val="00965A2B"/>
    <w:rsid w:val="00966F73"/>
    <w:rsid w:val="009672F9"/>
    <w:rsid w:val="00967778"/>
    <w:rsid w:val="0097014D"/>
    <w:rsid w:val="0097081B"/>
    <w:rsid w:val="00970F25"/>
    <w:rsid w:val="00970F32"/>
    <w:rsid w:val="009715C4"/>
    <w:rsid w:val="00971772"/>
    <w:rsid w:val="00971AFF"/>
    <w:rsid w:val="00971B9C"/>
    <w:rsid w:val="0097201A"/>
    <w:rsid w:val="009724B4"/>
    <w:rsid w:val="009731B1"/>
    <w:rsid w:val="00973E43"/>
    <w:rsid w:val="00974194"/>
    <w:rsid w:val="00974F19"/>
    <w:rsid w:val="009754E7"/>
    <w:rsid w:val="00975CE8"/>
    <w:rsid w:val="00976521"/>
    <w:rsid w:val="009765D8"/>
    <w:rsid w:val="00976C82"/>
    <w:rsid w:val="00977C46"/>
    <w:rsid w:val="009804FE"/>
    <w:rsid w:val="00981761"/>
    <w:rsid w:val="00981D2E"/>
    <w:rsid w:val="00981D67"/>
    <w:rsid w:val="00981F55"/>
    <w:rsid w:val="009821E6"/>
    <w:rsid w:val="00982273"/>
    <w:rsid w:val="009828A2"/>
    <w:rsid w:val="009828F2"/>
    <w:rsid w:val="00983257"/>
    <w:rsid w:val="00983489"/>
    <w:rsid w:val="009834B6"/>
    <w:rsid w:val="00983AD7"/>
    <w:rsid w:val="009849F5"/>
    <w:rsid w:val="00986C63"/>
    <w:rsid w:val="00986FE7"/>
    <w:rsid w:val="00987002"/>
    <w:rsid w:val="00987504"/>
    <w:rsid w:val="00987665"/>
    <w:rsid w:val="00987D15"/>
    <w:rsid w:val="00990805"/>
    <w:rsid w:val="00991B3E"/>
    <w:rsid w:val="00992C10"/>
    <w:rsid w:val="00993580"/>
    <w:rsid w:val="0099402E"/>
    <w:rsid w:val="00994D2A"/>
    <w:rsid w:val="00995233"/>
    <w:rsid w:val="0099669C"/>
    <w:rsid w:val="00996DB1"/>
    <w:rsid w:val="00997295"/>
    <w:rsid w:val="009978F0"/>
    <w:rsid w:val="00997957"/>
    <w:rsid w:val="009A004D"/>
    <w:rsid w:val="009A0A42"/>
    <w:rsid w:val="009A0DBD"/>
    <w:rsid w:val="009A1133"/>
    <w:rsid w:val="009A187A"/>
    <w:rsid w:val="009A1DDA"/>
    <w:rsid w:val="009A25F5"/>
    <w:rsid w:val="009A2C17"/>
    <w:rsid w:val="009A3AE7"/>
    <w:rsid w:val="009A3C06"/>
    <w:rsid w:val="009A4109"/>
    <w:rsid w:val="009A4947"/>
    <w:rsid w:val="009A5D7A"/>
    <w:rsid w:val="009A6692"/>
    <w:rsid w:val="009A72E1"/>
    <w:rsid w:val="009A7DB4"/>
    <w:rsid w:val="009B006D"/>
    <w:rsid w:val="009B0764"/>
    <w:rsid w:val="009B09DB"/>
    <w:rsid w:val="009B114D"/>
    <w:rsid w:val="009B1181"/>
    <w:rsid w:val="009B230D"/>
    <w:rsid w:val="009B3013"/>
    <w:rsid w:val="009B3065"/>
    <w:rsid w:val="009B3380"/>
    <w:rsid w:val="009B377E"/>
    <w:rsid w:val="009B5276"/>
    <w:rsid w:val="009B5925"/>
    <w:rsid w:val="009B69FD"/>
    <w:rsid w:val="009B7402"/>
    <w:rsid w:val="009B74E3"/>
    <w:rsid w:val="009B7C39"/>
    <w:rsid w:val="009C026C"/>
    <w:rsid w:val="009C1419"/>
    <w:rsid w:val="009C1D91"/>
    <w:rsid w:val="009C1E4D"/>
    <w:rsid w:val="009C1E81"/>
    <w:rsid w:val="009C20E3"/>
    <w:rsid w:val="009C293F"/>
    <w:rsid w:val="009C3048"/>
    <w:rsid w:val="009C3AB3"/>
    <w:rsid w:val="009C3C05"/>
    <w:rsid w:val="009C3C8E"/>
    <w:rsid w:val="009C488F"/>
    <w:rsid w:val="009C51FC"/>
    <w:rsid w:val="009C5300"/>
    <w:rsid w:val="009C5DFA"/>
    <w:rsid w:val="009C7CE2"/>
    <w:rsid w:val="009D097B"/>
    <w:rsid w:val="009D1664"/>
    <w:rsid w:val="009D2986"/>
    <w:rsid w:val="009D31C0"/>
    <w:rsid w:val="009D3316"/>
    <w:rsid w:val="009D34D8"/>
    <w:rsid w:val="009D369B"/>
    <w:rsid w:val="009D6376"/>
    <w:rsid w:val="009D6A9F"/>
    <w:rsid w:val="009D7AA5"/>
    <w:rsid w:val="009D7AE8"/>
    <w:rsid w:val="009D7B4F"/>
    <w:rsid w:val="009E050C"/>
    <w:rsid w:val="009E055C"/>
    <w:rsid w:val="009E1286"/>
    <w:rsid w:val="009E1B54"/>
    <w:rsid w:val="009E1E08"/>
    <w:rsid w:val="009E22AB"/>
    <w:rsid w:val="009E2E53"/>
    <w:rsid w:val="009E2E7C"/>
    <w:rsid w:val="009E2FB5"/>
    <w:rsid w:val="009E3426"/>
    <w:rsid w:val="009E346D"/>
    <w:rsid w:val="009E36AF"/>
    <w:rsid w:val="009E3B6D"/>
    <w:rsid w:val="009E3FC9"/>
    <w:rsid w:val="009E541C"/>
    <w:rsid w:val="009E5613"/>
    <w:rsid w:val="009E722F"/>
    <w:rsid w:val="009F0142"/>
    <w:rsid w:val="009F0574"/>
    <w:rsid w:val="009F0C2A"/>
    <w:rsid w:val="009F0ED7"/>
    <w:rsid w:val="009F1347"/>
    <w:rsid w:val="009F1500"/>
    <w:rsid w:val="009F23AB"/>
    <w:rsid w:val="009F37D3"/>
    <w:rsid w:val="009F3A65"/>
    <w:rsid w:val="009F3AE1"/>
    <w:rsid w:val="009F3BAB"/>
    <w:rsid w:val="009F48E2"/>
    <w:rsid w:val="009F4E13"/>
    <w:rsid w:val="009F5727"/>
    <w:rsid w:val="009F58C4"/>
    <w:rsid w:val="009F5B72"/>
    <w:rsid w:val="009F5D15"/>
    <w:rsid w:val="009F610A"/>
    <w:rsid w:val="009F62FA"/>
    <w:rsid w:val="009F75BA"/>
    <w:rsid w:val="009F7DB2"/>
    <w:rsid w:val="00A007DD"/>
    <w:rsid w:val="00A0099F"/>
    <w:rsid w:val="00A0129A"/>
    <w:rsid w:val="00A01625"/>
    <w:rsid w:val="00A019A6"/>
    <w:rsid w:val="00A0229C"/>
    <w:rsid w:val="00A02C9B"/>
    <w:rsid w:val="00A036E1"/>
    <w:rsid w:val="00A03CC1"/>
    <w:rsid w:val="00A03EE8"/>
    <w:rsid w:val="00A04039"/>
    <w:rsid w:val="00A0404F"/>
    <w:rsid w:val="00A04D9D"/>
    <w:rsid w:val="00A04E3A"/>
    <w:rsid w:val="00A05061"/>
    <w:rsid w:val="00A05231"/>
    <w:rsid w:val="00A05817"/>
    <w:rsid w:val="00A05A6E"/>
    <w:rsid w:val="00A069AD"/>
    <w:rsid w:val="00A06E64"/>
    <w:rsid w:val="00A070F4"/>
    <w:rsid w:val="00A07EBB"/>
    <w:rsid w:val="00A10356"/>
    <w:rsid w:val="00A103E9"/>
    <w:rsid w:val="00A115BF"/>
    <w:rsid w:val="00A1242F"/>
    <w:rsid w:val="00A124FE"/>
    <w:rsid w:val="00A12B91"/>
    <w:rsid w:val="00A12F03"/>
    <w:rsid w:val="00A13631"/>
    <w:rsid w:val="00A140FC"/>
    <w:rsid w:val="00A14106"/>
    <w:rsid w:val="00A1521E"/>
    <w:rsid w:val="00A152A7"/>
    <w:rsid w:val="00A1547F"/>
    <w:rsid w:val="00A17B17"/>
    <w:rsid w:val="00A17D7F"/>
    <w:rsid w:val="00A17D9F"/>
    <w:rsid w:val="00A2046F"/>
    <w:rsid w:val="00A20A03"/>
    <w:rsid w:val="00A20F1C"/>
    <w:rsid w:val="00A21115"/>
    <w:rsid w:val="00A21250"/>
    <w:rsid w:val="00A21628"/>
    <w:rsid w:val="00A21D19"/>
    <w:rsid w:val="00A226F2"/>
    <w:rsid w:val="00A22EED"/>
    <w:rsid w:val="00A2306D"/>
    <w:rsid w:val="00A233DB"/>
    <w:rsid w:val="00A23656"/>
    <w:rsid w:val="00A23946"/>
    <w:rsid w:val="00A24246"/>
    <w:rsid w:val="00A24797"/>
    <w:rsid w:val="00A24AF9"/>
    <w:rsid w:val="00A250E2"/>
    <w:rsid w:val="00A25485"/>
    <w:rsid w:val="00A25B8D"/>
    <w:rsid w:val="00A25CFD"/>
    <w:rsid w:val="00A25F6C"/>
    <w:rsid w:val="00A26080"/>
    <w:rsid w:val="00A26151"/>
    <w:rsid w:val="00A26233"/>
    <w:rsid w:val="00A2631A"/>
    <w:rsid w:val="00A263C7"/>
    <w:rsid w:val="00A26BF4"/>
    <w:rsid w:val="00A26FAF"/>
    <w:rsid w:val="00A271CF"/>
    <w:rsid w:val="00A27C65"/>
    <w:rsid w:val="00A3092A"/>
    <w:rsid w:val="00A30F54"/>
    <w:rsid w:val="00A311B6"/>
    <w:rsid w:val="00A3257B"/>
    <w:rsid w:val="00A3263E"/>
    <w:rsid w:val="00A32956"/>
    <w:rsid w:val="00A32D03"/>
    <w:rsid w:val="00A32E67"/>
    <w:rsid w:val="00A33844"/>
    <w:rsid w:val="00A348BA"/>
    <w:rsid w:val="00A348CC"/>
    <w:rsid w:val="00A34982"/>
    <w:rsid w:val="00A3508B"/>
    <w:rsid w:val="00A350D3"/>
    <w:rsid w:val="00A351B3"/>
    <w:rsid w:val="00A3591D"/>
    <w:rsid w:val="00A35B87"/>
    <w:rsid w:val="00A36060"/>
    <w:rsid w:val="00A367C4"/>
    <w:rsid w:val="00A40711"/>
    <w:rsid w:val="00A40B36"/>
    <w:rsid w:val="00A417A0"/>
    <w:rsid w:val="00A417F9"/>
    <w:rsid w:val="00A41E4E"/>
    <w:rsid w:val="00A425EB"/>
    <w:rsid w:val="00A42E0A"/>
    <w:rsid w:val="00A43280"/>
    <w:rsid w:val="00A44D88"/>
    <w:rsid w:val="00A454E4"/>
    <w:rsid w:val="00A45FA0"/>
    <w:rsid w:val="00A46796"/>
    <w:rsid w:val="00A46D05"/>
    <w:rsid w:val="00A47011"/>
    <w:rsid w:val="00A47C8C"/>
    <w:rsid w:val="00A5234C"/>
    <w:rsid w:val="00A52F5F"/>
    <w:rsid w:val="00A531EE"/>
    <w:rsid w:val="00A54268"/>
    <w:rsid w:val="00A54876"/>
    <w:rsid w:val="00A5488B"/>
    <w:rsid w:val="00A5545C"/>
    <w:rsid w:val="00A55F69"/>
    <w:rsid w:val="00A56333"/>
    <w:rsid w:val="00A5635A"/>
    <w:rsid w:val="00A57656"/>
    <w:rsid w:val="00A6088F"/>
    <w:rsid w:val="00A60B49"/>
    <w:rsid w:val="00A60CCE"/>
    <w:rsid w:val="00A61453"/>
    <w:rsid w:val="00A61563"/>
    <w:rsid w:val="00A618A3"/>
    <w:rsid w:val="00A61946"/>
    <w:rsid w:val="00A61F7B"/>
    <w:rsid w:val="00A62E55"/>
    <w:rsid w:val="00A6326C"/>
    <w:rsid w:val="00A6329B"/>
    <w:rsid w:val="00A63CB2"/>
    <w:rsid w:val="00A643F6"/>
    <w:rsid w:val="00A64D69"/>
    <w:rsid w:val="00A64F2F"/>
    <w:rsid w:val="00A65090"/>
    <w:rsid w:val="00A65123"/>
    <w:rsid w:val="00A656DF"/>
    <w:rsid w:val="00A6700E"/>
    <w:rsid w:val="00A675FD"/>
    <w:rsid w:val="00A67AD9"/>
    <w:rsid w:val="00A67CCE"/>
    <w:rsid w:val="00A70A5E"/>
    <w:rsid w:val="00A71F3C"/>
    <w:rsid w:val="00A72951"/>
    <w:rsid w:val="00A7303D"/>
    <w:rsid w:val="00A73781"/>
    <w:rsid w:val="00A737BD"/>
    <w:rsid w:val="00A73A04"/>
    <w:rsid w:val="00A754CE"/>
    <w:rsid w:val="00A76447"/>
    <w:rsid w:val="00A775C8"/>
    <w:rsid w:val="00A80B48"/>
    <w:rsid w:val="00A820F9"/>
    <w:rsid w:val="00A823F8"/>
    <w:rsid w:val="00A8257D"/>
    <w:rsid w:val="00A83562"/>
    <w:rsid w:val="00A835D1"/>
    <w:rsid w:val="00A85FB2"/>
    <w:rsid w:val="00A8636C"/>
    <w:rsid w:val="00A87023"/>
    <w:rsid w:val="00A9015B"/>
    <w:rsid w:val="00A90628"/>
    <w:rsid w:val="00A90BA9"/>
    <w:rsid w:val="00A91855"/>
    <w:rsid w:val="00A924DE"/>
    <w:rsid w:val="00A9333E"/>
    <w:rsid w:val="00A9446D"/>
    <w:rsid w:val="00A94FCF"/>
    <w:rsid w:val="00A9550C"/>
    <w:rsid w:val="00A95AE5"/>
    <w:rsid w:val="00A960FC"/>
    <w:rsid w:val="00A9664D"/>
    <w:rsid w:val="00A966D5"/>
    <w:rsid w:val="00A9675F"/>
    <w:rsid w:val="00A97081"/>
    <w:rsid w:val="00A97447"/>
    <w:rsid w:val="00A97F3F"/>
    <w:rsid w:val="00AA1016"/>
    <w:rsid w:val="00AA185F"/>
    <w:rsid w:val="00AA1BA1"/>
    <w:rsid w:val="00AA2095"/>
    <w:rsid w:val="00AA224F"/>
    <w:rsid w:val="00AA2759"/>
    <w:rsid w:val="00AA2956"/>
    <w:rsid w:val="00AA2A87"/>
    <w:rsid w:val="00AA3BD1"/>
    <w:rsid w:val="00AA3CF5"/>
    <w:rsid w:val="00AA5AA1"/>
    <w:rsid w:val="00AA6BCA"/>
    <w:rsid w:val="00AA71E7"/>
    <w:rsid w:val="00AB00A3"/>
    <w:rsid w:val="00AB01F1"/>
    <w:rsid w:val="00AB0FAD"/>
    <w:rsid w:val="00AB129B"/>
    <w:rsid w:val="00AB13DB"/>
    <w:rsid w:val="00AB1489"/>
    <w:rsid w:val="00AB1FFC"/>
    <w:rsid w:val="00AB29B2"/>
    <w:rsid w:val="00AB2C38"/>
    <w:rsid w:val="00AB3BDB"/>
    <w:rsid w:val="00AB3C41"/>
    <w:rsid w:val="00AB3FD6"/>
    <w:rsid w:val="00AB4211"/>
    <w:rsid w:val="00AB4706"/>
    <w:rsid w:val="00AB4DB3"/>
    <w:rsid w:val="00AB5035"/>
    <w:rsid w:val="00AB5308"/>
    <w:rsid w:val="00AB61DE"/>
    <w:rsid w:val="00AB629E"/>
    <w:rsid w:val="00AB7612"/>
    <w:rsid w:val="00AB77BF"/>
    <w:rsid w:val="00AC00DA"/>
    <w:rsid w:val="00AC0243"/>
    <w:rsid w:val="00AC09B6"/>
    <w:rsid w:val="00AC0B3B"/>
    <w:rsid w:val="00AC128B"/>
    <w:rsid w:val="00AC1FD3"/>
    <w:rsid w:val="00AC28D7"/>
    <w:rsid w:val="00AC312B"/>
    <w:rsid w:val="00AC3726"/>
    <w:rsid w:val="00AC38CB"/>
    <w:rsid w:val="00AC39D7"/>
    <w:rsid w:val="00AC3A1F"/>
    <w:rsid w:val="00AC3F8F"/>
    <w:rsid w:val="00AC49A1"/>
    <w:rsid w:val="00AC4BA8"/>
    <w:rsid w:val="00AC63B8"/>
    <w:rsid w:val="00AC643B"/>
    <w:rsid w:val="00AC715D"/>
    <w:rsid w:val="00AD07EC"/>
    <w:rsid w:val="00AD228B"/>
    <w:rsid w:val="00AD2392"/>
    <w:rsid w:val="00AD26F6"/>
    <w:rsid w:val="00AD3765"/>
    <w:rsid w:val="00AD378C"/>
    <w:rsid w:val="00AD3DD6"/>
    <w:rsid w:val="00AD4547"/>
    <w:rsid w:val="00AD49FA"/>
    <w:rsid w:val="00AD4AD8"/>
    <w:rsid w:val="00AD4CA9"/>
    <w:rsid w:val="00AD502D"/>
    <w:rsid w:val="00AD5D99"/>
    <w:rsid w:val="00AD5EEB"/>
    <w:rsid w:val="00AD5F6B"/>
    <w:rsid w:val="00AD664B"/>
    <w:rsid w:val="00AD6E56"/>
    <w:rsid w:val="00AD70BE"/>
    <w:rsid w:val="00AD71A9"/>
    <w:rsid w:val="00AD7938"/>
    <w:rsid w:val="00AE0433"/>
    <w:rsid w:val="00AE06F7"/>
    <w:rsid w:val="00AE122F"/>
    <w:rsid w:val="00AE1E89"/>
    <w:rsid w:val="00AE247F"/>
    <w:rsid w:val="00AE27A0"/>
    <w:rsid w:val="00AE2912"/>
    <w:rsid w:val="00AE2A12"/>
    <w:rsid w:val="00AE2A61"/>
    <w:rsid w:val="00AE3493"/>
    <w:rsid w:val="00AE3D06"/>
    <w:rsid w:val="00AE616A"/>
    <w:rsid w:val="00AE6234"/>
    <w:rsid w:val="00AE632B"/>
    <w:rsid w:val="00AE6F60"/>
    <w:rsid w:val="00AF0524"/>
    <w:rsid w:val="00AF062B"/>
    <w:rsid w:val="00AF0B93"/>
    <w:rsid w:val="00AF0BD3"/>
    <w:rsid w:val="00AF0E53"/>
    <w:rsid w:val="00AF154D"/>
    <w:rsid w:val="00AF23BD"/>
    <w:rsid w:val="00AF2684"/>
    <w:rsid w:val="00AF2D55"/>
    <w:rsid w:val="00AF3253"/>
    <w:rsid w:val="00AF3287"/>
    <w:rsid w:val="00AF3861"/>
    <w:rsid w:val="00AF414E"/>
    <w:rsid w:val="00AF46C4"/>
    <w:rsid w:val="00AF4BD7"/>
    <w:rsid w:val="00AF5530"/>
    <w:rsid w:val="00AF5FE3"/>
    <w:rsid w:val="00AF69C6"/>
    <w:rsid w:val="00AF6D42"/>
    <w:rsid w:val="00AF7D9E"/>
    <w:rsid w:val="00B003D0"/>
    <w:rsid w:val="00B00582"/>
    <w:rsid w:val="00B00795"/>
    <w:rsid w:val="00B00AFA"/>
    <w:rsid w:val="00B01756"/>
    <w:rsid w:val="00B01B73"/>
    <w:rsid w:val="00B02583"/>
    <w:rsid w:val="00B02602"/>
    <w:rsid w:val="00B02695"/>
    <w:rsid w:val="00B0292A"/>
    <w:rsid w:val="00B0308B"/>
    <w:rsid w:val="00B03874"/>
    <w:rsid w:val="00B039AF"/>
    <w:rsid w:val="00B04610"/>
    <w:rsid w:val="00B053D2"/>
    <w:rsid w:val="00B055CD"/>
    <w:rsid w:val="00B0605C"/>
    <w:rsid w:val="00B067AA"/>
    <w:rsid w:val="00B06BB1"/>
    <w:rsid w:val="00B06FE5"/>
    <w:rsid w:val="00B074CC"/>
    <w:rsid w:val="00B07C1D"/>
    <w:rsid w:val="00B07EFD"/>
    <w:rsid w:val="00B10240"/>
    <w:rsid w:val="00B109AB"/>
    <w:rsid w:val="00B120D9"/>
    <w:rsid w:val="00B1243A"/>
    <w:rsid w:val="00B12965"/>
    <w:rsid w:val="00B13421"/>
    <w:rsid w:val="00B1400C"/>
    <w:rsid w:val="00B14636"/>
    <w:rsid w:val="00B150AC"/>
    <w:rsid w:val="00B15435"/>
    <w:rsid w:val="00B16026"/>
    <w:rsid w:val="00B16105"/>
    <w:rsid w:val="00B16182"/>
    <w:rsid w:val="00B162AD"/>
    <w:rsid w:val="00B167AC"/>
    <w:rsid w:val="00B1738F"/>
    <w:rsid w:val="00B17E0D"/>
    <w:rsid w:val="00B17F8A"/>
    <w:rsid w:val="00B20A09"/>
    <w:rsid w:val="00B210ED"/>
    <w:rsid w:val="00B213A2"/>
    <w:rsid w:val="00B21510"/>
    <w:rsid w:val="00B2219F"/>
    <w:rsid w:val="00B231DE"/>
    <w:rsid w:val="00B2325E"/>
    <w:rsid w:val="00B23854"/>
    <w:rsid w:val="00B24B90"/>
    <w:rsid w:val="00B258B0"/>
    <w:rsid w:val="00B25ABF"/>
    <w:rsid w:val="00B26022"/>
    <w:rsid w:val="00B261F0"/>
    <w:rsid w:val="00B26325"/>
    <w:rsid w:val="00B26430"/>
    <w:rsid w:val="00B26432"/>
    <w:rsid w:val="00B26A71"/>
    <w:rsid w:val="00B2753E"/>
    <w:rsid w:val="00B27C7D"/>
    <w:rsid w:val="00B30152"/>
    <w:rsid w:val="00B30704"/>
    <w:rsid w:val="00B30D05"/>
    <w:rsid w:val="00B313A7"/>
    <w:rsid w:val="00B3160A"/>
    <w:rsid w:val="00B3263D"/>
    <w:rsid w:val="00B32911"/>
    <w:rsid w:val="00B32F1D"/>
    <w:rsid w:val="00B3369B"/>
    <w:rsid w:val="00B3389C"/>
    <w:rsid w:val="00B34164"/>
    <w:rsid w:val="00B344B4"/>
    <w:rsid w:val="00B35250"/>
    <w:rsid w:val="00B355C5"/>
    <w:rsid w:val="00B356E3"/>
    <w:rsid w:val="00B361DC"/>
    <w:rsid w:val="00B36833"/>
    <w:rsid w:val="00B36B5B"/>
    <w:rsid w:val="00B37111"/>
    <w:rsid w:val="00B377E6"/>
    <w:rsid w:val="00B37FCA"/>
    <w:rsid w:val="00B403AB"/>
    <w:rsid w:val="00B41249"/>
    <w:rsid w:val="00B4125E"/>
    <w:rsid w:val="00B417C3"/>
    <w:rsid w:val="00B419E1"/>
    <w:rsid w:val="00B41A38"/>
    <w:rsid w:val="00B41B25"/>
    <w:rsid w:val="00B42587"/>
    <w:rsid w:val="00B427E9"/>
    <w:rsid w:val="00B42847"/>
    <w:rsid w:val="00B429DC"/>
    <w:rsid w:val="00B42ED9"/>
    <w:rsid w:val="00B45030"/>
    <w:rsid w:val="00B45342"/>
    <w:rsid w:val="00B45993"/>
    <w:rsid w:val="00B459FD"/>
    <w:rsid w:val="00B4621A"/>
    <w:rsid w:val="00B46A9C"/>
    <w:rsid w:val="00B46BC4"/>
    <w:rsid w:val="00B473C1"/>
    <w:rsid w:val="00B47536"/>
    <w:rsid w:val="00B47F44"/>
    <w:rsid w:val="00B50E1D"/>
    <w:rsid w:val="00B50F96"/>
    <w:rsid w:val="00B51106"/>
    <w:rsid w:val="00B5240E"/>
    <w:rsid w:val="00B53251"/>
    <w:rsid w:val="00B53766"/>
    <w:rsid w:val="00B53D27"/>
    <w:rsid w:val="00B53DD2"/>
    <w:rsid w:val="00B544EA"/>
    <w:rsid w:val="00B54B69"/>
    <w:rsid w:val="00B561ED"/>
    <w:rsid w:val="00B5641A"/>
    <w:rsid w:val="00B56C37"/>
    <w:rsid w:val="00B56CD6"/>
    <w:rsid w:val="00B56DE3"/>
    <w:rsid w:val="00B56E2D"/>
    <w:rsid w:val="00B57242"/>
    <w:rsid w:val="00B57889"/>
    <w:rsid w:val="00B60606"/>
    <w:rsid w:val="00B61A49"/>
    <w:rsid w:val="00B6298F"/>
    <w:rsid w:val="00B63535"/>
    <w:rsid w:val="00B63954"/>
    <w:rsid w:val="00B6458B"/>
    <w:rsid w:val="00B64749"/>
    <w:rsid w:val="00B648D9"/>
    <w:rsid w:val="00B64CDC"/>
    <w:rsid w:val="00B64F0E"/>
    <w:rsid w:val="00B65540"/>
    <w:rsid w:val="00B65A30"/>
    <w:rsid w:val="00B6656E"/>
    <w:rsid w:val="00B67C4C"/>
    <w:rsid w:val="00B67F69"/>
    <w:rsid w:val="00B70221"/>
    <w:rsid w:val="00B70CCA"/>
    <w:rsid w:val="00B724B5"/>
    <w:rsid w:val="00B72DB9"/>
    <w:rsid w:val="00B7326E"/>
    <w:rsid w:val="00B73409"/>
    <w:rsid w:val="00B737D5"/>
    <w:rsid w:val="00B74342"/>
    <w:rsid w:val="00B74654"/>
    <w:rsid w:val="00B7554B"/>
    <w:rsid w:val="00B75574"/>
    <w:rsid w:val="00B75B79"/>
    <w:rsid w:val="00B75FAA"/>
    <w:rsid w:val="00B77003"/>
    <w:rsid w:val="00B77184"/>
    <w:rsid w:val="00B7722E"/>
    <w:rsid w:val="00B7774B"/>
    <w:rsid w:val="00B80078"/>
    <w:rsid w:val="00B800B7"/>
    <w:rsid w:val="00B800C4"/>
    <w:rsid w:val="00B81DA0"/>
    <w:rsid w:val="00B82635"/>
    <w:rsid w:val="00B82C18"/>
    <w:rsid w:val="00B850F5"/>
    <w:rsid w:val="00B851AF"/>
    <w:rsid w:val="00B85DCA"/>
    <w:rsid w:val="00B85E00"/>
    <w:rsid w:val="00B864D3"/>
    <w:rsid w:val="00B901B5"/>
    <w:rsid w:val="00B9030E"/>
    <w:rsid w:val="00B903D4"/>
    <w:rsid w:val="00B90485"/>
    <w:rsid w:val="00B90813"/>
    <w:rsid w:val="00B91063"/>
    <w:rsid w:val="00B9114C"/>
    <w:rsid w:val="00B9159E"/>
    <w:rsid w:val="00B91AE8"/>
    <w:rsid w:val="00B928CC"/>
    <w:rsid w:val="00B92A0C"/>
    <w:rsid w:val="00B92BD9"/>
    <w:rsid w:val="00B93448"/>
    <w:rsid w:val="00B93936"/>
    <w:rsid w:val="00B93CCB"/>
    <w:rsid w:val="00B94617"/>
    <w:rsid w:val="00B94A9B"/>
    <w:rsid w:val="00B95B80"/>
    <w:rsid w:val="00B95E3E"/>
    <w:rsid w:val="00B96259"/>
    <w:rsid w:val="00B96321"/>
    <w:rsid w:val="00B964A0"/>
    <w:rsid w:val="00BA04E7"/>
    <w:rsid w:val="00BA0F27"/>
    <w:rsid w:val="00BA16D5"/>
    <w:rsid w:val="00BA1F7B"/>
    <w:rsid w:val="00BA34B7"/>
    <w:rsid w:val="00BA3E52"/>
    <w:rsid w:val="00BA4830"/>
    <w:rsid w:val="00BA496E"/>
    <w:rsid w:val="00BA4CCC"/>
    <w:rsid w:val="00BA4E22"/>
    <w:rsid w:val="00BA6054"/>
    <w:rsid w:val="00BA6E33"/>
    <w:rsid w:val="00BA72E1"/>
    <w:rsid w:val="00BA7498"/>
    <w:rsid w:val="00BB00C8"/>
    <w:rsid w:val="00BB06EC"/>
    <w:rsid w:val="00BB1346"/>
    <w:rsid w:val="00BB1403"/>
    <w:rsid w:val="00BB1CDD"/>
    <w:rsid w:val="00BB33EA"/>
    <w:rsid w:val="00BB34FF"/>
    <w:rsid w:val="00BB387F"/>
    <w:rsid w:val="00BB3B04"/>
    <w:rsid w:val="00BB3DC4"/>
    <w:rsid w:val="00BB4A68"/>
    <w:rsid w:val="00BB4B3C"/>
    <w:rsid w:val="00BB4D4A"/>
    <w:rsid w:val="00BB4DE9"/>
    <w:rsid w:val="00BB62CC"/>
    <w:rsid w:val="00BB7D0D"/>
    <w:rsid w:val="00BB7E8F"/>
    <w:rsid w:val="00BB7ED1"/>
    <w:rsid w:val="00BC095A"/>
    <w:rsid w:val="00BC0BA3"/>
    <w:rsid w:val="00BC0F70"/>
    <w:rsid w:val="00BC10D0"/>
    <w:rsid w:val="00BC160A"/>
    <w:rsid w:val="00BC1C62"/>
    <w:rsid w:val="00BC2289"/>
    <w:rsid w:val="00BC35DB"/>
    <w:rsid w:val="00BC49B0"/>
    <w:rsid w:val="00BC4BB9"/>
    <w:rsid w:val="00BC5EF7"/>
    <w:rsid w:val="00BC5F7A"/>
    <w:rsid w:val="00BC6348"/>
    <w:rsid w:val="00BC6985"/>
    <w:rsid w:val="00BC6B3B"/>
    <w:rsid w:val="00BD02E9"/>
    <w:rsid w:val="00BD05AE"/>
    <w:rsid w:val="00BD05C0"/>
    <w:rsid w:val="00BD155F"/>
    <w:rsid w:val="00BD16AF"/>
    <w:rsid w:val="00BD1EEC"/>
    <w:rsid w:val="00BD2876"/>
    <w:rsid w:val="00BD30E1"/>
    <w:rsid w:val="00BD356F"/>
    <w:rsid w:val="00BD4CA9"/>
    <w:rsid w:val="00BD5193"/>
    <w:rsid w:val="00BD5950"/>
    <w:rsid w:val="00BD5B18"/>
    <w:rsid w:val="00BD5C09"/>
    <w:rsid w:val="00BD60F6"/>
    <w:rsid w:val="00BD6A9D"/>
    <w:rsid w:val="00BD76B3"/>
    <w:rsid w:val="00BD7F4C"/>
    <w:rsid w:val="00BE00DE"/>
    <w:rsid w:val="00BE0A1B"/>
    <w:rsid w:val="00BE0C1F"/>
    <w:rsid w:val="00BE1B04"/>
    <w:rsid w:val="00BE23EF"/>
    <w:rsid w:val="00BE2694"/>
    <w:rsid w:val="00BE293F"/>
    <w:rsid w:val="00BE2978"/>
    <w:rsid w:val="00BE3A35"/>
    <w:rsid w:val="00BE471F"/>
    <w:rsid w:val="00BE49E9"/>
    <w:rsid w:val="00BE4A02"/>
    <w:rsid w:val="00BE4E2E"/>
    <w:rsid w:val="00BE5580"/>
    <w:rsid w:val="00BE5A98"/>
    <w:rsid w:val="00BE5E23"/>
    <w:rsid w:val="00BE63FF"/>
    <w:rsid w:val="00BE69AD"/>
    <w:rsid w:val="00BE69F3"/>
    <w:rsid w:val="00BE6C00"/>
    <w:rsid w:val="00BE741E"/>
    <w:rsid w:val="00BE75CA"/>
    <w:rsid w:val="00BE75F2"/>
    <w:rsid w:val="00BF03CC"/>
    <w:rsid w:val="00BF03F8"/>
    <w:rsid w:val="00BF0F07"/>
    <w:rsid w:val="00BF266F"/>
    <w:rsid w:val="00BF3304"/>
    <w:rsid w:val="00BF3C2B"/>
    <w:rsid w:val="00BF56B5"/>
    <w:rsid w:val="00BF5BA7"/>
    <w:rsid w:val="00BF5E5A"/>
    <w:rsid w:val="00BF5F3E"/>
    <w:rsid w:val="00BF65B1"/>
    <w:rsid w:val="00BF6C55"/>
    <w:rsid w:val="00BF70CA"/>
    <w:rsid w:val="00C00076"/>
    <w:rsid w:val="00C0076F"/>
    <w:rsid w:val="00C00FA5"/>
    <w:rsid w:val="00C01173"/>
    <w:rsid w:val="00C019D6"/>
    <w:rsid w:val="00C02093"/>
    <w:rsid w:val="00C02770"/>
    <w:rsid w:val="00C0295C"/>
    <w:rsid w:val="00C02E6E"/>
    <w:rsid w:val="00C03D93"/>
    <w:rsid w:val="00C047F5"/>
    <w:rsid w:val="00C055EE"/>
    <w:rsid w:val="00C05FDD"/>
    <w:rsid w:val="00C06471"/>
    <w:rsid w:val="00C0689F"/>
    <w:rsid w:val="00C070F4"/>
    <w:rsid w:val="00C076F9"/>
    <w:rsid w:val="00C10307"/>
    <w:rsid w:val="00C10416"/>
    <w:rsid w:val="00C1056A"/>
    <w:rsid w:val="00C10DBF"/>
    <w:rsid w:val="00C114B2"/>
    <w:rsid w:val="00C122A1"/>
    <w:rsid w:val="00C126D9"/>
    <w:rsid w:val="00C12733"/>
    <w:rsid w:val="00C13EEA"/>
    <w:rsid w:val="00C14719"/>
    <w:rsid w:val="00C1591D"/>
    <w:rsid w:val="00C15976"/>
    <w:rsid w:val="00C1597F"/>
    <w:rsid w:val="00C16E4D"/>
    <w:rsid w:val="00C17148"/>
    <w:rsid w:val="00C17BCE"/>
    <w:rsid w:val="00C2030F"/>
    <w:rsid w:val="00C20318"/>
    <w:rsid w:val="00C21740"/>
    <w:rsid w:val="00C22BC8"/>
    <w:rsid w:val="00C24EF5"/>
    <w:rsid w:val="00C2505F"/>
    <w:rsid w:val="00C25696"/>
    <w:rsid w:val="00C25722"/>
    <w:rsid w:val="00C26A23"/>
    <w:rsid w:val="00C26D10"/>
    <w:rsid w:val="00C26D74"/>
    <w:rsid w:val="00C27360"/>
    <w:rsid w:val="00C277CE"/>
    <w:rsid w:val="00C3053B"/>
    <w:rsid w:val="00C31333"/>
    <w:rsid w:val="00C3205B"/>
    <w:rsid w:val="00C32514"/>
    <w:rsid w:val="00C32B0A"/>
    <w:rsid w:val="00C32E16"/>
    <w:rsid w:val="00C33097"/>
    <w:rsid w:val="00C34274"/>
    <w:rsid w:val="00C346EE"/>
    <w:rsid w:val="00C3500D"/>
    <w:rsid w:val="00C357C6"/>
    <w:rsid w:val="00C35EC2"/>
    <w:rsid w:val="00C36B5E"/>
    <w:rsid w:val="00C409C4"/>
    <w:rsid w:val="00C410FC"/>
    <w:rsid w:val="00C415BA"/>
    <w:rsid w:val="00C4278A"/>
    <w:rsid w:val="00C437B5"/>
    <w:rsid w:val="00C4387E"/>
    <w:rsid w:val="00C4449B"/>
    <w:rsid w:val="00C453C5"/>
    <w:rsid w:val="00C45723"/>
    <w:rsid w:val="00C45B6B"/>
    <w:rsid w:val="00C46099"/>
    <w:rsid w:val="00C46801"/>
    <w:rsid w:val="00C46892"/>
    <w:rsid w:val="00C46A8F"/>
    <w:rsid w:val="00C4712C"/>
    <w:rsid w:val="00C47A8F"/>
    <w:rsid w:val="00C500BD"/>
    <w:rsid w:val="00C500F3"/>
    <w:rsid w:val="00C5013F"/>
    <w:rsid w:val="00C5014D"/>
    <w:rsid w:val="00C502CE"/>
    <w:rsid w:val="00C50AC8"/>
    <w:rsid w:val="00C5168B"/>
    <w:rsid w:val="00C5204B"/>
    <w:rsid w:val="00C52091"/>
    <w:rsid w:val="00C52420"/>
    <w:rsid w:val="00C52E31"/>
    <w:rsid w:val="00C548B2"/>
    <w:rsid w:val="00C54E72"/>
    <w:rsid w:val="00C54FBA"/>
    <w:rsid w:val="00C55259"/>
    <w:rsid w:val="00C552F5"/>
    <w:rsid w:val="00C556C5"/>
    <w:rsid w:val="00C567FB"/>
    <w:rsid w:val="00C57870"/>
    <w:rsid w:val="00C61459"/>
    <w:rsid w:val="00C614BA"/>
    <w:rsid w:val="00C6151F"/>
    <w:rsid w:val="00C616F6"/>
    <w:rsid w:val="00C618A4"/>
    <w:rsid w:val="00C622BD"/>
    <w:rsid w:val="00C62CEF"/>
    <w:rsid w:val="00C62D51"/>
    <w:rsid w:val="00C63437"/>
    <w:rsid w:val="00C63566"/>
    <w:rsid w:val="00C63C6D"/>
    <w:rsid w:val="00C63CD9"/>
    <w:rsid w:val="00C64259"/>
    <w:rsid w:val="00C642AD"/>
    <w:rsid w:val="00C64377"/>
    <w:rsid w:val="00C6637C"/>
    <w:rsid w:val="00C66C84"/>
    <w:rsid w:val="00C67697"/>
    <w:rsid w:val="00C70C8D"/>
    <w:rsid w:val="00C70F27"/>
    <w:rsid w:val="00C71E22"/>
    <w:rsid w:val="00C71E73"/>
    <w:rsid w:val="00C724CE"/>
    <w:rsid w:val="00C729E4"/>
    <w:rsid w:val="00C72B9E"/>
    <w:rsid w:val="00C72EEA"/>
    <w:rsid w:val="00C734EC"/>
    <w:rsid w:val="00C73646"/>
    <w:rsid w:val="00C73C6A"/>
    <w:rsid w:val="00C742C2"/>
    <w:rsid w:val="00C74384"/>
    <w:rsid w:val="00C74458"/>
    <w:rsid w:val="00C74863"/>
    <w:rsid w:val="00C74AC6"/>
    <w:rsid w:val="00C75101"/>
    <w:rsid w:val="00C76013"/>
    <w:rsid w:val="00C7652D"/>
    <w:rsid w:val="00C76E8B"/>
    <w:rsid w:val="00C76EC8"/>
    <w:rsid w:val="00C77FBA"/>
    <w:rsid w:val="00C8017E"/>
    <w:rsid w:val="00C803C3"/>
    <w:rsid w:val="00C805BC"/>
    <w:rsid w:val="00C815BD"/>
    <w:rsid w:val="00C817DB"/>
    <w:rsid w:val="00C81908"/>
    <w:rsid w:val="00C82B5E"/>
    <w:rsid w:val="00C83418"/>
    <w:rsid w:val="00C8354D"/>
    <w:rsid w:val="00C838AE"/>
    <w:rsid w:val="00C845B8"/>
    <w:rsid w:val="00C84714"/>
    <w:rsid w:val="00C853BF"/>
    <w:rsid w:val="00C855D6"/>
    <w:rsid w:val="00C86CE0"/>
    <w:rsid w:val="00C8752A"/>
    <w:rsid w:val="00C876AF"/>
    <w:rsid w:val="00C87BD8"/>
    <w:rsid w:val="00C90B4C"/>
    <w:rsid w:val="00C90E4C"/>
    <w:rsid w:val="00C912F2"/>
    <w:rsid w:val="00C91C3B"/>
    <w:rsid w:val="00C91D78"/>
    <w:rsid w:val="00C921CB"/>
    <w:rsid w:val="00C93045"/>
    <w:rsid w:val="00C934F0"/>
    <w:rsid w:val="00C950A0"/>
    <w:rsid w:val="00C960AC"/>
    <w:rsid w:val="00C9632C"/>
    <w:rsid w:val="00C964AC"/>
    <w:rsid w:val="00C96922"/>
    <w:rsid w:val="00C97717"/>
    <w:rsid w:val="00C97843"/>
    <w:rsid w:val="00C97C4A"/>
    <w:rsid w:val="00CA02A0"/>
    <w:rsid w:val="00CA05AD"/>
    <w:rsid w:val="00CA085E"/>
    <w:rsid w:val="00CA0E3E"/>
    <w:rsid w:val="00CA0F09"/>
    <w:rsid w:val="00CA1334"/>
    <w:rsid w:val="00CA160F"/>
    <w:rsid w:val="00CA18E5"/>
    <w:rsid w:val="00CA1CDB"/>
    <w:rsid w:val="00CA220B"/>
    <w:rsid w:val="00CA2876"/>
    <w:rsid w:val="00CA3766"/>
    <w:rsid w:val="00CA45EB"/>
    <w:rsid w:val="00CA4A0E"/>
    <w:rsid w:val="00CA528E"/>
    <w:rsid w:val="00CA52AD"/>
    <w:rsid w:val="00CA5B62"/>
    <w:rsid w:val="00CA5FD3"/>
    <w:rsid w:val="00CA6A81"/>
    <w:rsid w:val="00CA7A0E"/>
    <w:rsid w:val="00CB02B8"/>
    <w:rsid w:val="00CB055E"/>
    <w:rsid w:val="00CB0EA7"/>
    <w:rsid w:val="00CB1221"/>
    <w:rsid w:val="00CB1C1C"/>
    <w:rsid w:val="00CB1F27"/>
    <w:rsid w:val="00CB26EC"/>
    <w:rsid w:val="00CB3351"/>
    <w:rsid w:val="00CB383F"/>
    <w:rsid w:val="00CB39F4"/>
    <w:rsid w:val="00CB3AE0"/>
    <w:rsid w:val="00CB4B62"/>
    <w:rsid w:val="00CB4DEA"/>
    <w:rsid w:val="00CB4F8D"/>
    <w:rsid w:val="00CB565A"/>
    <w:rsid w:val="00CB5CC9"/>
    <w:rsid w:val="00CB5D1A"/>
    <w:rsid w:val="00CB5F9D"/>
    <w:rsid w:val="00CB6A19"/>
    <w:rsid w:val="00CB7AD8"/>
    <w:rsid w:val="00CC054E"/>
    <w:rsid w:val="00CC0D7E"/>
    <w:rsid w:val="00CC1002"/>
    <w:rsid w:val="00CC106E"/>
    <w:rsid w:val="00CC1C83"/>
    <w:rsid w:val="00CC1D91"/>
    <w:rsid w:val="00CC1E93"/>
    <w:rsid w:val="00CC1F0A"/>
    <w:rsid w:val="00CC25E6"/>
    <w:rsid w:val="00CC29C8"/>
    <w:rsid w:val="00CC2BE9"/>
    <w:rsid w:val="00CC2C1B"/>
    <w:rsid w:val="00CC2DB1"/>
    <w:rsid w:val="00CC374B"/>
    <w:rsid w:val="00CC3CF1"/>
    <w:rsid w:val="00CC4144"/>
    <w:rsid w:val="00CC4449"/>
    <w:rsid w:val="00CC55D1"/>
    <w:rsid w:val="00CC6539"/>
    <w:rsid w:val="00CC688D"/>
    <w:rsid w:val="00CC7B97"/>
    <w:rsid w:val="00CC7F72"/>
    <w:rsid w:val="00CD0065"/>
    <w:rsid w:val="00CD03EA"/>
    <w:rsid w:val="00CD0E34"/>
    <w:rsid w:val="00CD237A"/>
    <w:rsid w:val="00CD26C6"/>
    <w:rsid w:val="00CD2EF4"/>
    <w:rsid w:val="00CD2F1E"/>
    <w:rsid w:val="00CD33E4"/>
    <w:rsid w:val="00CD5F85"/>
    <w:rsid w:val="00CD621F"/>
    <w:rsid w:val="00CD784F"/>
    <w:rsid w:val="00CD7B57"/>
    <w:rsid w:val="00CD7EA5"/>
    <w:rsid w:val="00CE0450"/>
    <w:rsid w:val="00CE04A2"/>
    <w:rsid w:val="00CE0B9F"/>
    <w:rsid w:val="00CE1E6F"/>
    <w:rsid w:val="00CE22B6"/>
    <w:rsid w:val="00CE2E08"/>
    <w:rsid w:val="00CE3642"/>
    <w:rsid w:val="00CE3F8A"/>
    <w:rsid w:val="00CE41BE"/>
    <w:rsid w:val="00CE4474"/>
    <w:rsid w:val="00CE4970"/>
    <w:rsid w:val="00CE49F0"/>
    <w:rsid w:val="00CE4A24"/>
    <w:rsid w:val="00CE4E25"/>
    <w:rsid w:val="00CE5783"/>
    <w:rsid w:val="00CE5887"/>
    <w:rsid w:val="00CE6674"/>
    <w:rsid w:val="00CE67CA"/>
    <w:rsid w:val="00CE7868"/>
    <w:rsid w:val="00CE7ADB"/>
    <w:rsid w:val="00CF0239"/>
    <w:rsid w:val="00CF0589"/>
    <w:rsid w:val="00CF0823"/>
    <w:rsid w:val="00CF0B29"/>
    <w:rsid w:val="00CF126E"/>
    <w:rsid w:val="00CF1897"/>
    <w:rsid w:val="00CF19AE"/>
    <w:rsid w:val="00CF1FF4"/>
    <w:rsid w:val="00CF2848"/>
    <w:rsid w:val="00CF39FD"/>
    <w:rsid w:val="00CF3E19"/>
    <w:rsid w:val="00CF4803"/>
    <w:rsid w:val="00CF4B09"/>
    <w:rsid w:val="00CF580C"/>
    <w:rsid w:val="00CF5FA7"/>
    <w:rsid w:val="00CF61D0"/>
    <w:rsid w:val="00CF6D81"/>
    <w:rsid w:val="00CF791A"/>
    <w:rsid w:val="00CF7BEC"/>
    <w:rsid w:val="00CF7C11"/>
    <w:rsid w:val="00D000B5"/>
    <w:rsid w:val="00D00375"/>
    <w:rsid w:val="00D00448"/>
    <w:rsid w:val="00D00BE3"/>
    <w:rsid w:val="00D01188"/>
    <w:rsid w:val="00D0139E"/>
    <w:rsid w:val="00D01678"/>
    <w:rsid w:val="00D01B6E"/>
    <w:rsid w:val="00D01B76"/>
    <w:rsid w:val="00D0369E"/>
    <w:rsid w:val="00D04ACA"/>
    <w:rsid w:val="00D052F0"/>
    <w:rsid w:val="00D056DE"/>
    <w:rsid w:val="00D05838"/>
    <w:rsid w:val="00D06318"/>
    <w:rsid w:val="00D06737"/>
    <w:rsid w:val="00D07C13"/>
    <w:rsid w:val="00D1145B"/>
    <w:rsid w:val="00D11F0B"/>
    <w:rsid w:val="00D120D6"/>
    <w:rsid w:val="00D12233"/>
    <w:rsid w:val="00D12277"/>
    <w:rsid w:val="00D1287A"/>
    <w:rsid w:val="00D12C44"/>
    <w:rsid w:val="00D13197"/>
    <w:rsid w:val="00D14BA4"/>
    <w:rsid w:val="00D14E32"/>
    <w:rsid w:val="00D1521D"/>
    <w:rsid w:val="00D15F78"/>
    <w:rsid w:val="00D165D4"/>
    <w:rsid w:val="00D165F8"/>
    <w:rsid w:val="00D167E0"/>
    <w:rsid w:val="00D16BA7"/>
    <w:rsid w:val="00D16C13"/>
    <w:rsid w:val="00D203DA"/>
    <w:rsid w:val="00D20AB6"/>
    <w:rsid w:val="00D21221"/>
    <w:rsid w:val="00D21E25"/>
    <w:rsid w:val="00D22758"/>
    <w:rsid w:val="00D22900"/>
    <w:rsid w:val="00D22F1A"/>
    <w:rsid w:val="00D2305C"/>
    <w:rsid w:val="00D23902"/>
    <w:rsid w:val="00D24335"/>
    <w:rsid w:val="00D2453B"/>
    <w:rsid w:val="00D24C4B"/>
    <w:rsid w:val="00D260E6"/>
    <w:rsid w:val="00D2739E"/>
    <w:rsid w:val="00D27781"/>
    <w:rsid w:val="00D27810"/>
    <w:rsid w:val="00D27D3E"/>
    <w:rsid w:val="00D27DED"/>
    <w:rsid w:val="00D27EFC"/>
    <w:rsid w:val="00D3012D"/>
    <w:rsid w:val="00D30B12"/>
    <w:rsid w:val="00D31742"/>
    <w:rsid w:val="00D321BE"/>
    <w:rsid w:val="00D322D7"/>
    <w:rsid w:val="00D3259B"/>
    <w:rsid w:val="00D325DA"/>
    <w:rsid w:val="00D33C33"/>
    <w:rsid w:val="00D359E8"/>
    <w:rsid w:val="00D362BC"/>
    <w:rsid w:val="00D36E92"/>
    <w:rsid w:val="00D37012"/>
    <w:rsid w:val="00D370B6"/>
    <w:rsid w:val="00D372EA"/>
    <w:rsid w:val="00D37AF5"/>
    <w:rsid w:val="00D4026F"/>
    <w:rsid w:val="00D402A1"/>
    <w:rsid w:val="00D402A7"/>
    <w:rsid w:val="00D40528"/>
    <w:rsid w:val="00D405E7"/>
    <w:rsid w:val="00D40D81"/>
    <w:rsid w:val="00D40DBA"/>
    <w:rsid w:val="00D4257E"/>
    <w:rsid w:val="00D42E1C"/>
    <w:rsid w:val="00D43154"/>
    <w:rsid w:val="00D43D7B"/>
    <w:rsid w:val="00D43EA9"/>
    <w:rsid w:val="00D44FA5"/>
    <w:rsid w:val="00D45FF2"/>
    <w:rsid w:val="00D46B6E"/>
    <w:rsid w:val="00D478C5"/>
    <w:rsid w:val="00D47CFD"/>
    <w:rsid w:val="00D51574"/>
    <w:rsid w:val="00D516AA"/>
    <w:rsid w:val="00D51733"/>
    <w:rsid w:val="00D51A44"/>
    <w:rsid w:val="00D51E35"/>
    <w:rsid w:val="00D51FA0"/>
    <w:rsid w:val="00D523BF"/>
    <w:rsid w:val="00D52938"/>
    <w:rsid w:val="00D52989"/>
    <w:rsid w:val="00D54804"/>
    <w:rsid w:val="00D5538E"/>
    <w:rsid w:val="00D55C82"/>
    <w:rsid w:val="00D55CCE"/>
    <w:rsid w:val="00D56D55"/>
    <w:rsid w:val="00D56E2D"/>
    <w:rsid w:val="00D56EF1"/>
    <w:rsid w:val="00D57000"/>
    <w:rsid w:val="00D602DD"/>
    <w:rsid w:val="00D6052F"/>
    <w:rsid w:val="00D60D98"/>
    <w:rsid w:val="00D61A43"/>
    <w:rsid w:val="00D62235"/>
    <w:rsid w:val="00D62437"/>
    <w:rsid w:val="00D6294F"/>
    <w:rsid w:val="00D62EB9"/>
    <w:rsid w:val="00D63067"/>
    <w:rsid w:val="00D6326A"/>
    <w:rsid w:val="00D63497"/>
    <w:rsid w:val="00D63507"/>
    <w:rsid w:val="00D63709"/>
    <w:rsid w:val="00D6496C"/>
    <w:rsid w:val="00D64CC2"/>
    <w:rsid w:val="00D64D16"/>
    <w:rsid w:val="00D64D4C"/>
    <w:rsid w:val="00D6506E"/>
    <w:rsid w:val="00D66644"/>
    <w:rsid w:val="00D66B7A"/>
    <w:rsid w:val="00D67208"/>
    <w:rsid w:val="00D6735A"/>
    <w:rsid w:val="00D679BE"/>
    <w:rsid w:val="00D70A66"/>
    <w:rsid w:val="00D70C4A"/>
    <w:rsid w:val="00D71D69"/>
    <w:rsid w:val="00D7237A"/>
    <w:rsid w:val="00D7258C"/>
    <w:rsid w:val="00D728AA"/>
    <w:rsid w:val="00D72B72"/>
    <w:rsid w:val="00D73075"/>
    <w:rsid w:val="00D73B48"/>
    <w:rsid w:val="00D74439"/>
    <w:rsid w:val="00D745DD"/>
    <w:rsid w:val="00D74676"/>
    <w:rsid w:val="00D749D1"/>
    <w:rsid w:val="00D74F58"/>
    <w:rsid w:val="00D75194"/>
    <w:rsid w:val="00D75820"/>
    <w:rsid w:val="00D76A40"/>
    <w:rsid w:val="00D76D90"/>
    <w:rsid w:val="00D801D3"/>
    <w:rsid w:val="00D8090C"/>
    <w:rsid w:val="00D80DE2"/>
    <w:rsid w:val="00D81743"/>
    <w:rsid w:val="00D81F17"/>
    <w:rsid w:val="00D82EF4"/>
    <w:rsid w:val="00D84266"/>
    <w:rsid w:val="00D8474A"/>
    <w:rsid w:val="00D84945"/>
    <w:rsid w:val="00D8505B"/>
    <w:rsid w:val="00D85E96"/>
    <w:rsid w:val="00D86DC9"/>
    <w:rsid w:val="00D87395"/>
    <w:rsid w:val="00D87CF1"/>
    <w:rsid w:val="00D905BA"/>
    <w:rsid w:val="00D90901"/>
    <w:rsid w:val="00D90B74"/>
    <w:rsid w:val="00D913F9"/>
    <w:rsid w:val="00D91BE5"/>
    <w:rsid w:val="00D9202F"/>
    <w:rsid w:val="00D923DA"/>
    <w:rsid w:val="00D92AFB"/>
    <w:rsid w:val="00D94618"/>
    <w:rsid w:val="00D9518D"/>
    <w:rsid w:val="00D95C11"/>
    <w:rsid w:val="00D95E6A"/>
    <w:rsid w:val="00D95FE3"/>
    <w:rsid w:val="00D96D28"/>
    <w:rsid w:val="00D97630"/>
    <w:rsid w:val="00D97C05"/>
    <w:rsid w:val="00DA0382"/>
    <w:rsid w:val="00DA0D99"/>
    <w:rsid w:val="00DA0F32"/>
    <w:rsid w:val="00DA276B"/>
    <w:rsid w:val="00DA2D10"/>
    <w:rsid w:val="00DA322C"/>
    <w:rsid w:val="00DA3617"/>
    <w:rsid w:val="00DA3C49"/>
    <w:rsid w:val="00DA3F3A"/>
    <w:rsid w:val="00DA3FE5"/>
    <w:rsid w:val="00DA410E"/>
    <w:rsid w:val="00DA43B2"/>
    <w:rsid w:val="00DA45B8"/>
    <w:rsid w:val="00DA54EF"/>
    <w:rsid w:val="00DA57F4"/>
    <w:rsid w:val="00DA642B"/>
    <w:rsid w:val="00DA6511"/>
    <w:rsid w:val="00DA69D1"/>
    <w:rsid w:val="00DA69E9"/>
    <w:rsid w:val="00DA6F88"/>
    <w:rsid w:val="00DA7415"/>
    <w:rsid w:val="00DB010E"/>
    <w:rsid w:val="00DB07B6"/>
    <w:rsid w:val="00DB0BAD"/>
    <w:rsid w:val="00DB0BEE"/>
    <w:rsid w:val="00DB39DC"/>
    <w:rsid w:val="00DB3E96"/>
    <w:rsid w:val="00DB4431"/>
    <w:rsid w:val="00DB47AD"/>
    <w:rsid w:val="00DB56A8"/>
    <w:rsid w:val="00DB5C5E"/>
    <w:rsid w:val="00DB5E79"/>
    <w:rsid w:val="00DB66E8"/>
    <w:rsid w:val="00DB6728"/>
    <w:rsid w:val="00DB6D34"/>
    <w:rsid w:val="00DB763A"/>
    <w:rsid w:val="00DB79C7"/>
    <w:rsid w:val="00DC06BB"/>
    <w:rsid w:val="00DC0A1B"/>
    <w:rsid w:val="00DC18C2"/>
    <w:rsid w:val="00DC2367"/>
    <w:rsid w:val="00DC27B3"/>
    <w:rsid w:val="00DC2C94"/>
    <w:rsid w:val="00DC2DB3"/>
    <w:rsid w:val="00DC3260"/>
    <w:rsid w:val="00DC3D29"/>
    <w:rsid w:val="00DC3E76"/>
    <w:rsid w:val="00DC40FC"/>
    <w:rsid w:val="00DC4190"/>
    <w:rsid w:val="00DC44C8"/>
    <w:rsid w:val="00DC4DD8"/>
    <w:rsid w:val="00DC4FC6"/>
    <w:rsid w:val="00DC53C5"/>
    <w:rsid w:val="00DC62A4"/>
    <w:rsid w:val="00DC6366"/>
    <w:rsid w:val="00DC6CD6"/>
    <w:rsid w:val="00DC739F"/>
    <w:rsid w:val="00DC781E"/>
    <w:rsid w:val="00DD020B"/>
    <w:rsid w:val="00DD05E9"/>
    <w:rsid w:val="00DD0A97"/>
    <w:rsid w:val="00DD0AA6"/>
    <w:rsid w:val="00DD14E9"/>
    <w:rsid w:val="00DD1AE1"/>
    <w:rsid w:val="00DD1C94"/>
    <w:rsid w:val="00DD2AC1"/>
    <w:rsid w:val="00DD300B"/>
    <w:rsid w:val="00DD342C"/>
    <w:rsid w:val="00DD3B63"/>
    <w:rsid w:val="00DD3E82"/>
    <w:rsid w:val="00DD3F45"/>
    <w:rsid w:val="00DD42A9"/>
    <w:rsid w:val="00DD4752"/>
    <w:rsid w:val="00DD489C"/>
    <w:rsid w:val="00DD4CBB"/>
    <w:rsid w:val="00DD5448"/>
    <w:rsid w:val="00DD54AC"/>
    <w:rsid w:val="00DD6613"/>
    <w:rsid w:val="00DD6A76"/>
    <w:rsid w:val="00DD6B09"/>
    <w:rsid w:val="00DE0A09"/>
    <w:rsid w:val="00DE0B42"/>
    <w:rsid w:val="00DE1556"/>
    <w:rsid w:val="00DE1AC5"/>
    <w:rsid w:val="00DE1E31"/>
    <w:rsid w:val="00DE2444"/>
    <w:rsid w:val="00DE35BA"/>
    <w:rsid w:val="00DE3824"/>
    <w:rsid w:val="00DE389C"/>
    <w:rsid w:val="00DE4277"/>
    <w:rsid w:val="00DE484E"/>
    <w:rsid w:val="00DE501E"/>
    <w:rsid w:val="00DE50BE"/>
    <w:rsid w:val="00DE6122"/>
    <w:rsid w:val="00DE641D"/>
    <w:rsid w:val="00DE65A6"/>
    <w:rsid w:val="00DE67C8"/>
    <w:rsid w:val="00DF0160"/>
    <w:rsid w:val="00DF0358"/>
    <w:rsid w:val="00DF08A8"/>
    <w:rsid w:val="00DF1AE0"/>
    <w:rsid w:val="00DF1D60"/>
    <w:rsid w:val="00DF22EB"/>
    <w:rsid w:val="00DF2AC9"/>
    <w:rsid w:val="00DF3171"/>
    <w:rsid w:val="00DF3E9A"/>
    <w:rsid w:val="00DF5306"/>
    <w:rsid w:val="00DF57BF"/>
    <w:rsid w:val="00DF5ADF"/>
    <w:rsid w:val="00DF6415"/>
    <w:rsid w:val="00DF6C78"/>
    <w:rsid w:val="00DF6F73"/>
    <w:rsid w:val="00DF7106"/>
    <w:rsid w:val="00DF744D"/>
    <w:rsid w:val="00DF78C5"/>
    <w:rsid w:val="00DF7C3F"/>
    <w:rsid w:val="00DF7E77"/>
    <w:rsid w:val="00E005EE"/>
    <w:rsid w:val="00E0073A"/>
    <w:rsid w:val="00E0080F"/>
    <w:rsid w:val="00E008CC"/>
    <w:rsid w:val="00E015F9"/>
    <w:rsid w:val="00E01926"/>
    <w:rsid w:val="00E01A2A"/>
    <w:rsid w:val="00E01F73"/>
    <w:rsid w:val="00E0284C"/>
    <w:rsid w:val="00E02AAA"/>
    <w:rsid w:val="00E03B2E"/>
    <w:rsid w:val="00E044AD"/>
    <w:rsid w:val="00E053DE"/>
    <w:rsid w:val="00E0575C"/>
    <w:rsid w:val="00E057C4"/>
    <w:rsid w:val="00E05E6A"/>
    <w:rsid w:val="00E06385"/>
    <w:rsid w:val="00E0645F"/>
    <w:rsid w:val="00E07D49"/>
    <w:rsid w:val="00E07D4F"/>
    <w:rsid w:val="00E1129A"/>
    <w:rsid w:val="00E12A54"/>
    <w:rsid w:val="00E12AC4"/>
    <w:rsid w:val="00E12F05"/>
    <w:rsid w:val="00E13525"/>
    <w:rsid w:val="00E13574"/>
    <w:rsid w:val="00E136D1"/>
    <w:rsid w:val="00E1422F"/>
    <w:rsid w:val="00E148AD"/>
    <w:rsid w:val="00E151D8"/>
    <w:rsid w:val="00E15556"/>
    <w:rsid w:val="00E169A9"/>
    <w:rsid w:val="00E17586"/>
    <w:rsid w:val="00E201A9"/>
    <w:rsid w:val="00E20B3F"/>
    <w:rsid w:val="00E20CFC"/>
    <w:rsid w:val="00E2163A"/>
    <w:rsid w:val="00E219D2"/>
    <w:rsid w:val="00E22041"/>
    <w:rsid w:val="00E22EAB"/>
    <w:rsid w:val="00E232BE"/>
    <w:rsid w:val="00E23413"/>
    <w:rsid w:val="00E23897"/>
    <w:rsid w:val="00E23DFD"/>
    <w:rsid w:val="00E23E5E"/>
    <w:rsid w:val="00E23E7C"/>
    <w:rsid w:val="00E2550A"/>
    <w:rsid w:val="00E25C49"/>
    <w:rsid w:val="00E30048"/>
    <w:rsid w:val="00E30448"/>
    <w:rsid w:val="00E30566"/>
    <w:rsid w:val="00E31C0B"/>
    <w:rsid w:val="00E32287"/>
    <w:rsid w:val="00E3271D"/>
    <w:rsid w:val="00E32AAD"/>
    <w:rsid w:val="00E3375A"/>
    <w:rsid w:val="00E35272"/>
    <w:rsid w:val="00E356F0"/>
    <w:rsid w:val="00E35A76"/>
    <w:rsid w:val="00E369FE"/>
    <w:rsid w:val="00E36C89"/>
    <w:rsid w:val="00E37174"/>
    <w:rsid w:val="00E373CA"/>
    <w:rsid w:val="00E37F83"/>
    <w:rsid w:val="00E37F98"/>
    <w:rsid w:val="00E40593"/>
    <w:rsid w:val="00E40B9E"/>
    <w:rsid w:val="00E4337C"/>
    <w:rsid w:val="00E4343A"/>
    <w:rsid w:val="00E434A2"/>
    <w:rsid w:val="00E43A57"/>
    <w:rsid w:val="00E43B63"/>
    <w:rsid w:val="00E44A3C"/>
    <w:rsid w:val="00E452EF"/>
    <w:rsid w:val="00E46266"/>
    <w:rsid w:val="00E469BF"/>
    <w:rsid w:val="00E47E89"/>
    <w:rsid w:val="00E502AB"/>
    <w:rsid w:val="00E503D4"/>
    <w:rsid w:val="00E504E6"/>
    <w:rsid w:val="00E50BE5"/>
    <w:rsid w:val="00E513AF"/>
    <w:rsid w:val="00E534DB"/>
    <w:rsid w:val="00E53AF5"/>
    <w:rsid w:val="00E5412F"/>
    <w:rsid w:val="00E548F0"/>
    <w:rsid w:val="00E54F17"/>
    <w:rsid w:val="00E55866"/>
    <w:rsid w:val="00E562BA"/>
    <w:rsid w:val="00E56D28"/>
    <w:rsid w:val="00E56D83"/>
    <w:rsid w:val="00E56DA1"/>
    <w:rsid w:val="00E57523"/>
    <w:rsid w:val="00E575B0"/>
    <w:rsid w:val="00E5764E"/>
    <w:rsid w:val="00E57F06"/>
    <w:rsid w:val="00E600C1"/>
    <w:rsid w:val="00E601BF"/>
    <w:rsid w:val="00E60C10"/>
    <w:rsid w:val="00E610A8"/>
    <w:rsid w:val="00E62404"/>
    <w:rsid w:val="00E6353D"/>
    <w:rsid w:val="00E63717"/>
    <w:rsid w:val="00E637F3"/>
    <w:rsid w:val="00E63BF8"/>
    <w:rsid w:val="00E63D35"/>
    <w:rsid w:val="00E63FE4"/>
    <w:rsid w:val="00E64114"/>
    <w:rsid w:val="00E645E3"/>
    <w:rsid w:val="00E649EF"/>
    <w:rsid w:val="00E6513C"/>
    <w:rsid w:val="00E65546"/>
    <w:rsid w:val="00E6608E"/>
    <w:rsid w:val="00E66407"/>
    <w:rsid w:val="00E66681"/>
    <w:rsid w:val="00E6698F"/>
    <w:rsid w:val="00E674EE"/>
    <w:rsid w:val="00E6779E"/>
    <w:rsid w:val="00E67A25"/>
    <w:rsid w:val="00E70B33"/>
    <w:rsid w:val="00E70F80"/>
    <w:rsid w:val="00E711CE"/>
    <w:rsid w:val="00E7127D"/>
    <w:rsid w:val="00E71338"/>
    <w:rsid w:val="00E71972"/>
    <w:rsid w:val="00E71BBB"/>
    <w:rsid w:val="00E72BFD"/>
    <w:rsid w:val="00E7347C"/>
    <w:rsid w:val="00E73AFE"/>
    <w:rsid w:val="00E760A3"/>
    <w:rsid w:val="00E76720"/>
    <w:rsid w:val="00E76A0C"/>
    <w:rsid w:val="00E770ED"/>
    <w:rsid w:val="00E778F5"/>
    <w:rsid w:val="00E77D6F"/>
    <w:rsid w:val="00E77FBC"/>
    <w:rsid w:val="00E80905"/>
    <w:rsid w:val="00E8090D"/>
    <w:rsid w:val="00E80F95"/>
    <w:rsid w:val="00E81090"/>
    <w:rsid w:val="00E8125B"/>
    <w:rsid w:val="00E8217F"/>
    <w:rsid w:val="00E8261C"/>
    <w:rsid w:val="00E82A93"/>
    <w:rsid w:val="00E82BFA"/>
    <w:rsid w:val="00E83586"/>
    <w:rsid w:val="00E83ED3"/>
    <w:rsid w:val="00E83FC6"/>
    <w:rsid w:val="00E84AE0"/>
    <w:rsid w:val="00E84FB4"/>
    <w:rsid w:val="00E85013"/>
    <w:rsid w:val="00E853ED"/>
    <w:rsid w:val="00E85F05"/>
    <w:rsid w:val="00E872E7"/>
    <w:rsid w:val="00E90324"/>
    <w:rsid w:val="00E90600"/>
    <w:rsid w:val="00E90B2E"/>
    <w:rsid w:val="00E90D0F"/>
    <w:rsid w:val="00E91EEB"/>
    <w:rsid w:val="00E9240D"/>
    <w:rsid w:val="00E92990"/>
    <w:rsid w:val="00E92C75"/>
    <w:rsid w:val="00E9361E"/>
    <w:rsid w:val="00E9400E"/>
    <w:rsid w:val="00E9411B"/>
    <w:rsid w:val="00E94E24"/>
    <w:rsid w:val="00E951F7"/>
    <w:rsid w:val="00E95BD4"/>
    <w:rsid w:val="00E96BF2"/>
    <w:rsid w:val="00E97E12"/>
    <w:rsid w:val="00E97EA5"/>
    <w:rsid w:val="00EA063F"/>
    <w:rsid w:val="00EA07E2"/>
    <w:rsid w:val="00EA1412"/>
    <w:rsid w:val="00EA2CA6"/>
    <w:rsid w:val="00EA31F2"/>
    <w:rsid w:val="00EA37B0"/>
    <w:rsid w:val="00EA396E"/>
    <w:rsid w:val="00EA3C40"/>
    <w:rsid w:val="00EA409D"/>
    <w:rsid w:val="00EA454B"/>
    <w:rsid w:val="00EA5168"/>
    <w:rsid w:val="00EA58D0"/>
    <w:rsid w:val="00EA6CD2"/>
    <w:rsid w:val="00EA7689"/>
    <w:rsid w:val="00EB02DF"/>
    <w:rsid w:val="00EB0458"/>
    <w:rsid w:val="00EB0BDD"/>
    <w:rsid w:val="00EB1837"/>
    <w:rsid w:val="00EB2176"/>
    <w:rsid w:val="00EB2313"/>
    <w:rsid w:val="00EB289F"/>
    <w:rsid w:val="00EB34AE"/>
    <w:rsid w:val="00EB3CCB"/>
    <w:rsid w:val="00EB3EC9"/>
    <w:rsid w:val="00EB4A44"/>
    <w:rsid w:val="00EB5334"/>
    <w:rsid w:val="00EB5682"/>
    <w:rsid w:val="00EB56EA"/>
    <w:rsid w:val="00EB638F"/>
    <w:rsid w:val="00EB6C05"/>
    <w:rsid w:val="00EB6DB4"/>
    <w:rsid w:val="00EB7266"/>
    <w:rsid w:val="00EC0083"/>
    <w:rsid w:val="00EC027D"/>
    <w:rsid w:val="00EC041F"/>
    <w:rsid w:val="00EC07EC"/>
    <w:rsid w:val="00EC117B"/>
    <w:rsid w:val="00EC15F5"/>
    <w:rsid w:val="00EC1A44"/>
    <w:rsid w:val="00EC2D3C"/>
    <w:rsid w:val="00EC3276"/>
    <w:rsid w:val="00EC33F2"/>
    <w:rsid w:val="00EC356D"/>
    <w:rsid w:val="00EC4B92"/>
    <w:rsid w:val="00EC6764"/>
    <w:rsid w:val="00EC69F1"/>
    <w:rsid w:val="00EC7239"/>
    <w:rsid w:val="00EC768C"/>
    <w:rsid w:val="00ED04B6"/>
    <w:rsid w:val="00ED0C57"/>
    <w:rsid w:val="00ED1297"/>
    <w:rsid w:val="00ED17CB"/>
    <w:rsid w:val="00ED1A5A"/>
    <w:rsid w:val="00ED1B71"/>
    <w:rsid w:val="00ED1CA7"/>
    <w:rsid w:val="00ED2355"/>
    <w:rsid w:val="00ED2A9E"/>
    <w:rsid w:val="00ED2BC4"/>
    <w:rsid w:val="00ED2D8C"/>
    <w:rsid w:val="00ED3EF3"/>
    <w:rsid w:val="00ED4B9A"/>
    <w:rsid w:val="00ED4D0B"/>
    <w:rsid w:val="00ED675F"/>
    <w:rsid w:val="00ED6905"/>
    <w:rsid w:val="00ED6CB2"/>
    <w:rsid w:val="00ED6D12"/>
    <w:rsid w:val="00ED6E14"/>
    <w:rsid w:val="00EE028D"/>
    <w:rsid w:val="00EE0810"/>
    <w:rsid w:val="00EE1122"/>
    <w:rsid w:val="00EE2355"/>
    <w:rsid w:val="00EE24D5"/>
    <w:rsid w:val="00EE2B99"/>
    <w:rsid w:val="00EE2D35"/>
    <w:rsid w:val="00EE2D46"/>
    <w:rsid w:val="00EE3231"/>
    <w:rsid w:val="00EE3842"/>
    <w:rsid w:val="00EE45E4"/>
    <w:rsid w:val="00EE57DD"/>
    <w:rsid w:val="00EE634E"/>
    <w:rsid w:val="00EE6550"/>
    <w:rsid w:val="00EE6785"/>
    <w:rsid w:val="00EE6CFB"/>
    <w:rsid w:val="00EE707E"/>
    <w:rsid w:val="00EE7381"/>
    <w:rsid w:val="00EE7C4E"/>
    <w:rsid w:val="00EF00F8"/>
    <w:rsid w:val="00EF0764"/>
    <w:rsid w:val="00EF0865"/>
    <w:rsid w:val="00EF10E7"/>
    <w:rsid w:val="00EF176B"/>
    <w:rsid w:val="00EF214F"/>
    <w:rsid w:val="00EF2C2D"/>
    <w:rsid w:val="00EF2DE0"/>
    <w:rsid w:val="00EF466D"/>
    <w:rsid w:val="00EF4746"/>
    <w:rsid w:val="00EF5096"/>
    <w:rsid w:val="00EF5E87"/>
    <w:rsid w:val="00EF61A8"/>
    <w:rsid w:val="00EF68BD"/>
    <w:rsid w:val="00F007FE"/>
    <w:rsid w:val="00F012A7"/>
    <w:rsid w:val="00F01C90"/>
    <w:rsid w:val="00F01F03"/>
    <w:rsid w:val="00F02EB3"/>
    <w:rsid w:val="00F0315E"/>
    <w:rsid w:val="00F03883"/>
    <w:rsid w:val="00F04554"/>
    <w:rsid w:val="00F046EC"/>
    <w:rsid w:val="00F04C8C"/>
    <w:rsid w:val="00F04F0D"/>
    <w:rsid w:val="00F05CC7"/>
    <w:rsid w:val="00F05FE6"/>
    <w:rsid w:val="00F06851"/>
    <w:rsid w:val="00F06F80"/>
    <w:rsid w:val="00F077AD"/>
    <w:rsid w:val="00F110CC"/>
    <w:rsid w:val="00F113AE"/>
    <w:rsid w:val="00F11574"/>
    <w:rsid w:val="00F125E8"/>
    <w:rsid w:val="00F13019"/>
    <w:rsid w:val="00F131C0"/>
    <w:rsid w:val="00F13822"/>
    <w:rsid w:val="00F1456A"/>
    <w:rsid w:val="00F15DA1"/>
    <w:rsid w:val="00F16C47"/>
    <w:rsid w:val="00F16CB6"/>
    <w:rsid w:val="00F17560"/>
    <w:rsid w:val="00F1795A"/>
    <w:rsid w:val="00F17B3E"/>
    <w:rsid w:val="00F17BFC"/>
    <w:rsid w:val="00F17F58"/>
    <w:rsid w:val="00F2002C"/>
    <w:rsid w:val="00F20788"/>
    <w:rsid w:val="00F20DD4"/>
    <w:rsid w:val="00F20FF6"/>
    <w:rsid w:val="00F21C72"/>
    <w:rsid w:val="00F21D84"/>
    <w:rsid w:val="00F2240F"/>
    <w:rsid w:val="00F225DF"/>
    <w:rsid w:val="00F22942"/>
    <w:rsid w:val="00F22FC5"/>
    <w:rsid w:val="00F247BC"/>
    <w:rsid w:val="00F24D56"/>
    <w:rsid w:val="00F250B9"/>
    <w:rsid w:val="00F2558D"/>
    <w:rsid w:val="00F2566F"/>
    <w:rsid w:val="00F25D55"/>
    <w:rsid w:val="00F26905"/>
    <w:rsid w:val="00F26C4C"/>
    <w:rsid w:val="00F276FE"/>
    <w:rsid w:val="00F3006D"/>
    <w:rsid w:val="00F300A5"/>
    <w:rsid w:val="00F3066F"/>
    <w:rsid w:val="00F3069B"/>
    <w:rsid w:val="00F30B99"/>
    <w:rsid w:val="00F31DA7"/>
    <w:rsid w:val="00F3272A"/>
    <w:rsid w:val="00F33103"/>
    <w:rsid w:val="00F33901"/>
    <w:rsid w:val="00F33EC0"/>
    <w:rsid w:val="00F349E0"/>
    <w:rsid w:val="00F34CD1"/>
    <w:rsid w:val="00F35D13"/>
    <w:rsid w:val="00F36369"/>
    <w:rsid w:val="00F36E66"/>
    <w:rsid w:val="00F37214"/>
    <w:rsid w:val="00F373B5"/>
    <w:rsid w:val="00F3740F"/>
    <w:rsid w:val="00F37453"/>
    <w:rsid w:val="00F37693"/>
    <w:rsid w:val="00F379DE"/>
    <w:rsid w:val="00F37F92"/>
    <w:rsid w:val="00F40593"/>
    <w:rsid w:val="00F41043"/>
    <w:rsid w:val="00F41A75"/>
    <w:rsid w:val="00F41DD1"/>
    <w:rsid w:val="00F42580"/>
    <w:rsid w:val="00F4262D"/>
    <w:rsid w:val="00F43003"/>
    <w:rsid w:val="00F436F2"/>
    <w:rsid w:val="00F43A45"/>
    <w:rsid w:val="00F4405A"/>
    <w:rsid w:val="00F44114"/>
    <w:rsid w:val="00F45365"/>
    <w:rsid w:val="00F45602"/>
    <w:rsid w:val="00F459F3"/>
    <w:rsid w:val="00F45BB0"/>
    <w:rsid w:val="00F45E46"/>
    <w:rsid w:val="00F46059"/>
    <w:rsid w:val="00F460C0"/>
    <w:rsid w:val="00F46671"/>
    <w:rsid w:val="00F46746"/>
    <w:rsid w:val="00F46F6F"/>
    <w:rsid w:val="00F471E2"/>
    <w:rsid w:val="00F4751B"/>
    <w:rsid w:val="00F47A67"/>
    <w:rsid w:val="00F50958"/>
    <w:rsid w:val="00F50DFE"/>
    <w:rsid w:val="00F50FD3"/>
    <w:rsid w:val="00F5103B"/>
    <w:rsid w:val="00F51055"/>
    <w:rsid w:val="00F51722"/>
    <w:rsid w:val="00F51825"/>
    <w:rsid w:val="00F51B65"/>
    <w:rsid w:val="00F51BC5"/>
    <w:rsid w:val="00F51E3B"/>
    <w:rsid w:val="00F51EBC"/>
    <w:rsid w:val="00F51F68"/>
    <w:rsid w:val="00F52F59"/>
    <w:rsid w:val="00F5337D"/>
    <w:rsid w:val="00F53E9C"/>
    <w:rsid w:val="00F54054"/>
    <w:rsid w:val="00F541B0"/>
    <w:rsid w:val="00F545E8"/>
    <w:rsid w:val="00F549F9"/>
    <w:rsid w:val="00F55CCF"/>
    <w:rsid w:val="00F5631B"/>
    <w:rsid w:val="00F56917"/>
    <w:rsid w:val="00F56B38"/>
    <w:rsid w:val="00F56CAC"/>
    <w:rsid w:val="00F57862"/>
    <w:rsid w:val="00F57D7F"/>
    <w:rsid w:val="00F60260"/>
    <w:rsid w:val="00F6045D"/>
    <w:rsid w:val="00F606B9"/>
    <w:rsid w:val="00F60E86"/>
    <w:rsid w:val="00F61155"/>
    <w:rsid w:val="00F61299"/>
    <w:rsid w:val="00F61AFB"/>
    <w:rsid w:val="00F61B48"/>
    <w:rsid w:val="00F628C0"/>
    <w:rsid w:val="00F63833"/>
    <w:rsid w:val="00F640F6"/>
    <w:rsid w:val="00F64D78"/>
    <w:rsid w:val="00F65491"/>
    <w:rsid w:val="00F6553C"/>
    <w:rsid w:val="00F65549"/>
    <w:rsid w:val="00F661D9"/>
    <w:rsid w:val="00F66845"/>
    <w:rsid w:val="00F66B7E"/>
    <w:rsid w:val="00F67324"/>
    <w:rsid w:val="00F67B66"/>
    <w:rsid w:val="00F67C39"/>
    <w:rsid w:val="00F67F74"/>
    <w:rsid w:val="00F710AD"/>
    <w:rsid w:val="00F716A1"/>
    <w:rsid w:val="00F71735"/>
    <w:rsid w:val="00F71AF5"/>
    <w:rsid w:val="00F71D48"/>
    <w:rsid w:val="00F72B3B"/>
    <w:rsid w:val="00F738AD"/>
    <w:rsid w:val="00F73B97"/>
    <w:rsid w:val="00F746F3"/>
    <w:rsid w:val="00F7498A"/>
    <w:rsid w:val="00F7537A"/>
    <w:rsid w:val="00F762D9"/>
    <w:rsid w:val="00F76735"/>
    <w:rsid w:val="00F76742"/>
    <w:rsid w:val="00F76814"/>
    <w:rsid w:val="00F77D58"/>
    <w:rsid w:val="00F77F46"/>
    <w:rsid w:val="00F80ED8"/>
    <w:rsid w:val="00F817FE"/>
    <w:rsid w:val="00F81E9D"/>
    <w:rsid w:val="00F82026"/>
    <w:rsid w:val="00F8282C"/>
    <w:rsid w:val="00F82EA4"/>
    <w:rsid w:val="00F82EDB"/>
    <w:rsid w:val="00F83086"/>
    <w:rsid w:val="00F84785"/>
    <w:rsid w:val="00F858F9"/>
    <w:rsid w:val="00F8703F"/>
    <w:rsid w:val="00F875D0"/>
    <w:rsid w:val="00F878FF"/>
    <w:rsid w:val="00F90900"/>
    <w:rsid w:val="00F90A32"/>
    <w:rsid w:val="00F913D4"/>
    <w:rsid w:val="00F91907"/>
    <w:rsid w:val="00F91AB4"/>
    <w:rsid w:val="00F91ABB"/>
    <w:rsid w:val="00F91EA0"/>
    <w:rsid w:val="00F92A8F"/>
    <w:rsid w:val="00F92CE3"/>
    <w:rsid w:val="00F93329"/>
    <w:rsid w:val="00F940FF"/>
    <w:rsid w:val="00F94AA0"/>
    <w:rsid w:val="00F95F46"/>
    <w:rsid w:val="00F962D9"/>
    <w:rsid w:val="00F96D92"/>
    <w:rsid w:val="00F97371"/>
    <w:rsid w:val="00F979C3"/>
    <w:rsid w:val="00FA1B96"/>
    <w:rsid w:val="00FA4217"/>
    <w:rsid w:val="00FA5ED3"/>
    <w:rsid w:val="00FA6950"/>
    <w:rsid w:val="00FA6A4F"/>
    <w:rsid w:val="00FA6D34"/>
    <w:rsid w:val="00FA6ED4"/>
    <w:rsid w:val="00FA73DC"/>
    <w:rsid w:val="00FA79B1"/>
    <w:rsid w:val="00FB008E"/>
    <w:rsid w:val="00FB01D4"/>
    <w:rsid w:val="00FB0AA8"/>
    <w:rsid w:val="00FB12E5"/>
    <w:rsid w:val="00FB1547"/>
    <w:rsid w:val="00FB1A0A"/>
    <w:rsid w:val="00FB26E1"/>
    <w:rsid w:val="00FB283C"/>
    <w:rsid w:val="00FB2B9B"/>
    <w:rsid w:val="00FB2BCA"/>
    <w:rsid w:val="00FB3363"/>
    <w:rsid w:val="00FB3E49"/>
    <w:rsid w:val="00FB49F5"/>
    <w:rsid w:val="00FB6201"/>
    <w:rsid w:val="00FB64C1"/>
    <w:rsid w:val="00FB737B"/>
    <w:rsid w:val="00FB73DC"/>
    <w:rsid w:val="00FB7BD7"/>
    <w:rsid w:val="00FC0CC1"/>
    <w:rsid w:val="00FC0E90"/>
    <w:rsid w:val="00FC0FF9"/>
    <w:rsid w:val="00FC1185"/>
    <w:rsid w:val="00FC11B0"/>
    <w:rsid w:val="00FC1F90"/>
    <w:rsid w:val="00FC29C0"/>
    <w:rsid w:val="00FC2BED"/>
    <w:rsid w:val="00FC307A"/>
    <w:rsid w:val="00FC5285"/>
    <w:rsid w:val="00FC534F"/>
    <w:rsid w:val="00FC5954"/>
    <w:rsid w:val="00FC59E5"/>
    <w:rsid w:val="00FC5E42"/>
    <w:rsid w:val="00FC5EE0"/>
    <w:rsid w:val="00FC6040"/>
    <w:rsid w:val="00FC6115"/>
    <w:rsid w:val="00FC62BC"/>
    <w:rsid w:val="00FC6EBF"/>
    <w:rsid w:val="00FC75A2"/>
    <w:rsid w:val="00FC7A9F"/>
    <w:rsid w:val="00FD0741"/>
    <w:rsid w:val="00FD0A8E"/>
    <w:rsid w:val="00FD118A"/>
    <w:rsid w:val="00FD18F6"/>
    <w:rsid w:val="00FD1BB5"/>
    <w:rsid w:val="00FD1BF3"/>
    <w:rsid w:val="00FD1C9A"/>
    <w:rsid w:val="00FD242E"/>
    <w:rsid w:val="00FD25BE"/>
    <w:rsid w:val="00FD314C"/>
    <w:rsid w:val="00FD42E8"/>
    <w:rsid w:val="00FD4963"/>
    <w:rsid w:val="00FD6437"/>
    <w:rsid w:val="00FD66FA"/>
    <w:rsid w:val="00FD6C06"/>
    <w:rsid w:val="00FD6F38"/>
    <w:rsid w:val="00FD710B"/>
    <w:rsid w:val="00FD76EE"/>
    <w:rsid w:val="00FD7B64"/>
    <w:rsid w:val="00FE0379"/>
    <w:rsid w:val="00FE0513"/>
    <w:rsid w:val="00FE0778"/>
    <w:rsid w:val="00FE09E6"/>
    <w:rsid w:val="00FE0AEF"/>
    <w:rsid w:val="00FE13A9"/>
    <w:rsid w:val="00FE222F"/>
    <w:rsid w:val="00FE45C8"/>
    <w:rsid w:val="00FE47EC"/>
    <w:rsid w:val="00FE4A63"/>
    <w:rsid w:val="00FE5856"/>
    <w:rsid w:val="00FE5A16"/>
    <w:rsid w:val="00FE6680"/>
    <w:rsid w:val="00FE6A8C"/>
    <w:rsid w:val="00FE73D5"/>
    <w:rsid w:val="00FE7700"/>
    <w:rsid w:val="00FE7E39"/>
    <w:rsid w:val="00FF13CC"/>
    <w:rsid w:val="00FF20B1"/>
    <w:rsid w:val="00FF2547"/>
    <w:rsid w:val="00FF27C6"/>
    <w:rsid w:val="00FF31C8"/>
    <w:rsid w:val="00FF32BE"/>
    <w:rsid w:val="00FF3569"/>
    <w:rsid w:val="00FF51B1"/>
    <w:rsid w:val="00FF5430"/>
    <w:rsid w:val="00FF724C"/>
    <w:rsid w:val="01203EBB"/>
    <w:rsid w:val="01207B59"/>
    <w:rsid w:val="0195685A"/>
    <w:rsid w:val="01964270"/>
    <w:rsid w:val="01C74429"/>
    <w:rsid w:val="01D950F6"/>
    <w:rsid w:val="02FA6D23"/>
    <w:rsid w:val="039A3ED8"/>
    <w:rsid w:val="03B46C2F"/>
    <w:rsid w:val="03BA2CC2"/>
    <w:rsid w:val="043D116D"/>
    <w:rsid w:val="047B4ECF"/>
    <w:rsid w:val="04C410F4"/>
    <w:rsid w:val="05376D84"/>
    <w:rsid w:val="055E1038"/>
    <w:rsid w:val="05612CD8"/>
    <w:rsid w:val="05BC4131"/>
    <w:rsid w:val="05E82A41"/>
    <w:rsid w:val="05ED08FF"/>
    <w:rsid w:val="061101D4"/>
    <w:rsid w:val="06662DE7"/>
    <w:rsid w:val="06BC2299"/>
    <w:rsid w:val="07C765C2"/>
    <w:rsid w:val="08245DD5"/>
    <w:rsid w:val="08311597"/>
    <w:rsid w:val="085152E6"/>
    <w:rsid w:val="085D3543"/>
    <w:rsid w:val="0886201F"/>
    <w:rsid w:val="08BA07A0"/>
    <w:rsid w:val="09073675"/>
    <w:rsid w:val="098E15D7"/>
    <w:rsid w:val="09AD0CC7"/>
    <w:rsid w:val="09F21F44"/>
    <w:rsid w:val="0A41496A"/>
    <w:rsid w:val="0AC67C90"/>
    <w:rsid w:val="0B165359"/>
    <w:rsid w:val="0B1A43A3"/>
    <w:rsid w:val="0B1D55AA"/>
    <w:rsid w:val="0B2F7B54"/>
    <w:rsid w:val="0BC02CE6"/>
    <w:rsid w:val="0BEB2FB1"/>
    <w:rsid w:val="0CF54541"/>
    <w:rsid w:val="0D2225D8"/>
    <w:rsid w:val="0D6D6855"/>
    <w:rsid w:val="0DC82AB8"/>
    <w:rsid w:val="0DE20392"/>
    <w:rsid w:val="0DF51436"/>
    <w:rsid w:val="0E3D12C7"/>
    <w:rsid w:val="0E57122B"/>
    <w:rsid w:val="0F0C4B39"/>
    <w:rsid w:val="0F2759E5"/>
    <w:rsid w:val="0F7E3778"/>
    <w:rsid w:val="0F8004BB"/>
    <w:rsid w:val="0FB071DF"/>
    <w:rsid w:val="0FEA20EF"/>
    <w:rsid w:val="10914FFE"/>
    <w:rsid w:val="10940DDB"/>
    <w:rsid w:val="10C77560"/>
    <w:rsid w:val="11A42BB3"/>
    <w:rsid w:val="11CD1C9B"/>
    <w:rsid w:val="11DF3786"/>
    <w:rsid w:val="11F30DC5"/>
    <w:rsid w:val="126E59AD"/>
    <w:rsid w:val="12817F15"/>
    <w:rsid w:val="12EF27DA"/>
    <w:rsid w:val="12F57DD8"/>
    <w:rsid w:val="130B4743"/>
    <w:rsid w:val="1391519D"/>
    <w:rsid w:val="13E2127B"/>
    <w:rsid w:val="140D6737"/>
    <w:rsid w:val="14105EB0"/>
    <w:rsid w:val="145A7080"/>
    <w:rsid w:val="14894E98"/>
    <w:rsid w:val="15063646"/>
    <w:rsid w:val="15087518"/>
    <w:rsid w:val="1546345F"/>
    <w:rsid w:val="15682AA6"/>
    <w:rsid w:val="15A1686E"/>
    <w:rsid w:val="15B81E09"/>
    <w:rsid w:val="15C37F6E"/>
    <w:rsid w:val="161E3CC0"/>
    <w:rsid w:val="16214089"/>
    <w:rsid w:val="16280F35"/>
    <w:rsid w:val="16634F12"/>
    <w:rsid w:val="16DF1C51"/>
    <w:rsid w:val="16E652DC"/>
    <w:rsid w:val="17502C0E"/>
    <w:rsid w:val="17722E82"/>
    <w:rsid w:val="178F0EAD"/>
    <w:rsid w:val="17FE7CDB"/>
    <w:rsid w:val="186F5470"/>
    <w:rsid w:val="18A507C0"/>
    <w:rsid w:val="191343F5"/>
    <w:rsid w:val="19B72B7E"/>
    <w:rsid w:val="19F37CFD"/>
    <w:rsid w:val="1A2921EF"/>
    <w:rsid w:val="1A6B04CE"/>
    <w:rsid w:val="1ADC2F19"/>
    <w:rsid w:val="1ADE4572"/>
    <w:rsid w:val="1BD21EE2"/>
    <w:rsid w:val="1C2B16B5"/>
    <w:rsid w:val="1C3D5A92"/>
    <w:rsid w:val="1C640043"/>
    <w:rsid w:val="1D2F2D4F"/>
    <w:rsid w:val="1D5369D2"/>
    <w:rsid w:val="1DCE1CFF"/>
    <w:rsid w:val="1EA145F0"/>
    <w:rsid w:val="1EC23455"/>
    <w:rsid w:val="1EC70C6B"/>
    <w:rsid w:val="1F371C2F"/>
    <w:rsid w:val="1F527756"/>
    <w:rsid w:val="1F614181"/>
    <w:rsid w:val="1F940C3D"/>
    <w:rsid w:val="1FA5265D"/>
    <w:rsid w:val="1FAF0BB3"/>
    <w:rsid w:val="202A6865"/>
    <w:rsid w:val="20413686"/>
    <w:rsid w:val="20DB1877"/>
    <w:rsid w:val="20F6344B"/>
    <w:rsid w:val="20FC53CE"/>
    <w:rsid w:val="21084147"/>
    <w:rsid w:val="21701F90"/>
    <w:rsid w:val="21B851D4"/>
    <w:rsid w:val="21BC55BD"/>
    <w:rsid w:val="21C432BD"/>
    <w:rsid w:val="22BE47BA"/>
    <w:rsid w:val="22D32456"/>
    <w:rsid w:val="22DB1410"/>
    <w:rsid w:val="232841D4"/>
    <w:rsid w:val="236C1B42"/>
    <w:rsid w:val="23BF27AF"/>
    <w:rsid w:val="23C20825"/>
    <w:rsid w:val="23DC0EEC"/>
    <w:rsid w:val="247A0118"/>
    <w:rsid w:val="247B2B17"/>
    <w:rsid w:val="24B4D623"/>
    <w:rsid w:val="24C628AB"/>
    <w:rsid w:val="24EF3434"/>
    <w:rsid w:val="25533BBB"/>
    <w:rsid w:val="259572E3"/>
    <w:rsid w:val="259D1F7B"/>
    <w:rsid w:val="25C23080"/>
    <w:rsid w:val="260D3FC7"/>
    <w:rsid w:val="267157B6"/>
    <w:rsid w:val="26F10B88"/>
    <w:rsid w:val="26F53B09"/>
    <w:rsid w:val="270B22EB"/>
    <w:rsid w:val="276B2E11"/>
    <w:rsid w:val="27A67A03"/>
    <w:rsid w:val="27BA0A36"/>
    <w:rsid w:val="27DD4678"/>
    <w:rsid w:val="2804263C"/>
    <w:rsid w:val="2875173D"/>
    <w:rsid w:val="289E23F3"/>
    <w:rsid w:val="28CE41A6"/>
    <w:rsid w:val="298E0675"/>
    <w:rsid w:val="29BEB437"/>
    <w:rsid w:val="2A406B0D"/>
    <w:rsid w:val="2AAF1A9C"/>
    <w:rsid w:val="2AC75B66"/>
    <w:rsid w:val="2AFA1016"/>
    <w:rsid w:val="2B354727"/>
    <w:rsid w:val="2B650FF5"/>
    <w:rsid w:val="2B6D3EBD"/>
    <w:rsid w:val="2B895973"/>
    <w:rsid w:val="2B8D3A26"/>
    <w:rsid w:val="2CB01C1E"/>
    <w:rsid w:val="2CF41F8B"/>
    <w:rsid w:val="2D0D05FE"/>
    <w:rsid w:val="2D5E7B38"/>
    <w:rsid w:val="2D91257D"/>
    <w:rsid w:val="2DA28150"/>
    <w:rsid w:val="2E60513A"/>
    <w:rsid w:val="2E640EE2"/>
    <w:rsid w:val="2E872A16"/>
    <w:rsid w:val="2E87322E"/>
    <w:rsid w:val="2E985CF4"/>
    <w:rsid w:val="2F1474CF"/>
    <w:rsid w:val="2F217151"/>
    <w:rsid w:val="2F4C3D05"/>
    <w:rsid w:val="300F69FE"/>
    <w:rsid w:val="305B528A"/>
    <w:rsid w:val="30A1575F"/>
    <w:rsid w:val="32194A8F"/>
    <w:rsid w:val="322F7824"/>
    <w:rsid w:val="3295541B"/>
    <w:rsid w:val="32A91547"/>
    <w:rsid w:val="33593A3B"/>
    <w:rsid w:val="33D9655A"/>
    <w:rsid w:val="33DE36C7"/>
    <w:rsid w:val="341674CA"/>
    <w:rsid w:val="342F4D61"/>
    <w:rsid w:val="350D02F0"/>
    <w:rsid w:val="355A033D"/>
    <w:rsid w:val="355E0668"/>
    <w:rsid w:val="358763A6"/>
    <w:rsid w:val="35AB2CA8"/>
    <w:rsid w:val="35B14903"/>
    <w:rsid w:val="35BD2F97"/>
    <w:rsid w:val="36235B62"/>
    <w:rsid w:val="3680653B"/>
    <w:rsid w:val="36F63D86"/>
    <w:rsid w:val="370F335E"/>
    <w:rsid w:val="37466C21"/>
    <w:rsid w:val="37882F80"/>
    <w:rsid w:val="378F6651"/>
    <w:rsid w:val="38274936"/>
    <w:rsid w:val="38AE3570"/>
    <w:rsid w:val="38C33ED6"/>
    <w:rsid w:val="38CE61CA"/>
    <w:rsid w:val="39213309"/>
    <w:rsid w:val="398B3D4C"/>
    <w:rsid w:val="39DB6F54"/>
    <w:rsid w:val="3A25250F"/>
    <w:rsid w:val="3A8D328E"/>
    <w:rsid w:val="3ADD3CFD"/>
    <w:rsid w:val="3B18232A"/>
    <w:rsid w:val="3B256C4E"/>
    <w:rsid w:val="3BCB4ECE"/>
    <w:rsid w:val="3C0B508A"/>
    <w:rsid w:val="3C30372A"/>
    <w:rsid w:val="3CF058F8"/>
    <w:rsid w:val="3CF230F2"/>
    <w:rsid w:val="3D763A93"/>
    <w:rsid w:val="3DA520CC"/>
    <w:rsid w:val="3DD82039"/>
    <w:rsid w:val="3DFD7A87"/>
    <w:rsid w:val="3E2E7433"/>
    <w:rsid w:val="3E5C6C61"/>
    <w:rsid w:val="3E8C7A26"/>
    <w:rsid w:val="3ECC7018"/>
    <w:rsid w:val="3F055894"/>
    <w:rsid w:val="3F255D10"/>
    <w:rsid w:val="3F35106A"/>
    <w:rsid w:val="3F516629"/>
    <w:rsid w:val="3F532B7F"/>
    <w:rsid w:val="3F855198"/>
    <w:rsid w:val="3FAD6F78"/>
    <w:rsid w:val="3FE86152"/>
    <w:rsid w:val="405707BC"/>
    <w:rsid w:val="40696670"/>
    <w:rsid w:val="406D7300"/>
    <w:rsid w:val="40FF35C1"/>
    <w:rsid w:val="41361FC0"/>
    <w:rsid w:val="41440E92"/>
    <w:rsid w:val="41C012FF"/>
    <w:rsid w:val="41CC7001"/>
    <w:rsid w:val="41E10C70"/>
    <w:rsid w:val="429A0303"/>
    <w:rsid w:val="431019F8"/>
    <w:rsid w:val="43511F37"/>
    <w:rsid w:val="43888190"/>
    <w:rsid w:val="43D41C86"/>
    <w:rsid w:val="4492788B"/>
    <w:rsid w:val="4522431B"/>
    <w:rsid w:val="45EF1B7B"/>
    <w:rsid w:val="45F44B43"/>
    <w:rsid w:val="47155845"/>
    <w:rsid w:val="472921D1"/>
    <w:rsid w:val="47385A50"/>
    <w:rsid w:val="47F2C001"/>
    <w:rsid w:val="481827E8"/>
    <w:rsid w:val="4826417D"/>
    <w:rsid w:val="48304DC3"/>
    <w:rsid w:val="48437CB3"/>
    <w:rsid w:val="4891428A"/>
    <w:rsid w:val="489F0449"/>
    <w:rsid w:val="48A26623"/>
    <w:rsid w:val="490177EE"/>
    <w:rsid w:val="49221DCF"/>
    <w:rsid w:val="49E51FED"/>
    <w:rsid w:val="4A2675EB"/>
    <w:rsid w:val="4AAF141E"/>
    <w:rsid w:val="4AD12B24"/>
    <w:rsid w:val="4AFC3581"/>
    <w:rsid w:val="4B103655"/>
    <w:rsid w:val="4B285638"/>
    <w:rsid w:val="4B4702D2"/>
    <w:rsid w:val="4B8C2A00"/>
    <w:rsid w:val="4C4111C2"/>
    <w:rsid w:val="4C76404E"/>
    <w:rsid w:val="4C7B446F"/>
    <w:rsid w:val="4C906D89"/>
    <w:rsid w:val="4C9E19C0"/>
    <w:rsid w:val="4CC60394"/>
    <w:rsid w:val="4CD52137"/>
    <w:rsid w:val="4CDF7A1B"/>
    <w:rsid w:val="4D2C439F"/>
    <w:rsid w:val="4D4624BE"/>
    <w:rsid w:val="4D50387C"/>
    <w:rsid w:val="4D51587D"/>
    <w:rsid w:val="4DC71B74"/>
    <w:rsid w:val="4DEC343F"/>
    <w:rsid w:val="4E387C78"/>
    <w:rsid w:val="4E5D4D71"/>
    <w:rsid w:val="4E6C5FF6"/>
    <w:rsid w:val="4E8746FC"/>
    <w:rsid w:val="4E995C7E"/>
    <w:rsid w:val="4EB20F2C"/>
    <w:rsid w:val="4F15C128"/>
    <w:rsid w:val="4F5C75FB"/>
    <w:rsid w:val="4FAE11FC"/>
    <w:rsid w:val="4FBA6DB9"/>
    <w:rsid w:val="4FCF53F6"/>
    <w:rsid w:val="4FEF09F4"/>
    <w:rsid w:val="50536BAB"/>
    <w:rsid w:val="51056EE7"/>
    <w:rsid w:val="514868EE"/>
    <w:rsid w:val="516C4956"/>
    <w:rsid w:val="51710677"/>
    <w:rsid w:val="51722FF6"/>
    <w:rsid w:val="519C5369"/>
    <w:rsid w:val="5244074B"/>
    <w:rsid w:val="526103D6"/>
    <w:rsid w:val="527823B1"/>
    <w:rsid w:val="528B6F1A"/>
    <w:rsid w:val="528E0D14"/>
    <w:rsid w:val="52B1399B"/>
    <w:rsid w:val="52D47AC0"/>
    <w:rsid w:val="52F0406C"/>
    <w:rsid w:val="53106DAB"/>
    <w:rsid w:val="533F163E"/>
    <w:rsid w:val="536F1A94"/>
    <w:rsid w:val="5396417F"/>
    <w:rsid w:val="54224EA2"/>
    <w:rsid w:val="545F6C51"/>
    <w:rsid w:val="54877424"/>
    <w:rsid w:val="548A3D6B"/>
    <w:rsid w:val="54941CE7"/>
    <w:rsid w:val="549A27BC"/>
    <w:rsid w:val="54ED1452"/>
    <w:rsid w:val="55004972"/>
    <w:rsid w:val="5571600D"/>
    <w:rsid w:val="55E706DC"/>
    <w:rsid w:val="563A433F"/>
    <w:rsid w:val="568B745F"/>
    <w:rsid w:val="56A50CDA"/>
    <w:rsid w:val="56AB530C"/>
    <w:rsid w:val="56E32C4A"/>
    <w:rsid w:val="579E6214"/>
    <w:rsid w:val="57B56E2E"/>
    <w:rsid w:val="583D3FAF"/>
    <w:rsid w:val="5841352D"/>
    <w:rsid w:val="598F0C56"/>
    <w:rsid w:val="5A0F25CF"/>
    <w:rsid w:val="5A1620C7"/>
    <w:rsid w:val="5A443198"/>
    <w:rsid w:val="5A4A649C"/>
    <w:rsid w:val="5A6873CB"/>
    <w:rsid w:val="5AC864B9"/>
    <w:rsid w:val="5BA00FAC"/>
    <w:rsid w:val="5C574AC3"/>
    <w:rsid w:val="5C7F6ACD"/>
    <w:rsid w:val="5D2D66DB"/>
    <w:rsid w:val="5D3F4DFF"/>
    <w:rsid w:val="5D4A4C0E"/>
    <w:rsid w:val="5DBA02DC"/>
    <w:rsid w:val="5E3B3425"/>
    <w:rsid w:val="5E3F4B1D"/>
    <w:rsid w:val="5E4D7F51"/>
    <w:rsid w:val="5E6847AF"/>
    <w:rsid w:val="5E754C46"/>
    <w:rsid w:val="5E826883"/>
    <w:rsid w:val="5E9375C1"/>
    <w:rsid w:val="5EB83F07"/>
    <w:rsid w:val="5EE22509"/>
    <w:rsid w:val="5F6D177F"/>
    <w:rsid w:val="5FC41C75"/>
    <w:rsid w:val="5FDD42D4"/>
    <w:rsid w:val="60314F4C"/>
    <w:rsid w:val="60606896"/>
    <w:rsid w:val="60D338C2"/>
    <w:rsid w:val="60EB1C49"/>
    <w:rsid w:val="610B690B"/>
    <w:rsid w:val="620333B0"/>
    <w:rsid w:val="624F2E86"/>
    <w:rsid w:val="627C6F22"/>
    <w:rsid w:val="62A438D3"/>
    <w:rsid w:val="62B96FE1"/>
    <w:rsid w:val="633B4A6F"/>
    <w:rsid w:val="63702777"/>
    <w:rsid w:val="63A10E0E"/>
    <w:rsid w:val="63CF7B03"/>
    <w:rsid w:val="64541F40"/>
    <w:rsid w:val="64571E7C"/>
    <w:rsid w:val="649545A1"/>
    <w:rsid w:val="64B809E2"/>
    <w:rsid w:val="64D97E55"/>
    <w:rsid w:val="65A01C25"/>
    <w:rsid w:val="65E2470D"/>
    <w:rsid w:val="65E669EC"/>
    <w:rsid w:val="66267799"/>
    <w:rsid w:val="66406C8C"/>
    <w:rsid w:val="66FB20D6"/>
    <w:rsid w:val="67157A1D"/>
    <w:rsid w:val="67730C4D"/>
    <w:rsid w:val="67D07BF0"/>
    <w:rsid w:val="67DD7FE3"/>
    <w:rsid w:val="68313D7F"/>
    <w:rsid w:val="68581B13"/>
    <w:rsid w:val="686102B9"/>
    <w:rsid w:val="68760D47"/>
    <w:rsid w:val="697431DA"/>
    <w:rsid w:val="6A590DE0"/>
    <w:rsid w:val="6AC53691"/>
    <w:rsid w:val="6ADE06D2"/>
    <w:rsid w:val="6B173EB2"/>
    <w:rsid w:val="6B824E99"/>
    <w:rsid w:val="6BD356EA"/>
    <w:rsid w:val="6BF14162"/>
    <w:rsid w:val="6BFA24A5"/>
    <w:rsid w:val="6BFEB562"/>
    <w:rsid w:val="6C414AB2"/>
    <w:rsid w:val="6D0C3CFA"/>
    <w:rsid w:val="6D760048"/>
    <w:rsid w:val="6D9C140F"/>
    <w:rsid w:val="6DF6BB41"/>
    <w:rsid w:val="6E365989"/>
    <w:rsid w:val="6E6733CC"/>
    <w:rsid w:val="6EA501C4"/>
    <w:rsid w:val="6EEC6DFC"/>
    <w:rsid w:val="6F052E6B"/>
    <w:rsid w:val="6F402749"/>
    <w:rsid w:val="6F7001F4"/>
    <w:rsid w:val="6FB61452"/>
    <w:rsid w:val="6FE767F1"/>
    <w:rsid w:val="6FEF4336"/>
    <w:rsid w:val="701D3DDF"/>
    <w:rsid w:val="70C76A29"/>
    <w:rsid w:val="70C803F5"/>
    <w:rsid w:val="70D87EEE"/>
    <w:rsid w:val="711F38A9"/>
    <w:rsid w:val="712B0BDB"/>
    <w:rsid w:val="71633523"/>
    <w:rsid w:val="71642515"/>
    <w:rsid w:val="719E2331"/>
    <w:rsid w:val="71AC4B85"/>
    <w:rsid w:val="71B0565C"/>
    <w:rsid w:val="71B40FF2"/>
    <w:rsid w:val="71EA5B48"/>
    <w:rsid w:val="71F159DB"/>
    <w:rsid w:val="72C13030"/>
    <w:rsid w:val="72C42A56"/>
    <w:rsid w:val="72D30D83"/>
    <w:rsid w:val="72F02B78"/>
    <w:rsid w:val="73575918"/>
    <w:rsid w:val="73A60330"/>
    <w:rsid w:val="73A612D7"/>
    <w:rsid w:val="747316A8"/>
    <w:rsid w:val="756F711B"/>
    <w:rsid w:val="758065B0"/>
    <w:rsid w:val="7584083D"/>
    <w:rsid w:val="75897D5B"/>
    <w:rsid w:val="75913708"/>
    <w:rsid w:val="75C5050B"/>
    <w:rsid w:val="75FA2D4B"/>
    <w:rsid w:val="76974C3B"/>
    <w:rsid w:val="76B22232"/>
    <w:rsid w:val="76CC2CFF"/>
    <w:rsid w:val="771865D2"/>
    <w:rsid w:val="772067E2"/>
    <w:rsid w:val="775A6197"/>
    <w:rsid w:val="776D0A7D"/>
    <w:rsid w:val="77846810"/>
    <w:rsid w:val="77892781"/>
    <w:rsid w:val="7793619B"/>
    <w:rsid w:val="779C1154"/>
    <w:rsid w:val="7856614A"/>
    <w:rsid w:val="787E7E59"/>
    <w:rsid w:val="789C5F68"/>
    <w:rsid w:val="78A13D2F"/>
    <w:rsid w:val="78D10343"/>
    <w:rsid w:val="791F1552"/>
    <w:rsid w:val="793A4B20"/>
    <w:rsid w:val="7942768C"/>
    <w:rsid w:val="7966337A"/>
    <w:rsid w:val="79871516"/>
    <w:rsid w:val="79CB5C60"/>
    <w:rsid w:val="7A232035"/>
    <w:rsid w:val="7A3562E6"/>
    <w:rsid w:val="7A391CE2"/>
    <w:rsid w:val="7A4B32C7"/>
    <w:rsid w:val="7A6F67AC"/>
    <w:rsid w:val="7AAD1041"/>
    <w:rsid w:val="7AB008C4"/>
    <w:rsid w:val="7AC163BB"/>
    <w:rsid w:val="7AD4482E"/>
    <w:rsid w:val="7B2052C9"/>
    <w:rsid w:val="7BF51EAC"/>
    <w:rsid w:val="7D1151ED"/>
    <w:rsid w:val="7D5F1FA6"/>
    <w:rsid w:val="7DC160A2"/>
    <w:rsid w:val="7E717A18"/>
    <w:rsid w:val="7E755ED2"/>
    <w:rsid w:val="7E7C6352"/>
    <w:rsid w:val="7E89142D"/>
    <w:rsid w:val="7EBE5635"/>
    <w:rsid w:val="7F572AE8"/>
    <w:rsid w:val="7F96532A"/>
    <w:rsid w:val="7FED69DD"/>
    <w:rsid w:val="7FFF9ED7"/>
    <w:rsid w:val="812E654B"/>
    <w:rsid w:val="BB75085F"/>
    <w:rsid w:val="BDFBF7FF"/>
    <w:rsid w:val="D7E389DC"/>
    <w:rsid w:val="E807BCFD"/>
    <w:rsid w:val="EB4FC5B8"/>
    <w:rsid w:val="FFF5E34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0" w:name="toc 3"/>
    <w:lsdException w:uiPriority="0" w:name="toc 4"/>
    <w:lsdException w:uiPriority="0" w:name="toc 5"/>
    <w:lsdException w:qFormat="1" w:unhideWhenUsed="0"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0" w:name="HTML Preformatted"/>
    <w:lsdException w:qFormat="1" w:unhideWhenUsed="0" w:uiPriority="0" w:semiHidden="0" w:name="HTML Sample"/>
    <w:lsdException w:uiPriority="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sz w:val="21"/>
      <w:szCs w:val="24"/>
      <w:lang w:val="en-US" w:eastAsia="zh-CN" w:bidi="ar-SA"/>
    </w:rPr>
  </w:style>
  <w:style w:type="paragraph" w:styleId="4">
    <w:name w:val="heading 1"/>
    <w:basedOn w:val="1"/>
    <w:next w:val="1"/>
    <w:link w:val="55"/>
    <w:qFormat/>
    <w:uiPriority w:val="0"/>
    <w:pPr>
      <w:keepNext/>
      <w:keepLines/>
      <w:tabs>
        <w:tab w:val="left" w:pos="840"/>
      </w:tabs>
      <w:adjustRightInd w:val="0"/>
      <w:snapToGrid w:val="0"/>
      <w:spacing w:line="360" w:lineRule="auto"/>
      <w:outlineLvl w:val="0"/>
    </w:pPr>
    <w:rPr>
      <w:rFonts w:ascii="宋体"/>
      <w:b/>
      <w:kern w:val="44"/>
      <w:sz w:val="24"/>
      <w:szCs w:val="20"/>
    </w:rPr>
  </w:style>
  <w:style w:type="paragraph" w:styleId="5">
    <w:name w:val="heading 2"/>
    <w:basedOn w:val="1"/>
    <w:next w:val="1"/>
    <w:link w:val="56"/>
    <w:qFormat/>
    <w:uiPriority w:val="9"/>
    <w:pPr>
      <w:keepNext/>
      <w:keepLines/>
      <w:spacing w:before="260" w:after="260" w:line="413" w:lineRule="auto"/>
      <w:outlineLvl w:val="1"/>
    </w:pPr>
    <w:rPr>
      <w:rFonts w:ascii="Arial" w:hAnsi="Arial" w:eastAsia="黑体"/>
      <w:b/>
      <w:bCs/>
      <w:kern w:val="2"/>
      <w:sz w:val="32"/>
      <w:szCs w:val="32"/>
    </w:rPr>
  </w:style>
  <w:style w:type="paragraph" w:styleId="6">
    <w:name w:val="heading 3"/>
    <w:basedOn w:val="1"/>
    <w:next w:val="1"/>
    <w:link w:val="57"/>
    <w:qFormat/>
    <w:uiPriority w:val="0"/>
    <w:pPr>
      <w:keepNext/>
      <w:keepLines/>
      <w:spacing w:before="260" w:after="260" w:line="413" w:lineRule="auto"/>
      <w:outlineLvl w:val="2"/>
    </w:pPr>
    <w:rPr>
      <w:b/>
      <w:bCs/>
      <w:kern w:val="2"/>
      <w:sz w:val="32"/>
      <w:szCs w:val="32"/>
    </w:rPr>
  </w:style>
  <w:style w:type="paragraph" w:styleId="7">
    <w:name w:val="heading 4"/>
    <w:basedOn w:val="1"/>
    <w:next w:val="1"/>
    <w:link w:val="58"/>
    <w:qFormat/>
    <w:uiPriority w:val="0"/>
    <w:pPr>
      <w:keepNext/>
      <w:keepLines/>
      <w:tabs>
        <w:tab w:val="left" w:pos="864"/>
      </w:tabs>
      <w:ind w:left="864" w:hanging="864"/>
      <w:outlineLvl w:val="3"/>
    </w:pPr>
    <w:rPr>
      <w:rFonts w:ascii="Arial" w:hAnsi="Arial" w:eastAsia="Times New Roman"/>
      <w:b/>
      <w:bCs/>
      <w:kern w:val="2"/>
      <w:sz w:val="28"/>
      <w:szCs w:val="28"/>
    </w:rPr>
  </w:style>
  <w:style w:type="paragraph" w:styleId="8">
    <w:name w:val="heading 5"/>
    <w:basedOn w:val="1"/>
    <w:next w:val="1"/>
    <w:link w:val="59"/>
    <w:qFormat/>
    <w:uiPriority w:val="0"/>
    <w:pPr>
      <w:keepNext/>
      <w:keepLines/>
      <w:tabs>
        <w:tab w:val="left" w:pos="567"/>
      </w:tabs>
      <w:ind w:left="567" w:hanging="567"/>
      <w:outlineLvl w:val="4"/>
    </w:pPr>
    <w:rPr>
      <w:b/>
      <w:bCs/>
      <w:kern w:val="2"/>
      <w:sz w:val="28"/>
      <w:szCs w:val="28"/>
    </w:rPr>
  </w:style>
  <w:style w:type="paragraph" w:styleId="9">
    <w:name w:val="heading 6"/>
    <w:basedOn w:val="1"/>
    <w:next w:val="1"/>
    <w:link w:val="60"/>
    <w:qFormat/>
    <w:uiPriority w:val="0"/>
    <w:pPr>
      <w:keepNext/>
      <w:keepLines/>
      <w:tabs>
        <w:tab w:val="left" w:pos="851"/>
      </w:tabs>
      <w:spacing w:before="240" w:after="64" w:line="320" w:lineRule="auto"/>
      <w:ind w:left="851" w:hanging="851"/>
      <w:outlineLvl w:val="5"/>
    </w:pPr>
    <w:rPr>
      <w:rFonts w:ascii="Arial" w:hAnsi="Arial" w:eastAsia="黑体"/>
      <w:b/>
      <w:bCs/>
      <w:kern w:val="2"/>
      <w:sz w:val="24"/>
    </w:rPr>
  </w:style>
  <w:style w:type="paragraph" w:styleId="10">
    <w:name w:val="heading 7"/>
    <w:basedOn w:val="1"/>
    <w:next w:val="1"/>
    <w:link w:val="61"/>
    <w:qFormat/>
    <w:uiPriority w:val="0"/>
    <w:pPr>
      <w:keepNext/>
      <w:keepLines/>
      <w:tabs>
        <w:tab w:val="left" w:pos="1296"/>
      </w:tabs>
      <w:spacing w:before="240" w:after="64" w:line="320" w:lineRule="auto"/>
      <w:ind w:left="1296" w:hanging="1296"/>
      <w:outlineLvl w:val="6"/>
    </w:pPr>
    <w:rPr>
      <w:rFonts w:eastAsia="仿宋_GB2312"/>
      <w:b/>
      <w:bCs/>
      <w:kern w:val="2"/>
      <w:sz w:val="24"/>
    </w:rPr>
  </w:style>
  <w:style w:type="paragraph" w:styleId="11">
    <w:name w:val="heading 8"/>
    <w:basedOn w:val="1"/>
    <w:next w:val="1"/>
    <w:link w:val="62"/>
    <w:qFormat/>
    <w:uiPriority w:val="0"/>
    <w:pPr>
      <w:keepNext/>
      <w:keepLines/>
      <w:tabs>
        <w:tab w:val="left" w:pos="1440"/>
      </w:tabs>
      <w:spacing w:before="240" w:after="64" w:line="320" w:lineRule="auto"/>
      <w:ind w:left="1440" w:hanging="1440"/>
      <w:outlineLvl w:val="7"/>
    </w:pPr>
    <w:rPr>
      <w:rFonts w:ascii="Arial" w:hAnsi="Arial" w:eastAsia="黑体"/>
      <w:kern w:val="2"/>
      <w:sz w:val="24"/>
    </w:rPr>
  </w:style>
  <w:style w:type="paragraph" w:styleId="12">
    <w:name w:val="heading 9"/>
    <w:basedOn w:val="1"/>
    <w:next w:val="1"/>
    <w:link w:val="63"/>
    <w:qFormat/>
    <w:uiPriority w:val="0"/>
    <w:pPr>
      <w:keepNext/>
      <w:keepLines/>
      <w:tabs>
        <w:tab w:val="left" w:pos="1584"/>
      </w:tabs>
      <w:spacing w:before="240" w:after="64" w:line="320" w:lineRule="auto"/>
      <w:ind w:left="1584" w:hanging="1584"/>
      <w:outlineLvl w:val="8"/>
    </w:pPr>
    <w:rPr>
      <w:rFonts w:ascii="Arial" w:hAnsi="Arial" w:eastAsia="黑体"/>
      <w:kern w:val="2"/>
      <w:szCs w:val="21"/>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ind w:left="200" w:leftChars="200" w:firstLine="420" w:firstLineChars="200"/>
    </w:pPr>
  </w:style>
  <w:style w:type="paragraph" w:styleId="3">
    <w:name w:val="Body Text Indent"/>
    <w:basedOn w:val="1"/>
    <w:next w:val="1"/>
    <w:link w:val="53"/>
    <w:qFormat/>
    <w:uiPriority w:val="0"/>
    <w:pPr>
      <w:ind w:left="480" w:hanging="480" w:hangingChars="200"/>
    </w:pPr>
    <w:rPr>
      <w:kern w:val="2"/>
      <w:sz w:val="24"/>
    </w:rPr>
  </w:style>
  <w:style w:type="paragraph" w:styleId="13">
    <w:name w:val="Normal Indent"/>
    <w:basedOn w:val="1"/>
    <w:next w:val="1"/>
    <w:link w:val="65"/>
    <w:qFormat/>
    <w:uiPriority w:val="0"/>
    <w:pPr>
      <w:adjustRightInd w:val="0"/>
      <w:spacing w:line="312" w:lineRule="atLeast"/>
      <w:ind w:firstLine="420"/>
      <w:textAlignment w:val="baseline"/>
    </w:pPr>
    <w:rPr>
      <w:szCs w:val="20"/>
    </w:rPr>
  </w:style>
  <w:style w:type="paragraph" w:styleId="14">
    <w:name w:val="caption"/>
    <w:basedOn w:val="1"/>
    <w:next w:val="1"/>
    <w:qFormat/>
    <w:uiPriority w:val="0"/>
    <w:rPr>
      <w:rFonts w:ascii="Calibri Light" w:hAnsi="Calibri Light" w:eastAsia="黑体"/>
      <w:sz w:val="20"/>
      <w:szCs w:val="20"/>
    </w:rPr>
  </w:style>
  <w:style w:type="paragraph" w:styleId="15">
    <w:name w:val="List Bullet"/>
    <w:qFormat/>
    <w:uiPriority w:val="0"/>
    <w:pPr>
      <w:tabs>
        <w:tab w:val="left" w:pos="420"/>
      </w:tabs>
      <w:spacing w:beforeLines="50" w:afterLines="50" w:line="300" w:lineRule="auto"/>
      <w:ind w:left="420" w:hanging="420"/>
    </w:pPr>
    <w:rPr>
      <w:rFonts w:ascii="Arial" w:hAnsi="Arial" w:eastAsia="宋体" w:cs="Times New Roman"/>
      <w:kern w:val="24"/>
      <w:sz w:val="24"/>
      <w:szCs w:val="24"/>
      <w:lang w:val="en-US" w:eastAsia="zh-CN" w:bidi="ar-SA"/>
    </w:rPr>
  </w:style>
  <w:style w:type="paragraph" w:styleId="16">
    <w:name w:val="Document Map"/>
    <w:basedOn w:val="1"/>
    <w:link w:val="66"/>
    <w:qFormat/>
    <w:uiPriority w:val="0"/>
    <w:pPr>
      <w:shd w:val="clear" w:color="auto" w:fill="000080"/>
    </w:pPr>
    <w:rPr>
      <w:kern w:val="2"/>
    </w:rPr>
  </w:style>
  <w:style w:type="paragraph" w:styleId="17">
    <w:name w:val="annotation text"/>
    <w:basedOn w:val="1"/>
    <w:link w:val="67"/>
    <w:qFormat/>
    <w:uiPriority w:val="0"/>
    <w:pPr>
      <w:jc w:val="left"/>
    </w:pPr>
    <w:rPr>
      <w:kern w:val="2"/>
    </w:rPr>
  </w:style>
  <w:style w:type="paragraph" w:styleId="18">
    <w:name w:val="Salutation"/>
    <w:basedOn w:val="1"/>
    <w:next w:val="1"/>
    <w:link w:val="68"/>
    <w:qFormat/>
    <w:uiPriority w:val="0"/>
    <w:rPr>
      <w:kern w:val="2"/>
      <w:sz w:val="24"/>
    </w:rPr>
  </w:style>
  <w:style w:type="paragraph" w:styleId="19">
    <w:name w:val="Body Text"/>
    <w:basedOn w:val="1"/>
    <w:next w:val="20"/>
    <w:link w:val="69"/>
    <w:qFormat/>
    <w:uiPriority w:val="99"/>
    <w:pPr>
      <w:spacing w:after="120"/>
    </w:pPr>
    <w:rPr>
      <w:kern w:val="2"/>
    </w:rPr>
  </w:style>
  <w:style w:type="paragraph" w:styleId="20">
    <w:name w:val="Body Text First Indent"/>
    <w:basedOn w:val="19"/>
    <w:next w:val="1"/>
    <w:qFormat/>
    <w:uiPriority w:val="0"/>
    <w:pPr>
      <w:ind w:firstLine="420" w:firstLineChars="100"/>
    </w:pPr>
  </w:style>
  <w:style w:type="paragraph" w:styleId="21">
    <w:name w:val="Block Text"/>
    <w:basedOn w:val="1"/>
    <w:qFormat/>
    <w:uiPriority w:val="0"/>
    <w:pPr>
      <w:adjustRightInd w:val="0"/>
      <w:spacing w:after="160" w:line="300" w:lineRule="auto"/>
      <w:ind w:left="958" w:right="-120" w:rightChars="-120"/>
      <w:jc w:val="left"/>
    </w:pPr>
    <w:rPr>
      <w:rFonts w:ascii="宋体" w:hAnsi="宋体"/>
      <w:kern w:val="2"/>
      <w:sz w:val="28"/>
      <w:szCs w:val="20"/>
    </w:rPr>
  </w:style>
  <w:style w:type="paragraph" w:styleId="22">
    <w:name w:val="List Bullet 2"/>
    <w:basedOn w:val="1"/>
    <w:qFormat/>
    <w:uiPriority w:val="0"/>
    <w:pPr>
      <w:tabs>
        <w:tab w:val="left" w:pos="780"/>
      </w:tabs>
      <w:ind w:left="780" w:hanging="360"/>
    </w:pPr>
    <w:rPr>
      <w:szCs w:val="20"/>
    </w:rPr>
  </w:style>
  <w:style w:type="paragraph" w:styleId="23">
    <w:name w:val="toc 3"/>
    <w:basedOn w:val="1"/>
    <w:next w:val="1"/>
    <w:semiHidden/>
    <w:unhideWhenUsed/>
    <w:qFormat/>
    <w:uiPriority w:val="0"/>
    <w:pPr>
      <w:ind w:left="840" w:leftChars="400"/>
    </w:pPr>
  </w:style>
  <w:style w:type="paragraph" w:styleId="24">
    <w:name w:val="Plain Text"/>
    <w:basedOn w:val="1"/>
    <w:next w:val="1"/>
    <w:link w:val="72"/>
    <w:qFormat/>
    <w:uiPriority w:val="0"/>
    <w:pPr>
      <w:widowControl/>
      <w:overflowPunct w:val="0"/>
      <w:autoSpaceDE w:val="0"/>
      <w:autoSpaceDN w:val="0"/>
      <w:adjustRightInd w:val="0"/>
      <w:jc w:val="left"/>
      <w:textAlignment w:val="baseline"/>
    </w:pPr>
    <w:rPr>
      <w:rFonts w:ascii="宋体" w:hAnsi="Courier New"/>
      <w:szCs w:val="21"/>
    </w:rPr>
  </w:style>
  <w:style w:type="paragraph" w:styleId="25">
    <w:name w:val="Date"/>
    <w:basedOn w:val="1"/>
    <w:next w:val="1"/>
    <w:link w:val="74"/>
    <w:qFormat/>
    <w:uiPriority w:val="0"/>
    <w:pPr>
      <w:ind w:left="100" w:leftChars="2500"/>
    </w:pPr>
    <w:rPr>
      <w:kern w:val="2"/>
      <w:szCs w:val="20"/>
    </w:rPr>
  </w:style>
  <w:style w:type="paragraph" w:styleId="26">
    <w:name w:val="Body Text Indent 2"/>
    <w:basedOn w:val="1"/>
    <w:link w:val="75"/>
    <w:qFormat/>
    <w:uiPriority w:val="0"/>
    <w:pPr>
      <w:spacing w:line="500" w:lineRule="exact"/>
      <w:ind w:firstLine="511" w:firstLineChars="213"/>
    </w:pPr>
    <w:rPr>
      <w:kern w:val="2"/>
      <w:sz w:val="24"/>
    </w:rPr>
  </w:style>
  <w:style w:type="paragraph" w:styleId="27">
    <w:name w:val="Balloon Text"/>
    <w:basedOn w:val="1"/>
    <w:link w:val="76"/>
    <w:qFormat/>
    <w:uiPriority w:val="0"/>
    <w:rPr>
      <w:kern w:val="2"/>
      <w:sz w:val="18"/>
      <w:szCs w:val="18"/>
    </w:rPr>
  </w:style>
  <w:style w:type="paragraph" w:styleId="28">
    <w:name w:val="footer"/>
    <w:basedOn w:val="1"/>
    <w:link w:val="77"/>
    <w:qFormat/>
    <w:uiPriority w:val="99"/>
    <w:pPr>
      <w:tabs>
        <w:tab w:val="center" w:pos="4153"/>
        <w:tab w:val="right" w:pos="8306"/>
      </w:tabs>
      <w:snapToGrid w:val="0"/>
      <w:jc w:val="left"/>
    </w:pPr>
    <w:rPr>
      <w:kern w:val="2"/>
      <w:sz w:val="18"/>
      <w:szCs w:val="18"/>
    </w:rPr>
  </w:style>
  <w:style w:type="paragraph" w:styleId="29">
    <w:name w:val="header"/>
    <w:basedOn w:val="1"/>
    <w:link w:val="78"/>
    <w:qFormat/>
    <w:uiPriority w:val="99"/>
    <w:pPr>
      <w:pBdr>
        <w:bottom w:val="single" w:color="auto" w:sz="6" w:space="1"/>
      </w:pBdr>
      <w:tabs>
        <w:tab w:val="center" w:pos="4153"/>
        <w:tab w:val="right" w:pos="8306"/>
      </w:tabs>
      <w:snapToGrid w:val="0"/>
      <w:jc w:val="center"/>
    </w:pPr>
    <w:rPr>
      <w:kern w:val="2"/>
      <w:sz w:val="18"/>
      <w:szCs w:val="18"/>
    </w:rPr>
  </w:style>
  <w:style w:type="paragraph" w:styleId="30">
    <w:name w:val="toc 1"/>
    <w:basedOn w:val="1"/>
    <w:next w:val="1"/>
    <w:unhideWhenUsed/>
    <w:qFormat/>
    <w:uiPriority w:val="39"/>
    <w:pPr>
      <w:tabs>
        <w:tab w:val="right" w:leader="dot" w:pos="9628"/>
      </w:tabs>
    </w:pPr>
  </w:style>
  <w:style w:type="paragraph" w:styleId="31">
    <w:name w:val="toc 6"/>
    <w:basedOn w:val="1"/>
    <w:next w:val="1"/>
    <w:semiHidden/>
    <w:qFormat/>
    <w:uiPriority w:val="0"/>
    <w:pPr>
      <w:ind w:left="1050"/>
      <w:jc w:val="left"/>
    </w:pPr>
    <w:rPr>
      <w:sz w:val="18"/>
      <w:szCs w:val="18"/>
    </w:rPr>
  </w:style>
  <w:style w:type="paragraph" w:styleId="32">
    <w:name w:val="Body Text Indent 3"/>
    <w:basedOn w:val="1"/>
    <w:link w:val="82"/>
    <w:qFormat/>
    <w:uiPriority w:val="0"/>
    <w:pPr>
      <w:spacing w:line="500" w:lineRule="exact"/>
      <w:ind w:left="511" w:hanging="511" w:hangingChars="213"/>
    </w:pPr>
    <w:rPr>
      <w:kern w:val="2"/>
      <w:sz w:val="24"/>
    </w:rPr>
  </w:style>
  <w:style w:type="paragraph" w:styleId="33">
    <w:name w:val="toc 2"/>
    <w:basedOn w:val="1"/>
    <w:next w:val="1"/>
    <w:unhideWhenUsed/>
    <w:qFormat/>
    <w:uiPriority w:val="39"/>
    <w:pPr>
      <w:ind w:left="420" w:leftChars="200"/>
    </w:pPr>
  </w:style>
  <w:style w:type="paragraph" w:styleId="34">
    <w:name w:val="Normal (Web)"/>
    <w:basedOn w:val="1"/>
    <w:qFormat/>
    <w:uiPriority w:val="0"/>
    <w:pPr>
      <w:widowControl/>
      <w:spacing w:before="100" w:beforeAutospacing="1" w:after="100" w:afterAutospacing="1"/>
      <w:jc w:val="left"/>
    </w:pPr>
    <w:rPr>
      <w:rFonts w:ascii="宋体" w:hAnsi="宋体" w:cs="宋体"/>
      <w:sz w:val="24"/>
    </w:rPr>
  </w:style>
  <w:style w:type="paragraph" w:styleId="35">
    <w:name w:val="Title"/>
    <w:basedOn w:val="1"/>
    <w:next w:val="1"/>
    <w:link w:val="85"/>
    <w:qFormat/>
    <w:uiPriority w:val="0"/>
    <w:pPr>
      <w:spacing w:before="240" w:after="60" w:line="460" w:lineRule="exact"/>
      <w:jc w:val="center"/>
      <w:outlineLvl w:val="0"/>
    </w:pPr>
    <w:rPr>
      <w:rFonts w:ascii="Arial" w:hAnsi="Arial"/>
      <w:b/>
      <w:spacing w:val="14"/>
      <w:kern w:val="24"/>
      <w:sz w:val="32"/>
      <w:szCs w:val="20"/>
    </w:rPr>
  </w:style>
  <w:style w:type="paragraph" w:styleId="36">
    <w:name w:val="annotation subject"/>
    <w:basedOn w:val="17"/>
    <w:next w:val="17"/>
    <w:link w:val="86"/>
    <w:qFormat/>
    <w:uiPriority w:val="0"/>
    <w:rPr>
      <w:b/>
      <w:bCs/>
    </w:rPr>
  </w:style>
  <w:style w:type="table" w:styleId="38">
    <w:name w:val="Table Grid"/>
    <w:basedOn w:val="3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qFormat/>
    <w:uiPriority w:val="0"/>
    <w:rPr>
      <w:rFonts w:ascii="Times New Roman" w:hAnsi="Times New Roman" w:eastAsia="宋体" w:cs="Times New Roman"/>
      <w:b/>
      <w:bCs/>
    </w:rPr>
  </w:style>
  <w:style w:type="character" w:styleId="41">
    <w:name w:val="page number"/>
    <w:qFormat/>
    <w:uiPriority w:val="0"/>
    <w:rPr>
      <w:rFonts w:ascii="Times New Roman" w:hAnsi="Times New Roman" w:eastAsia="宋体" w:cs="Times New Roman"/>
    </w:rPr>
  </w:style>
  <w:style w:type="character" w:styleId="42">
    <w:name w:val="Emphasis"/>
    <w:qFormat/>
    <w:uiPriority w:val="0"/>
    <w:rPr>
      <w:rFonts w:ascii="Times New Roman" w:hAnsi="Times New Roman" w:eastAsia="宋体" w:cs="Times New Roman"/>
      <w:b/>
    </w:rPr>
  </w:style>
  <w:style w:type="character" w:styleId="43">
    <w:name w:val="HTML Definition"/>
    <w:qFormat/>
    <w:uiPriority w:val="0"/>
    <w:rPr>
      <w:rFonts w:ascii="Times New Roman" w:hAnsi="Times New Roman" w:eastAsia="宋体" w:cs="Times New Roman"/>
    </w:rPr>
  </w:style>
  <w:style w:type="character" w:styleId="44">
    <w:name w:val="HTML Variable"/>
    <w:qFormat/>
    <w:uiPriority w:val="0"/>
    <w:rPr>
      <w:rFonts w:ascii="Times New Roman" w:hAnsi="Times New Roman" w:eastAsia="宋体" w:cs="Times New Roman"/>
    </w:rPr>
  </w:style>
  <w:style w:type="character" w:styleId="45">
    <w:name w:val="Hyperlink"/>
    <w:qFormat/>
    <w:uiPriority w:val="99"/>
    <w:rPr>
      <w:rFonts w:ascii="Times New Roman" w:hAnsi="Times New Roman" w:eastAsia="宋体" w:cs="Times New Roman"/>
      <w:color w:val="000000"/>
      <w:sz w:val="21"/>
      <w:szCs w:val="21"/>
      <w:u w:val="none"/>
    </w:rPr>
  </w:style>
  <w:style w:type="character" w:styleId="46">
    <w:name w:val="HTML Code"/>
    <w:qFormat/>
    <w:uiPriority w:val="0"/>
    <w:rPr>
      <w:rFonts w:ascii="Courier New" w:hAnsi="Courier New" w:eastAsia="宋体" w:cs="Times New Roman"/>
      <w:sz w:val="20"/>
    </w:rPr>
  </w:style>
  <w:style w:type="character" w:styleId="47">
    <w:name w:val="annotation reference"/>
    <w:qFormat/>
    <w:uiPriority w:val="0"/>
    <w:rPr>
      <w:rFonts w:ascii="Times New Roman" w:hAnsi="Times New Roman" w:eastAsia="宋体" w:cs="Times New Roman"/>
      <w:sz w:val="21"/>
      <w:szCs w:val="21"/>
    </w:rPr>
  </w:style>
  <w:style w:type="character" w:styleId="48">
    <w:name w:val="HTML Cite"/>
    <w:qFormat/>
    <w:uiPriority w:val="0"/>
    <w:rPr>
      <w:rFonts w:ascii="Times New Roman" w:hAnsi="Times New Roman" w:eastAsia="宋体" w:cs="Times New Roman"/>
    </w:rPr>
  </w:style>
  <w:style w:type="character" w:styleId="49">
    <w:name w:val="HTML Keyboard"/>
    <w:qFormat/>
    <w:uiPriority w:val="0"/>
    <w:rPr>
      <w:rFonts w:ascii="Courier New" w:hAnsi="Courier New" w:eastAsia="宋体" w:cs="Times New Roman"/>
      <w:sz w:val="20"/>
    </w:rPr>
  </w:style>
  <w:style w:type="character" w:styleId="50">
    <w:name w:val="HTML Sample"/>
    <w:qFormat/>
    <w:uiPriority w:val="0"/>
    <w:rPr>
      <w:rFonts w:ascii="Courier New" w:hAnsi="Courier New" w:eastAsia="宋体" w:cs="Times New Roman"/>
    </w:rPr>
  </w:style>
  <w:style w:type="paragraph" w:customStyle="1" w:styleId="51">
    <w:name w:val="正文文本首行缩进1"/>
    <w:basedOn w:val="19"/>
    <w:qFormat/>
    <w:uiPriority w:val="0"/>
    <w:pPr>
      <w:ind w:firstLine="420"/>
    </w:pPr>
  </w:style>
  <w:style w:type="paragraph" w:customStyle="1" w:styleId="52">
    <w:name w:val="正文文本首行缩进 21"/>
    <w:basedOn w:val="3"/>
    <w:link w:val="54"/>
    <w:qFormat/>
    <w:uiPriority w:val="0"/>
    <w:pPr>
      <w:spacing w:after="120"/>
      <w:ind w:left="420" w:leftChars="200" w:firstLine="420" w:firstLineChars="200"/>
    </w:pPr>
    <w:rPr>
      <w:rFonts w:ascii="仿宋_GB2312" w:eastAsia="仿宋_GB2312"/>
      <w:sz w:val="28"/>
      <w:szCs w:val="28"/>
    </w:rPr>
  </w:style>
  <w:style w:type="character" w:customStyle="1" w:styleId="53">
    <w:name w:val="正文文本缩进 字符"/>
    <w:link w:val="3"/>
    <w:qFormat/>
    <w:uiPriority w:val="0"/>
    <w:rPr>
      <w:rFonts w:ascii="Times New Roman" w:hAnsi="Times New Roman" w:eastAsia="宋体" w:cs="Times New Roman"/>
      <w:kern w:val="2"/>
      <w:sz w:val="24"/>
      <w:szCs w:val="24"/>
    </w:rPr>
  </w:style>
  <w:style w:type="character" w:customStyle="1" w:styleId="54">
    <w:name w:val="正文文本首行缩进 2 字符"/>
    <w:link w:val="52"/>
    <w:qFormat/>
    <w:uiPriority w:val="0"/>
    <w:rPr>
      <w:rFonts w:ascii="仿宋_GB2312" w:hAnsi="Times New Roman" w:eastAsia="仿宋_GB2312" w:cs="Times New Roman"/>
      <w:kern w:val="2"/>
      <w:sz w:val="28"/>
      <w:szCs w:val="28"/>
      <w:lang w:val="en-US" w:eastAsia="zh-CN" w:bidi="ar-SA"/>
    </w:rPr>
  </w:style>
  <w:style w:type="character" w:customStyle="1" w:styleId="55">
    <w:name w:val="标题 1 字符"/>
    <w:link w:val="4"/>
    <w:qFormat/>
    <w:uiPriority w:val="0"/>
    <w:rPr>
      <w:rFonts w:ascii="宋体" w:hAnsi="Times New Roman" w:eastAsia="宋体" w:cs="Times New Roman"/>
      <w:b/>
      <w:kern w:val="44"/>
      <w:sz w:val="24"/>
    </w:rPr>
  </w:style>
  <w:style w:type="character" w:customStyle="1" w:styleId="56">
    <w:name w:val="标题 2 字符"/>
    <w:link w:val="5"/>
    <w:qFormat/>
    <w:uiPriority w:val="9"/>
    <w:rPr>
      <w:rFonts w:ascii="Arial" w:hAnsi="Arial" w:eastAsia="黑体" w:cs="Times New Roman"/>
      <w:b/>
      <w:bCs/>
      <w:kern w:val="2"/>
      <w:sz w:val="32"/>
      <w:szCs w:val="32"/>
    </w:rPr>
  </w:style>
  <w:style w:type="character" w:customStyle="1" w:styleId="57">
    <w:name w:val="标题 3 字符"/>
    <w:link w:val="6"/>
    <w:qFormat/>
    <w:uiPriority w:val="0"/>
    <w:rPr>
      <w:rFonts w:ascii="Times New Roman" w:hAnsi="Times New Roman" w:eastAsia="宋体" w:cs="Times New Roman"/>
      <w:b/>
      <w:bCs/>
      <w:kern w:val="2"/>
      <w:sz w:val="32"/>
      <w:szCs w:val="32"/>
      <w:lang w:val="en-US" w:eastAsia="zh-CN" w:bidi="ar-SA"/>
    </w:rPr>
  </w:style>
  <w:style w:type="character" w:customStyle="1" w:styleId="58">
    <w:name w:val="标题 4 字符"/>
    <w:link w:val="7"/>
    <w:qFormat/>
    <w:uiPriority w:val="9"/>
    <w:rPr>
      <w:rFonts w:ascii="Arial" w:hAnsi="Arial" w:eastAsia="Times New Roman" w:cs="Times New Roman"/>
      <w:b/>
      <w:bCs/>
      <w:kern w:val="2"/>
      <w:sz w:val="28"/>
      <w:szCs w:val="28"/>
    </w:rPr>
  </w:style>
  <w:style w:type="character" w:customStyle="1" w:styleId="59">
    <w:name w:val="标题 5 字符"/>
    <w:link w:val="8"/>
    <w:qFormat/>
    <w:uiPriority w:val="0"/>
    <w:rPr>
      <w:rFonts w:ascii="Times New Roman" w:hAnsi="Times New Roman" w:eastAsia="宋体" w:cs="Times New Roman"/>
      <w:b/>
      <w:bCs/>
      <w:kern w:val="2"/>
      <w:sz w:val="28"/>
      <w:szCs w:val="28"/>
      <w:lang w:bidi="ar-SA"/>
    </w:rPr>
  </w:style>
  <w:style w:type="character" w:customStyle="1" w:styleId="60">
    <w:name w:val="标题 6 字符"/>
    <w:link w:val="9"/>
    <w:qFormat/>
    <w:uiPriority w:val="0"/>
    <w:rPr>
      <w:rFonts w:ascii="Arial" w:hAnsi="Arial" w:eastAsia="黑体" w:cs="Times New Roman"/>
      <w:b/>
      <w:bCs/>
      <w:kern w:val="2"/>
      <w:sz w:val="24"/>
      <w:szCs w:val="24"/>
    </w:rPr>
  </w:style>
  <w:style w:type="character" w:customStyle="1" w:styleId="61">
    <w:name w:val="标题 7 字符"/>
    <w:link w:val="10"/>
    <w:qFormat/>
    <w:uiPriority w:val="0"/>
    <w:rPr>
      <w:rFonts w:ascii="Times New Roman" w:hAnsi="Times New Roman" w:eastAsia="仿宋_GB2312" w:cs="Times New Roman"/>
      <w:b/>
      <w:bCs/>
      <w:kern w:val="2"/>
      <w:sz w:val="24"/>
      <w:szCs w:val="24"/>
    </w:rPr>
  </w:style>
  <w:style w:type="character" w:customStyle="1" w:styleId="62">
    <w:name w:val="标题 8 字符"/>
    <w:link w:val="11"/>
    <w:qFormat/>
    <w:uiPriority w:val="0"/>
    <w:rPr>
      <w:rFonts w:ascii="Arial" w:hAnsi="Arial" w:eastAsia="黑体" w:cs="Times New Roman"/>
      <w:kern w:val="2"/>
      <w:sz w:val="24"/>
      <w:szCs w:val="24"/>
    </w:rPr>
  </w:style>
  <w:style w:type="character" w:customStyle="1" w:styleId="63">
    <w:name w:val="标题 9 字符"/>
    <w:link w:val="12"/>
    <w:qFormat/>
    <w:uiPriority w:val="0"/>
    <w:rPr>
      <w:rFonts w:ascii="Arial" w:hAnsi="Arial" w:eastAsia="黑体" w:cs="Times New Roman"/>
      <w:kern w:val="2"/>
      <w:sz w:val="21"/>
      <w:szCs w:val="21"/>
    </w:rPr>
  </w:style>
  <w:style w:type="paragraph" w:customStyle="1" w:styleId="64">
    <w:name w:val="TOC 71"/>
    <w:basedOn w:val="1"/>
    <w:next w:val="1"/>
    <w:qFormat/>
    <w:uiPriority w:val="0"/>
    <w:pPr>
      <w:ind w:left="1260"/>
      <w:jc w:val="left"/>
    </w:pPr>
    <w:rPr>
      <w:sz w:val="18"/>
      <w:szCs w:val="18"/>
    </w:rPr>
  </w:style>
  <w:style w:type="character" w:customStyle="1" w:styleId="65">
    <w:name w:val="正文缩进 字符"/>
    <w:link w:val="13"/>
    <w:qFormat/>
    <w:uiPriority w:val="0"/>
    <w:rPr>
      <w:rFonts w:ascii="Times New Roman" w:hAnsi="Times New Roman" w:eastAsia="宋体" w:cs="Times New Roman"/>
      <w:sz w:val="21"/>
      <w:lang w:val="en-US" w:eastAsia="zh-CN" w:bidi="ar-SA"/>
    </w:rPr>
  </w:style>
  <w:style w:type="character" w:customStyle="1" w:styleId="66">
    <w:name w:val="文档结构图 字符"/>
    <w:link w:val="16"/>
    <w:qFormat/>
    <w:uiPriority w:val="0"/>
    <w:rPr>
      <w:rFonts w:ascii="Times New Roman" w:hAnsi="Times New Roman" w:eastAsia="宋体" w:cs="Times New Roman"/>
      <w:kern w:val="2"/>
      <w:sz w:val="21"/>
      <w:szCs w:val="24"/>
      <w:shd w:val="clear" w:color="auto" w:fill="000080"/>
    </w:rPr>
  </w:style>
  <w:style w:type="character" w:customStyle="1" w:styleId="67">
    <w:name w:val="批注文字 字符2"/>
    <w:link w:val="17"/>
    <w:qFormat/>
    <w:uiPriority w:val="0"/>
    <w:rPr>
      <w:rFonts w:ascii="Times New Roman" w:hAnsi="Times New Roman" w:eastAsia="宋体" w:cs="Times New Roman"/>
      <w:kern w:val="2"/>
      <w:sz w:val="21"/>
      <w:szCs w:val="24"/>
    </w:rPr>
  </w:style>
  <w:style w:type="character" w:customStyle="1" w:styleId="68">
    <w:name w:val="称呼 字符"/>
    <w:link w:val="18"/>
    <w:qFormat/>
    <w:uiPriority w:val="0"/>
    <w:rPr>
      <w:rFonts w:ascii="Times New Roman" w:hAnsi="Times New Roman" w:eastAsia="宋体" w:cs="Times New Roman"/>
      <w:kern w:val="2"/>
      <w:sz w:val="24"/>
      <w:szCs w:val="24"/>
    </w:rPr>
  </w:style>
  <w:style w:type="character" w:customStyle="1" w:styleId="69">
    <w:name w:val="正文文本 字符1"/>
    <w:link w:val="19"/>
    <w:qFormat/>
    <w:uiPriority w:val="0"/>
    <w:rPr>
      <w:rFonts w:ascii="Times New Roman" w:hAnsi="Times New Roman" w:eastAsia="宋体" w:cs="Times New Roman"/>
      <w:kern w:val="2"/>
      <w:sz w:val="21"/>
      <w:szCs w:val="24"/>
    </w:rPr>
  </w:style>
  <w:style w:type="paragraph" w:customStyle="1" w:styleId="70">
    <w:name w:val="TOC 51"/>
    <w:basedOn w:val="1"/>
    <w:next w:val="1"/>
    <w:qFormat/>
    <w:uiPriority w:val="0"/>
    <w:pPr>
      <w:ind w:left="840"/>
      <w:jc w:val="left"/>
    </w:pPr>
    <w:rPr>
      <w:sz w:val="18"/>
      <w:szCs w:val="18"/>
    </w:rPr>
  </w:style>
  <w:style w:type="paragraph" w:customStyle="1" w:styleId="71">
    <w:name w:val="TOC 31"/>
    <w:basedOn w:val="1"/>
    <w:next w:val="1"/>
    <w:qFormat/>
    <w:uiPriority w:val="0"/>
    <w:pPr>
      <w:ind w:left="420"/>
      <w:jc w:val="left"/>
    </w:pPr>
    <w:rPr>
      <w:i/>
      <w:iCs/>
      <w:sz w:val="20"/>
      <w:szCs w:val="20"/>
    </w:rPr>
  </w:style>
  <w:style w:type="character" w:customStyle="1" w:styleId="72">
    <w:name w:val="纯文本 字符1"/>
    <w:link w:val="24"/>
    <w:qFormat/>
    <w:uiPriority w:val="0"/>
    <w:rPr>
      <w:rFonts w:ascii="宋体" w:hAnsi="Courier New" w:eastAsia="宋体" w:cs="Times New Roman"/>
      <w:sz w:val="21"/>
      <w:szCs w:val="21"/>
      <w:lang w:val="en-US" w:eastAsia="zh-CN" w:bidi="ar-SA"/>
    </w:rPr>
  </w:style>
  <w:style w:type="paragraph" w:customStyle="1" w:styleId="73">
    <w:name w:val="TOC 81"/>
    <w:basedOn w:val="1"/>
    <w:next w:val="1"/>
    <w:qFormat/>
    <w:uiPriority w:val="0"/>
    <w:pPr>
      <w:ind w:left="1470"/>
      <w:jc w:val="left"/>
    </w:pPr>
    <w:rPr>
      <w:sz w:val="18"/>
      <w:szCs w:val="18"/>
    </w:rPr>
  </w:style>
  <w:style w:type="character" w:customStyle="1" w:styleId="74">
    <w:name w:val="日期 字符1"/>
    <w:link w:val="25"/>
    <w:qFormat/>
    <w:uiPriority w:val="0"/>
    <w:rPr>
      <w:rFonts w:ascii="Times New Roman" w:hAnsi="Times New Roman" w:eastAsia="宋体" w:cs="Times New Roman"/>
      <w:kern w:val="2"/>
      <w:sz w:val="21"/>
    </w:rPr>
  </w:style>
  <w:style w:type="character" w:customStyle="1" w:styleId="75">
    <w:name w:val="正文文本缩进 2 字符"/>
    <w:link w:val="26"/>
    <w:qFormat/>
    <w:uiPriority w:val="0"/>
    <w:rPr>
      <w:rFonts w:ascii="Times New Roman" w:hAnsi="Times New Roman" w:eastAsia="宋体" w:cs="Times New Roman"/>
      <w:kern w:val="2"/>
      <w:sz w:val="24"/>
      <w:szCs w:val="24"/>
      <w:lang w:val="en-US" w:eastAsia="zh-CN" w:bidi="ar-SA"/>
    </w:rPr>
  </w:style>
  <w:style w:type="character" w:customStyle="1" w:styleId="76">
    <w:name w:val="批注框文本 字符"/>
    <w:link w:val="27"/>
    <w:qFormat/>
    <w:uiPriority w:val="0"/>
    <w:rPr>
      <w:rFonts w:ascii="Times New Roman" w:hAnsi="Times New Roman" w:eastAsia="宋体" w:cs="Times New Roman"/>
      <w:kern w:val="2"/>
      <w:sz w:val="18"/>
      <w:szCs w:val="18"/>
    </w:rPr>
  </w:style>
  <w:style w:type="character" w:customStyle="1" w:styleId="77">
    <w:name w:val="页脚 字符"/>
    <w:link w:val="28"/>
    <w:qFormat/>
    <w:uiPriority w:val="99"/>
    <w:rPr>
      <w:rFonts w:ascii="Times New Roman" w:hAnsi="Times New Roman" w:eastAsia="宋体" w:cs="Times New Roman"/>
      <w:kern w:val="2"/>
      <w:sz w:val="18"/>
      <w:szCs w:val="18"/>
    </w:rPr>
  </w:style>
  <w:style w:type="character" w:customStyle="1" w:styleId="78">
    <w:name w:val="页眉 字符"/>
    <w:link w:val="29"/>
    <w:qFormat/>
    <w:uiPriority w:val="99"/>
    <w:rPr>
      <w:rFonts w:ascii="Times New Roman" w:hAnsi="Times New Roman" w:eastAsia="宋体" w:cs="Times New Roman"/>
      <w:kern w:val="2"/>
      <w:sz w:val="18"/>
      <w:szCs w:val="18"/>
    </w:rPr>
  </w:style>
  <w:style w:type="paragraph" w:customStyle="1" w:styleId="79">
    <w:name w:val="TOC 11"/>
    <w:basedOn w:val="1"/>
    <w:next w:val="1"/>
    <w:qFormat/>
    <w:uiPriority w:val="39"/>
    <w:pPr>
      <w:spacing w:before="120" w:after="120"/>
      <w:jc w:val="left"/>
    </w:pPr>
    <w:rPr>
      <w:b/>
      <w:bCs/>
      <w:caps/>
      <w:sz w:val="20"/>
      <w:szCs w:val="20"/>
    </w:rPr>
  </w:style>
  <w:style w:type="paragraph" w:customStyle="1" w:styleId="80">
    <w:name w:val="TOC 41"/>
    <w:basedOn w:val="1"/>
    <w:next w:val="1"/>
    <w:qFormat/>
    <w:uiPriority w:val="0"/>
    <w:pPr>
      <w:ind w:left="630"/>
      <w:jc w:val="left"/>
    </w:pPr>
    <w:rPr>
      <w:sz w:val="18"/>
      <w:szCs w:val="18"/>
    </w:rPr>
  </w:style>
  <w:style w:type="paragraph" w:customStyle="1" w:styleId="81">
    <w:name w:val="TOC 61"/>
    <w:basedOn w:val="1"/>
    <w:next w:val="1"/>
    <w:qFormat/>
    <w:uiPriority w:val="0"/>
    <w:pPr>
      <w:ind w:left="1050"/>
      <w:jc w:val="left"/>
    </w:pPr>
    <w:rPr>
      <w:sz w:val="18"/>
      <w:szCs w:val="18"/>
    </w:rPr>
  </w:style>
  <w:style w:type="character" w:customStyle="1" w:styleId="82">
    <w:name w:val="正文文本缩进 3 字符"/>
    <w:link w:val="32"/>
    <w:qFormat/>
    <w:uiPriority w:val="0"/>
    <w:rPr>
      <w:rFonts w:ascii="Times New Roman" w:hAnsi="Times New Roman" w:eastAsia="宋体" w:cs="Times New Roman"/>
      <w:kern w:val="2"/>
      <w:sz w:val="24"/>
      <w:szCs w:val="24"/>
    </w:rPr>
  </w:style>
  <w:style w:type="paragraph" w:customStyle="1" w:styleId="83">
    <w:name w:val="TOC 21"/>
    <w:basedOn w:val="1"/>
    <w:next w:val="1"/>
    <w:qFormat/>
    <w:uiPriority w:val="39"/>
    <w:pPr>
      <w:ind w:left="210"/>
      <w:jc w:val="left"/>
    </w:pPr>
    <w:rPr>
      <w:smallCaps/>
      <w:sz w:val="20"/>
      <w:szCs w:val="20"/>
    </w:rPr>
  </w:style>
  <w:style w:type="paragraph" w:customStyle="1" w:styleId="84">
    <w:name w:val="TOC 91"/>
    <w:basedOn w:val="1"/>
    <w:next w:val="1"/>
    <w:qFormat/>
    <w:uiPriority w:val="0"/>
    <w:pPr>
      <w:ind w:left="1680"/>
      <w:jc w:val="left"/>
    </w:pPr>
    <w:rPr>
      <w:sz w:val="18"/>
      <w:szCs w:val="18"/>
    </w:rPr>
  </w:style>
  <w:style w:type="character" w:customStyle="1" w:styleId="85">
    <w:name w:val="标题 字符"/>
    <w:link w:val="35"/>
    <w:qFormat/>
    <w:uiPriority w:val="0"/>
    <w:rPr>
      <w:rFonts w:ascii="Arial" w:hAnsi="Arial" w:eastAsia="宋体" w:cs="Times New Roman"/>
      <w:b/>
      <w:spacing w:val="14"/>
      <w:kern w:val="24"/>
      <w:sz w:val="32"/>
    </w:rPr>
  </w:style>
  <w:style w:type="character" w:customStyle="1" w:styleId="86">
    <w:name w:val="批注主题 字符"/>
    <w:link w:val="36"/>
    <w:qFormat/>
    <w:uiPriority w:val="0"/>
    <w:rPr>
      <w:rFonts w:ascii="Times New Roman" w:hAnsi="Times New Roman" w:eastAsia="宋体" w:cs="Times New Roman"/>
      <w:b/>
      <w:bCs/>
      <w:kern w:val="2"/>
      <w:sz w:val="21"/>
      <w:szCs w:val="24"/>
    </w:rPr>
  </w:style>
  <w:style w:type="character" w:customStyle="1" w:styleId="87">
    <w:name w:val="访问过的超链接1"/>
    <w:qFormat/>
    <w:uiPriority w:val="0"/>
    <w:rPr>
      <w:rFonts w:ascii="Times New Roman" w:hAnsi="Times New Roman" w:eastAsia="宋体" w:cs="Times New Roman"/>
      <w:color w:val="000000"/>
      <w:sz w:val="21"/>
      <w:szCs w:val="21"/>
      <w:u w:val="none"/>
    </w:rPr>
  </w:style>
  <w:style w:type="character" w:customStyle="1" w:styleId="88">
    <w:name w:val="Default Char"/>
    <w:link w:val="89"/>
    <w:qFormat/>
    <w:uiPriority w:val="0"/>
    <w:rPr>
      <w:rFonts w:ascii="宋体" w:hAnsi="Tahoma" w:eastAsia="宋体" w:cs="宋体"/>
      <w:b/>
      <w:bCs/>
      <w:color w:val="000000"/>
      <w:sz w:val="24"/>
      <w:szCs w:val="24"/>
      <w:lang w:val="en-US" w:eastAsia="zh-CN" w:bidi="ar-SA"/>
    </w:rPr>
  </w:style>
  <w:style w:type="paragraph" w:customStyle="1" w:styleId="89">
    <w:name w:val="Default"/>
    <w:next w:val="1"/>
    <w:link w:val="88"/>
    <w:qFormat/>
    <w:uiPriority w:val="0"/>
    <w:pPr>
      <w:widowControl w:val="0"/>
      <w:autoSpaceDE w:val="0"/>
      <w:autoSpaceDN w:val="0"/>
      <w:adjustRightInd w:val="0"/>
    </w:pPr>
    <w:rPr>
      <w:rFonts w:ascii="宋体" w:hAnsi="Tahoma" w:eastAsia="宋体" w:cs="宋体"/>
      <w:b/>
      <w:bCs/>
      <w:color w:val="000000"/>
      <w:sz w:val="24"/>
      <w:szCs w:val="24"/>
      <w:lang w:val="en-US" w:eastAsia="zh-CN" w:bidi="ar-SA"/>
    </w:rPr>
  </w:style>
  <w:style w:type="character" w:customStyle="1" w:styleId="90">
    <w:name w:val="表格文字 Char Char"/>
    <w:link w:val="91"/>
    <w:qFormat/>
    <w:uiPriority w:val="0"/>
    <w:rPr>
      <w:rFonts w:ascii="Times New Roman" w:hAnsi="Times New Roman" w:eastAsia="宋体" w:cs="Times New Roman"/>
      <w:kern w:val="21"/>
      <w:sz w:val="21"/>
      <w:szCs w:val="21"/>
    </w:rPr>
  </w:style>
  <w:style w:type="paragraph" w:customStyle="1" w:styleId="91">
    <w:name w:val="表格文字"/>
    <w:basedOn w:val="1"/>
    <w:next w:val="19"/>
    <w:link w:val="90"/>
    <w:qFormat/>
    <w:uiPriority w:val="0"/>
    <w:pPr>
      <w:jc w:val="left"/>
    </w:pPr>
    <w:rPr>
      <w:kern w:val="21"/>
      <w:szCs w:val="21"/>
    </w:rPr>
  </w:style>
  <w:style w:type="character" w:customStyle="1" w:styleId="92">
    <w:name w:val="列表段落 字符"/>
    <w:link w:val="93"/>
    <w:qFormat/>
    <w:uiPriority w:val="0"/>
    <w:rPr>
      <w:rFonts w:ascii="Calibri" w:hAnsi="Calibri" w:eastAsia="宋体" w:cs="Times New Roman"/>
      <w:kern w:val="2"/>
      <w:sz w:val="21"/>
      <w:szCs w:val="22"/>
    </w:rPr>
  </w:style>
  <w:style w:type="paragraph" w:customStyle="1" w:styleId="93">
    <w:name w:val="列表段落1"/>
    <w:basedOn w:val="1"/>
    <w:link w:val="92"/>
    <w:qFormat/>
    <w:uiPriority w:val="0"/>
    <w:pPr>
      <w:ind w:firstLine="420" w:firstLineChars="200"/>
    </w:pPr>
    <w:rPr>
      <w:rFonts w:ascii="Calibri" w:hAnsi="Calibri"/>
      <w:kern w:val="2"/>
      <w:szCs w:val="22"/>
    </w:rPr>
  </w:style>
  <w:style w:type="paragraph" w:customStyle="1" w:styleId="94">
    <w:name w:val="编号，小四"/>
    <w:basedOn w:val="1"/>
    <w:qFormat/>
    <w:uiPriority w:val="0"/>
    <w:pPr>
      <w:ind w:left="480"/>
    </w:pPr>
  </w:style>
  <w:style w:type="paragraph" w:customStyle="1" w:styleId="95">
    <w:name w:val="我编辑文档正文"/>
    <w:basedOn w:val="1"/>
    <w:link w:val="96"/>
    <w:qFormat/>
    <w:uiPriority w:val="0"/>
    <w:pPr>
      <w:spacing w:line="360" w:lineRule="auto"/>
      <w:ind w:right="69" w:rightChars="33" w:firstLine="360" w:firstLineChars="150"/>
      <w:jc w:val="left"/>
    </w:pPr>
    <w:rPr>
      <w:sz w:val="24"/>
    </w:rPr>
  </w:style>
  <w:style w:type="character" w:customStyle="1" w:styleId="96">
    <w:name w:val="我编辑文档正文 Char"/>
    <w:link w:val="95"/>
    <w:qFormat/>
    <w:uiPriority w:val="0"/>
    <w:rPr>
      <w:rFonts w:ascii="Times New Roman" w:hAnsi="Times New Roman" w:eastAsia="宋体" w:cs="Times New Roman"/>
      <w:sz w:val="24"/>
      <w:szCs w:val="24"/>
    </w:rPr>
  </w:style>
  <w:style w:type="character" w:customStyle="1" w:styleId="97">
    <w:name w:val="明显参考1"/>
    <w:qFormat/>
    <w:uiPriority w:val="0"/>
    <w:rPr>
      <w:rFonts w:ascii="Times New Roman" w:hAnsi="Times New Roman" w:eastAsia="宋体" w:cs="Times New Roman"/>
      <w:b/>
      <w:bCs/>
      <w:smallCaps/>
      <w:color w:val="C0504D"/>
      <w:spacing w:val="5"/>
      <w:u w:val="single"/>
    </w:rPr>
  </w:style>
  <w:style w:type="character" w:customStyle="1" w:styleId="98">
    <w:name w:val="font41"/>
    <w:basedOn w:val="39"/>
    <w:qFormat/>
    <w:uiPriority w:val="0"/>
    <w:rPr>
      <w:rFonts w:hint="eastAsia" w:ascii="宋体" w:hAnsi="宋体" w:eastAsia="宋体" w:cs="宋体"/>
      <w:b/>
      <w:color w:val="000000"/>
      <w:sz w:val="28"/>
      <w:szCs w:val="28"/>
      <w:u w:val="none"/>
    </w:rPr>
  </w:style>
  <w:style w:type="paragraph" w:customStyle="1" w:styleId="99">
    <w:name w:val="P正文 Char"/>
    <w:basedOn w:val="1"/>
    <w:link w:val="100"/>
    <w:qFormat/>
    <w:uiPriority w:val="0"/>
    <w:pPr>
      <w:spacing w:beforeLines="50" w:afterLines="50"/>
      <w:ind w:left="540" w:leftChars="257"/>
    </w:pPr>
    <w:rPr>
      <w:kern w:val="2"/>
      <w:sz w:val="24"/>
    </w:rPr>
  </w:style>
  <w:style w:type="character" w:customStyle="1" w:styleId="100">
    <w:name w:val="P正文 Char Char"/>
    <w:link w:val="99"/>
    <w:qFormat/>
    <w:uiPriority w:val="0"/>
    <w:rPr>
      <w:rFonts w:ascii="Times New Roman" w:hAnsi="Times New Roman" w:eastAsia="宋体" w:cs="Times New Roman"/>
      <w:kern w:val="2"/>
      <w:sz w:val="24"/>
      <w:szCs w:val="24"/>
    </w:rPr>
  </w:style>
  <w:style w:type="character" w:customStyle="1" w:styleId="101">
    <w:name w:val="未处理的提及1"/>
    <w:qFormat/>
    <w:uiPriority w:val="0"/>
    <w:rPr>
      <w:rFonts w:ascii="Times New Roman" w:hAnsi="Times New Roman" w:eastAsia="宋体" w:cs="Times New Roman"/>
      <w:color w:val="605E5C"/>
      <w:shd w:val="clear" w:color="auto" w:fill="E1DFDD"/>
    </w:rPr>
  </w:style>
  <w:style w:type="character" w:customStyle="1" w:styleId="102">
    <w:name w:val="正文文本 Char"/>
    <w:qFormat/>
    <w:uiPriority w:val="0"/>
    <w:rPr>
      <w:rFonts w:ascii="Times New Roman" w:hAnsi="Times New Roman" w:eastAsia="宋体" w:cs="Times New Roman"/>
      <w:kern w:val="2"/>
      <w:sz w:val="21"/>
      <w:szCs w:val="24"/>
    </w:rPr>
  </w:style>
  <w:style w:type="character" w:customStyle="1" w:styleId="103">
    <w:name w:val="批注文字 字符1"/>
    <w:qFormat/>
    <w:uiPriority w:val="0"/>
    <w:rPr>
      <w:rFonts w:ascii="Times New Roman" w:hAnsi="Times New Roman" w:eastAsia="宋体" w:cs="Times New Roman"/>
      <w:kern w:val="2"/>
      <w:sz w:val="21"/>
      <w:szCs w:val="24"/>
    </w:rPr>
  </w:style>
  <w:style w:type="paragraph" w:customStyle="1" w:styleId="104">
    <w:name w:val="标准正文格式"/>
    <w:basedOn w:val="1"/>
    <w:link w:val="105"/>
    <w:qFormat/>
    <w:uiPriority w:val="0"/>
    <w:pPr>
      <w:widowControl/>
      <w:adjustRightInd w:val="0"/>
      <w:spacing w:before="60" w:after="120" w:line="360" w:lineRule="auto"/>
      <w:ind w:firstLine="200" w:firstLineChars="200"/>
      <w:textAlignment w:val="baseline"/>
    </w:pPr>
    <w:rPr>
      <w:rFonts w:ascii="宋体" w:eastAsia="仿宋_GB2312"/>
      <w:color w:val="000000"/>
      <w:sz w:val="24"/>
      <w:szCs w:val="20"/>
    </w:rPr>
  </w:style>
  <w:style w:type="character" w:customStyle="1" w:styleId="105">
    <w:name w:val="标准正文格式 Char"/>
    <w:link w:val="104"/>
    <w:qFormat/>
    <w:uiPriority w:val="0"/>
    <w:rPr>
      <w:rFonts w:ascii="宋体" w:hAnsi="Times New Roman" w:eastAsia="仿宋_GB2312" w:cs="宋体"/>
      <w:color w:val="000000"/>
      <w:sz w:val="24"/>
    </w:rPr>
  </w:style>
  <w:style w:type="character" w:customStyle="1" w:styleId="106">
    <w:name w:val="px141"/>
    <w:qFormat/>
    <w:uiPriority w:val="0"/>
    <w:rPr>
      <w:rFonts w:ascii="Times New Roman" w:hAnsi="Times New Roman" w:eastAsia="宋体" w:cs="Times New Roman"/>
      <w:sz w:val="21"/>
      <w:szCs w:val="21"/>
    </w:rPr>
  </w:style>
  <w:style w:type="character" w:customStyle="1" w:styleId="107">
    <w:name w:val="font21"/>
    <w:qFormat/>
    <w:uiPriority w:val="0"/>
    <w:rPr>
      <w:rFonts w:hint="eastAsia" w:ascii="宋体" w:hAnsi="宋体" w:eastAsia="宋体" w:cs="宋体"/>
      <w:color w:val="000000"/>
      <w:sz w:val="18"/>
      <w:szCs w:val="18"/>
      <w:u w:val="none"/>
    </w:rPr>
  </w:style>
  <w:style w:type="character" w:customStyle="1" w:styleId="108">
    <w:name w:val="b2"/>
    <w:qFormat/>
    <w:uiPriority w:val="0"/>
    <w:rPr>
      <w:rFonts w:ascii="Times New Roman" w:hAnsi="Times New Roman" w:eastAsia="宋体" w:cs="Times New Roman"/>
    </w:rPr>
  </w:style>
  <w:style w:type="character" w:customStyle="1" w:styleId="109">
    <w:name w:val="font31"/>
    <w:basedOn w:val="39"/>
    <w:qFormat/>
    <w:uiPriority w:val="0"/>
    <w:rPr>
      <w:rFonts w:hint="eastAsia" w:ascii="宋体" w:hAnsi="宋体" w:eastAsia="宋体" w:cs="宋体"/>
      <w:color w:val="000000"/>
      <w:sz w:val="20"/>
      <w:szCs w:val="20"/>
      <w:u w:val="none"/>
    </w:rPr>
  </w:style>
  <w:style w:type="character" w:customStyle="1" w:styleId="110">
    <w:name w:val="font81"/>
    <w:qFormat/>
    <w:uiPriority w:val="0"/>
    <w:rPr>
      <w:rFonts w:hint="eastAsia" w:ascii="宋体" w:hAnsi="宋体" w:eastAsia="宋体" w:cs="宋体"/>
      <w:b/>
      <w:color w:val="000000"/>
      <w:sz w:val="22"/>
      <w:szCs w:val="22"/>
      <w:u w:val="none"/>
    </w:rPr>
  </w:style>
  <w:style w:type="character" w:customStyle="1" w:styleId="111">
    <w:name w:val="日期 Char1"/>
    <w:qFormat/>
    <w:uiPriority w:val="0"/>
    <w:rPr>
      <w:rFonts w:ascii="Times New Roman" w:hAnsi="Times New Roman" w:eastAsia="宋体" w:cs="Times New Roman"/>
      <w:kern w:val="2"/>
      <w:sz w:val="21"/>
      <w:szCs w:val="24"/>
    </w:rPr>
  </w:style>
  <w:style w:type="character" w:customStyle="1" w:styleId="112">
    <w:name w:val="标题2"/>
    <w:qFormat/>
    <w:uiPriority w:val="0"/>
    <w:rPr>
      <w:rFonts w:ascii="微软雅黑" w:hAnsi="微软雅黑" w:eastAsia="微软雅黑" w:cs="Times New Roman"/>
      <w:b/>
      <w:bCs/>
      <w:color w:val="0D0D0D"/>
      <w:sz w:val="24"/>
    </w:rPr>
  </w:style>
  <w:style w:type="character" w:customStyle="1" w:styleId="113">
    <w:name w:val="正文（首行缩进两字） Char1"/>
    <w:qFormat/>
    <w:uiPriority w:val="0"/>
    <w:rPr>
      <w:rFonts w:ascii="Times New Roman" w:hAnsi="Times New Roman" w:eastAsia="仿宋_GB2312" w:cs="Times New Roman"/>
      <w:kern w:val="2"/>
      <w:sz w:val="28"/>
      <w:szCs w:val="24"/>
    </w:rPr>
  </w:style>
  <w:style w:type="character" w:customStyle="1" w:styleId="114">
    <w:name w:val="正文文字 Char"/>
    <w:qFormat/>
    <w:uiPriority w:val="0"/>
    <w:rPr>
      <w:rFonts w:ascii="Times New Roman" w:hAnsi="Times New Roman" w:eastAsia="宋体" w:cs="Times New Roman"/>
      <w:kern w:val="2"/>
      <w:sz w:val="21"/>
      <w:szCs w:val="24"/>
      <w:lang w:val="en-US" w:eastAsia="zh-CN" w:bidi="ar-SA"/>
    </w:rPr>
  </w:style>
  <w:style w:type="character" w:customStyle="1" w:styleId="115">
    <w:name w:val="称呼 Char1"/>
    <w:qFormat/>
    <w:uiPriority w:val="0"/>
    <w:rPr>
      <w:rFonts w:ascii="Times New Roman" w:hAnsi="Times New Roman" w:eastAsia="宋体" w:cs="Times New Roman"/>
      <w:kern w:val="2"/>
      <w:sz w:val="21"/>
      <w:szCs w:val="24"/>
    </w:rPr>
  </w:style>
  <w:style w:type="character" w:customStyle="1" w:styleId="116">
    <w:name w:val="font101"/>
    <w:qFormat/>
    <w:uiPriority w:val="0"/>
    <w:rPr>
      <w:rFonts w:hint="eastAsia" w:ascii="宋体" w:hAnsi="宋体" w:eastAsia="宋体" w:cs="宋体"/>
      <w:b/>
      <w:color w:val="000000"/>
      <w:sz w:val="22"/>
      <w:szCs w:val="22"/>
      <w:u w:val="none"/>
    </w:rPr>
  </w:style>
  <w:style w:type="character" w:customStyle="1" w:styleId="117">
    <w:name w:val="页眉 Char1"/>
    <w:qFormat/>
    <w:uiPriority w:val="0"/>
    <w:rPr>
      <w:rFonts w:ascii="Times New Roman" w:hAnsi="Times New Roman" w:eastAsia="宋体" w:cs="Times New Roman"/>
      <w:color w:val="000000"/>
      <w:kern w:val="1"/>
      <w:sz w:val="18"/>
      <w:szCs w:val="18"/>
      <w:lang w:val="zh-CN"/>
    </w:rPr>
  </w:style>
  <w:style w:type="paragraph" w:customStyle="1" w:styleId="118">
    <w:name w:val="标书正文样式"/>
    <w:basedOn w:val="1"/>
    <w:link w:val="119"/>
    <w:qFormat/>
    <w:uiPriority w:val="0"/>
    <w:pPr>
      <w:ind w:firstLine="560" w:firstLineChars="200"/>
      <w:jc w:val="left"/>
    </w:pPr>
    <w:rPr>
      <w:rFonts w:ascii="仿宋_GB2312" w:hAnsi="Arial" w:eastAsia="仿宋_GB2312"/>
      <w:kern w:val="2"/>
      <w:sz w:val="28"/>
      <w:szCs w:val="28"/>
    </w:rPr>
  </w:style>
  <w:style w:type="character" w:customStyle="1" w:styleId="119">
    <w:name w:val="标书正文样式 Char"/>
    <w:link w:val="118"/>
    <w:qFormat/>
    <w:uiPriority w:val="0"/>
    <w:rPr>
      <w:rFonts w:ascii="仿宋_GB2312" w:hAnsi="Arial" w:eastAsia="仿宋_GB2312" w:cs="Times New Roman"/>
      <w:kern w:val="2"/>
      <w:sz w:val="28"/>
      <w:szCs w:val="28"/>
      <w:lang w:bidi="ar-SA"/>
    </w:rPr>
  </w:style>
  <w:style w:type="character" w:customStyle="1" w:styleId="120">
    <w:name w:val="font11"/>
    <w:qFormat/>
    <w:uiPriority w:val="0"/>
    <w:rPr>
      <w:rFonts w:hint="eastAsia" w:ascii="宋体" w:hAnsi="宋体" w:eastAsia="宋体" w:cs="宋体"/>
      <w:color w:val="000000"/>
      <w:sz w:val="22"/>
      <w:szCs w:val="22"/>
      <w:u w:val="none"/>
    </w:rPr>
  </w:style>
  <w:style w:type="character" w:customStyle="1" w:styleId="121">
    <w:name w:val="question-title2"/>
    <w:qFormat/>
    <w:uiPriority w:val="0"/>
    <w:rPr>
      <w:rFonts w:ascii="Times New Roman" w:hAnsi="Times New Roman" w:eastAsia="宋体" w:cs="Times New Roman"/>
    </w:rPr>
  </w:style>
  <w:style w:type="character" w:customStyle="1" w:styleId="122">
    <w:name w:val="纯文本 字符"/>
    <w:qFormat/>
    <w:uiPriority w:val="0"/>
    <w:rPr>
      <w:rFonts w:ascii="宋体" w:hAnsi="Courier New" w:eastAsia="宋体" w:cs="Times New Roman"/>
      <w:sz w:val="21"/>
      <w:szCs w:val="21"/>
      <w:lang w:val="en-US" w:eastAsia="zh-CN" w:bidi="ar-SA"/>
    </w:rPr>
  </w:style>
  <w:style w:type="character" w:customStyle="1" w:styleId="123">
    <w:name w:val="Char Char Char"/>
    <w:qFormat/>
    <w:uiPriority w:val="0"/>
    <w:rPr>
      <w:rFonts w:ascii="宋体" w:hAnsi="Courier New" w:eastAsia="宋体" w:cs="Times New Roman"/>
      <w:sz w:val="21"/>
      <w:szCs w:val="21"/>
      <w:lang w:val="en-US" w:eastAsia="zh-CN" w:bidi="ar-SA"/>
    </w:rPr>
  </w:style>
  <w:style w:type="paragraph" w:customStyle="1" w:styleId="124">
    <w:name w:val="无间隔1"/>
    <w:link w:val="125"/>
    <w:qFormat/>
    <w:uiPriority w:val="1"/>
    <w:pPr>
      <w:widowControl w:val="0"/>
      <w:spacing w:line="360" w:lineRule="auto"/>
      <w:jc w:val="both"/>
    </w:pPr>
    <w:rPr>
      <w:rFonts w:ascii="Times New Roman" w:hAnsi="Times New Roman" w:eastAsia="宋体" w:cs="Times New Roman"/>
      <w:sz w:val="24"/>
      <w:szCs w:val="24"/>
      <w:lang w:val="en-US" w:eastAsia="zh-CN" w:bidi="ar-SA"/>
    </w:rPr>
  </w:style>
  <w:style w:type="character" w:customStyle="1" w:styleId="125">
    <w:name w:val="无间隔 Char"/>
    <w:link w:val="124"/>
    <w:qFormat/>
    <w:uiPriority w:val="0"/>
    <w:rPr>
      <w:rFonts w:ascii="Times New Roman" w:hAnsi="Times New Roman" w:eastAsia="宋体" w:cs="Times New Roman"/>
      <w:sz w:val="24"/>
      <w:szCs w:val="24"/>
      <w:lang w:val="en-US" w:eastAsia="zh-CN" w:bidi="ar-SA"/>
    </w:rPr>
  </w:style>
  <w:style w:type="character" w:customStyle="1" w:styleId="126">
    <w:name w:val="Texte Char Char"/>
    <w:qFormat/>
    <w:uiPriority w:val="0"/>
    <w:rPr>
      <w:rFonts w:ascii="宋体" w:hAnsi="Courier New" w:eastAsia="宋体" w:cs="Times New Roman"/>
      <w:sz w:val="21"/>
      <w:szCs w:val="21"/>
      <w:lang w:val="en-US" w:eastAsia="zh-CN" w:bidi="ar-SA"/>
    </w:rPr>
  </w:style>
  <w:style w:type="character" w:customStyle="1" w:styleId="127">
    <w:name w:val="chs1"/>
    <w:qFormat/>
    <w:uiPriority w:val="0"/>
    <w:rPr>
      <w:rFonts w:hint="default" w:eastAsia="宋体" w:cs="Times New Roman"/>
      <w:sz w:val="18"/>
      <w:szCs w:val="18"/>
    </w:rPr>
  </w:style>
  <w:style w:type="paragraph" w:customStyle="1" w:styleId="128">
    <w:name w:val="样式 样式3 + 非加粗"/>
    <w:basedOn w:val="1"/>
    <w:link w:val="129"/>
    <w:qFormat/>
    <w:uiPriority w:val="0"/>
    <w:pPr>
      <w:adjustRightInd w:val="0"/>
      <w:snapToGrid w:val="0"/>
      <w:spacing w:line="300" w:lineRule="auto"/>
    </w:pPr>
    <w:rPr>
      <w:rFonts w:ascii="宋体" w:hAnsi="宋体"/>
      <w:b/>
      <w:bCs/>
      <w:color w:val="000000"/>
      <w:kern w:val="2"/>
      <w:sz w:val="24"/>
    </w:rPr>
  </w:style>
  <w:style w:type="character" w:customStyle="1" w:styleId="129">
    <w:name w:val="样式 样式3 + 非加粗 Char"/>
    <w:link w:val="128"/>
    <w:qFormat/>
    <w:uiPriority w:val="0"/>
    <w:rPr>
      <w:rFonts w:ascii="宋体" w:hAnsi="宋体" w:eastAsia="宋体" w:cs="Times New Roman"/>
      <w:b/>
      <w:bCs/>
      <w:color w:val="000000"/>
      <w:kern w:val="2"/>
      <w:sz w:val="24"/>
      <w:szCs w:val="24"/>
      <w:lang w:val="en-US" w:eastAsia="zh-CN" w:bidi="ar-SA"/>
    </w:rPr>
  </w:style>
  <w:style w:type="character" w:customStyle="1" w:styleId="130">
    <w:name w:val="aa1"/>
    <w:qFormat/>
    <w:uiPriority w:val="0"/>
    <w:rPr>
      <w:rFonts w:hint="default" w:eastAsia="宋体" w:cs="Times New Roman"/>
      <w:color w:val="000000"/>
      <w:sz w:val="20"/>
      <w:szCs w:val="20"/>
      <w:u w:val="none"/>
    </w:rPr>
  </w:style>
  <w:style w:type="paragraph" w:customStyle="1" w:styleId="131">
    <w:name w:val="招标正文"/>
    <w:basedOn w:val="1"/>
    <w:link w:val="132"/>
    <w:qFormat/>
    <w:uiPriority w:val="0"/>
    <w:pPr>
      <w:widowControl/>
      <w:spacing w:line="360" w:lineRule="auto"/>
      <w:ind w:firstLine="480" w:firstLineChars="200"/>
    </w:pPr>
    <w:rPr>
      <w:snapToGrid w:val="0"/>
      <w:sz w:val="24"/>
      <w:lang w:val="en-GB"/>
    </w:rPr>
  </w:style>
  <w:style w:type="character" w:customStyle="1" w:styleId="132">
    <w:name w:val="招标正文 Char Char"/>
    <w:link w:val="131"/>
    <w:qFormat/>
    <w:uiPriority w:val="0"/>
    <w:rPr>
      <w:rFonts w:ascii="Times New Roman" w:hAnsi="Times New Roman" w:eastAsia="宋体" w:cs="Times New Roman"/>
      <w:snapToGrid w:val="0"/>
      <w:sz w:val="24"/>
      <w:szCs w:val="24"/>
      <w:lang w:val="en-GB" w:bidi="ar-SA"/>
    </w:rPr>
  </w:style>
  <w:style w:type="character" w:customStyle="1" w:styleId="133">
    <w:name w:val="textfont"/>
    <w:qFormat/>
    <w:uiPriority w:val="0"/>
    <w:rPr>
      <w:rFonts w:ascii="Times New Roman" w:hAnsi="Times New Roman" w:eastAsia="宋体" w:cs="Times New Roman"/>
    </w:rPr>
  </w:style>
  <w:style w:type="character" w:customStyle="1" w:styleId="134">
    <w:name w:val="称呼 字符1"/>
    <w:qFormat/>
    <w:uiPriority w:val="0"/>
    <w:rPr>
      <w:rFonts w:ascii="Times New Roman" w:hAnsi="Times New Roman" w:eastAsia="宋体" w:cs="Times New Roman"/>
      <w:kern w:val="2"/>
      <w:sz w:val="21"/>
      <w:szCs w:val="24"/>
    </w:rPr>
  </w:style>
  <w:style w:type="character" w:customStyle="1" w:styleId="135">
    <w:name w:val="标题 Char1"/>
    <w:qFormat/>
    <w:uiPriority w:val="0"/>
    <w:rPr>
      <w:rFonts w:ascii="Calibri Light" w:hAnsi="Calibri Light" w:eastAsia="宋体" w:cs="Times New Roman"/>
      <w:b/>
      <w:bCs/>
      <w:kern w:val="2"/>
      <w:sz w:val="32"/>
      <w:szCs w:val="32"/>
    </w:rPr>
  </w:style>
  <w:style w:type="character" w:customStyle="1" w:styleId="136">
    <w:name w:val="unnamed51"/>
    <w:qFormat/>
    <w:uiPriority w:val="0"/>
    <w:rPr>
      <w:rFonts w:ascii="Times New Roman" w:hAnsi="Times New Roman" w:eastAsia="宋体" w:cs="Times New Roman"/>
      <w:sz w:val="22"/>
      <w:szCs w:val="22"/>
    </w:rPr>
  </w:style>
  <w:style w:type="character" w:customStyle="1" w:styleId="137">
    <w:name w:val="title1"/>
    <w:qFormat/>
    <w:uiPriority w:val="0"/>
    <w:rPr>
      <w:rFonts w:hint="eastAsia" w:ascii="宋体" w:hAnsi="宋体" w:eastAsia="宋体" w:cs="Times New Roman"/>
      <w:b/>
      <w:bCs/>
      <w:sz w:val="22"/>
      <w:szCs w:val="22"/>
    </w:rPr>
  </w:style>
  <w:style w:type="character" w:customStyle="1" w:styleId="138">
    <w:name w:val="15"/>
    <w:qFormat/>
    <w:uiPriority w:val="0"/>
    <w:rPr>
      <w:rFonts w:hint="default" w:ascii="Times New Roman" w:hAnsi="Times New Roman" w:eastAsia="宋体" w:cs="Times New Roman"/>
      <w:b/>
      <w:bCs/>
      <w:spacing w:val="-2"/>
      <w:sz w:val="24"/>
      <w:szCs w:val="24"/>
    </w:rPr>
  </w:style>
  <w:style w:type="character" w:customStyle="1" w:styleId="139">
    <w:name w:val="font51"/>
    <w:basedOn w:val="39"/>
    <w:qFormat/>
    <w:uiPriority w:val="0"/>
    <w:rPr>
      <w:rFonts w:hint="eastAsia" w:ascii="宋体" w:hAnsi="宋体" w:eastAsia="宋体" w:cs="宋体"/>
      <w:color w:val="000000"/>
      <w:sz w:val="22"/>
      <w:szCs w:val="22"/>
      <w:u w:val="none"/>
    </w:rPr>
  </w:style>
  <w:style w:type="character" w:customStyle="1" w:styleId="140">
    <w:name w:val="font01"/>
    <w:qFormat/>
    <w:uiPriority w:val="0"/>
    <w:rPr>
      <w:rFonts w:hint="eastAsia" w:ascii="宋体" w:hAnsi="宋体" w:eastAsia="宋体" w:cs="宋体"/>
      <w:b/>
      <w:color w:val="000000"/>
      <w:sz w:val="28"/>
      <w:szCs w:val="28"/>
      <w:u w:val="none"/>
    </w:rPr>
  </w:style>
  <w:style w:type="character" w:customStyle="1" w:styleId="141">
    <w:name w:val="bt11"/>
    <w:qFormat/>
    <w:uiPriority w:val="0"/>
    <w:rPr>
      <w:rFonts w:ascii="Times New Roman" w:hAnsi="Times New Roman" w:eastAsia="仿宋_GB2312" w:cs="Times New Roman"/>
      <w:b/>
      <w:color w:val="000000"/>
      <w:sz w:val="30"/>
      <w:szCs w:val="20"/>
      <w:u w:val="none"/>
    </w:rPr>
  </w:style>
  <w:style w:type="character" w:customStyle="1" w:styleId="142">
    <w:name w:val="f16b1"/>
    <w:qFormat/>
    <w:uiPriority w:val="0"/>
    <w:rPr>
      <w:rFonts w:ascii="Times New Roman" w:hAnsi="Times New Roman" w:eastAsia="宋体" w:cs="Times New Roman"/>
      <w:b/>
      <w:bCs/>
      <w:color w:val="333333"/>
      <w:sz w:val="22"/>
      <w:szCs w:val="22"/>
    </w:rPr>
  </w:style>
  <w:style w:type="character" w:customStyle="1" w:styleId="143">
    <w:name w:val="纯文本 Char1"/>
    <w:qFormat/>
    <w:uiPriority w:val="0"/>
    <w:rPr>
      <w:rFonts w:ascii="宋体" w:hAnsi="Courier New" w:eastAsia="宋体" w:cs="Times New Roman"/>
      <w:sz w:val="21"/>
      <w:szCs w:val="21"/>
      <w:lang w:val="en-US" w:eastAsia="zh-CN" w:bidi="ar-SA"/>
    </w:rPr>
  </w:style>
  <w:style w:type="character" w:customStyle="1" w:styleId="144">
    <w:name w:val="普通文字 Char"/>
    <w:qFormat/>
    <w:uiPriority w:val="0"/>
    <w:rPr>
      <w:rFonts w:ascii="宋体" w:hAnsi="Courier New" w:eastAsia="宋体" w:cs="Times New Roman"/>
      <w:kern w:val="2"/>
      <w:sz w:val="21"/>
      <w:lang w:bidi="ar-SA"/>
    </w:rPr>
  </w:style>
  <w:style w:type="character" w:customStyle="1" w:styleId="145">
    <w:name w:val="style13"/>
    <w:qFormat/>
    <w:uiPriority w:val="0"/>
    <w:rPr>
      <w:rFonts w:ascii="Times New Roman" w:hAnsi="Times New Roman" w:eastAsia="宋体" w:cs="Times New Roman"/>
    </w:rPr>
  </w:style>
  <w:style w:type="character" w:customStyle="1" w:styleId="146">
    <w:name w:val="font61"/>
    <w:qFormat/>
    <w:uiPriority w:val="0"/>
    <w:rPr>
      <w:rFonts w:hint="eastAsia" w:ascii="宋体" w:hAnsi="宋体" w:eastAsia="宋体" w:cs="宋体"/>
      <w:color w:val="000000"/>
      <w:sz w:val="22"/>
      <w:szCs w:val="22"/>
      <w:u w:val="none"/>
    </w:rPr>
  </w:style>
  <w:style w:type="paragraph" w:customStyle="1" w:styleId="147">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sz w:val="24"/>
    </w:rPr>
  </w:style>
  <w:style w:type="paragraph" w:customStyle="1" w:styleId="148">
    <w:name w:val="Char2"/>
    <w:basedOn w:val="16"/>
    <w:next w:val="1"/>
    <w:qFormat/>
    <w:uiPriority w:val="0"/>
    <w:rPr>
      <w:rFonts w:ascii="宋体" w:hAnsi="宋体"/>
    </w:rPr>
  </w:style>
  <w:style w:type="paragraph" w:customStyle="1" w:styleId="149">
    <w:name w:val="正文2"/>
    <w:basedOn w:val="1"/>
    <w:qFormat/>
    <w:uiPriority w:val="0"/>
    <w:pPr>
      <w:spacing w:before="156" w:line="360" w:lineRule="auto"/>
      <w:ind w:firstLine="510" w:firstLineChars="200"/>
    </w:pPr>
    <w:rPr>
      <w:sz w:val="24"/>
      <w:szCs w:val="20"/>
    </w:rPr>
  </w:style>
  <w:style w:type="paragraph" w:customStyle="1" w:styleId="150">
    <w:name w:val="Char Char Char Char"/>
    <w:basedOn w:val="1"/>
    <w:qFormat/>
    <w:uiPriority w:val="0"/>
    <w:pPr>
      <w:widowControl/>
      <w:spacing w:after="160" w:line="240" w:lineRule="exact"/>
      <w:jc w:val="left"/>
    </w:pPr>
    <w:rPr>
      <w:rFonts w:ascii="Verdana" w:hAnsi="Verdana"/>
      <w:sz w:val="20"/>
      <w:szCs w:val="20"/>
      <w:lang w:eastAsia="en-US"/>
    </w:rPr>
  </w:style>
  <w:style w:type="paragraph" w:customStyle="1" w:styleId="151">
    <w:name w:val="1111"/>
    <w:basedOn w:val="1"/>
    <w:qFormat/>
    <w:uiPriority w:val="0"/>
    <w:rPr>
      <w:rFonts w:ascii="Calibri" w:hAnsi="Calibri"/>
      <w:sz w:val="18"/>
    </w:rPr>
  </w:style>
  <w:style w:type="paragraph" w:customStyle="1" w:styleId="152">
    <w:name w:val="Char Char Char1"/>
    <w:basedOn w:val="1"/>
    <w:qFormat/>
    <w:uiPriority w:val="0"/>
    <w:rPr>
      <w:rFonts w:ascii="Tahoma" w:hAnsi="Tahoma"/>
      <w:sz w:val="24"/>
      <w:szCs w:val="20"/>
    </w:rPr>
  </w:style>
  <w:style w:type="paragraph" w:customStyle="1" w:styleId="153">
    <w:name w:val="中等深浅网格 1 - 强调文字颜色 21"/>
    <w:basedOn w:val="1"/>
    <w:qFormat/>
    <w:uiPriority w:val="0"/>
    <w:pPr>
      <w:ind w:firstLine="420" w:firstLineChars="200"/>
    </w:pPr>
    <w:rPr>
      <w:rFonts w:ascii="等线" w:hAnsi="等线" w:eastAsia="等线" w:cs="宋体"/>
      <w:szCs w:val="21"/>
    </w:rPr>
  </w:style>
  <w:style w:type="paragraph" w:customStyle="1" w:styleId="154">
    <w:name w:val="_Style 13"/>
    <w:basedOn w:val="1"/>
    <w:next w:val="93"/>
    <w:qFormat/>
    <w:uiPriority w:val="0"/>
    <w:pPr>
      <w:ind w:firstLine="420"/>
    </w:pPr>
    <w:rPr>
      <w:rFonts w:ascii="Calibri" w:hAnsi="Calibri"/>
      <w:color w:val="000000"/>
      <w:kern w:val="1"/>
    </w:rPr>
  </w:style>
  <w:style w:type="paragraph" w:customStyle="1" w:styleId="155">
    <w:name w:val="1.1.1"/>
    <w:basedOn w:val="1"/>
    <w:qFormat/>
    <w:uiPriority w:val="0"/>
    <w:pPr>
      <w:tabs>
        <w:tab w:val="left" w:pos="0"/>
        <w:tab w:val="left" w:pos="1134"/>
        <w:tab w:val="left" w:pos="8505"/>
      </w:tabs>
      <w:autoSpaceDE w:val="0"/>
      <w:autoSpaceDN w:val="0"/>
      <w:adjustRightInd w:val="0"/>
      <w:spacing w:before="240" w:after="60" w:line="360" w:lineRule="atLeast"/>
    </w:pPr>
    <w:rPr>
      <w:rFonts w:ascii="宋体"/>
      <w:b/>
      <w:sz w:val="24"/>
      <w:szCs w:val="20"/>
    </w:rPr>
  </w:style>
  <w:style w:type="paragraph" w:customStyle="1" w:styleId="156">
    <w:name w:val="xl55"/>
    <w:basedOn w:val="1"/>
    <w:qFormat/>
    <w:uiPriority w:val="0"/>
    <w:pPr>
      <w:widowControl/>
      <w:spacing w:before="100" w:beforeAutospacing="1" w:after="100" w:afterAutospacing="1"/>
      <w:jc w:val="center"/>
      <w:textAlignment w:val="center"/>
    </w:pPr>
    <w:rPr>
      <w:rFonts w:ascii="Arial Unicode MS" w:hAnsi="Arial Unicode MS"/>
      <w:sz w:val="24"/>
    </w:rPr>
  </w:style>
  <w:style w:type="paragraph" w:customStyle="1" w:styleId="157">
    <w:name w:val="table_1stline"/>
    <w:basedOn w:val="1"/>
    <w:qFormat/>
    <w:uiPriority w:val="0"/>
    <w:pPr>
      <w:widowControl/>
      <w:spacing w:before="120"/>
      <w:jc w:val="left"/>
    </w:pPr>
    <w:rPr>
      <w:bCs/>
      <w:sz w:val="20"/>
      <w:szCs w:val="20"/>
      <w:lang w:val="de-DE" w:eastAsia="de-DE"/>
    </w:rPr>
  </w:style>
  <w:style w:type="paragraph" w:customStyle="1" w:styleId="158">
    <w:name w:val="附录项目"/>
    <w:basedOn w:val="8"/>
    <w:qFormat/>
    <w:uiPriority w:val="0"/>
    <w:pPr>
      <w:keepNext w:val="0"/>
      <w:keepLines w:val="0"/>
      <w:tabs>
        <w:tab w:val="clear" w:pos="567"/>
      </w:tabs>
      <w:snapToGrid w:val="0"/>
      <w:spacing w:beforeLines="50"/>
      <w:ind w:left="0" w:firstLine="0"/>
      <w:outlineLvl w:val="9"/>
    </w:pPr>
    <w:rPr>
      <w:rFonts w:ascii="Arial" w:hAnsi="Arial" w:eastAsia="楷体_GB2312" w:cs="Arial"/>
      <w:bCs w:val="0"/>
      <w:snapToGrid w:val="0"/>
      <w:color w:val="FF00FF"/>
      <w:kern w:val="0"/>
      <w:sz w:val="21"/>
      <w:szCs w:val="20"/>
    </w:rPr>
  </w:style>
  <w:style w:type="paragraph" w:customStyle="1" w:styleId="159">
    <w:name w:val="Proposals body"/>
    <w:basedOn w:val="1"/>
    <w:next w:val="1"/>
    <w:qFormat/>
    <w:uiPriority w:val="0"/>
    <w:pPr>
      <w:widowControl/>
      <w:spacing w:line="360" w:lineRule="auto"/>
      <w:jc w:val="left"/>
    </w:pPr>
    <w:rPr>
      <w:rFonts w:ascii="宋体"/>
      <w:snapToGrid w:val="0"/>
      <w:color w:val="000000"/>
      <w:sz w:val="24"/>
      <w:szCs w:val="20"/>
    </w:rPr>
  </w:style>
  <w:style w:type="paragraph" w:customStyle="1" w:styleId="160">
    <w:name w:val="题注4"/>
    <w:basedOn w:val="1"/>
    <w:next w:val="14"/>
    <w:qFormat/>
    <w:uiPriority w:val="0"/>
    <w:pPr>
      <w:ind w:left="-132" w:leftChars="-64" w:right="-105" w:hanging="2"/>
      <w:jc w:val="center"/>
    </w:pPr>
    <w:rPr>
      <w:rFonts w:ascii="宋体"/>
      <w:b/>
      <w:color w:val="FF0000"/>
      <w:sz w:val="24"/>
      <w:szCs w:val="20"/>
      <w:lang w:val="en-GB"/>
    </w:rPr>
  </w:style>
  <w:style w:type="paragraph" w:customStyle="1" w:styleId="161">
    <w:name w:val="正文，段落，小四，22磅行距"/>
    <w:qFormat/>
    <w:uiPriority w:val="0"/>
    <w:pPr>
      <w:widowControl w:val="0"/>
      <w:spacing w:line="440" w:lineRule="exact"/>
      <w:ind w:firstLine="420"/>
      <w:jc w:val="both"/>
    </w:pPr>
    <w:rPr>
      <w:rFonts w:ascii="Times New Roman" w:hAnsi="Times New Roman" w:eastAsia="宋体" w:cs="Times New Roman"/>
      <w:sz w:val="24"/>
      <w:szCs w:val="24"/>
      <w:lang w:val="en-US" w:eastAsia="zh-CN" w:bidi="ar-SA"/>
    </w:rPr>
  </w:style>
  <w:style w:type="paragraph" w:customStyle="1" w:styleId="162">
    <w:name w:val="[Normal]"/>
    <w:qFormat/>
    <w:uiPriority w:val="0"/>
    <w:rPr>
      <w:rFonts w:ascii="宋体" w:hAnsi="宋体" w:eastAsia="宋体" w:cs="Times New Roman"/>
      <w:sz w:val="24"/>
      <w:szCs w:val="22"/>
      <w:lang w:val="zh-CN" w:eastAsia="zh-CN" w:bidi="ar-SA"/>
    </w:rPr>
  </w:style>
  <w:style w:type="paragraph" w:customStyle="1" w:styleId="163">
    <w:name w:val="reader-word-layer reader-word-s2-5"/>
    <w:basedOn w:val="1"/>
    <w:qFormat/>
    <w:uiPriority w:val="0"/>
    <w:pPr>
      <w:widowControl/>
      <w:spacing w:before="100" w:beforeAutospacing="1" w:after="100" w:afterAutospacing="1"/>
      <w:jc w:val="left"/>
    </w:pPr>
    <w:rPr>
      <w:rFonts w:ascii="宋体" w:hAnsi="宋体" w:cs="宋体"/>
      <w:sz w:val="24"/>
      <w:lang w:bidi="bo-CN"/>
    </w:rPr>
  </w:style>
  <w:style w:type="paragraph" w:customStyle="1" w:styleId="164">
    <w:name w:val="正文内容"/>
    <w:basedOn w:val="1"/>
    <w:qFormat/>
    <w:uiPriority w:val="0"/>
    <w:pPr>
      <w:jc w:val="left"/>
    </w:pPr>
    <w:rPr>
      <w:rFonts w:ascii="微软雅黑" w:hAnsi="微软雅黑" w:eastAsia="微软雅黑" w:cs="宋体"/>
      <w:color w:val="0D0D0D"/>
      <w:sz w:val="18"/>
      <w:szCs w:val="18"/>
    </w:rPr>
  </w:style>
  <w:style w:type="paragraph" w:customStyle="1" w:styleId="165">
    <w:name w:val="彩色列表1"/>
    <w:basedOn w:val="1"/>
    <w:qFormat/>
    <w:uiPriority w:val="0"/>
    <w:pPr>
      <w:ind w:firstLine="420" w:firstLineChars="200"/>
    </w:pPr>
    <w:rPr>
      <w:rFonts w:ascii="Calibri" w:hAnsi="Calibri"/>
    </w:rPr>
  </w:style>
  <w:style w:type="paragraph" w:customStyle="1" w:styleId="166">
    <w:name w:val="p0"/>
    <w:basedOn w:val="1"/>
    <w:qFormat/>
    <w:uiPriority w:val="0"/>
    <w:pPr>
      <w:widowControl/>
      <w:spacing w:before="100" w:beforeAutospacing="1" w:after="100" w:afterAutospacing="1"/>
      <w:jc w:val="left"/>
    </w:pPr>
    <w:rPr>
      <w:rFonts w:ascii="宋体" w:hAnsi="宋体" w:cs="宋体"/>
      <w:sz w:val="24"/>
    </w:rPr>
  </w:style>
  <w:style w:type="paragraph" w:customStyle="1" w:styleId="167">
    <w:name w:val="Char Char Char Char Char Char Char Char Char Char Char Char Char"/>
    <w:basedOn w:val="1"/>
    <w:qFormat/>
    <w:uiPriority w:val="0"/>
    <w:rPr>
      <w:rFonts w:ascii="Tahoma" w:hAnsi="Tahoma"/>
      <w:sz w:val="24"/>
      <w:szCs w:val="20"/>
    </w:rPr>
  </w:style>
  <w:style w:type="paragraph" w:customStyle="1" w:styleId="168">
    <w:name w:val="样式1"/>
    <w:qFormat/>
    <w:uiPriority w:val="0"/>
    <w:pPr>
      <w:keepNext/>
      <w:keepLines/>
      <w:widowControl w:val="0"/>
      <w:tabs>
        <w:tab w:val="left" w:pos="425"/>
      </w:tabs>
      <w:spacing w:beforeLines="50"/>
      <w:jc w:val="center"/>
      <w:outlineLvl w:val="0"/>
    </w:pPr>
    <w:rPr>
      <w:rFonts w:ascii="宋体" w:hAnsi="宋体" w:eastAsia="宋体" w:cs="Times New Roman"/>
      <w:kern w:val="44"/>
      <w:sz w:val="21"/>
      <w:szCs w:val="36"/>
      <w:lang w:val="en-US" w:eastAsia="zh-CN" w:bidi="ar-SA"/>
    </w:rPr>
  </w:style>
  <w:style w:type="paragraph" w:customStyle="1" w:styleId="169">
    <w:name w:val="样式 正文缩进 + 首行缩进:  2 字符"/>
    <w:basedOn w:val="13"/>
    <w:qFormat/>
    <w:uiPriority w:val="0"/>
    <w:pPr>
      <w:adjustRightInd/>
      <w:spacing w:line="360" w:lineRule="auto"/>
      <w:ind w:firstLine="200" w:firstLineChars="200"/>
      <w:textAlignment w:val="auto"/>
    </w:pPr>
    <w:rPr>
      <w:rFonts w:cs="宋体"/>
      <w:kern w:val="2"/>
      <w:sz w:val="24"/>
    </w:rPr>
  </w:style>
  <w:style w:type="paragraph" w:customStyle="1" w:styleId="170">
    <w:name w:val="列出段落1"/>
    <w:basedOn w:val="1"/>
    <w:qFormat/>
    <w:uiPriority w:val="0"/>
    <w:pPr>
      <w:ind w:firstLine="420" w:firstLineChars="200"/>
    </w:pPr>
    <w:rPr>
      <w:rFonts w:ascii="Calibri" w:hAnsi="Calibri"/>
      <w:szCs w:val="20"/>
    </w:rPr>
  </w:style>
  <w:style w:type="paragraph" w:customStyle="1" w:styleId="171">
    <w:name w:val="Char"/>
    <w:basedOn w:val="1"/>
    <w:qFormat/>
    <w:uiPriority w:val="0"/>
    <w:rPr>
      <w:rFonts w:eastAsia="仿宋_GB2312"/>
      <w:sz w:val="28"/>
    </w:rPr>
  </w:style>
  <w:style w:type="paragraph" w:customStyle="1" w:styleId="172">
    <w:name w:val="Char Char Char Char Char Char Char"/>
    <w:basedOn w:val="1"/>
    <w:qFormat/>
    <w:uiPriority w:val="0"/>
    <w:rPr>
      <w:rFonts w:ascii="仿宋_GB2312" w:eastAsia="仿宋_GB2312"/>
      <w:b/>
      <w:sz w:val="32"/>
      <w:szCs w:val="32"/>
    </w:rPr>
  </w:style>
  <w:style w:type="paragraph" w:customStyle="1" w:styleId="173">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kern w:val="2"/>
      <w:sz w:val="21"/>
      <w:szCs w:val="22"/>
      <w:lang w:val="en-US" w:eastAsia="zh-CN" w:bidi="ar-SA"/>
    </w:rPr>
  </w:style>
  <w:style w:type="paragraph" w:customStyle="1" w:styleId="174">
    <w:name w:val="正文－恩普"/>
    <w:basedOn w:val="13"/>
    <w:qFormat/>
    <w:uiPriority w:val="0"/>
    <w:pPr>
      <w:widowControl/>
      <w:adjustRightInd/>
      <w:spacing w:before="100" w:beforeAutospacing="1" w:afterLines="50" w:afterAutospacing="1" w:line="360" w:lineRule="auto"/>
      <w:ind w:firstLine="480" w:firstLineChars="200"/>
      <w:jc w:val="left"/>
      <w:textAlignment w:val="auto"/>
    </w:pPr>
    <w:rPr>
      <w:rFonts w:ascii="仿宋_GB2312" w:hAnsi="宋体" w:eastAsia="仿宋_GB2312" w:cs="宋体"/>
      <w:b/>
      <w:bCs/>
      <w:color w:val="000000"/>
      <w:sz w:val="24"/>
    </w:rPr>
  </w:style>
  <w:style w:type="paragraph" w:customStyle="1" w:styleId="175">
    <w:name w:val="默认"/>
    <w:qFormat/>
    <w:uiPriority w:val="0"/>
    <w:rPr>
      <w:rFonts w:hint="eastAsia" w:ascii="Arial Unicode MS" w:hAnsi="Arial Unicode MS" w:eastAsia="Helvetica Neue" w:cs="Arial Unicode MS"/>
      <w:color w:val="000000"/>
      <w:sz w:val="22"/>
      <w:szCs w:val="22"/>
      <w:lang w:val="zh-TW" w:eastAsia="zh-TW" w:bidi="ar-SA"/>
    </w:rPr>
  </w:style>
  <w:style w:type="paragraph" w:customStyle="1" w:styleId="176">
    <w:name w:val="Char4"/>
    <w:basedOn w:val="1"/>
    <w:qFormat/>
    <w:uiPriority w:val="0"/>
    <w:rPr>
      <w:szCs w:val="20"/>
    </w:rPr>
  </w:style>
  <w:style w:type="paragraph" w:customStyle="1" w:styleId="177">
    <w:name w:val="xl7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b/>
      <w:bCs/>
      <w:sz w:val="28"/>
      <w:szCs w:val="28"/>
    </w:rPr>
  </w:style>
  <w:style w:type="paragraph" w:customStyle="1" w:styleId="178">
    <w:name w:val="默认段落字体 Para Char"/>
    <w:basedOn w:val="1"/>
    <w:qFormat/>
    <w:uiPriority w:val="0"/>
    <w:rPr>
      <w:rFonts w:ascii="Calibri" w:hAnsi="Calibri"/>
      <w:szCs w:val="20"/>
    </w:rPr>
  </w:style>
  <w:style w:type="paragraph" w:customStyle="1" w:styleId="179">
    <w:name w:val="行间12_5号"/>
    <w:basedOn w:val="1"/>
    <w:qFormat/>
    <w:uiPriority w:val="0"/>
    <w:pPr>
      <w:adjustRightInd w:val="0"/>
      <w:spacing w:line="240" w:lineRule="exact"/>
      <w:jc w:val="center"/>
      <w:textAlignment w:val="baseline"/>
    </w:pPr>
    <w:rPr>
      <w:szCs w:val="20"/>
    </w:rPr>
  </w:style>
  <w:style w:type="paragraph" w:customStyle="1" w:styleId="180">
    <w:name w:val="Char1"/>
    <w:basedOn w:val="1"/>
    <w:qFormat/>
    <w:uiPriority w:val="0"/>
    <w:rPr>
      <w:rFonts w:ascii="仿宋_GB2312" w:eastAsia="仿宋_GB2312"/>
      <w:b/>
      <w:sz w:val="32"/>
      <w:szCs w:val="32"/>
    </w:rPr>
  </w:style>
  <w:style w:type="paragraph" w:customStyle="1" w:styleId="181">
    <w:name w:val="Char3"/>
    <w:basedOn w:val="16"/>
    <w:qFormat/>
    <w:uiPriority w:val="0"/>
  </w:style>
  <w:style w:type="paragraph" w:customStyle="1" w:styleId="182">
    <w:name w:val="reader-word-layer reader-word-s3-7"/>
    <w:basedOn w:val="1"/>
    <w:qFormat/>
    <w:uiPriority w:val="0"/>
    <w:pPr>
      <w:widowControl/>
      <w:spacing w:before="100" w:beforeAutospacing="1" w:after="100" w:afterAutospacing="1"/>
      <w:jc w:val="left"/>
    </w:pPr>
    <w:rPr>
      <w:rFonts w:ascii="宋体" w:hAnsi="宋体" w:cs="宋体"/>
      <w:sz w:val="24"/>
      <w:lang w:bidi="bo-CN"/>
    </w:rPr>
  </w:style>
  <w:style w:type="paragraph" w:customStyle="1" w:styleId="183">
    <w:name w:val="正文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4">
    <w:name w:val="Char Char Char Char Char Char"/>
    <w:basedOn w:val="1"/>
    <w:qFormat/>
    <w:uiPriority w:val="0"/>
    <w:rPr>
      <w:rFonts w:ascii="Tahoma" w:hAnsi="Tahoma"/>
      <w:sz w:val="24"/>
      <w:szCs w:val="20"/>
    </w:rPr>
  </w:style>
  <w:style w:type="paragraph" w:customStyle="1" w:styleId="185">
    <w:name w:val="表内文字"/>
    <w:basedOn w:val="1"/>
    <w:qFormat/>
    <w:uiPriority w:val="0"/>
    <w:pPr>
      <w:spacing w:line="240" w:lineRule="atLeast"/>
      <w:jc w:val="center"/>
    </w:pPr>
    <w:rPr>
      <w:rFonts w:ascii="Arial" w:hAnsi="Arial" w:cs="Arial"/>
      <w:b/>
      <w:bCs/>
    </w:rPr>
  </w:style>
  <w:style w:type="paragraph" w:customStyle="1" w:styleId="186">
    <w:name w:val="Char Char"/>
    <w:basedOn w:val="1"/>
    <w:qFormat/>
    <w:uiPriority w:val="0"/>
    <w:rPr>
      <w:rFonts w:ascii="仿宋_GB2312" w:eastAsia="仿宋_GB2312"/>
      <w:b/>
      <w:sz w:val="32"/>
      <w:szCs w:val="32"/>
    </w:rPr>
  </w:style>
  <w:style w:type="paragraph" w:customStyle="1" w:styleId="187">
    <w:name w:val="缩进"/>
    <w:basedOn w:val="1"/>
    <w:qFormat/>
    <w:uiPriority w:val="0"/>
    <w:pPr>
      <w:tabs>
        <w:tab w:val="left" w:pos="1924"/>
      </w:tabs>
      <w:adjustRightInd w:val="0"/>
      <w:spacing w:line="300" w:lineRule="auto"/>
      <w:ind w:left="1924" w:hanging="420"/>
      <w:jc w:val="left"/>
    </w:pPr>
    <w:rPr>
      <w:rFonts w:ascii="Calibri" w:hAnsi="Calibri"/>
      <w:sz w:val="24"/>
      <w:szCs w:val="21"/>
    </w:rPr>
  </w:style>
  <w:style w:type="paragraph" w:customStyle="1" w:styleId="188">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9">
    <w:name w:val="Char Char Char Char Char Char1"/>
    <w:basedOn w:val="1"/>
    <w:qFormat/>
    <w:uiPriority w:val="0"/>
    <w:pPr>
      <w:ind w:firstLine="200" w:firstLineChars="200"/>
    </w:pPr>
    <w:rPr>
      <w:rFonts w:ascii="Tahoma" w:hAnsi="Tahoma" w:cs="Tahoma"/>
      <w:sz w:val="24"/>
    </w:rPr>
  </w:style>
  <w:style w:type="paragraph" w:customStyle="1" w:styleId="190">
    <w:name w:val="reader-word-layer reader-word-s2-7"/>
    <w:basedOn w:val="1"/>
    <w:qFormat/>
    <w:uiPriority w:val="0"/>
    <w:pPr>
      <w:widowControl/>
      <w:spacing w:before="100" w:beforeAutospacing="1" w:after="100" w:afterAutospacing="1"/>
      <w:jc w:val="left"/>
    </w:pPr>
    <w:rPr>
      <w:rFonts w:ascii="宋体" w:hAnsi="宋体" w:cs="宋体"/>
      <w:sz w:val="24"/>
      <w:lang w:bidi="bo-CN"/>
    </w:rPr>
  </w:style>
  <w:style w:type="paragraph" w:customStyle="1" w:styleId="191">
    <w:name w:val="默认段落字体 Para Char Char Char Char Char Char Char"/>
    <w:basedOn w:val="1"/>
    <w:qFormat/>
    <w:uiPriority w:val="0"/>
    <w:rPr>
      <w:rFonts w:ascii="Tahoma" w:hAnsi="Tahoma"/>
      <w:sz w:val="24"/>
      <w:szCs w:val="20"/>
    </w:rPr>
  </w:style>
  <w:style w:type="paragraph" w:customStyle="1" w:styleId="192">
    <w:name w:val="Char Char2 Char"/>
    <w:basedOn w:val="1"/>
    <w:qFormat/>
    <w:uiPriority w:val="0"/>
    <w:pPr>
      <w:keepNext/>
      <w:keepLines/>
      <w:pageBreakBefore/>
      <w:tabs>
        <w:tab w:val="left" w:pos="845"/>
      </w:tabs>
      <w:ind w:left="845" w:hanging="420"/>
    </w:pPr>
    <w:rPr>
      <w:szCs w:val="20"/>
    </w:rPr>
  </w:style>
  <w:style w:type="paragraph" w:customStyle="1" w:styleId="193">
    <w:name w:val="Pa5"/>
    <w:basedOn w:val="1"/>
    <w:next w:val="1"/>
    <w:qFormat/>
    <w:uiPriority w:val="0"/>
    <w:pPr>
      <w:autoSpaceDE w:val="0"/>
      <w:autoSpaceDN w:val="0"/>
      <w:adjustRightInd w:val="0"/>
      <w:spacing w:line="121" w:lineRule="atLeast"/>
      <w:jc w:val="left"/>
    </w:pPr>
    <w:rPr>
      <w:rFonts w:ascii="DaxPro-CondRegular" w:hAnsi="黑体" w:eastAsia="DaxPro-CondRegular"/>
      <w:sz w:val="24"/>
    </w:rPr>
  </w:style>
  <w:style w:type="paragraph" w:customStyle="1" w:styleId="194">
    <w:name w:val="Char Char Char Char Char Char Char Char Char1 Char"/>
    <w:basedOn w:val="1"/>
    <w:qFormat/>
    <w:uiPriority w:val="0"/>
    <w:pPr>
      <w:widowControl/>
      <w:jc w:val="left"/>
    </w:pPr>
    <w:rPr>
      <w:rFonts w:ascii="仿宋_GB2312" w:hAnsi="Calibri" w:eastAsia="仿宋_GB2312"/>
      <w:b/>
      <w:sz w:val="32"/>
      <w:szCs w:val="32"/>
    </w:rPr>
  </w:style>
  <w:style w:type="paragraph" w:customStyle="1" w:styleId="195">
    <w:name w:val="纯文本 New New"/>
    <w:qFormat/>
    <w:uiPriority w:val="0"/>
    <w:pPr>
      <w:overflowPunct w:val="0"/>
      <w:autoSpaceDE w:val="0"/>
      <w:autoSpaceDN w:val="0"/>
      <w:adjustRightInd w:val="0"/>
      <w:textAlignment w:val="baseline"/>
    </w:pPr>
    <w:rPr>
      <w:rFonts w:ascii="宋体" w:hAnsi="Courier New" w:eastAsia="宋体" w:cs="Times New Roman"/>
      <w:kern w:val="2"/>
      <w:sz w:val="21"/>
      <w:szCs w:val="21"/>
      <w:lang w:val="en-US" w:eastAsia="zh-CN" w:bidi="ar-SA"/>
    </w:rPr>
  </w:style>
  <w:style w:type="paragraph" w:customStyle="1" w:styleId="196">
    <w:name w:val="正文 A"/>
    <w:qFormat/>
    <w:uiPriority w:val="0"/>
    <w:pPr>
      <w:framePr w:wrap="around" w:vAnchor="margin" w:hAnchor="text" w:y="1"/>
      <w:widowControl w:val="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97">
    <w:name w:val="Char Char Char Char Char Char Char1"/>
    <w:basedOn w:val="1"/>
    <w:qFormat/>
    <w:uiPriority w:val="0"/>
    <w:pPr>
      <w:spacing w:line="360" w:lineRule="auto"/>
      <w:ind w:firstLine="200" w:firstLineChars="200"/>
    </w:pPr>
    <w:rPr>
      <w:rFonts w:ascii="宋体" w:hAnsi="宋体" w:cs="宋体"/>
      <w:sz w:val="24"/>
    </w:rPr>
  </w:style>
  <w:style w:type="paragraph" w:customStyle="1" w:styleId="198">
    <w:name w:val="默认段落字体 Para Char Char Char Char"/>
    <w:basedOn w:val="1"/>
    <w:qFormat/>
    <w:uiPriority w:val="0"/>
    <w:rPr>
      <w:sz w:val="32"/>
      <w:szCs w:val="32"/>
    </w:rPr>
  </w:style>
  <w:style w:type="paragraph" w:customStyle="1" w:styleId="199">
    <w:name w:val="保留正文"/>
    <w:basedOn w:val="19"/>
    <w:qFormat/>
    <w:uiPriority w:val="0"/>
    <w:pPr>
      <w:keepNext/>
      <w:spacing w:after="160"/>
    </w:pPr>
    <w:rPr>
      <w:szCs w:val="20"/>
    </w:rPr>
  </w:style>
  <w:style w:type="character" w:customStyle="1" w:styleId="200">
    <w:name w:val="正文文本 字符"/>
    <w:qFormat/>
    <w:uiPriority w:val="99"/>
    <w:rPr>
      <w:rFonts w:ascii="Times New Roman" w:hAnsi="Times New Roman" w:eastAsia="宋体" w:cs="Times New Roman"/>
      <w:kern w:val="2"/>
      <w:sz w:val="21"/>
      <w:szCs w:val="24"/>
    </w:rPr>
  </w:style>
  <w:style w:type="character" w:customStyle="1" w:styleId="201">
    <w:name w:val="日期 字符"/>
    <w:qFormat/>
    <w:uiPriority w:val="0"/>
    <w:rPr>
      <w:rFonts w:ascii="Times New Roman" w:hAnsi="Times New Roman" w:eastAsia="宋体" w:cs="Times New Roman"/>
      <w:color w:val="000000"/>
      <w:kern w:val="1"/>
      <w:sz w:val="30"/>
    </w:rPr>
  </w:style>
  <w:style w:type="character" w:customStyle="1" w:styleId="202">
    <w:name w:val="批注文字 字符"/>
    <w:qFormat/>
    <w:uiPriority w:val="0"/>
    <w:rPr>
      <w:rFonts w:ascii="Times New Roman" w:hAnsi="Times New Roman" w:eastAsia="宋体" w:cs="Times New Roman"/>
      <w:kern w:val="2"/>
      <w:sz w:val="21"/>
      <w:szCs w:val="24"/>
    </w:rPr>
  </w:style>
  <w:style w:type="character" w:customStyle="1" w:styleId="203">
    <w:name w:val="NormalCharacter"/>
    <w:qFormat/>
    <w:uiPriority w:val="0"/>
    <w:rPr>
      <w:rFonts w:ascii="Times New Roman" w:hAnsi="Times New Roman" w:eastAsia="宋体" w:cs="Times New Roman"/>
    </w:rPr>
  </w:style>
  <w:style w:type="paragraph" w:customStyle="1" w:styleId="204">
    <w:name w:val="列出段落3"/>
    <w:basedOn w:val="1"/>
    <w:qFormat/>
    <w:uiPriority w:val="0"/>
    <w:pPr>
      <w:ind w:firstLine="420" w:firstLineChars="200"/>
    </w:pPr>
    <w:rPr>
      <w:rFonts w:ascii="Arial" w:hAnsi="Arial" w:cs="Arial"/>
      <w:kern w:val="2"/>
    </w:rPr>
  </w:style>
  <w:style w:type="paragraph" w:customStyle="1" w:styleId="205">
    <w:name w:val="目录 71"/>
    <w:next w:val="1"/>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206">
    <w:name w:val="修订1"/>
    <w:qFormat/>
    <w:uiPriority w:val="0"/>
    <w:rPr>
      <w:rFonts w:ascii="Times New Roman" w:hAnsi="Times New Roman" w:eastAsia="宋体" w:cs="Times New Roman"/>
      <w:sz w:val="21"/>
      <w:szCs w:val="24"/>
      <w:lang w:val="en-US" w:eastAsia="zh-CN" w:bidi="ar-SA"/>
    </w:rPr>
  </w:style>
  <w:style w:type="character" w:customStyle="1" w:styleId="207">
    <w:name w:val="标题 4 字符1"/>
    <w:qFormat/>
    <w:uiPriority w:val="0"/>
    <w:rPr>
      <w:rFonts w:ascii="Calibri" w:hAnsi="Calibri" w:eastAsia="Tahoma"/>
      <w:b/>
      <w:sz w:val="24"/>
      <w:lang w:val="zh-CN"/>
    </w:rPr>
  </w:style>
  <w:style w:type="paragraph" w:styleId="208">
    <w:name w:val="List Paragraph"/>
    <w:basedOn w:val="1"/>
    <w:qFormat/>
    <w:uiPriority w:val="0"/>
    <w:pPr>
      <w:ind w:firstLine="420" w:firstLineChars="200"/>
    </w:pPr>
  </w:style>
  <w:style w:type="paragraph" w:customStyle="1" w:styleId="209">
    <w:name w:val="修订2"/>
    <w:hidden/>
    <w:semiHidden/>
    <w:qFormat/>
    <w:uiPriority w:val="99"/>
    <w:rPr>
      <w:rFonts w:ascii="Times New Roman" w:hAnsi="Times New Roman" w:eastAsia="宋体" w:cs="Times New Roman"/>
      <w:sz w:val="21"/>
      <w:szCs w:val="24"/>
      <w:lang w:val="en-US" w:eastAsia="zh-CN" w:bidi="ar-SA"/>
    </w:rPr>
  </w:style>
  <w:style w:type="paragraph" w:customStyle="1" w:styleId="210">
    <w:name w:val="修订3"/>
    <w:hidden/>
    <w:semiHidden/>
    <w:qFormat/>
    <w:uiPriority w:val="99"/>
    <w:rPr>
      <w:rFonts w:ascii="Times New Roman" w:hAnsi="Times New Roman" w:eastAsia="宋体" w:cs="Times New Roman"/>
      <w:sz w:val="21"/>
      <w:szCs w:val="24"/>
      <w:lang w:val="en-US" w:eastAsia="zh-CN" w:bidi="ar-SA"/>
    </w:rPr>
  </w:style>
  <w:style w:type="character" w:customStyle="1" w:styleId="211">
    <w:name w:val="未处理的提及2"/>
    <w:basedOn w:val="39"/>
    <w:semiHidden/>
    <w:unhideWhenUsed/>
    <w:qFormat/>
    <w:uiPriority w:val="99"/>
    <w:rPr>
      <w:color w:val="605E5C"/>
      <w:shd w:val="clear" w:color="auto" w:fill="E1DFDD"/>
    </w:rPr>
  </w:style>
  <w:style w:type="character" w:customStyle="1" w:styleId="212">
    <w:name w:val="font71"/>
    <w:basedOn w:val="39"/>
    <w:qFormat/>
    <w:uiPriority w:val="0"/>
    <w:rPr>
      <w:rFonts w:hint="default" w:ascii="华文仿宋" w:hAnsi="华文仿宋" w:eastAsia="华文仿宋" w:cs="华文仿宋"/>
      <w:b/>
      <w:bCs/>
      <w:color w:val="000000"/>
      <w:sz w:val="24"/>
      <w:szCs w:val="24"/>
      <w:u w:val="none"/>
    </w:rPr>
  </w:style>
  <w:style w:type="paragraph" w:customStyle="1" w:styleId="213">
    <w:name w:val="Table Paragraph"/>
    <w:basedOn w:val="1"/>
    <w:qFormat/>
    <w:uiPriority w:val="1"/>
    <w:pPr>
      <w:autoSpaceDE w:val="0"/>
      <w:autoSpaceDN w:val="0"/>
      <w:jc w:val="left"/>
    </w:pPr>
    <w:rPr>
      <w:rFonts w:ascii="宋体" w:hAnsi="宋体" w:cs="宋体"/>
      <w:sz w:val="22"/>
    </w:rPr>
  </w:style>
  <w:style w:type="character" w:customStyle="1" w:styleId="214">
    <w:name w:val="content-right_8zs401"/>
    <w:basedOn w:val="39"/>
    <w:qFormat/>
    <w:uiPriority w:val="0"/>
  </w:style>
  <w:style w:type="paragraph" w:customStyle="1" w:styleId="215">
    <w:name w:val="zsy正文"/>
    <w:basedOn w:val="1"/>
    <w:qFormat/>
    <w:uiPriority w:val="0"/>
    <w:pPr>
      <w:ind w:firstLine="480"/>
    </w:pPr>
  </w:style>
  <w:style w:type="paragraph" w:customStyle="1" w:styleId="216">
    <w:name w:val="z正文"/>
    <w:qFormat/>
    <w:uiPriority w:val="0"/>
    <w:pPr>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217">
    <w:name w:val="Fließtext"/>
    <w:basedOn w:val="1"/>
    <w:qFormat/>
    <w:uiPriority w:val="0"/>
    <w:pPr>
      <w:overflowPunct w:val="0"/>
      <w:autoSpaceDE w:val="0"/>
      <w:autoSpaceDN w:val="0"/>
      <w:adjustRightInd w:val="0"/>
      <w:textAlignment w:val="baseline"/>
    </w:pPr>
    <w:rPr>
      <w:kern w:val="28"/>
      <w:szCs w:val="20"/>
    </w:rPr>
  </w:style>
  <w:style w:type="paragraph" w:customStyle="1" w:styleId="218">
    <w:name w:val="_Style 3"/>
    <w:basedOn w:val="4"/>
    <w:next w:val="1"/>
    <w:qFormat/>
    <w:uiPriority w:val="39"/>
    <w:pPr>
      <w:keepNext w:val="0"/>
      <w:keepLines w:val="0"/>
      <w:pageBreakBefore/>
      <w:widowControl/>
      <w:tabs>
        <w:tab w:val="clear" w:pos="840"/>
      </w:tabs>
      <w:adjustRightInd/>
      <w:snapToGrid/>
      <w:spacing w:before="240" w:after="240" w:line="259" w:lineRule="auto"/>
      <w:jc w:val="left"/>
      <w:outlineLvl w:val="9"/>
    </w:pPr>
    <w:rPr>
      <w:rFonts w:ascii="Calibri Light" w:hAnsi="Calibri Light"/>
      <w:b w:val="0"/>
      <w:bCs/>
      <w:color w:val="2E74B5"/>
      <w:kern w:val="0"/>
      <w:sz w:val="36"/>
      <w:szCs w:val="32"/>
    </w:rPr>
  </w:style>
  <w:style w:type="paragraph" w:customStyle="1" w:styleId="219">
    <w:name w:val="Revision"/>
    <w:hidden/>
    <w:unhideWhenUsed/>
    <w:qFormat/>
    <w:uiPriority w:val="99"/>
    <w:rPr>
      <w:rFonts w:ascii="Times New Roman" w:hAnsi="Times New Roman" w:eastAsia="宋体" w:cs="Times New Roman"/>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image" Target="media/image22.png"/><Relationship Id="rId35" Type="http://schemas.openxmlformats.org/officeDocument/2006/relationships/image" Target="media/image21.jpe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Sky123.Org</Company>
  <Pages>71</Pages>
  <Words>38408</Words>
  <Characters>43578</Characters>
  <Lines>336</Lines>
  <Paragraphs>94</Paragraphs>
  <TotalTime>11</TotalTime>
  <ScaleCrop>false</ScaleCrop>
  <LinksUpToDate>false</LinksUpToDate>
  <CharactersWithSpaces>46889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2024-09-22T01:15:00Z</dcterms:created>
  <dc:creator>hp</dc:creator>
  <cp:lastModifiedBy>liuhuicong</cp:lastModifiedBy>
  <cp:lastPrinted>2024-11-21T23:58:00Z</cp:lastPrinted>
  <dcterms:modified xsi:type="dcterms:W3CDTF">2024-11-27T07:03:40Z</dcterms:modified>
  <dc:title>温州市政府（分散）采购</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7D1F406B4967480CAE2F946CDA354198_13</vt:lpwstr>
  </property>
  <property fmtid="{D5CDD505-2E9C-101B-9397-08002B2CF9AE}" pid="4" name="commondata">
    <vt:lpwstr>eyJoZGlkIjoiOWM2Y2JhMGEwNDg2YWY5ZDY5NjJlZDgyM2VkMjhhNTMifQ==</vt:lpwstr>
  </property>
</Properties>
</file>