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E0D5C5">
      <w:pPr>
        <w:tabs>
          <w:tab w:val="left" w:pos="8400"/>
        </w:tabs>
        <w:spacing w:line="360" w:lineRule="auto"/>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 xml:space="preserve"> </w:t>
      </w:r>
    </w:p>
    <w:p w14:paraId="03D84D71">
      <w:pPr>
        <w:autoSpaceDE w:val="0"/>
        <w:autoSpaceDN w:val="0"/>
        <w:spacing w:line="500" w:lineRule="atLeast"/>
        <w:jc w:val="distribute"/>
        <w:textAlignment w:val="bottom"/>
        <w:rPr>
          <w:rFonts w:hint="eastAsia" w:ascii="宋体" w:hAnsi="宋体" w:eastAsia="宋体" w:cs="宋体"/>
          <w:b/>
          <w:bCs/>
          <w:color w:val="auto"/>
          <w:sz w:val="72"/>
          <w:szCs w:val="72"/>
          <w:highlight w:val="none"/>
        </w:rPr>
      </w:pPr>
      <w:r>
        <w:rPr>
          <w:rFonts w:hint="eastAsia" w:ascii="宋体" w:hAnsi="宋体" w:eastAsia="宋体" w:cs="宋体"/>
          <w:b/>
          <w:bCs/>
          <w:color w:val="auto"/>
          <w:sz w:val="72"/>
          <w:szCs w:val="72"/>
          <w:highlight w:val="none"/>
        </w:rPr>
        <w:t>温州市龙湾区政府分散采购</w:t>
      </w:r>
    </w:p>
    <w:p w14:paraId="6C067DC1">
      <w:pPr>
        <w:spacing w:line="400" w:lineRule="atLeast"/>
        <w:rPr>
          <w:rFonts w:hint="eastAsia" w:ascii="宋体" w:hAnsi="宋体" w:eastAsia="宋体" w:cs="宋体"/>
          <w:b/>
          <w:color w:val="auto"/>
          <w:sz w:val="52"/>
          <w:highlight w:val="none"/>
        </w:rPr>
      </w:pPr>
    </w:p>
    <w:p w14:paraId="0745A265">
      <w:pPr>
        <w:spacing w:line="400" w:lineRule="atLeast"/>
        <w:jc w:val="center"/>
        <w:rPr>
          <w:rFonts w:hint="eastAsia" w:ascii="宋体" w:hAnsi="宋体" w:eastAsia="宋体" w:cs="宋体"/>
          <w:b/>
          <w:color w:val="auto"/>
          <w:sz w:val="52"/>
          <w:highlight w:val="none"/>
        </w:rPr>
      </w:pPr>
    </w:p>
    <w:p w14:paraId="3C2BBBFD">
      <w:pPr>
        <w:spacing w:line="400" w:lineRule="atLeast"/>
        <w:jc w:val="center"/>
        <w:rPr>
          <w:rFonts w:hint="eastAsia" w:ascii="宋体" w:hAnsi="宋体" w:eastAsia="宋体" w:cs="宋体"/>
          <w:b/>
          <w:color w:val="auto"/>
          <w:sz w:val="52"/>
          <w:highlight w:val="none"/>
        </w:rPr>
      </w:pPr>
    </w:p>
    <w:p w14:paraId="01AADA0E">
      <w:pPr>
        <w:adjustRightInd/>
        <w:spacing w:line="360" w:lineRule="auto"/>
        <w:jc w:val="center"/>
        <w:rPr>
          <w:rFonts w:hint="eastAsia" w:ascii="宋体" w:hAnsi="宋体" w:eastAsia="宋体" w:cs="宋体"/>
          <w:b/>
          <w:bCs/>
          <w:color w:val="auto"/>
          <w:sz w:val="72"/>
          <w:szCs w:val="72"/>
          <w:highlight w:val="none"/>
        </w:rPr>
      </w:pPr>
      <w:r>
        <w:rPr>
          <w:rFonts w:hint="eastAsia" w:ascii="宋体" w:hAnsi="宋体" w:eastAsia="宋体" w:cs="宋体"/>
          <w:b/>
          <w:bCs/>
          <w:color w:val="auto"/>
          <w:sz w:val="72"/>
          <w:szCs w:val="72"/>
          <w:highlight w:val="none"/>
        </w:rPr>
        <w:t>竞争性磋商文件</w:t>
      </w:r>
    </w:p>
    <w:p w14:paraId="51B8E282">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（电子交易）</w:t>
      </w:r>
    </w:p>
    <w:p w14:paraId="460681F2">
      <w:pPr>
        <w:spacing w:line="400" w:lineRule="atLeast"/>
        <w:jc w:val="center"/>
        <w:rPr>
          <w:rFonts w:hint="eastAsia" w:ascii="宋体" w:hAnsi="宋体" w:eastAsia="宋体" w:cs="宋体"/>
          <w:b/>
          <w:bCs/>
          <w:color w:val="auto"/>
          <w:sz w:val="72"/>
          <w:szCs w:val="72"/>
          <w:highlight w:val="none"/>
          <w:lang w:val="en-US" w:eastAsia="zh-CN"/>
        </w:rPr>
      </w:pPr>
      <w:r>
        <w:rPr>
          <w:rFonts w:hint="eastAsia" w:ascii="宋体" w:hAnsi="宋体" w:eastAsia="宋体" w:cs="宋体"/>
          <w:b/>
          <w:bCs/>
          <w:color w:val="auto"/>
          <w:sz w:val="72"/>
          <w:szCs w:val="72"/>
          <w:highlight w:val="none"/>
          <w:lang w:val="en-US" w:eastAsia="zh-CN"/>
        </w:rPr>
        <w:t xml:space="preserve">   </w:t>
      </w:r>
    </w:p>
    <w:p w14:paraId="07EA565C">
      <w:pPr>
        <w:jc w:val="center"/>
        <w:rPr>
          <w:rFonts w:hint="eastAsia" w:ascii="宋体" w:hAnsi="宋体" w:eastAsia="宋体" w:cs="宋体"/>
          <w:b/>
          <w:bCs/>
          <w:color w:val="auto"/>
          <w:sz w:val="24"/>
          <w:highlight w:val="none"/>
        </w:rPr>
      </w:pPr>
    </w:p>
    <w:p w14:paraId="20598B0C">
      <w:pPr>
        <w:jc w:val="center"/>
        <w:rPr>
          <w:rFonts w:hint="eastAsia" w:ascii="宋体" w:hAnsi="宋体" w:eastAsia="宋体" w:cs="宋体"/>
          <w:b/>
          <w:bCs/>
          <w:color w:val="auto"/>
          <w:sz w:val="24"/>
          <w:highlight w:val="none"/>
        </w:rPr>
      </w:pPr>
    </w:p>
    <w:p w14:paraId="7F11C7DF">
      <w:pPr>
        <w:tabs>
          <w:tab w:val="left" w:pos="4860"/>
        </w:tabs>
        <w:spacing w:line="600" w:lineRule="exact"/>
        <w:ind w:right="1143" w:firstLine="2259" w:firstLineChars="750"/>
        <w:rPr>
          <w:rFonts w:hint="eastAsia" w:ascii="宋体" w:hAnsi="宋体" w:eastAsia="宋体" w:cs="宋体"/>
          <w:b/>
          <w:color w:val="auto"/>
          <w:sz w:val="30"/>
          <w:szCs w:val="30"/>
          <w:highlight w:val="none"/>
        </w:rPr>
      </w:pPr>
    </w:p>
    <w:p w14:paraId="33FC3811">
      <w:pPr>
        <w:tabs>
          <w:tab w:val="left" w:pos="4860"/>
        </w:tabs>
        <w:spacing w:line="600" w:lineRule="exact"/>
        <w:ind w:right="1143" w:firstLine="2259" w:firstLineChars="750"/>
        <w:rPr>
          <w:rFonts w:hint="eastAsia" w:ascii="宋体" w:hAnsi="宋体" w:eastAsia="宋体" w:cs="宋体"/>
          <w:b/>
          <w:color w:val="auto"/>
          <w:sz w:val="30"/>
          <w:szCs w:val="30"/>
          <w:highlight w:val="none"/>
          <w:lang w:eastAsia="zh-CN"/>
        </w:rPr>
      </w:pPr>
      <w:r>
        <w:rPr>
          <w:rFonts w:hint="eastAsia" w:ascii="宋体" w:hAnsi="宋体" w:eastAsia="宋体" w:cs="宋体"/>
          <w:b/>
          <w:color w:val="auto"/>
          <w:sz w:val="30"/>
          <w:szCs w:val="30"/>
          <w:highlight w:val="none"/>
        </w:rPr>
        <w:t>项目编号：</w:t>
      </w:r>
      <w:r>
        <w:rPr>
          <w:rFonts w:hint="eastAsia" w:ascii="宋体" w:hAnsi="宋体" w:cs="宋体"/>
          <w:b/>
          <w:color w:val="auto"/>
          <w:sz w:val="30"/>
          <w:szCs w:val="30"/>
          <w:highlight w:val="none"/>
          <w:lang w:eastAsia="zh-CN"/>
        </w:rPr>
        <w:t>WZDHZB-2025010102</w:t>
      </w:r>
    </w:p>
    <w:p w14:paraId="1CEEC64A">
      <w:pPr>
        <w:tabs>
          <w:tab w:val="left" w:pos="4253"/>
        </w:tabs>
        <w:spacing w:line="600" w:lineRule="exact"/>
        <w:ind w:left="2260" w:leftChars="1076" w:right="-1"/>
        <w:rPr>
          <w:rFonts w:hint="eastAsia" w:ascii="宋体" w:hAnsi="宋体" w:eastAsia="宋体" w:cs="宋体"/>
          <w:b/>
          <w:color w:val="auto"/>
          <w:sz w:val="30"/>
          <w:szCs w:val="30"/>
          <w:highlight w:val="none"/>
          <w:lang w:eastAsia="zh-CN"/>
        </w:rPr>
      </w:pPr>
      <w:r>
        <w:rPr>
          <w:rFonts w:hint="eastAsia" w:ascii="宋体" w:hAnsi="宋体" w:eastAsia="宋体" w:cs="宋体"/>
          <w:b/>
          <w:color w:val="auto"/>
          <w:sz w:val="30"/>
          <w:szCs w:val="30"/>
          <w:highlight w:val="none"/>
        </w:rPr>
        <w:t>项目名称：</w:t>
      </w:r>
      <w:r>
        <w:rPr>
          <w:rFonts w:hint="eastAsia" w:ascii="宋体" w:hAnsi="宋体" w:cs="宋体"/>
          <w:b/>
          <w:color w:val="auto"/>
          <w:sz w:val="30"/>
          <w:szCs w:val="30"/>
          <w:highlight w:val="none"/>
          <w:lang w:eastAsia="zh-CN"/>
        </w:rPr>
        <w:t>龙湾分局“龙脉”溯源工作平台</w:t>
      </w:r>
    </w:p>
    <w:p w14:paraId="046032DA">
      <w:pPr>
        <w:jc w:val="center"/>
        <w:rPr>
          <w:rFonts w:hint="eastAsia" w:ascii="宋体" w:hAnsi="宋体" w:eastAsia="宋体" w:cs="宋体"/>
          <w:b/>
          <w:bCs/>
          <w:color w:val="auto"/>
          <w:sz w:val="24"/>
          <w:highlight w:val="none"/>
        </w:rPr>
      </w:pPr>
    </w:p>
    <w:p w14:paraId="532B63C4">
      <w:pPr>
        <w:jc w:val="center"/>
        <w:rPr>
          <w:rFonts w:hint="eastAsia" w:ascii="宋体" w:hAnsi="宋体" w:eastAsia="宋体" w:cs="宋体"/>
          <w:b/>
          <w:bCs/>
          <w:color w:val="auto"/>
          <w:sz w:val="24"/>
          <w:highlight w:val="none"/>
        </w:rPr>
      </w:pPr>
    </w:p>
    <w:p w14:paraId="4A89BCC9">
      <w:pPr>
        <w:jc w:val="center"/>
        <w:rPr>
          <w:rFonts w:hint="eastAsia" w:ascii="宋体" w:hAnsi="宋体" w:eastAsia="宋体" w:cs="宋体"/>
          <w:b/>
          <w:bCs/>
          <w:color w:val="auto"/>
          <w:sz w:val="24"/>
          <w:highlight w:val="none"/>
        </w:rPr>
      </w:pPr>
    </w:p>
    <w:p w14:paraId="301C3592">
      <w:pPr>
        <w:jc w:val="center"/>
        <w:rPr>
          <w:rFonts w:hint="eastAsia" w:ascii="宋体" w:hAnsi="宋体" w:eastAsia="宋体" w:cs="宋体"/>
          <w:b/>
          <w:bCs/>
          <w:color w:val="auto"/>
          <w:sz w:val="24"/>
          <w:highlight w:val="none"/>
        </w:rPr>
      </w:pPr>
    </w:p>
    <w:p w14:paraId="6FB43754">
      <w:pPr>
        <w:tabs>
          <w:tab w:val="left" w:pos="5640"/>
        </w:tabs>
        <w:jc w:val="center"/>
        <w:rPr>
          <w:rFonts w:hint="eastAsia" w:ascii="宋体" w:hAnsi="宋体" w:eastAsia="宋体" w:cs="宋体"/>
          <w:b/>
          <w:bCs/>
          <w:color w:val="auto"/>
          <w:sz w:val="24"/>
          <w:highlight w:val="none"/>
        </w:rPr>
      </w:pPr>
    </w:p>
    <w:p w14:paraId="24B26CCD">
      <w:pPr>
        <w:tabs>
          <w:tab w:val="left" w:pos="5640"/>
        </w:tabs>
        <w:jc w:val="center"/>
        <w:rPr>
          <w:rFonts w:hint="eastAsia" w:ascii="宋体" w:hAnsi="宋体" w:eastAsia="宋体" w:cs="宋体"/>
          <w:b/>
          <w:bCs/>
          <w:color w:val="auto"/>
          <w:sz w:val="24"/>
          <w:highlight w:val="none"/>
        </w:rPr>
      </w:pPr>
    </w:p>
    <w:p w14:paraId="6A168254">
      <w:pPr>
        <w:spacing w:line="600" w:lineRule="exact"/>
        <w:ind w:firstLine="1506" w:firstLineChars="500"/>
        <w:rPr>
          <w:rFonts w:hint="eastAsia" w:ascii="宋体" w:hAnsi="宋体" w:eastAsia="宋体" w:cs="宋体"/>
          <w:b/>
          <w:color w:val="auto"/>
          <w:sz w:val="30"/>
          <w:szCs w:val="30"/>
          <w:highlight w:val="none"/>
          <w:lang w:eastAsia="zh-CN"/>
        </w:rPr>
      </w:pPr>
      <w:r>
        <w:rPr>
          <w:rFonts w:hint="eastAsia" w:ascii="宋体" w:hAnsi="宋体" w:eastAsia="宋体" w:cs="宋体"/>
          <w:b/>
          <w:color w:val="auto"/>
          <w:sz w:val="30"/>
          <w:szCs w:val="30"/>
          <w:highlight w:val="none"/>
        </w:rPr>
        <w:t>采购人：</w:t>
      </w:r>
      <w:r>
        <w:rPr>
          <w:rFonts w:hint="eastAsia" w:ascii="宋体" w:hAnsi="宋体" w:eastAsia="宋体" w:cs="宋体"/>
          <w:b/>
          <w:color w:val="auto"/>
          <w:sz w:val="30"/>
          <w:szCs w:val="30"/>
          <w:highlight w:val="none"/>
          <w:lang w:eastAsia="zh-CN"/>
        </w:rPr>
        <w:t>温州市公安局龙湾区分局</w:t>
      </w:r>
    </w:p>
    <w:p w14:paraId="4440E384">
      <w:pPr>
        <w:spacing w:line="600" w:lineRule="exact"/>
        <w:ind w:firstLine="1506" w:firstLineChars="500"/>
        <w:rPr>
          <w:rFonts w:hint="eastAsia" w:ascii="宋体" w:hAnsi="宋体" w:eastAsia="宋体" w:cs="宋体"/>
          <w:b/>
          <w:color w:val="auto"/>
          <w:sz w:val="30"/>
          <w:szCs w:val="30"/>
          <w:highlight w:val="none"/>
          <w:lang w:eastAsia="zh-CN"/>
        </w:rPr>
      </w:pPr>
      <w:r>
        <w:rPr>
          <w:rFonts w:hint="eastAsia" w:ascii="宋体" w:hAnsi="宋体" w:eastAsia="宋体" w:cs="宋体"/>
          <w:b/>
          <w:color w:val="auto"/>
          <w:sz w:val="30"/>
          <w:szCs w:val="30"/>
          <w:highlight w:val="none"/>
        </w:rPr>
        <w:t>采购代理：</w:t>
      </w:r>
      <w:r>
        <w:rPr>
          <w:rFonts w:hint="eastAsia" w:ascii="宋体" w:hAnsi="宋体" w:cs="宋体"/>
          <w:b/>
          <w:color w:val="auto"/>
          <w:sz w:val="30"/>
          <w:szCs w:val="30"/>
          <w:highlight w:val="none"/>
          <w:lang w:eastAsia="zh-CN"/>
        </w:rPr>
        <w:t>温州市德恒项目管理有限公司</w:t>
      </w:r>
    </w:p>
    <w:p w14:paraId="55DE4B94">
      <w:pPr>
        <w:spacing w:line="600" w:lineRule="exact"/>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二〇二</w:t>
      </w:r>
      <w:r>
        <w:rPr>
          <w:rFonts w:hint="eastAsia" w:ascii="宋体" w:hAnsi="宋体" w:cs="宋体"/>
          <w:b/>
          <w:color w:val="auto"/>
          <w:sz w:val="30"/>
          <w:szCs w:val="30"/>
          <w:highlight w:val="none"/>
          <w:lang w:val="en-US" w:eastAsia="zh-CN"/>
        </w:rPr>
        <w:t>五</w:t>
      </w:r>
      <w:r>
        <w:rPr>
          <w:rFonts w:hint="eastAsia" w:ascii="宋体" w:hAnsi="宋体" w:eastAsia="宋体" w:cs="宋体"/>
          <w:b/>
          <w:color w:val="auto"/>
          <w:sz w:val="30"/>
          <w:szCs w:val="30"/>
          <w:highlight w:val="none"/>
        </w:rPr>
        <w:t>年</w:t>
      </w:r>
      <w:r>
        <w:rPr>
          <w:rFonts w:hint="eastAsia" w:ascii="宋体" w:hAnsi="宋体" w:cs="宋体"/>
          <w:b/>
          <w:color w:val="auto"/>
          <w:sz w:val="30"/>
          <w:szCs w:val="30"/>
          <w:highlight w:val="none"/>
          <w:lang w:val="en-US" w:eastAsia="zh-CN"/>
        </w:rPr>
        <w:t>二</w:t>
      </w:r>
      <w:r>
        <w:rPr>
          <w:rFonts w:hint="eastAsia" w:ascii="宋体" w:hAnsi="宋体" w:eastAsia="宋体" w:cs="宋体"/>
          <w:b/>
          <w:color w:val="auto"/>
          <w:sz w:val="30"/>
          <w:szCs w:val="30"/>
          <w:highlight w:val="none"/>
        </w:rPr>
        <w:t>月</w:t>
      </w:r>
    </w:p>
    <w:p w14:paraId="02D6DCB4">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bookmarkStart w:id="0" w:name="_Hlt67893495"/>
      <w:bookmarkEnd w:id="0"/>
    </w:p>
    <w:p w14:paraId="273ED652">
      <w:pPr>
        <w:tabs>
          <w:tab w:val="left" w:pos="2268"/>
        </w:tabs>
        <w:spacing w:line="360" w:lineRule="auto"/>
        <w:jc w:val="center"/>
        <w:rPr>
          <w:rFonts w:hint="eastAsia" w:ascii="宋体" w:hAnsi="宋体" w:eastAsia="宋体" w:cs="宋体"/>
          <w:color w:val="auto"/>
          <w:sz w:val="24"/>
          <w:highlight w:val="none"/>
        </w:rPr>
      </w:pPr>
    </w:p>
    <w:p w14:paraId="5DD88A76">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sdt>
      <w:sdtPr>
        <w:rPr>
          <w:rFonts w:hint="eastAsia" w:ascii="宋体" w:hAnsi="宋体" w:eastAsia="宋体" w:cs="宋体"/>
          <w:color w:val="auto"/>
          <w:kern w:val="2"/>
          <w:sz w:val="21"/>
          <w:szCs w:val="24"/>
          <w:highlight w:val="none"/>
          <w:lang w:val="en-US" w:eastAsia="zh-CN" w:bidi="ar-SA"/>
        </w:rPr>
        <w:id w:val="147461106"/>
        <w15:color w:val="DBDBDB"/>
        <w:docPartObj>
          <w:docPartGallery w:val="Table of Contents"/>
          <w:docPartUnique/>
        </w:docPartObj>
      </w:sdtPr>
      <w:sdtEndPr>
        <w:rPr>
          <w:rFonts w:hint="eastAsia" w:ascii="宋体" w:hAnsi="宋体" w:eastAsia="宋体" w:cs="宋体"/>
          <w:color w:val="auto"/>
          <w:kern w:val="2"/>
          <w:sz w:val="21"/>
          <w:szCs w:val="24"/>
          <w:highlight w:val="none"/>
          <w:lang w:val="en-US" w:eastAsia="zh-CN" w:bidi="ar-SA"/>
        </w:rPr>
      </w:sdtEndPr>
      <w:sdtContent>
        <w:p w14:paraId="496E5D97">
          <w:pPr>
            <w:spacing w:before="0" w:beforeLines="0" w:after="0" w:afterLines="0" w:line="240" w:lineRule="auto"/>
            <w:ind w:left="0" w:leftChars="0" w:right="0" w:rightChars="0" w:firstLine="0" w:firstLineChars="0"/>
            <w:jc w:val="center"/>
            <w:rPr>
              <w:rFonts w:hint="eastAsia" w:ascii="宋体" w:hAnsi="宋体" w:eastAsia="宋体" w:cs="宋体"/>
              <w:color w:val="auto"/>
              <w:highlight w:val="none"/>
            </w:rPr>
          </w:pPr>
          <w:bookmarkStart w:id="1" w:name="_Hlt91233176"/>
          <w:bookmarkEnd w:id="1"/>
          <w:bookmarkStart w:id="2" w:name="_Toc91899869"/>
        </w:p>
        <w:p w14:paraId="28E1104C">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TOC \o "1-3" \h \u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_Toc4706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第一部分  邀请供应商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_Toc4706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68640AEC">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_Toc3254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第二部分 竞争性磋商流程</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_Toc3254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7</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48BF0F9D">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_Toc12970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第三部分  供应商须知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_Toc12970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7CCF129E">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_Toc7345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一、前附表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_Toc7345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652BD35D">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_Toc29928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二、总则</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_Toc29928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72C2FDAF">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_Toc28459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三、需要落实的政府采购政策</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_Toc28459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15</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3FBDD557">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_Toc2000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四、询问、质疑与投诉</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_Toc2000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17</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1BBB543D">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_Toc896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五、磋商文件构成、修改、解释</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_Toc896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47046BC0">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_Toc14917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六、响应文件的编制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_Toc14917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6FCCB4C3">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_Toc26733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七、响应文件的提交和备份</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_Toc26733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20</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70F67B4D">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_Toc14017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八、开启响应文件与信用信息查询</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_Toc14017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2C58616F">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_Toc4301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九、提交最后报价</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_Toc4301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05CEDB7E">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_Toc1345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十、评审</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_Toc1345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23</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422BF6A0">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_Toc27411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十一、成交</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_Toc27411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23</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0B50066C">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_Toc20290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十二、合同</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_Toc20290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23</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4987E233">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_Toc1074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十三、验收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_Toc1074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42001413">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_Toc6552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第四部分  采购需求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_Toc6552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26</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118E0043">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_Toc29368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第五部分  评审方法及评审标准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_Toc29368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54DC2585">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_Toc14737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第六部分  拟签订的合同文本</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_Toc14737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40</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0A1807CB">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_Toc18579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第七部分  应提交的有关格式范例</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_Toc18579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40</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51005A65">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_Toc12499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kern w:val="0"/>
              <w:sz w:val="24"/>
              <w:szCs w:val="24"/>
              <w:highlight w:val="none"/>
            </w:rPr>
            <w:t>资格文件部分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_Toc12499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17B76304">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_Toc12639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kern w:val="0"/>
              <w:sz w:val="24"/>
              <w:szCs w:val="24"/>
              <w:highlight w:val="none"/>
            </w:rPr>
            <w:t>商务技术文件部分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_Toc12639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031C8350">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_Toc18303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kern w:val="0"/>
              <w:sz w:val="24"/>
              <w:szCs w:val="24"/>
              <w:highlight w:val="none"/>
            </w:rPr>
            <w:t>报价文件部分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_Toc18303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63</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4F91ABA2">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_Toc30846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kern w:val="0"/>
              <w:sz w:val="24"/>
              <w:szCs w:val="24"/>
              <w:highlight w:val="none"/>
            </w:rPr>
            <w:t>一、初始报价一览表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_Toc30846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7840DFDF">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_Toc25755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kern w:val="0"/>
              <w:sz w:val="24"/>
              <w:szCs w:val="24"/>
              <w:highlight w:val="none"/>
            </w:rPr>
            <w:t>二、中小企业声明函（如果有）</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_Toc25755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66</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486A88D0">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_Toc30317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第八部分  最后报价格式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_Toc30317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79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3C761625">
          <w:pPr>
            <w:pStyle w:val="42"/>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_Toc10364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kern w:val="2"/>
              <w:sz w:val="24"/>
              <w:szCs w:val="24"/>
              <w:highlight w:val="none"/>
            </w:rPr>
            <w:t>（一）最后报价一览表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_Toc10364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79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2140C639">
          <w:pPr>
            <w:rPr>
              <w:rFonts w:hint="eastAsia" w:ascii="宋体" w:hAnsi="宋体" w:eastAsia="宋体" w:cs="宋体"/>
              <w:b/>
              <w:color w:val="auto"/>
              <w:sz w:val="36"/>
              <w:szCs w:val="20"/>
              <w:highlight w:val="none"/>
            </w:rPr>
          </w:pPr>
          <w:r>
            <w:rPr>
              <w:rFonts w:hint="eastAsia" w:ascii="宋体" w:hAnsi="宋体" w:eastAsia="宋体" w:cs="宋体"/>
              <w:color w:val="auto"/>
              <w:sz w:val="24"/>
              <w:szCs w:val="24"/>
              <w:highlight w:val="none"/>
            </w:rPr>
            <w:fldChar w:fldCharType="end"/>
          </w:r>
          <w:bookmarkEnd w:id="2"/>
          <w:bookmarkStart w:id="3" w:name="_Toc4706"/>
          <w:bookmarkStart w:id="4" w:name="第二部分"/>
          <w:bookmarkStart w:id="5" w:name="_Toc91899870"/>
          <w:bookmarkStart w:id="6" w:name="_Toc91899871"/>
        </w:p>
      </w:sdtContent>
    </w:sdt>
    <w:p w14:paraId="21221AEE">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第一部分  邀请供应商</w:t>
      </w:r>
      <w:bookmarkEnd w:id="3"/>
    </w:p>
    <w:p w14:paraId="30C549F4">
      <w:pPr>
        <w:spacing w:line="360" w:lineRule="auto"/>
        <w:jc w:val="center"/>
        <w:rPr>
          <w:rFonts w:hint="eastAsia" w:ascii="宋体" w:hAnsi="宋体" w:eastAsia="宋体" w:cs="宋体"/>
          <w:b/>
          <w:bCs/>
          <w:color w:val="auto"/>
          <w:sz w:val="28"/>
          <w:szCs w:val="28"/>
          <w:highlight w:val="none"/>
        </w:rPr>
      </w:pPr>
      <w:r>
        <w:rPr>
          <w:rFonts w:hint="eastAsia" w:ascii="宋体" w:hAnsi="宋体" w:cs="宋体"/>
          <w:b/>
          <w:bCs/>
          <w:color w:val="auto"/>
          <w:sz w:val="28"/>
          <w:szCs w:val="28"/>
          <w:highlight w:val="none"/>
          <w:lang w:eastAsia="zh-CN"/>
        </w:rPr>
        <w:t>温州市德恒项目管理有限公司</w:t>
      </w:r>
      <w:r>
        <w:rPr>
          <w:rFonts w:hint="eastAsia" w:ascii="宋体" w:hAnsi="宋体" w:eastAsia="宋体" w:cs="宋体"/>
          <w:b/>
          <w:bCs/>
          <w:color w:val="auto"/>
          <w:sz w:val="28"/>
          <w:szCs w:val="28"/>
          <w:highlight w:val="none"/>
        </w:rPr>
        <w:t>关于</w:t>
      </w:r>
      <w:r>
        <w:rPr>
          <w:rFonts w:hint="eastAsia" w:ascii="宋体" w:hAnsi="宋体" w:cs="宋体"/>
          <w:b/>
          <w:bCs/>
          <w:color w:val="auto"/>
          <w:sz w:val="28"/>
          <w:szCs w:val="28"/>
          <w:highlight w:val="none"/>
          <w:lang w:eastAsia="zh-CN"/>
        </w:rPr>
        <w:t>龙湾分局“龙脉”溯源工作平台</w:t>
      </w:r>
      <w:r>
        <w:rPr>
          <w:rFonts w:hint="eastAsia" w:ascii="宋体" w:hAnsi="宋体" w:eastAsia="宋体" w:cs="宋体"/>
          <w:b/>
          <w:bCs/>
          <w:color w:val="auto"/>
          <w:sz w:val="28"/>
          <w:szCs w:val="28"/>
          <w:highlight w:val="none"/>
        </w:rPr>
        <w:t>项目的竞争性磋商公告</w:t>
      </w:r>
    </w:p>
    <w:p w14:paraId="6A62931A">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14:paraId="66B092AE">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u w:val="single"/>
        </w:rPr>
      </w:pPr>
      <w:r>
        <w:rPr>
          <w:rFonts w:hint="eastAsia" w:ascii="宋体" w:hAnsi="宋体" w:cs="宋体"/>
          <w:color w:val="auto"/>
          <w:sz w:val="24"/>
          <w:highlight w:val="none"/>
          <w:u w:val="single"/>
          <w:lang w:eastAsia="zh-CN"/>
        </w:rPr>
        <w:t>龙湾分局“龙脉”溯源工作平台</w:t>
      </w:r>
      <w:r>
        <w:rPr>
          <w:rFonts w:hint="eastAsia" w:ascii="宋体" w:hAnsi="宋体" w:eastAsia="宋体" w:cs="宋体"/>
          <w:color w:val="auto"/>
          <w:sz w:val="24"/>
          <w:highlight w:val="none"/>
        </w:rPr>
        <w:t>采购项目的潜在供应商应在</w:t>
      </w:r>
      <w:r>
        <w:rPr>
          <w:rFonts w:hint="eastAsia" w:ascii="宋体" w:hAnsi="宋体" w:eastAsia="宋体" w:cs="宋体"/>
          <w:color w:val="auto"/>
          <w:sz w:val="24"/>
          <w:highlight w:val="none"/>
          <w:u w:val="single"/>
        </w:rPr>
        <w:t>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"https://www.zcygov.cn/）获取采购文件，并于2023年02月" </w:instrText>
      </w:r>
      <w:r>
        <w:rPr>
          <w:rFonts w:hint="eastAsia" w:ascii="宋体" w:hAnsi="宋体" w:eastAsia="宋体" w:cs="宋体"/>
          <w:color w:val="auto"/>
          <w:highlight w:val="none"/>
        </w:rPr>
        <w:fldChar w:fldCharType="separate"/>
      </w:r>
      <w:r>
        <w:rPr>
          <w:rStyle w:val="68"/>
          <w:rFonts w:hint="eastAsia" w:ascii="宋体" w:hAnsi="宋体" w:eastAsia="宋体" w:cs="宋体"/>
          <w:color w:val="auto"/>
          <w:sz w:val="24"/>
          <w:highlight w:val="none"/>
        </w:rPr>
        <w:t>https://www.zcygov.cn/</w:t>
      </w:r>
      <w:r>
        <w:rPr>
          <w:rStyle w:val="68"/>
          <w:rFonts w:hint="eastAsia" w:ascii="宋体" w:hAnsi="宋体" w:eastAsia="宋体" w:cs="宋体"/>
          <w:snapToGrid/>
          <w:color w:val="auto"/>
          <w:kern w:val="2"/>
          <w:sz w:val="24"/>
          <w:szCs w:val="24"/>
          <w:highlight w:val="none"/>
        </w:rPr>
        <w:t>）获取采购文件，并于</w:t>
      </w:r>
      <w:r>
        <w:rPr>
          <w:rStyle w:val="68"/>
          <w:rFonts w:hint="eastAsia" w:ascii="宋体" w:hAnsi="宋体" w:eastAsia="宋体" w:cs="宋体"/>
          <w:bCs/>
          <w:snapToGrid/>
          <w:color w:val="auto"/>
          <w:kern w:val="2"/>
          <w:sz w:val="24"/>
          <w:szCs w:val="24"/>
          <w:highlight w:val="none"/>
        </w:rPr>
        <w:fldChar w:fldCharType="end"/>
      </w:r>
      <w:r>
        <w:rPr>
          <w:rFonts w:hint="eastAsia" w:ascii="宋体" w:hAnsi="宋体" w:eastAsia="宋体" w:cs="宋体"/>
          <w:color w:val="auto"/>
          <w:sz w:val="24"/>
          <w:highlight w:val="none"/>
          <w:u w:val="single"/>
          <w:lang w:eastAsia="zh-CN"/>
        </w:rPr>
        <w:t>202</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lang w:eastAsia="zh-CN"/>
        </w:rPr>
        <w:t>年</w:t>
      </w:r>
      <w:r>
        <w:rPr>
          <w:rFonts w:hint="eastAsia" w:ascii="宋体" w:hAnsi="宋体" w:cs="宋体"/>
          <w:color w:val="auto"/>
          <w:sz w:val="24"/>
          <w:highlight w:val="none"/>
          <w:u w:val="single"/>
          <w:lang w:val="en-US" w:eastAsia="zh-CN"/>
        </w:rPr>
        <w:t>3</w:t>
      </w:r>
      <w:r>
        <w:rPr>
          <w:rFonts w:hint="eastAsia" w:ascii="宋体" w:hAnsi="宋体" w:eastAsia="宋体" w:cs="宋体"/>
          <w:color w:val="auto"/>
          <w:sz w:val="24"/>
          <w:highlight w:val="none"/>
          <w:u w:val="single"/>
          <w:lang w:eastAsia="zh-CN"/>
        </w:rPr>
        <w:t>月</w:t>
      </w:r>
      <w:r>
        <w:rPr>
          <w:rFonts w:hint="eastAsia" w:ascii="宋体" w:hAnsi="宋体" w:cs="宋体"/>
          <w:color w:val="auto"/>
          <w:sz w:val="24"/>
          <w:highlight w:val="none"/>
          <w:u w:val="single"/>
          <w:lang w:val="en-US" w:eastAsia="zh-CN"/>
        </w:rPr>
        <w:t>7</w:t>
      </w:r>
      <w:r>
        <w:rPr>
          <w:rFonts w:hint="eastAsia" w:ascii="宋体" w:hAnsi="宋体" w:eastAsia="宋体" w:cs="宋体"/>
          <w:color w:val="auto"/>
          <w:sz w:val="24"/>
          <w:highlight w:val="none"/>
          <w:u w:val="single"/>
          <w:lang w:eastAsia="zh-CN"/>
        </w:rPr>
        <w:t>日</w:t>
      </w:r>
      <w:r>
        <w:rPr>
          <w:rFonts w:hint="eastAsia" w:ascii="宋体" w:hAnsi="宋体" w:cs="宋体"/>
          <w:color w:val="auto"/>
          <w:sz w:val="24"/>
          <w:highlight w:val="none"/>
          <w:u w:val="single"/>
          <w:lang w:eastAsia="zh-CN"/>
        </w:rPr>
        <w:t>14点30分</w:t>
      </w:r>
      <w:r>
        <w:rPr>
          <w:rFonts w:hint="eastAsia" w:ascii="宋体" w:hAnsi="宋体" w:eastAsia="宋体" w:cs="宋体"/>
          <w:color w:val="auto"/>
          <w:sz w:val="24"/>
          <w:highlight w:val="none"/>
          <w:u w:val="single"/>
          <w:lang w:eastAsia="zh-CN"/>
        </w:rPr>
        <w:t>00秒</w:t>
      </w:r>
      <w:r>
        <w:rPr>
          <w:rFonts w:hint="eastAsia" w:ascii="宋体" w:hAnsi="宋体" w:eastAsia="宋体" w:cs="宋体"/>
          <w:bCs/>
          <w:color w:val="auto"/>
          <w:sz w:val="24"/>
          <w:highlight w:val="none"/>
        </w:rPr>
        <w:t>（北京时间）前提交响应文件</w:t>
      </w:r>
      <w:r>
        <w:rPr>
          <w:rFonts w:hint="eastAsia" w:ascii="宋体" w:hAnsi="宋体" w:eastAsia="宋体" w:cs="宋体"/>
          <w:color w:val="auto"/>
          <w:sz w:val="24"/>
          <w:highlight w:val="none"/>
        </w:rPr>
        <w:t>。</w:t>
      </w:r>
    </w:p>
    <w:p w14:paraId="27CB9480">
      <w:pPr>
        <w:spacing w:line="360" w:lineRule="auto"/>
        <w:rPr>
          <w:rFonts w:hint="eastAsia" w:ascii="宋体" w:hAnsi="宋体" w:eastAsia="宋体" w:cs="宋体"/>
          <w:color w:val="auto"/>
          <w:sz w:val="24"/>
          <w:highlight w:val="none"/>
        </w:rPr>
      </w:pPr>
    </w:p>
    <w:p w14:paraId="2B87ECD0">
      <w:pPr>
        <w:pStyle w:val="5"/>
        <w:numPr>
          <w:ilvl w:val="0"/>
          <w:numId w:val="0"/>
        </w:numPr>
        <w:ind w:left="432" w:hanging="432"/>
        <w:rPr>
          <w:rFonts w:hint="eastAsia" w:ascii="宋体" w:hAnsi="宋体" w:eastAsia="宋体" w:cs="宋体"/>
          <w:color w:val="auto"/>
          <w:sz w:val="24"/>
          <w:szCs w:val="24"/>
          <w:highlight w:val="none"/>
        </w:rPr>
      </w:pPr>
      <w:bookmarkStart w:id="7" w:name="_Toc3886"/>
      <w:bookmarkStart w:id="8" w:name="_Toc35393629"/>
      <w:bookmarkStart w:id="9" w:name="_Toc28359089"/>
      <w:bookmarkStart w:id="10" w:name="_Toc35393798"/>
      <w:bookmarkStart w:id="11" w:name="_Toc28359012"/>
      <w:r>
        <w:rPr>
          <w:rFonts w:hint="eastAsia" w:ascii="宋体" w:hAnsi="宋体" w:eastAsia="宋体" w:cs="宋体"/>
          <w:color w:val="auto"/>
          <w:sz w:val="24"/>
          <w:szCs w:val="24"/>
          <w:highlight w:val="none"/>
        </w:rPr>
        <w:t>一、项目基本情况</w:t>
      </w:r>
      <w:bookmarkEnd w:id="7"/>
      <w:bookmarkEnd w:id="8"/>
      <w:bookmarkEnd w:id="9"/>
      <w:bookmarkEnd w:id="10"/>
      <w:bookmarkEnd w:id="11"/>
    </w:p>
    <w:p w14:paraId="18924338">
      <w:pPr>
        <w:spacing w:line="360" w:lineRule="auto"/>
        <w:ind w:firstLine="482" w:firstLineChars="200"/>
        <w:rPr>
          <w:rFonts w:hint="eastAsia" w:ascii="宋体" w:hAnsi="宋体" w:eastAsia="宋体" w:cs="宋体"/>
          <w:color w:val="auto"/>
          <w:sz w:val="24"/>
          <w:highlight w:val="none"/>
          <w:lang w:eastAsia="zh-CN"/>
        </w:rPr>
      </w:pPr>
      <w:r>
        <w:rPr>
          <w:rFonts w:hint="eastAsia" w:ascii="宋体" w:hAnsi="宋体" w:eastAsia="宋体" w:cs="宋体"/>
          <w:b/>
          <w:color w:val="auto"/>
          <w:sz w:val="24"/>
          <w:highlight w:val="none"/>
        </w:rPr>
        <w:t>项目编号：</w:t>
      </w:r>
      <w:r>
        <w:rPr>
          <w:rFonts w:hint="eastAsia" w:ascii="宋体" w:hAnsi="宋体" w:cs="宋体"/>
          <w:color w:val="auto"/>
          <w:sz w:val="24"/>
          <w:highlight w:val="none"/>
          <w:lang w:eastAsia="zh-CN"/>
        </w:rPr>
        <w:t>WZDHZB-2025010102</w:t>
      </w:r>
    </w:p>
    <w:p w14:paraId="45E601C0">
      <w:pPr>
        <w:spacing w:line="360" w:lineRule="auto"/>
        <w:ind w:firstLine="482" w:firstLineChars="200"/>
        <w:rPr>
          <w:rFonts w:hint="eastAsia" w:ascii="宋体" w:hAnsi="宋体" w:eastAsia="宋体" w:cs="宋体"/>
          <w:color w:val="auto"/>
          <w:sz w:val="24"/>
          <w:highlight w:val="none"/>
          <w:u w:val="single"/>
          <w:lang w:eastAsia="zh-CN"/>
        </w:rPr>
      </w:pPr>
      <w:r>
        <w:rPr>
          <w:rFonts w:hint="eastAsia" w:ascii="宋体" w:hAnsi="宋体" w:eastAsia="宋体" w:cs="宋体"/>
          <w:b/>
          <w:color w:val="auto"/>
          <w:sz w:val="24"/>
          <w:highlight w:val="none"/>
        </w:rPr>
        <w:t>项目名称：</w:t>
      </w:r>
      <w:r>
        <w:rPr>
          <w:rFonts w:hint="eastAsia" w:ascii="宋体" w:hAnsi="宋体" w:cs="宋体"/>
          <w:color w:val="auto"/>
          <w:sz w:val="24"/>
          <w:highlight w:val="none"/>
          <w:lang w:eastAsia="zh-CN"/>
        </w:rPr>
        <w:t>龙湾分局“龙脉”溯源工作平台</w:t>
      </w:r>
    </w:p>
    <w:p w14:paraId="73226C0F">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采购方式：</w:t>
      </w:r>
      <w:r>
        <w:rPr>
          <w:rFonts w:hint="eastAsia" w:ascii="宋体" w:hAnsi="宋体" w:eastAsia="宋体" w:cs="宋体"/>
          <w:color w:val="auto"/>
          <w:sz w:val="24"/>
          <w:highlight w:val="none"/>
        </w:rPr>
        <w:t>竞争性磋商</w:t>
      </w:r>
    </w:p>
    <w:p w14:paraId="3BA1AF64">
      <w:pPr>
        <w:spacing w:line="360" w:lineRule="auto"/>
        <w:ind w:firstLine="482" w:firstLineChars="200"/>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rPr>
        <w:t>预算金额（元）：</w:t>
      </w:r>
      <w:r>
        <w:rPr>
          <w:rFonts w:hint="eastAsia" w:ascii="宋体" w:hAnsi="宋体" w:cs="宋体"/>
          <w:color w:val="auto"/>
          <w:sz w:val="24"/>
          <w:highlight w:val="none"/>
          <w:lang w:eastAsia="zh-CN"/>
        </w:rPr>
        <w:t>420000</w:t>
      </w:r>
    </w:p>
    <w:p w14:paraId="4C8398AC">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最高限价（元）：</w:t>
      </w:r>
      <w:r>
        <w:rPr>
          <w:rFonts w:hint="eastAsia" w:ascii="宋体" w:hAnsi="宋体" w:cs="宋体"/>
          <w:color w:val="auto"/>
          <w:sz w:val="24"/>
          <w:highlight w:val="none"/>
          <w:lang w:eastAsia="zh-CN"/>
        </w:rPr>
        <w:t>420000</w:t>
      </w:r>
      <w:r>
        <w:rPr>
          <w:rFonts w:hint="eastAsia" w:ascii="宋体" w:hAnsi="宋体" w:eastAsia="宋体" w:cs="宋体"/>
          <w:b/>
          <w:color w:val="auto"/>
          <w:sz w:val="24"/>
          <w:highlight w:val="none"/>
        </w:rPr>
        <w:t xml:space="preserve"> </w:t>
      </w:r>
    </w:p>
    <w:p w14:paraId="393F9300">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采购需求：</w:t>
      </w:r>
      <w:r>
        <w:rPr>
          <w:rFonts w:hint="eastAsia" w:ascii="宋体" w:hAnsi="宋体" w:cs="宋体"/>
          <w:b w:val="0"/>
          <w:bCs/>
          <w:color w:val="auto"/>
          <w:sz w:val="24"/>
          <w:highlight w:val="none"/>
          <w:lang w:eastAsia="zh-CN"/>
        </w:rPr>
        <w:t>龙湾分局“龙脉”溯源工作平台，</w:t>
      </w:r>
      <w:r>
        <w:rPr>
          <w:rFonts w:hint="eastAsia" w:ascii="宋体" w:hAnsi="宋体" w:cs="宋体"/>
          <w:b w:val="0"/>
          <w:bCs/>
          <w:color w:val="auto"/>
          <w:sz w:val="24"/>
          <w:highlight w:val="none"/>
          <w:lang w:val="en-US" w:eastAsia="zh-CN"/>
        </w:rPr>
        <w:t>具体服务内容</w:t>
      </w:r>
      <w:r>
        <w:rPr>
          <w:rFonts w:hint="eastAsia" w:ascii="宋体" w:hAnsi="宋体" w:eastAsia="宋体" w:cs="宋体"/>
          <w:b w:val="0"/>
          <w:bCs/>
          <w:color w:val="auto"/>
          <w:sz w:val="24"/>
          <w:highlight w:val="none"/>
        </w:rPr>
        <w:t>详见磋商文件第四部分。供应商可点击本公告下方“浏览采购文件”查看采购需求。</w:t>
      </w:r>
    </w:p>
    <w:p w14:paraId="51601C35">
      <w:pPr>
        <w:spacing w:line="360" w:lineRule="auto"/>
        <w:ind w:firstLine="482" w:firstLineChars="200"/>
        <w:rPr>
          <w:rFonts w:hint="eastAsia" w:ascii="宋体" w:hAnsi="宋体" w:eastAsia="宋体" w:cs="宋体"/>
          <w:color w:val="auto"/>
          <w:sz w:val="24"/>
          <w:highlight w:val="none"/>
          <w:u w:val="single"/>
        </w:rPr>
      </w:pPr>
      <w:r>
        <w:rPr>
          <w:rFonts w:hint="eastAsia" w:ascii="宋体" w:hAnsi="宋体" w:eastAsia="宋体" w:cs="宋体"/>
          <w:b/>
          <w:color w:val="auto"/>
          <w:sz w:val="24"/>
          <w:highlight w:val="none"/>
        </w:rPr>
        <w:t>合同履行期限</w:t>
      </w:r>
      <w:r>
        <w:rPr>
          <w:rFonts w:hint="eastAsia" w:ascii="宋体" w:hAnsi="宋体" w:eastAsia="宋体" w:cs="宋体"/>
          <w:color w:val="auto"/>
          <w:sz w:val="24"/>
          <w:highlight w:val="none"/>
        </w:rPr>
        <w:t>：</w:t>
      </w:r>
      <w:r>
        <w:rPr>
          <w:rFonts w:hint="eastAsia" w:ascii="宋体" w:hAnsi="宋体" w:eastAsia="宋体" w:cs="宋体"/>
          <w:b w:val="0"/>
          <w:bCs/>
          <w:color w:val="auto"/>
          <w:sz w:val="24"/>
          <w:highlight w:val="none"/>
        </w:rPr>
        <w:t>详见磋商文件第四部分</w:t>
      </w:r>
    </w:p>
    <w:p w14:paraId="23669310">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本项目接受联合体投标：</w:t>
      </w:r>
      <w:sdt>
        <w:sdtPr>
          <w:rPr>
            <w:rFonts w:hint="eastAsia" w:ascii="宋体" w:hAnsi="宋体" w:eastAsia="宋体" w:cs="宋体"/>
            <w:b/>
            <w:color w:val="auto"/>
            <w:sz w:val="24"/>
            <w:highlight w:val="none"/>
          </w:rPr>
          <w:id w:val="2035453831"/>
          <w14:checkbox>
            <w14:checked w14:val="0"/>
            <w14:checkedState w14:val="00FE" w14:font="Wingdings"/>
            <w14:uncheckedState w14:val="2610" w14:font="MS Gothic"/>
          </w14:checkbox>
        </w:sdtPr>
        <w:sdtEndPr>
          <w:rPr>
            <w:rFonts w:hint="eastAsia" w:ascii="宋体" w:hAnsi="宋体" w:eastAsia="宋体" w:cs="宋体"/>
            <w:b/>
            <w:color w:val="auto"/>
            <w:sz w:val="24"/>
            <w:highlight w:val="none"/>
          </w:rPr>
        </w:sdtEndPr>
        <w:sdtContent>
          <w:r>
            <w:rPr>
              <w:rFonts w:hint="eastAsia" w:ascii="MS Gothic" w:hAnsi="MS Gothic" w:eastAsia="宋体" w:cs="宋体"/>
              <w:b/>
              <w:color w:val="auto"/>
              <w:kern w:val="2"/>
              <w:sz w:val="24"/>
              <w:szCs w:val="24"/>
              <w:highlight w:val="none"/>
              <w:lang w:val="en-US" w:eastAsia="zh-CN" w:bidi="ar-SA"/>
            </w:rPr>
            <w:t>☐</w:t>
          </w:r>
        </w:sdtContent>
      </w:sdt>
      <w:r>
        <w:rPr>
          <w:rFonts w:hint="eastAsia" w:ascii="宋体" w:hAnsi="宋体" w:eastAsia="宋体" w:cs="宋体"/>
          <w:b/>
          <w:color w:val="auto"/>
          <w:sz w:val="24"/>
          <w:highlight w:val="none"/>
        </w:rPr>
        <w:t>是，</w:t>
      </w:r>
      <w:sdt>
        <w:sdtPr>
          <w:rPr>
            <w:rFonts w:hint="eastAsia" w:ascii="宋体" w:hAnsi="宋体" w:eastAsia="宋体" w:cs="宋体"/>
            <w:b/>
            <w:color w:val="auto"/>
            <w:sz w:val="24"/>
            <w:highlight w:val="none"/>
          </w:rPr>
          <w:id w:val="-1765526721"/>
          <w14:checkbox>
            <w14:checked w14:val="1"/>
            <w14:checkedState w14:val="00FE" w14:font="Wingdings"/>
            <w14:uncheckedState w14:val="2610" w14:font="MS Gothic"/>
          </w14:checkbox>
        </w:sdtPr>
        <w:sdtEndPr>
          <w:rPr>
            <w:rFonts w:hint="eastAsia" w:ascii="宋体" w:hAnsi="宋体" w:eastAsia="宋体" w:cs="宋体"/>
            <w:b/>
            <w:color w:val="auto"/>
            <w:sz w:val="24"/>
            <w:highlight w:val="none"/>
          </w:rPr>
        </w:sdtEndPr>
        <w:sdtContent>
          <w:r>
            <w:rPr>
              <w:rFonts w:hint="eastAsia" w:ascii="Wingdings" w:hAnsi="Wingdings" w:eastAsia="宋体" w:cs="宋体"/>
              <w:b/>
              <w:color w:val="auto"/>
              <w:kern w:val="2"/>
              <w:sz w:val="24"/>
              <w:szCs w:val="24"/>
              <w:highlight w:val="none"/>
              <w:lang w:val="en-US" w:eastAsia="zh-CN" w:bidi="ar-SA"/>
            </w:rPr>
            <w:t>þ</w:t>
          </w:r>
        </w:sdtContent>
      </w:sdt>
      <w:r>
        <w:rPr>
          <w:rFonts w:hint="eastAsia" w:ascii="宋体" w:hAnsi="宋体" w:eastAsia="宋体" w:cs="宋体"/>
          <w:b/>
          <w:color w:val="auto"/>
          <w:sz w:val="24"/>
          <w:highlight w:val="none"/>
        </w:rPr>
        <w:t>否。</w:t>
      </w:r>
    </w:p>
    <w:p w14:paraId="58AF1B9C">
      <w:pPr>
        <w:pStyle w:val="5"/>
        <w:numPr>
          <w:ilvl w:val="0"/>
          <w:numId w:val="0"/>
        </w:numPr>
        <w:ind w:left="432" w:hanging="432"/>
        <w:rPr>
          <w:rFonts w:hint="eastAsia" w:ascii="宋体" w:hAnsi="宋体" w:eastAsia="宋体" w:cs="宋体"/>
          <w:color w:val="auto"/>
          <w:sz w:val="24"/>
          <w:szCs w:val="24"/>
          <w:highlight w:val="none"/>
        </w:rPr>
      </w:pPr>
      <w:bookmarkStart w:id="12" w:name="_Toc28359090"/>
      <w:bookmarkStart w:id="13" w:name="_Toc28359013"/>
      <w:bookmarkStart w:id="14" w:name="_Toc35393799"/>
      <w:bookmarkStart w:id="15" w:name="_Toc35393630"/>
      <w:bookmarkStart w:id="16" w:name="_Toc25533"/>
      <w:r>
        <w:rPr>
          <w:rFonts w:hint="eastAsia" w:ascii="宋体" w:hAnsi="宋体" w:eastAsia="宋体" w:cs="宋体"/>
          <w:color w:val="auto"/>
          <w:sz w:val="24"/>
          <w:szCs w:val="24"/>
          <w:highlight w:val="none"/>
        </w:rPr>
        <w:t>二、申请人的资格要求：</w:t>
      </w:r>
      <w:bookmarkEnd w:id="12"/>
      <w:bookmarkEnd w:id="13"/>
      <w:bookmarkEnd w:id="14"/>
      <w:bookmarkEnd w:id="15"/>
      <w:bookmarkEnd w:id="16"/>
    </w:p>
    <w:p w14:paraId="3E71E810">
      <w:pPr>
        <w:spacing w:line="360" w:lineRule="auto"/>
        <w:ind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7DB67864">
      <w:pPr>
        <w:spacing w:line="360" w:lineRule="auto"/>
        <w:ind w:firstLine="480" w:firstLineChars="200"/>
        <w:rPr>
          <w:rFonts w:hint="eastAsia" w:ascii="宋体" w:hAnsi="宋体" w:eastAsia="宋体" w:cs="宋体"/>
          <w:snapToGrid w:val="0"/>
          <w:color w:val="auto"/>
          <w:kern w:val="28"/>
          <w:sz w:val="24"/>
          <w:szCs w:val="20"/>
          <w:highlight w:val="none"/>
          <w:u w:val="single"/>
        </w:rPr>
      </w:pPr>
      <w:r>
        <w:rPr>
          <w:rFonts w:hint="eastAsia" w:ascii="宋体" w:hAnsi="宋体" w:eastAsia="宋体" w:cs="宋体"/>
          <w:snapToGrid w:val="0"/>
          <w:color w:val="auto"/>
          <w:kern w:val="28"/>
          <w:sz w:val="24"/>
          <w:szCs w:val="20"/>
          <w:highlight w:val="none"/>
          <w:lang w:val="en-US" w:eastAsia="zh-CN"/>
        </w:rPr>
        <w:t>2</w:t>
      </w:r>
      <w:r>
        <w:rPr>
          <w:rFonts w:hint="eastAsia" w:ascii="宋体" w:hAnsi="宋体" w:eastAsia="宋体" w:cs="宋体"/>
          <w:snapToGrid w:val="0"/>
          <w:color w:val="auto"/>
          <w:kern w:val="28"/>
          <w:sz w:val="24"/>
          <w:szCs w:val="20"/>
          <w:highlight w:val="none"/>
        </w:rPr>
        <w:t>.落实政府采购政策需满足的资格要求：</w:t>
      </w:r>
      <w:r>
        <w:rPr>
          <w:rFonts w:hint="eastAsia" w:ascii="宋体" w:hAnsi="宋体" w:cs="宋体"/>
          <w:snapToGrid w:val="0"/>
          <w:color w:val="auto"/>
          <w:kern w:val="28"/>
          <w:sz w:val="24"/>
          <w:szCs w:val="20"/>
          <w:highlight w:val="none"/>
          <w:u w:val="single"/>
          <w:lang w:val="en-US" w:eastAsia="zh-CN"/>
        </w:rPr>
        <w:t>专门面向中小企业采购，</w:t>
      </w:r>
      <w:r>
        <w:rPr>
          <w:rFonts w:hint="eastAsia" w:ascii="宋体" w:hAnsi="宋体" w:eastAsia="宋体" w:cs="宋体"/>
          <w:color w:val="auto"/>
          <w:sz w:val="24"/>
          <w:highlight w:val="none"/>
          <w:u w:val="single"/>
          <w:lang w:val="en-US" w:eastAsia="zh-CN"/>
        </w:rPr>
        <w:t>供应商为中小企业/小微企业</w:t>
      </w:r>
      <w:r>
        <w:rPr>
          <w:rFonts w:hint="eastAsia" w:ascii="宋体" w:hAnsi="宋体" w:eastAsia="宋体" w:cs="宋体"/>
          <w:color w:val="auto"/>
          <w:sz w:val="24"/>
          <w:highlight w:val="none"/>
          <w:u w:val="single"/>
        </w:rPr>
        <w:t>；</w:t>
      </w:r>
    </w:p>
    <w:p w14:paraId="2E0D7D9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.本项目的特定资格要求：无；</w:t>
      </w:r>
    </w:p>
    <w:p w14:paraId="23C4043E">
      <w:pPr>
        <w:pStyle w:val="5"/>
        <w:numPr>
          <w:ilvl w:val="0"/>
          <w:numId w:val="0"/>
        </w:numPr>
        <w:ind w:left="432" w:hanging="432"/>
        <w:rPr>
          <w:rFonts w:hint="eastAsia" w:ascii="宋体" w:hAnsi="宋体" w:eastAsia="宋体" w:cs="宋体"/>
          <w:color w:val="auto"/>
          <w:sz w:val="24"/>
          <w:szCs w:val="24"/>
          <w:highlight w:val="none"/>
        </w:rPr>
      </w:pPr>
      <w:bookmarkStart w:id="17" w:name="_Toc35393631"/>
      <w:bookmarkStart w:id="18" w:name="_Toc23142"/>
      <w:bookmarkStart w:id="19" w:name="_Toc35393800"/>
      <w:bookmarkStart w:id="20" w:name="_Toc28359014"/>
      <w:bookmarkStart w:id="21" w:name="_Toc28359091"/>
      <w:r>
        <w:rPr>
          <w:rFonts w:hint="eastAsia" w:ascii="宋体" w:hAnsi="宋体" w:eastAsia="宋体" w:cs="宋体"/>
          <w:color w:val="auto"/>
          <w:sz w:val="24"/>
          <w:szCs w:val="24"/>
          <w:highlight w:val="none"/>
        </w:rPr>
        <w:t>三、获取（下载）采购文件</w:t>
      </w:r>
      <w:bookmarkEnd w:id="17"/>
      <w:bookmarkEnd w:id="18"/>
      <w:bookmarkEnd w:id="19"/>
      <w:bookmarkEnd w:id="20"/>
      <w:bookmarkEnd w:id="21"/>
    </w:p>
    <w:p w14:paraId="29C29792">
      <w:pPr>
        <w:spacing w:line="360" w:lineRule="auto"/>
        <w:ind w:firstLine="540"/>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宋体" w:hAnsi="宋体" w:eastAsia="宋体" w:cs="宋体"/>
          <w:color w:val="auto"/>
          <w:sz w:val="27"/>
          <w:szCs w:val="27"/>
          <w:highlight w:val="none"/>
        </w:rPr>
        <w:t>/</w:t>
      </w:r>
      <w:r>
        <w:rPr>
          <w:rFonts w:hint="eastAsia" w:ascii="宋体" w:hAnsi="宋体" w:eastAsia="宋体" w:cs="宋体"/>
          <w:color w:val="auto"/>
          <w:sz w:val="24"/>
          <w:highlight w:val="none"/>
        </w:rPr>
        <w:t>至202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年</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月</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日，每天上午00:00至12:00 ，下午12:00至23:59（北京时间，线上获取法定节假日均可，线下获取文件法定节假日除外）；</w:t>
      </w:r>
    </w:p>
    <w:p w14:paraId="7B262C81">
      <w:pPr>
        <w:spacing w:line="360" w:lineRule="auto"/>
        <w:ind w:firstLine="540"/>
        <w:rPr>
          <w:rFonts w:hint="eastAsia" w:ascii="宋体" w:hAnsi="宋体" w:eastAsia="宋体" w:cs="宋体"/>
          <w:color w:val="auto"/>
          <w:sz w:val="28"/>
          <w:szCs w:val="28"/>
          <w:highlight w:val="none"/>
          <w:u w:val="single"/>
        </w:rPr>
      </w:pPr>
      <w:r>
        <w:rPr>
          <w:rFonts w:hint="eastAsia" w:ascii="宋体" w:hAnsi="宋体" w:eastAsia="宋体" w:cs="宋体"/>
          <w:b/>
          <w:color w:val="auto"/>
          <w:sz w:val="24"/>
          <w:highlight w:val="none"/>
        </w:rPr>
        <w:t>地点（网址）：政采云平台（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 </w:instrText>
      </w:r>
      <w:r>
        <w:rPr>
          <w:rFonts w:hint="eastAsia" w:ascii="宋体" w:hAnsi="宋体" w:eastAsia="宋体" w:cs="宋体"/>
          <w:color w:val="auto"/>
          <w:highlight w:val="none"/>
        </w:rPr>
        <w:fldChar w:fldCharType="separate"/>
      </w:r>
      <w:r>
        <w:rPr>
          <w:rStyle w:val="68"/>
          <w:rFonts w:hint="eastAsia" w:ascii="宋体" w:hAnsi="宋体" w:eastAsia="宋体" w:cs="宋体"/>
          <w:b/>
          <w:color w:val="auto"/>
          <w:sz w:val="24"/>
          <w:highlight w:val="none"/>
        </w:rPr>
        <w:t>https://www.zcygov.cn/</w:t>
      </w:r>
      <w:r>
        <w:rPr>
          <w:rStyle w:val="68"/>
          <w:rFonts w:hint="eastAsia" w:ascii="宋体" w:hAnsi="宋体" w:eastAsia="宋体" w:cs="宋体"/>
          <w:b/>
          <w:color w:val="auto"/>
          <w:sz w:val="24"/>
          <w:highlight w:val="none"/>
        </w:rPr>
        <w:fldChar w:fldCharType="end"/>
      </w:r>
      <w:r>
        <w:rPr>
          <w:rFonts w:hint="eastAsia" w:ascii="宋体" w:hAnsi="宋体" w:eastAsia="宋体" w:cs="宋体"/>
          <w:b/>
          <w:color w:val="auto"/>
          <w:sz w:val="24"/>
          <w:highlight w:val="none"/>
        </w:rPr>
        <w:t>）</w:t>
      </w:r>
    </w:p>
    <w:p w14:paraId="2C957AD3">
      <w:pPr>
        <w:spacing w:line="360" w:lineRule="auto"/>
        <w:ind w:firstLine="540"/>
        <w:rPr>
          <w:rFonts w:hint="eastAsia" w:ascii="宋体" w:hAnsi="宋体" w:eastAsia="宋体" w:cs="宋体"/>
          <w:color w:val="auto"/>
          <w:sz w:val="24"/>
          <w:highlight w:val="none"/>
          <w:u w:val="singl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供应商登录政采云平台https://www.zcygov.cn/在线申请获取采购文件（进入“项目采购”应用，在获取采购文件菜单中选择项目，申请获取采购文件）。</w:t>
      </w:r>
    </w:p>
    <w:p w14:paraId="729BC6CE">
      <w:pPr>
        <w:spacing w:line="360" w:lineRule="auto"/>
        <w:ind w:firstLine="540"/>
        <w:rPr>
          <w:rFonts w:hint="eastAsia" w:ascii="宋体" w:hAnsi="宋体" w:eastAsia="宋体" w:cs="宋体"/>
          <w:color w:val="auto"/>
          <w:sz w:val="28"/>
          <w:szCs w:val="28"/>
          <w:highlight w:val="none"/>
        </w:rPr>
      </w:pPr>
      <w:r>
        <w:rPr>
          <w:rFonts w:hint="eastAsia" w:ascii="宋体" w:hAnsi="宋体" w:eastAsia="宋体" w:cs="宋体"/>
          <w:b/>
          <w:color w:val="auto"/>
          <w:sz w:val="24"/>
          <w:highlight w:val="none"/>
        </w:rPr>
        <w:t>售价：</w:t>
      </w:r>
      <w:r>
        <w:rPr>
          <w:rFonts w:hint="eastAsia" w:ascii="宋体" w:hAnsi="宋体" w:eastAsia="宋体" w:cs="宋体"/>
          <w:color w:val="auto"/>
          <w:sz w:val="24"/>
          <w:highlight w:val="none"/>
        </w:rPr>
        <w:t>免费。</w:t>
      </w:r>
    </w:p>
    <w:p w14:paraId="529A5D25">
      <w:pPr>
        <w:pStyle w:val="5"/>
        <w:numPr>
          <w:ilvl w:val="0"/>
          <w:numId w:val="0"/>
        </w:numPr>
        <w:ind w:left="432" w:hanging="432"/>
        <w:rPr>
          <w:rFonts w:hint="eastAsia" w:ascii="宋体" w:hAnsi="宋体" w:eastAsia="宋体" w:cs="宋体"/>
          <w:color w:val="auto"/>
          <w:sz w:val="24"/>
          <w:szCs w:val="24"/>
          <w:highlight w:val="none"/>
        </w:rPr>
      </w:pPr>
      <w:bookmarkStart w:id="22" w:name="_Toc35393632"/>
      <w:bookmarkStart w:id="23" w:name="_Toc28359015"/>
      <w:bookmarkStart w:id="24" w:name="_Toc35393801"/>
      <w:bookmarkStart w:id="25" w:name="_Toc28359092"/>
      <w:bookmarkStart w:id="26" w:name="_Toc23005"/>
      <w:r>
        <w:rPr>
          <w:rFonts w:hint="eastAsia" w:ascii="宋体" w:hAnsi="宋体" w:eastAsia="宋体" w:cs="宋体"/>
          <w:color w:val="auto"/>
          <w:sz w:val="24"/>
          <w:szCs w:val="24"/>
          <w:highlight w:val="none"/>
        </w:rPr>
        <w:t>四、响应文件提交</w:t>
      </w:r>
      <w:bookmarkEnd w:id="22"/>
      <w:bookmarkEnd w:id="23"/>
      <w:bookmarkEnd w:id="24"/>
      <w:bookmarkEnd w:id="25"/>
      <w:r>
        <w:rPr>
          <w:rFonts w:hint="eastAsia" w:ascii="宋体" w:hAnsi="宋体" w:eastAsia="宋体" w:cs="宋体"/>
          <w:color w:val="auto"/>
          <w:sz w:val="24"/>
          <w:szCs w:val="24"/>
          <w:highlight w:val="none"/>
        </w:rPr>
        <w:t>（上传）</w:t>
      </w:r>
      <w:bookmarkEnd w:id="26"/>
    </w:p>
    <w:p w14:paraId="3C1E0038">
      <w:pPr>
        <w:spacing w:line="360" w:lineRule="auto"/>
        <w:ind w:firstLine="480" w:firstLineChars="200"/>
        <w:rPr>
          <w:rFonts w:hint="eastAsia" w:ascii="宋体" w:hAnsi="宋体" w:eastAsia="宋体" w:cs="宋体"/>
          <w:bCs/>
          <w:color w:val="auto"/>
          <w:sz w:val="24"/>
          <w:highlight w:val="none"/>
          <w:u w:val="single"/>
        </w:rPr>
      </w:pPr>
      <w:r>
        <w:rPr>
          <w:rFonts w:hint="eastAsia" w:ascii="宋体" w:hAnsi="宋体" w:eastAsia="宋体" w:cs="宋体"/>
          <w:color w:val="auto"/>
          <w:sz w:val="24"/>
          <w:highlight w:val="none"/>
        </w:rPr>
        <w:t>截止时间：</w:t>
      </w:r>
      <w:r>
        <w:rPr>
          <w:rFonts w:hint="eastAsia" w:ascii="宋体" w:hAnsi="宋体" w:eastAsia="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3</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7</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eastAsia="zh-CN"/>
        </w:rPr>
        <w:t>14点30分</w:t>
      </w:r>
      <w:r>
        <w:rPr>
          <w:rFonts w:hint="eastAsia" w:ascii="宋体" w:hAnsi="宋体" w:eastAsia="宋体" w:cs="宋体"/>
          <w:color w:val="auto"/>
          <w:sz w:val="24"/>
          <w:highlight w:val="none"/>
          <w:u w:val="single"/>
          <w:lang w:eastAsia="zh-CN"/>
        </w:rPr>
        <w:t>00秒</w:t>
      </w:r>
      <w:r>
        <w:rPr>
          <w:rFonts w:hint="eastAsia" w:ascii="宋体" w:hAnsi="宋体" w:eastAsia="宋体" w:cs="宋体"/>
          <w:bCs/>
          <w:color w:val="auto"/>
          <w:sz w:val="24"/>
          <w:highlight w:val="none"/>
        </w:rPr>
        <w:t>（北京时间）</w:t>
      </w:r>
    </w:p>
    <w:p w14:paraId="133167D3">
      <w:pPr>
        <w:spacing w:line="360" w:lineRule="auto"/>
        <w:ind w:firstLine="480" w:firstLineChars="200"/>
        <w:rPr>
          <w:rFonts w:hint="eastAsia" w:ascii="宋体" w:hAnsi="宋体" w:eastAsia="宋体" w:cs="宋体"/>
          <w:bCs/>
          <w:color w:val="auto"/>
          <w:sz w:val="24"/>
          <w:highlight w:val="none"/>
          <w:u w:val="single"/>
        </w:rPr>
      </w:pPr>
      <w:r>
        <w:rPr>
          <w:rFonts w:hint="eastAsia" w:ascii="宋体" w:hAnsi="宋体" w:eastAsia="宋体" w:cs="宋体"/>
          <w:color w:val="auto"/>
          <w:sz w:val="24"/>
          <w:highlight w:val="none"/>
        </w:rPr>
        <w:t>地点：</w:t>
      </w:r>
      <w:r>
        <w:rPr>
          <w:rFonts w:hint="eastAsia" w:ascii="宋体" w:hAnsi="宋体" w:eastAsia="宋体" w:cs="宋体"/>
          <w:b/>
          <w:color w:val="auto"/>
          <w:sz w:val="24"/>
          <w:highlight w:val="none"/>
        </w:rPr>
        <w:t>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 </w:instrText>
      </w:r>
      <w:r>
        <w:rPr>
          <w:rFonts w:hint="eastAsia" w:ascii="宋体" w:hAnsi="宋体" w:eastAsia="宋体" w:cs="宋体"/>
          <w:color w:val="auto"/>
          <w:highlight w:val="none"/>
        </w:rPr>
        <w:fldChar w:fldCharType="separate"/>
      </w:r>
      <w:r>
        <w:rPr>
          <w:rStyle w:val="68"/>
          <w:rFonts w:hint="eastAsia" w:ascii="宋体" w:hAnsi="宋体" w:eastAsia="宋体" w:cs="宋体"/>
          <w:b/>
          <w:color w:val="auto"/>
          <w:kern w:val="2"/>
          <w:sz w:val="24"/>
          <w:szCs w:val="24"/>
          <w:highlight w:val="none"/>
        </w:rPr>
        <w:t>https://www.zcygov.cn/</w:t>
      </w:r>
      <w:r>
        <w:rPr>
          <w:rStyle w:val="68"/>
          <w:rFonts w:hint="eastAsia" w:ascii="宋体" w:hAnsi="宋体" w:eastAsia="宋体" w:cs="宋体"/>
          <w:b/>
          <w:color w:val="auto"/>
          <w:kern w:val="2"/>
          <w:sz w:val="24"/>
          <w:szCs w:val="24"/>
          <w:highlight w:val="none"/>
        </w:rPr>
        <w:fldChar w:fldCharType="end"/>
      </w:r>
      <w:r>
        <w:rPr>
          <w:rFonts w:hint="eastAsia" w:ascii="宋体" w:hAnsi="宋体" w:eastAsia="宋体" w:cs="宋体"/>
          <w:b/>
          <w:color w:val="auto"/>
          <w:sz w:val="24"/>
          <w:highlight w:val="none"/>
        </w:rPr>
        <w:t>）。</w:t>
      </w:r>
    </w:p>
    <w:p w14:paraId="1055FC93">
      <w:pPr>
        <w:pStyle w:val="5"/>
        <w:numPr>
          <w:ilvl w:val="0"/>
          <w:numId w:val="0"/>
        </w:numPr>
        <w:ind w:left="432" w:hanging="432"/>
        <w:rPr>
          <w:rFonts w:hint="eastAsia" w:ascii="宋体" w:hAnsi="宋体" w:eastAsia="宋体" w:cs="宋体"/>
          <w:color w:val="auto"/>
          <w:sz w:val="24"/>
          <w:szCs w:val="24"/>
          <w:highlight w:val="none"/>
        </w:rPr>
      </w:pPr>
      <w:bookmarkStart w:id="27" w:name="_Toc12248"/>
      <w:bookmarkStart w:id="28" w:name="_Toc35393633"/>
      <w:bookmarkStart w:id="29" w:name="_Toc35393802"/>
      <w:bookmarkStart w:id="30" w:name="_Toc28359016"/>
      <w:bookmarkStart w:id="31" w:name="_Toc28359093"/>
      <w:r>
        <w:rPr>
          <w:rFonts w:hint="eastAsia" w:ascii="宋体" w:hAnsi="宋体" w:eastAsia="宋体" w:cs="宋体"/>
          <w:color w:val="auto"/>
          <w:sz w:val="24"/>
          <w:szCs w:val="24"/>
          <w:highlight w:val="none"/>
        </w:rPr>
        <w:t>五、响应文件开启</w:t>
      </w:r>
      <w:bookmarkEnd w:id="27"/>
      <w:bookmarkEnd w:id="28"/>
      <w:bookmarkEnd w:id="29"/>
      <w:bookmarkEnd w:id="30"/>
      <w:bookmarkEnd w:id="31"/>
    </w:p>
    <w:p w14:paraId="642E16A7">
      <w:pPr>
        <w:spacing w:line="360" w:lineRule="auto"/>
        <w:ind w:firstLine="480" w:firstLineChars="200"/>
        <w:rPr>
          <w:rFonts w:hint="eastAsia" w:ascii="宋体" w:hAnsi="宋体" w:eastAsia="宋体" w:cs="宋体"/>
          <w:bCs/>
          <w:color w:val="auto"/>
          <w:sz w:val="24"/>
          <w:highlight w:val="none"/>
          <w:u w:val="single"/>
        </w:rPr>
      </w:pP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rPr>
        <w:t>202</w:t>
      </w:r>
      <w:r>
        <w:rPr>
          <w:rFonts w:hint="eastAsia" w:ascii="宋体" w:hAnsi="宋体" w:eastAsia="宋体" w:cs="宋体"/>
          <w:color w:val="auto"/>
          <w:sz w:val="24"/>
          <w:highlight w:val="none"/>
          <w:u w:val="single"/>
          <w:lang w:val="en-US" w:eastAsia="zh-CN"/>
        </w:rPr>
        <w:t>5</w:t>
      </w:r>
      <w:r>
        <w:rPr>
          <w:rFonts w:hint="eastAsia" w:ascii="宋体" w:hAnsi="宋体" w:eastAsia="宋体" w:cs="宋体"/>
          <w:color w:val="auto"/>
          <w:sz w:val="24"/>
          <w:highlight w:val="none"/>
          <w:u w:val="single"/>
        </w:rPr>
        <w:t>年</w:t>
      </w:r>
      <w:r>
        <w:rPr>
          <w:rFonts w:hint="eastAsia" w:ascii="宋体" w:hAnsi="宋体" w:eastAsia="宋体" w:cs="宋体"/>
          <w:color w:val="auto"/>
          <w:sz w:val="24"/>
          <w:highlight w:val="none"/>
          <w:u w:val="single"/>
          <w:lang w:val="en-US" w:eastAsia="zh-CN"/>
        </w:rPr>
        <w:t>3</w:t>
      </w:r>
      <w:r>
        <w:rPr>
          <w:rFonts w:hint="eastAsia" w:ascii="宋体" w:hAnsi="宋体" w:eastAsia="宋体" w:cs="宋体"/>
          <w:color w:val="auto"/>
          <w:sz w:val="24"/>
          <w:highlight w:val="none"/>
          <w:u w:val="single"/>
        </w:rPr>
        <w:t>月</w:t>
      </w:r>
      <w:r>
        <w:rPr>
          <w:rFonts w:hint="eastAsia" w:ascii="宋体" w:hAnsi="宋体" w:eastAsia="宋体" w:cs="宋体"/>
          <w:color w:val="auto"/>
          <w:sz w:val="24"/>
          <w:highlight w:val="none"/>
          <w:u w:val="single"/>
          <w:lang w:val="en-US" w:eastAsia="zh-CN"/>
        </w:rPr>
        <w:t>7</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eastAsia="zh-CN"/>
        </w:rPr>
        <w:t>14点30分</w:t>
      </w:r>
      <w:r>
        <w:rPr>
          <w:rFonts w:hint="eastAsia" w:ascii="宋体" w:hAnsi="宋体" w:eastAsia="宋体" w:cs="宋体"/>
          <w:color w:val="auto"/>
          <w:sz w:val="24"/>
          <w:highlight w:val="none"/>
          <w:u w:val="single"/>
          <w:lang w:eastAsia="zh-CN"/>
        </w:rPr>
        <w:t>00秒</w:t>
      </w:r>
      <w:r>
        <w:rPr>
          <w:rFonts w:hint="eastAsia" w:ascii="宋体" w:hAnsi="宋体" w:eastAsia="宋体" w:cs="宋体"/>
          <w:bCs/>
          <w:color w:val="auto"/>
          <w:sz w:val="24"/>
          <w:highlight w:val="none"/>
        </w:rPr>
        <w:t>（北京时间）</w:t>
      </w:r>
    </w:p>
    <w:p w14:paraId="50472B1A">
      <w:pPr>
        <w:spacing w:line="360" w:lineRule="auto"/>
        <w:ind w:firstLine="480" w:firstLineChars="200"/>
        <w:rPr>
          <w:rFonts w:hint="eastAsia" w:ascii="宋体" w:hAnsi="宋体" w:eastAsia="宋体" w:cs="宋体"/>
          <w:bCs/>
          <w:color w:val="auto"/>
          <w:sz w:val="24"/>
          <w:highlight w:val="none"/>
          <w:u w:val="single"/>
        </w:rPr>
      </w:pPr>
      <w:r>
        <w:rPr>
          <w:rFonts w:hint="eastAsia" w:ascii="宋体" w:hAnsi="宋体" w:eastAsia="宋体" w:cs="宋体"/>
          <w:color w:val="auto"/>
          <w:sz w:val="24"/>
          <w:highlight w:val="none"/>
        </w:rPr>
        <w:t>地点：</w:t>
      </w:r>
      <w:r>
        <w:rPr>
          <w:rFonts w:hint="eastAsia" w:ascii="宋体" w:hAnsi="宋体" w:eastAsia="宋体" w:cs="宋体"/>
          <w:b/>
          <w:color w:val="auto"/>
          <w:sz w:val="24"/>
          <w:highlight w:val="none"/>
        </w:rPr>
        <w:t>政采云平台（https://www.zcygov.cn/）</w:t>
      </w:r>
      <w:r>
        <w:rPr>
          <w:rFonts w:hint="eastAsia" w:ascii="宋体" w:hAnsi="宋体" w:eastAsia="宋体" w:cs="宋体"/>
          <w:color w:val="auto"/>
          <w:sz w:val="24"/>
          <w:highlight w:val="none"/>
        </w:rPr>
        <w:t>。</w:t>
      </w:r>
    </w:p>
    <w:p w14:paraId="2210CA98">
      <w:pPr>
        <w:pStyle w:val="5"/>
        <w:numPr>
          <w:ilvl w:val="0"/>
          <w:numId w:val="0"/>
        </w:numPr>
        <w:ind w:left="432" w:hanging="432"/>
        <w:rPr>
          <w:rFonts w:hint="eastAsia" w:ascii="宋体" w:hAnsi="宋体" w:eastAsia="宋体" w:cs="宋体"/>
          <w:color w:val="auto"/>
          <w:sz w:val="24"/>
          <w:szCs w:val="24"/>
          <w:highlight w:val="none"/>
        </w:rPr>
      </w:pPr>
      <w:bookmarkStart w:id="32" w:name="_Toc35393803"/>
      <w:bookmarkStart w:id="33" w:name="_Toc35393634"/>
      <w:bookmarkStart w:id="34" w:name="_Toc28359094"/>
      <w:bookmarkStart w:id="35" w:name="_Toc29876"/>
      <w:bookmarkStart w:id="36" w:name="_Toc28359017"/>
      <w:r>
        <w:rPr>
          <w:rFonts w:hint="eastAsia" w:ascii="宋体" w:hAnsi="宋体" w:eastAsia="宋体" w:cs="宋体"/>
          <w:color w:val="auto"/>
          <w:sz w:val="24"/>
          <w:szCs w:val="24"/>
          <w:highlight w:val="none"/>
        </w:rPr>
        <w:t>六、公告期限</w:t>
      </w:r>
      <w:bookmarkEnd w:id="32"/>
      <w:bookmarkEnd w:id="33"/>
      <w:bookmarkEnd w:id="34"/>
      <w:bookmarkEnd w:id="35"/>
      <w:bookmarkEnd w:id="36"/>
    </w:p>
    <w:p w14:paraId="79035011">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自本公告发布之日起3个工作日。</w:t>
      </w:r>
    </w:p>
    <w:p w14:paraId="101EEB16">
      <w:pPr>
        <w:pStyle w:val="5"/>
        <w:numPr>
          <w:ilvl w:val="0"/>
          <w:numId w:val="0"/>
        </w:numPr>
        <w:ind w:left="432" w:hanging="432"/>
        <w:rPr>
          <w:rFonts w:hint="eastAsia" w:ascii="宋体" w:hAnsi="宋体" w:eastAsia="宋体" w:cs="宋体"/>
          <w:color w:val="auto"/>
          <w:sz w:val="24"/>
          <w:szCs w:val="24"/>
          <w:highlight w:val="none"/>
        </w:rPr>
      </w:pPr>
      <w:bookmarkStart w:id="37" w:name="_Toc35393804"/>
      <w:bookmarkStart w:id="38" w:name="_Toc17892"/>
      <w:bookmarkStart w:id="39" w:name="_Toc35393635"/>
      <w:r>
        <w:rPr>
          <w:rFonts w:hint="eastAsia" w:ascii="宋体" w:hAnsi="宋体" w:eastAsia="宋体" w:cs="宋体"/>
          <w:color w:val="auto"/>
          <w:sz w:val="24"/>
          <w:szCs w:val="24"/>
          <w:highlight w:val="none"/>
        </w:rPr>
        <w:t>七、其他补充事宜</w:t>
      </w:r>
      <w:bookmarkEnd w:id="37"/>
      <w:bookmarkEnd w:id="38"/>
      <w:bookmarkEnd w:id="39"/>
    </w:p>
    <w:p w14:paraId="513B535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19CD941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158120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0465E1D">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4. 其他事项：（1）需要落实的政府采购政策：</w:t>
      </w:r>
      <w:r>
        <w:rPr>
          <w:rFonts w:hint="eastAsia" w:ascii="宋体" w:hAnsi="宋体" w:eastAsia="宋体" w:cs="宋体"/>
          <w:color w:val="auto"/>
          <w:kern w:val="0"/>
          <w:sz w:val="24"/>
          <w:highlight w:val="none"/>
        </w:rPr>
        <w:t>包括节约资源、保护环境、</w:t>
      </w:r>
      <w:r>
        <w:rPr>
          <w:rFonts w:hint="eastAsia" w:ascii="宋体" w:hAnsi="宋体" w:eastAsia="宋体" w:cs="宋体"/>
          <w:color w:val="auto"/>
          <w:sz w:val="24"/>
          <w:highlight w:val="none"/>
        </w:rPr>
        <w:t>支持创新、</w:t>
      </w:r>
      <w:r>
        <w:rPr>
          <w:rFonts w:hint="eastAsia" w:ascii="宋体" w:hAnsi="宋体" w:eastAsia="宋体" w:cs="宋体"/>
          <w:color w:val="auto"/>
          <w:kern w:val="0"/>
          <w:sz w:val="24"/>
          <w:highlight w:val="none"/>
        </w:rPr>
        <w:t>促进中小企业发展等，详见磋商文件第三部分。</w:t>
      </w:r>
      <w:r>
        <w:rPr>
          <w:rFonts w:hint="eastAsia" w:ascii="宋体" w:hAnsi="宋体" w:eastAsia="宋体" w:cs="宋体"/>
          <w:b/>
          <w:color w:val="auto"/>
          <w:kern w:val="0"/>
          <w:sz w:val="24"/>
          <w:szCs w:val="20"/>
          <w:highlight w:val="none"/>
        </w:rPr>
        <w:t>（2）</w:t>
      </w:r>
      <w:r>
        <w:rPr>
          <w:rFonts w:hint="eastAsia" w:ascii="宋体" w:hAnsi="宋体" w:eastAsia="宋体" w:cs="宋体"/>
          <w:b/>
          <w:color w:val="auto"/>
          <w:sz w:val="24"/>
          <w:highlight w:val="none"/>
        </w:rPr>
        <w:t>电子交易的说明: 1）电子交易：</w:t>
      </w:r>
      <w:r>
        <w:rPr>
          <w:rFonts w:hint="eastAsia" w:ascii="宋体" w:hAnsi="宋体" w:eastAsia="宋体" w:cs="宋体"/>
          <w:color w:val="auto"/>
          <w:sz w:val="24"/>
          <w:highlight w:val="none"/>
        </w:rPr>
        <w:t>本项目以数据电文形式，依托“政府采购云平台（www.zcygov.cn）”进行采购活动，不接受纸质响应文件。</w:t>
      </w:r>
      <w:r>
        <w:rPr>
          <w:rFonts w:hint="eastAsia" w:ascii="宋体" w:hAnsi="宋体" w:eastAsia="宋体" w:cs="宋体"/>
          <w:b/>
          <w:color w:val="auto"/>
          <w:sz w:val="24"/>
          <w:highlight w:val="none"/>
        </w:rPr>
        <w:t>2）响应准备：</w:t>
      </w:r>
      <w:r>
        <w:rPr>
          <w:rFonts w:hint="eastAsia" w:ascii="宋体" w:hAnsi="宋体" w:eastAsia="宋体" w:cs="宋体"/>
          <w:color w:val="auto"/>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宋体" w:hAnsi="宋体" w:eastAsia="宋体" w:cs="宋体"/>
          <w:b/>
          <w:color w:val="auto"/>
          <w:sz w:val="24"/>
          <w:highlight w:val="none"/>
        </w:rPr>
        <w:t>3）磋商文件的获取：</w:t>
      </w:r>
      <w:r>
        <w:rPr>
          <w:rFonts w:hint="eastAsia" w:ascii="宋体" w:hAnsi="宋体" w:eastAsia="宋体" w:cs="宋体"/>
          <w:color w:val="auto"/>
          <w:sz w:val="24"/>
          <w:highlight w:val="none"/>
        </w:rPr>
        <w:t>使用账号登录或者使用CA登录政采云平台；进入“项目采购”应用，在获取采购文件菜单中选择项目，获取磋商文件。</w:t>
      </w:r>
      <w:r>
        <w:rPr>
          <w:rFonts w:hint="eastAsia" w:ascii="宋体" w:hAnsi="宋体" w:eastAsia="宋体" w:cs="宋体"/>
          <w:b/>
          <w:color w:val="auto"/>
          <w:sz w:val="24"/>
          <w:highlight w:val="none"/>
        </w:rPr>
        <w:t>4）响应文件的制作：</w:t>
      </w:r>
      <w:r>
        <w:rPr>
          <w:rFonts w:hint="eastAsia" w:ascii="宋体" w:hAnsi="宋体" w:eastAsia="宋体" w:cs="宋体"/>
          <w:color w:val="auto"/>
          <w:sz w:val="24"/>
          <w:highlight w:val="none"/>
        </w:rPr>
        <w:t>在“政采云电子交易客户端”中完成“填写基本信息”、“导入</w:t>
      </w:r>
      <w:r>
        <w:rPr>
          <w:rFonts w:hint="eastAsia" w:ascii="宋体" w:hAnsi="宋体" w:eastAsia="宋体" w:cs="宋体"/>
          <w:color w:val="auto"/>
          <w:sz w:val="24"/>
          <w:highlight w:val="none"/>
          <w:lang w:eastAsia="zh-CN"/>
        </w:rPr>
        <w:t>磋商响应文件</w:t>
      </w:r>
      <w:r>
        <w:rPr>
          <w:rFonts w:hint="eastAsia" w:ascii="宋体" w:hAnsi="宋体" w:eastAsia="宋体" w:cs="宋体"/>
          <w:color w:val="auto"/>
          <w:sz w:val="24"/>
          <w:highlight w:val="none"/>
        </w:rPr>
        <w:t>”、“标书关联”、“标书检查”、“电子签名”、“生成电子标书”等操作。</w:t>
      </w:r>
      <w:r>
        <w:rPr>
          <w:rFonts w:hint="eastAsia" w:ascii="宋体" w:hAnsi="宋体" w:eastAsia="宋体" w:cs="宋体"/>
          <w:b/>
          <w:color w:val="auto"/>
          <w:sz w:val="24"/>
          <w:highlight w:val="none"/>
        </w:rPr>
        <w:t>5）</w:t>
      </w:r>
      <w:r>
        <w:rPr>
          <w:rFonts w:hint="eastAsia" w:ascii="宋体" w:hAnsi="宋体" w:eastAsia="宋体" w:cs="宋体"/>
          <w:color w:val="auto"/>
          <w:sz w:val="24"/>
          <w:highlight w:val="none"/>
        </w:rPr>
        <w:t>采购人、采购机构将依托政采云平台完成本项目的电子交易活动，平台不接受未按本公告约定方式获取磋商文件的供应商进行响应活动；</w:t>
      </w:r>
      <w:r>
        <w:rPr>
          <w:rFonts w:hint="eastAsia" w:ascii="宋体" w:hAnsi="宋体" w:eastAsia="宋体" w:cs="宋体"/>
          <w:b/>
          <w:color w:val="auto"/>
          <w:sz w:val="24"/>
          <w:highlight w:val="none"/>
        </w:rPr>
        <w:t>6）</w:t>
      </w:r>
      <w:r>
        <w:rPr>
          <w:rFonts w:hint="eastAsia" w:ascii="宋体" w:hAnsi="宋体" w:eastAsia="宋体" w:cs="宋体"/>
          <w:color w:val="auto"/>
          <w:sz w:val="24"/>
          <w:highlight w:val="none"/>
        </w:rPr>
        <w:t>对未按上述方式获取磋商文件的供应商对该文件提出的质疑，采购人或采购代理机构将不予处理</w:t>
      </w:r>
      <w:r>
        <w:rPr>
          <w:rFonts w:hint="eastAsia" w:ascii="宋体" w:hAnsi="宋体" w:eastAsia="宋体" w:cs="宋体"/>
          <w:b/>
          <w:color w:val="auto"/>
          <w:sz w:val="24"/>
          <w:highlight w:val="none"/>
        </w:rPr>
        <w:t>；7）</w:t>
      </w:r>
      <w:r>
        <w:rPr>
          <w:rFonts w:hint="eastAsia" w:ascii="宋体" w:hAnsi="宋体" w:eastAsia="宋体" w:cs="宋体"/>
          <w:color w:val="auto"/>
          <w:sz w:val="24"/>
          <w:highlight w:val="none"/>
        </w:rPr>
        <w:t>不提供磋商文件纸质版；</w:t>
      </w:r>
      <w:r>
        <w:rPr>
          <w:rFonts w:hint="eastAsia" w:ascii="宋体" w:hAnsi="宋体" w:eastAsia="宋体" w:cs="宋体"/>
          <w:b/>
          <w:color w:val="auto"/>
          <w:sz w:val="24"/>
          <w:highlight w:val="none"/>
        </w:rPr>
        <w:t>8）响应文件的传输提交：</w:t>
      </w:r>
      <w:r>
        <w:rPr>
          <w:rFonts w:hint="eastAsia" w:ascii="宋体" w:hAnsi="宋体" w:eastAsia="宋体" w:cs="宋体"/>
          <w:color w:val="auto"/>
          <w:sz w:val="24"/>
          <w:highlight w:val="none"/>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ascii="宋体" w:hAnsi="宋体" w:eastAsia="宋体" w:cs="宋体"/>
          <w:b/>
          <w:color w:val="auto"/>
          <w:sz w:val="24"/>
          <w:highlight w:val="none"/>
        </w:rPr>
        <w:t>9）响应文件的解密：</w:t>
      </w:r>
      <w:r>
        <w:rPr>
          <w:rFonts w:hint="eastAsia" w:ascii="宋体" w:hAnsi="宋体" w:eastAsia="宋体" w:cs="宋体"/>
          <w:color w:val="auto"/>
          <w:sz w:val="24"/>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ascii="宋体" w:hAnsi="宋体" w:eastAsia="宋体" w:cs="宋体"/>
          <w:b/>
          <w:color w:val="auto"/>
          <w:sz w:val="24"/>
          <w:highlight w:val="none"/>
        </w:rPr>
        <w:t>）具体操作指南</w:t>
      </w:r>
      <w:r>
        <w:rPr>
          <w:rFonts w:hint="eastAsia" w:ascii="宋体" w:hAnsi="宋体" w:eastAsia="宋体" w:cs="宋体"/>
          <w:color w:val="auto"/>
          <w:sz w:val="24"/>
          <w:highlight w:val="none"/>
        </w:rPr>
        <w:t>：详见政采云平台“服务中心-帮助文档-项目采购-操作流程-电子招投标-政府采购项目电子交易管理操作指南-供应商”</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11</w:t>
      </w:r>
      <w:r>
        <w:rPr>
          <w:rFonts w:hint="eastAsia" w:ascii="宋体" w:hAnsi="宋体" w:eastAsia="宋体" w:cs="宋体"/>
          <w:color w:val="auto"/>
          <w:sz w:val="24"/>
          <w:highlight w:val="none"/>
        </w:rPr>
        <w:t>磋商文件公告期限与磋商公告的公告期限一致。</w:t>
      </w:r>
    </w:p>
    <w:p w14:paraId="5D1D8F5A">
      <w:pPr>
        <w:pStyle w:val="5"/>
        <w:numPr>
          <w:ilvl w:val="0"/>
          <w:numId w:val="0"/>
        </w:numPr>
        <w:ind w:left="432" w:hanging="432"/>
        <w:rPr>
          <w:rFonts w:hint="eastAsia" w:ascii="宋体" w:hAnsi="宋体" w:eastAsia="宋体" w:cs="宋体"/>
          <w:color w:val="auto"/>
          <w:sz w:val="24"/>
          <w:szCs w:val="24"/>
          <w:highlight w:val="none"/>
        </w:rPr>
      </w:pPr>
      <w:bookmarkStart w:id="40" w:name="_Toc28359095"/>
      <w:bookmarkStart w:id="41" w:name="_Toc35393805"/>
      <w:bookmarkStart w:id="42" w:name="_Toc28359018"/>
      <w:bookmarkStart w:id="43" w:name="_Toc35393636"/>
      <w:bookmarkStart w:id="44" w:name="_Toc22142"/>
      <w:r>
        <w:rPr>
          <w:rFonts w:hint="eastAsia" w:ascii="宋体" w:hAnsi="宋体" w:eastAsia="宋体" w:cs="宋体"/>
          <w:color w:val="auto"/>
          <w:sz w:val="24"/>
          <w:szCs w:val="24"/>
          <w:highlight w:val="none"/>
        </w:rPr>
        <w:t>八、凡对本次采购提出询问</w:t>
      </w:r>
      <w:r>
        <w:rPr>
          <w:rFonts w:hint="eastAsia" w:ascii="宋体" w:hAnsi="宋体" w:eastAsia="宋体" w:cs="宋体"/>
          <w:bCs w:val="0"/>
          <w:color w:val="auto"/>
          <w:sz w:val="24"/>
          <w:szCs w:val="24"/>
          <w:highlight w:val="none"/>
        </w:rPr>
        <w:t>、质疑、投诉</w:t>
      </w:r>
      <w:r>
        <w:rPr>
          <w:rFonts w:hint="eastAsia" w:ascii="宋体" w:hAnsi="宋体" w:eastAsia="宋体" w:cs="宋体"/>
          <w:color w:val="auto"/>
          <w:sz w:val="24"/>
          <w:szCs w:val="24"/>
          <w:highlight w:val="none"/>
        </w:rPr>
        <w:t>，请按以下方式联系</w:t>
      </w:r>
      <w:bookmarkEnd w:id="40"/>
      <w:bookmarkEnd w:id="41"/>
      <w:bookmarkEnd w:id="42"/>
      <w:bookmarkEnd w:id="43"/>
      <w:bookmarkEnd w:id="44"/>
    </w:p>
    <w:p w14:paraId="0DF4EF8A">
      <w:pPr>
        <w:pStyle w:val="5"/>
        <w:numPr>
          <w:ilvl w:val="0"/>
          <w:numId w:val="0"/>
        </w:numPr>
        <w:ind w:left="432" w:hanging="432"/>
        <w:rPr>
          <w:rFonts w:hint="eastAsia" w:ascii="宋体" w:hAnsi="宋体" w:eastAsia="宋体" w:cs="宋体"/>
          <w:color w:val="auto"/>
          <w:sz w:val="24"/>
          <w:szCs w:val="24"/>
          <w:highlight w:val="none"/>
        </w:rPr>
      </w:pPr>
      <w:bookmarkStart w:id="45" w:name="_Toc28359096"/>
      <w:bookmarkStart w:id="46" w:name="_Toc28359019"/>
      <w:bookmarkStart w:id="47" w:name="_Toc35393637"/>
      <w:bookmarkStart w:id="48" w:name="_Toc35393806"/>
      <w:bookmarkStart w:id="49" w:name="_Toc11746"/>
      <w:r>
        <w:rPr>
          <w:rFonts w:hint="eastAsia" w:ascii="宋体" w:hAnsi="宋体" w:eastAsia="宋体" w:cs="宋体"/>
          <w:color w:val="auto"/>
          <w:sz w:val="24"/>
          <w:szCs w:val="24"/>
          <w:highlight w:val="none"/>
        </w:rPr>
        <w:t>1.采购人信息</w:t>
      </w:r>
      <w:bookmarkEnd w:id="45"/>
      <w:bookmarkEnd w:id="46"/>
      <w:bookmarkEnd w:id="47"/>
      <w:bookmarkEnd w:id="48"/>
      <w:r>
        <w:rPr>
          <w:rFonts w:hint="eastAsia" w:ascii="宋体" w:hAnsi="宋体" w:eastAsia="宋体" w:cs="宋体"/>
          <w:color w:val="auto"/>
          <w:sz w:val="24"/>
          <w:szCs w:val="24"/>
          <w:highlight w:val="none"/>
        </w:rPr>
        <w:t>：</w:t>
      </w:r>
      <w:bookmarkEnd w:id="49"/>
    </w:p>
    <w:p w14:paraId="63F34E14">
      <w:pPr>
        <w:spacing w:line="360" w:lineRule="auto"/>
        <w:ind w:firstLine="480" w:firstLineChars="200"/>
        <w:rPr>
          <w:rFonts w:hint="eastAsia" w:ascii="宋体" w:hAnsi="宋体" w:eastAsia="宋体" w:cs="宋体"/>
          <w:color w:val="auto"/>
          <w:sz w:val="24"/>
          <w:highlight w:val="none"/>
          <w:lang w:eastAsia="zh-CN"/>
        </w:rPr>
      </w:pPr>
      <w:bookmarkStart w:id="50" w:name="_Toc35393638"/>
      <w:bookmarkStart w:id="51" w:name="_Toc28359020"/>
      <w:bookmarkStart w:id="52" w:name="_Toc35393807"/>
      <w:bookmarkStart w:id="53" w:name="_Toc28359097"/>
      <w:r>
        <w:rPr>
          <w:rFonts w:hint="eastAsia" w:ascii="宋体" w:hAnsi="宋体" w:eastAsia="宋体" w:cs="宋体"/>
          <w:color w:val="auto"/>
          <w:sz w:val="24"/>
          <w:highlight w:val="none"/>
          <w:lang w:eastAsia="zh-CN"/>
        </w:rPr>
        <w:t>名    称：温州市公安局龙湾区分局</w:t>
      </w:r>
    </w:p>
    <w:p w14:paraId="0380ACE8">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地    址：</w:t>
      </w:r>
      <w:r>
        <w:rPr>
          <w:rFonts w:hint="eastAsia" w:ascii="宋体" w:hAnsi="宋体" w:eastAsia="宋体" w:cs="宋体"/>
          <w:color w:val="auto"/>
          <w:sz w:val="24"/>
          <w:highlight w:val="none"/>
          <w:lang w:eastAsia="zh-CN"/>
        </w:rPr>
        <w:t xml:space="preserve">龙湾区永宁西路518号 </w:t>
      </w:r>
    </w:p>
    <w:p w14:paraId="71F4A2CD">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项目联系人（询问）：白洪密 </w:t>
      </w:r>
    </w:p>
    <w:p w14:paraId="2A4B1777">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项目联系方式（询问）：0577-85880005 </w:t>
      </w:r>
    </w:p>
    <w:p w14:paraId="78CB5E3D">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质疑联系人：白洪密</w:t>
      </w:r>
    </w:p>
    <w:p w14:paraId="2C3CAA78">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质疑联系方式：0577-85880005 </w:t>
      </w:r>
    </w:p>
    <w:p w14:paraId="319A5384">
      <w:pPr>
        <w:pStyle w:val="5"/>
        <w:numPr>
          <w:ilvl w:val="0"/>
          <w:numId w:val="0"/>
        </w:numPr>
        <w:ind w:left="432" w:hanging="432"/>
        <w:rPr>
          <w:rFonts w:hint="eastAsia" w:ascii="宋体" w:hAnsi="宋体" w:eastAsia="宋体" w:cs="宋体"/>
          <w:color w:val="auto"/>
          <w:sz w:val="24"/>
          <w:highlight w:val="none"/>
        </w:rPr>
      </w:pPr>
      <w:bookmarkStart w:id="54" w:name="_Toc2829"/>
      <w:r>
        <w:rPr>
          <w:rFonts w:hint="eastAsia" w:ascii="宋体" w:hAnsi="宋体" w:eastAsia="宋体" w:cs="宋体"/>
          <w:color w:val="auto"/>
          <w:sz w:val="24"/>
          <w:szCs w:val="24"/>
          <w:highlight w:val="none"/>
        </w:rPr>
        <w:t>2.采购代理机构信息</w:t>
      </w:r>
      <w:bookmarkEnd w:id="50"/>
      <w:bookmarkEnd w:id="51"/>
      <w:bookmarkEnd w:id="52"/>
      <w:bookmarkEnd w:id="53"/>
      <w:r>
        <w:rPr>
          <w:rFonts w:hint="eastAsia" w:ascii="宋体" w:hAnsi="宋体" w:eastAsia="宋体" w:cs="宋体"/>
          <w:color w:val="auto"/>
          <w:sz w:val="24"/>
          <w:szCs w:val="24"/>
          <w:highlight w:val="none"/>
        </w:rPr>
        <w:t>：</w:t>
      </w:r>
      <w:bookmarkEnd w:id="54"/>
    </w:p>
    <w:p w14:paraId="1BCCEC0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w:t>
      </w:r>
      <w:r>
        <w:rPr>
          <w:rFonts w:hint="eastAsia" w:ascii="宋体" w:hAnsi="宋体" w:cs="宋体"/>
          <w:color w:val="auto"/>
          <w:sz w:val="24"/>
          <w:highlight w:val="none"/>
          <w:lang w:eastAsia="zh-CN"/>
        </w:rPr>
        <w:t>温州市德恒项目管理有限公司</w:t>
      </w:r>
      <w:r>
        <w:rPr>
          <w:rFonts w:hint="eastAsia" w:ascii="宋体" w:hAnsi="宋体" w:eastAsia="宋体" w:cs="宋体"/>
          <w:color w:val="auto"/>
          <w:sz w:val="24"/>
          <w:highlight w:val="none"/>
        </w:rPr>
        <w:t> </w:t>
      </w:r>
    </w:p>
    <w:p w14:paraId="65554A6B">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lang w:eastAsia="zh-CN"/>
        </w:rPr>
        <w:t>温州市鹿城区南汇街道锦江路458号</w:t>
      </w:r>
      <w:r>
        <w:rPr>
          <w:rFonts w:hint="eastAsia" w:ascii="宋体" w:hAnsi="宋体" w:cs="宋体"/>
          <w:color w:val="auto"/>
          <w:sz w:val="24"/>
          <w:highlight w:val="none"/>
          <w:lang w:eastAsia="zh-CN"/>
        </w:rPr>
        <w:t>深蓝国际大厦</w:t>
      </w:r>
      <w:r>
        <w:rPr>
          <w:rFonts w:hint="eastAsia" w:ascii="宋体" w:hAnsi="宋体" w:eastAsia="宋体" w:cs="宋体"/>
          <w:color w:val="auto"/>
          <w:sz w:val="24"/>
          <w:highlight w:val="none"/>
          <w:lang w:eastAsia="zh-CN"/>
        </w:rPr>
        <w:t>501-1室西首</w:t>
      </w:r>
    </w:p>
    <w:p w14:paraId="3293C12E">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传    真：</w:t>
      </w:r>
      <w:r>
        <w:rPr>
          <w:rFonts w:hint="eastAsia" w:ascii="宋体" w:hAnsi="宋体" w:eastAsia="宋体" w:cs="宋体"/>
          <w:color w:val="auto"/>
          <w:sz w:val="24"/>
          <w:highlight w:val="none"/>
          <w:lang w:val="en-US" w:eastAsia="zh-CN"/>
        </w:rPr>
        <w:t>/</w:t>
      </w:r>
    </w:p>
    <w:p w14:paraId="0B16F8AC">
      <w:pPr>
        <w:spacing w:line="360" w:lineRule="auto"/>
        <w:ind w:firstLine="480" w:firstLineChars="200"/>
        <w:rPr>
          <w:rFonts w:hint="eastAsia" w:ascii="宋体" w:hAnsi="宋体" w:eastAsia="宋体" w:cs="宋体"/>
          <w:color w:val="auto"/>
          <w:sz w:val="24"/>
          <w:highlight w:val="none"/>
        </w:rPr>
      </w:pPr>
      <w:bookmarkStart w:id="55" w:name="_Toc28359098"/>
      <w:bookmarkStart w:id="56" w:name="_Toc28359021"/>
      <w:bookmarkStart w:id="57" w:name="_Toc35393808"/>
      <w:bookmarkStart w:id="58" w:name="_Toc35393639"/>
      <w:r>
        <w:rPr>
          <w:rFonts w:hint="eastAsia" w:ascii="宋体" w:hAnsi="宋体" w:eastAsia="宋体" w:cs="宋体"/>
          <w:color w:val="auto"/>
          <w:sz w:val="24"/>
          <w:highlight w:val="none"/>
        </w:rPr>
        <w:t>项目联系人（询问）：蒋贤德</w:t>
      </w:r>
    </w:p>
    <w:p w14:paraId="724DAD15">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项目联系方式（询问）：</w:t>
      </w:r>
      <w:r>
        <w:rPr>
          <w:rFonts w:hint="eastAsia" w:ascii="宋体" w:hAnsi="宋体" w:eastAsia="宋体" w:cs="宋体"/>
          <w:color w:val="auto"/>
          <w:sz w:val="24"/>
          <w:highlight w:val="none"/>
          <w:lang w:val="en-US" w:eastAsia="zh-CN"/>
        </w:rPr>
        <w:t>15258671700</w:t>
      </w:r>
    </w:p>
    <w:p w14:paraId="612145D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质疑联系人：</w:t>
      </w:r>
      <w:r>
        <w:rPr>
          <w:rFonts w:hint="eastAsia" w:ascii="宋体" w:hAnsi="宋体" w:cs="宋体"/>
          <w:color w:val="auto"/>
          <w:sz w:val="24"/>
          <w:highlight w:val="none"/>
          <w:lang w:val="en-US" w:eastAsia="zh-CN"/>
        </w:rPr>
        <w:t>余温怡</w:t>
      </w:r>
      <w:r>
        <w:rPr>
          <w:rFonts w:hint="eastAsia" w:ascii="宋体" w:hAnsi="宋体" w:eastAsia="宋体" w:cs="宋体"/>
          <w:color w:val="auto"/>
          <w:sz w:val="24"/>
          <w:highlight w:val="none"/>
        </w:rPr>
        <w:t> </w:t>
      </w:r>
    </w:p>
    <w:p w14:paraId="34D9B47C">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质疑联系方式：</w:t>
      </w:r>
      <w:r>
        <w:rPr>
          <w:rFonts w:hint="eastAsia" w:ascii="宋体" w:hAnsi="宋体" w:cs="宋体"/>
          <w:color w:val="auto"/>
          <w:sz w:val="24"/>
          <w:highlight w:val="none"/>
          <w:lang w:val="en-US" w:eastAsia="zh-CN"/>
        </w:rPr>
        <w:t>15705853800</w:t>
      </w:r>
    </w:p>
    <w:p w14:paraId="1FB1E56E">
      <w:pPr>
        <w:spacing w:line="360" w:lineRule="auto"/>
        <w:rPr>
          <w:rFonts w:hint="eastAsia" w:ascii="宋体" w:hAnsi="宋体" w:eastAsia="宋体" w:cs="宋体"/>
          <w:b/>
          <w:color w:val="auto"/>
          <w:sz w:val="24"/>
          <w:highlight w:val="none"/>
        </w:rPr>
      </w:pPr>
      <w:r>
        <w:rPr>
          <w:rFonts w:hint="eastAsia" w:ascii="宋体" w:hAnsi="宋体" w:eastAsia="宋体" w:cs="宋体"/>
          <w:b/>
          <w:bCs/>
          <w:color w:val="auto"/>
          <w:sz w:val="24"/>
          <w:highlight w:val="none"/>
        </w:rPr>
        <w:t>3.</w:t>
      </w:r>
      <w:r>
        <w:rPr>
          <w:rFonts w:hint="eastAsia" w:ascii="宋体" w:hAnsi="宋体" w:eastAsia="宋体" w:cs="宋体"/>
          <w:b/>
          <w:color w:val="auto"/>
          <w:sz w:val="24"/>
          <w:highlight w:val="none"/>
        </w:rPr>
        <w:t xml:space="preserve"> 同级政府采购监督管理部门：            </w:t>
      </w:r>
    </w:p>
    <w:bookmarkEnd w:id="55"/>
    <w:bookmarkEnd w:id="56"/>
    <w:bookmarkEnd w:id="57"/>
    <w:bookmarkEnd w:id="58"/>
    <w:p w14:paraId="5E2958F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称：温州龙湾区财政局</w:t>
      </w:r>
    </w:p>
    <w:p w14:paraId="449A288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址：温州市龙湾区永宁西路565号温州银行大楼</w:t>
      </w:r>
      <w:r>
        <w:rPr>
          <w:rFonts w:hint="eastAsia" w:ascii="宋体" w:hAnsi="宋体" w:cs="宋体"/>
          <w:color w:val="auto"/>
          <w:sz w:val="24"/>
          <w:highlight w:val="none"/>
          <w:lang w:val="en-US" w:eastAsia="zh-CN"/>
        </w:rPr>
        <w:t>15</w:t>
      </w:r>
      <w:r>
        <w:rPr>
          <w:rFonts w:hint="eastAsia" w:ascii="宋体" w:hAnsi="宋体" w:eastAsia="宋体" w:cs="宋体"/>
          <w:color w:val="auto"/>
          <w:sz w:val="24"/>
          <w:highlight w:val="none"/>
        </w:rPr>
        <w:t>楼</w:t>
      </w:r>
    </w:p>
    <w:p w14:paraId="5493456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w:t>
      </w:r>
    </w:p>
    <w:p w14:paraId="2BD3931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 ：陈先生</w:t>
      </w:r>
    </w:p>
    <w:p w14:paraId="648C7D4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监督投诉电话：0577-85600839</w:t>
      </w:r>
    </w:p>
    <w:p w14:paraId="47D6FE8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w:t>
      </w:r>
      <w:r>
        <w:rPr>
          <w:rFonts w:hint="eastAsia" w:ascii="宋体" w:hAnsi="宋体" w:cs="宋体"/>
          <w:color w:val="auto"/>
          <w:sz w:val="24"/>
          <w:highlight w:val="none"/>
          <w:lang w:eastAsia="zh-CN"/>
        </w:rPr>
        <w:t>95763</w:t>
      </w:r>
      <w:r>
        <w:rPr>
          <w:rFonts w:hint="eastAsia" w:ascii="宋体" w:hAnsi="宋体" w:eastAsia="宋体" w:cs="宋体"/>
          <w:color w:val="auto"/>
          <w:sz w:val="24"/>
          <w:highlight w:val="none"/>
        </w:rPr>
        <w:t>获取热线服务帮助。        </w:t>
      </w:r>
    </w:p>
    <w:p w14:paraId="2466791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14:paraId="6A7E3CED">
      <w:pPr>
        <w:pStyle w:val="32"/>
        <w:spacing w:line="360" w:lineRule="auto"/>
        <w:ind w:firstLine="480" w:firstLineChars="200"/>
        <w:rPr>
          <w:rFonts w:hint="eastAsia" w:ascii="宋体" w:hAnsi="宋体" w:eastAsia="宋体" w:cs="宋体"/>
          <w:color w:val="auto"/>
          <w:sz w:val="24"/>
          <w:szCs w:val="24"/>
          <w:highlight w:val="none"/>
        </w:rPr>
      </w:pPr>
    </w:p>
    <w:p w14:paraId="2841768F">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14:paraId="3E776704">
      <w:pPr>
        <w:adjustRightInd/>
        <w:spacing w:line="360" w:lineRule="auto"/>
        <w:jc w:val="center"/>
        <w:outlineLvl w:val="0"/>
        <w:rPr>
          <w:rFonts w:hint="eastAsia" w:ascii="宋体" w:hAnsi="宋体" w:eastAsia="宋体" w:cs="宋体"/>
          <w:b/>
          <w:color w:val="auto"/>
          <w:sz w:val="32"/>
          <w:szCs w:val="20"/>
          <w:highlight w:val="none"/>
        </w:rPr>
      </w:pPr>
      <w:bookmarkStart w:id="59" w:name="_Toc3254"/>
      <w:r>
        <w:rPr>
          <w:rFonts w:hint="eastAsia" w:ascii="宋体" w:hAnsi="宋体" w:eastAsia="宋体" w:cs="宋体"/>
          <w:b/>
          <w:color w:val="auto"/>
          <w:sz w:val="36"/>
          <w:szCs w:val="20"/>
          <w:highlight w:val="none"/>
        </w:rPr>
        <w:t>第二部分 竞争性磋商流程</w:t>
      </w:r>
      <w:bookmarkEnd w:id="59"/>
    </w:p>
    <w:p w14:paraId="49AC6C4A">
      <w:pPr>
        <w:pStyle w:val="431"/>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szCs w:val="24"/>
          <w:highlight w:val="none"/>
        </w:rPr>
        <w:t>1.征集供应商</w:t>
      </w:r>
    </w:p>
    <w:p w14:paraId="1DE2BA11">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1.1邀请供应商。</w:t>
      </w:r>
    </w:p>
    <w:p w14:paraId="23DB29DA">
      <w:pPr>
        <w:pStyle w:val="431"/>
        <w:numPr>
          <w:ilvl w:val="0"/>
          <w:numId w:val="3"/>
        </w:numPr>
        <w:spacing w:before="0"/>
        <w:ind w:firstLineChars="0"/>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采用公告方式邀请供应商的，</w:t>
      </w:r>
      <w:r>
        <w:rPr>
          <w:rFonts w:hint="eastAsia" w:ascii="宋体" w:hAnsi="宋体" w:eastAsia="宋体" w:cs="宋体"/>
          <w:color w:val="auto"/>
          <w:szCs w:val="24"/>
          <w:highlight w:val="none"/>
        </w:rPr>
        <w:t>由采购人、采购机构在省级以上人民政府财政部门指定的政府采购信息发布媒体上发布磋商公告，邀请符合相应资格条件的供应商参与竞争性磋商采购活动。</w:t>
      </w:r>
    </w:p>
    <w:p w14:paraId="5154D9AB">
      <w:pPr>
        <w:pStyle w:val="431"/>
        <w:numPr>
          <w:ilvl w:val="0"/>
          <w:numId w:val="3"/>
        </w:numPr>
        <w:spacing w:before="0"/>
        <w:ind w:firstLineChars="0"/>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采用随机抽取方式邀请供应商的，</w:t>
      </w:r>
      <w:r>
        <w:rPr>
          <w:rFonts w:hint="eastAsia" w:ascii="宋体" w:hAnsi="宋体" w:eastAsia="宋体" w:cs="宋体"/>
          <w:color w:val="auto"/>
          <w:szCs w:val="24"/>
          <w:highlight w:val="none"/>
        </w:rPr>
        <w:t>由采购人、采购机构从省级以上财政部门建立的供应商库中随机抽取不少于3家符合相应资格条件的供应商参与竞争性磋商采购活动。</w:t>
      </w:r>
    </w:p>
    <w:p w14:paraId="537180C1">
      <w:pPr>
        <w:pStyle w:val="431"/>
        <w:numPr>
          <w:ilvl w:val="0"/>
          <w:numId w:val="3"/>
        </w:numPr>
        <w:spacing w:before="0"/>
        <w:ind w:firstLineChars="0"/>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采用书面推荐方式邀请供应商的，</w:t>
      </w:r>
      <w:r>
        <w:rPr>
          <w:rFonts w:hint="eastAsia" w:ascii="宋体" w:hAnsi="宋体" w:eastAsia="宋体" w:cs="宋体"/>
          <w:color w:val="auto"/>
          <w:szCs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5353351D">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1.2供应商获取磋商文件。</w:t>
      </w:r>
    </w:p>
    <w:p w14:paraId="3D91639D">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1.3组织现场考察或召开答疑会（如果有）。</w:t>
      </w:r>
    </w:p>
    <w:p w14:paraId="4B4B0B7E">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1.4发布更正（延期）公告，澄清或修改磋商文件（如果有）。</w:t>
      </w:r>
    </w:p>
    <w:p w14:paraId="5E150056">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1.5供应商按磋商文件要求编制响应文件。</w:t>
      </w:r>
    </w:p>
    <w:p w14:paraId="5B9ADDB5">
      <w:pPr>
        <w:pStyle w:val="431"/>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2.响应文件开启与信用信息查询</w:t>
      </w:r>
    </w:p>
    <w:p w14:paraId="0734DDD0">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2.1供应商依据“提交响应文件的截止时间与地点”通过政采云平台在线提交响应文件。供应商在提交响应文件的截止时间前，可以补充、修改或撤回响应文件。</w:t>
      </w:r>
    </w:p>
    <w:p w14:paraId="02CEA445">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2.2</w:t>
      </w:r>
      <w:r>
        <w:rPr>
          <w:rFonts w:hint="eastAsia" w:ascii="宋体" w:hAnsi="宋体" w:eastAsia="宋体" w:cs="宋体"/>
          <w:color w:val="auto"/>
          <w:kern w:val="0"/>
          <w:szCs w:val="24"/>
          <w:highlight w:val="none"/>
        </w:rPr>
        <w:t>采购机构将通过“信用中国”网站(</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"http://www.creditchina.gov.cn" </w:instrText>
      </w:r>
      <w:r>
        <w:rPr>
          <w:rFonts w:hint="eastAsia" w:ascii="宋体" w:hAnsi="宋体" w:eastAsia="宋体" w:cs="宋体"/>
          <w:color w:val="auto"/>
          <w:highlight w:val="none"/>
        </w:rPr>
        <w:fldChar w:fldCharType="separate"/>
      </w:r>
      <w:r>
        <w:rPr>
          <w:rStyle w:val="68"/>
          <w:rFonts w:hint="eastAsia" w:ascii="宋体" w:hAnsi="宋体" w:eastAsia="宋体" w:cs="宋体"/>
          <w:snapToGrid/>
          <w:color w:val="auto"/>
          <w:sz w:val="24"/>
          <w:szCs w:val="24"/>
          <w:highlight w:val="none"/>
        </w:rPr>
        <w:t>www.creditchina.gov.cn</w:t>
      </w:r>
      <w:r>
        <w:rPr>
          <w:rStyle w:val="68"/>
          <w:rFonts w:hint="eastAsia" w:ascii="宋体" w:hAnsi="宋体" w:eastAsia="宋体" w:cs="宋体"/>
          <w:snapToGrid/>
          <w:color w:val="auto"/>
          <w:sz w:val="24"/>
          <w:szCs w:val="24"/>
          <w:highlight w:val="none"/>
        </w:rPr>
        <w:fldChar w:fldCharType="end"/>
      </w:r>
      <w:r>
        <w:rPr>
          <w:rFonts w:hint="eastAsia" w:ascii="宋体" w:hAnsi="宋体" w:eastAsia="宋体" w:cs="宋体"/>
          <w:color w:val="auto"/>
          <w:kern w:val="0"/>
          <w:szCs w:val="24"/>
          <w:highlight w:val="none"/>
        </w:rPr>
        <w:t>)和中国政府采购网(www.ccgp.gov.cn)渠道查询供应商响应截止时间当日的信用记录。</w:t>
      </w:r>
    </w:p>
    <w:p w14:paraId="3440311B">
      <w:pPr>
        <w:pStyle w:val="431"/>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3.磋商与评审</w:t>
      </w:r>
    </w:p>
    <w:p w14:paraId="3A9F4831">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3.1磋商小组签到。</w:t>
      </w:r>
    </w:p>
    <w:p w14:paraId="52026A5E">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3.2采购机构宣布有关纪律以及磋商、评审工作程序。</w:t>
      </w:r>
    </w:p>
    <w:p w14:paraId="138D2B44">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3.3磋商小组审查确认磋商文件。磋商文件内容违反国家有关强制性规定的，磋商小组应当停止评审并向采购机构说明情况。</w:t>
      </w:r>
    </w:p>
    <w:p w14:paraId="60AA6A3C">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3.4采购人或采购代理机构对供应商的资格进行审查。</w:t>
      </w:r>
    </w:p>
    <w:p w14:paraId="7C5F1AFB">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3.5磋商小组审查响应文件。</w:t>
      </w:r>
    </w:p>
    <w:p w14:paraId="6AADF43B">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3.6对于未实质性响应磋商文件的响应文件由磋商小组认定响应无效，并告知该供应商。</w:t>
      </w:r>
    </w:p>
    <w:p w14:paraId="318CF182">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7CCC3B00">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w:t>
      </w:r>
      <w:r>
        <w:rPr>
          <w:rFonts w:hint="eastAsia" w:ascii="宋体" w:hAnsi="宋体" w:cs="宋体"/>
          <w:color w:val="auto"/>
          <w:szCs w:val="24"/>
          <w:highlight w:val="none"/>
          <w:lang w:val="en-US" w:eastAsia="zh-CN"/>
        </w:rPr>
        <w:t>可</w:t>
      </w:r>
      <w:r>
        <w:rPr>
          <w:rFonts w:hint="eastAsia" w:ascii="宋体" w:hAnsi="宋体" w:eastAsia="宋体" w:cs="宋体"/>
          <w:color w:val="auto"/>
          <w:szCs w:val="24"/>
          <w:highlight w:val="none"/>
        </w:rPr>
        <w:t>由采购机构利用政采云平台发起磋商邀请，供应商通过政采云“在线评审室”进行远程视频磋商。供应商使用CA数字证书登陆政采云平台——收到视频评审邀请——点击“视频评审”进入“视频评审系统”——开始远程磋商活动;对于要求到采购机构现场进行磋商的供应商，可通过视频会议系统或自备CA数字证书、笔记本电脑等开展磋商活动。</w:t>
      </w:r>
    </w:p>
    <w:p w14:paraId="2CCBDED1">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3.9经磋商确定磋商文件的变动情况。对磋商文件作出的实质性变动是磋商文件的有效组成部分，磋商小组应当及时以书面形式同时通知所有参加磋商的供应商。</w:t>
      </w:r>
    </w:p>
    <w:p w14:paraId="7F515E07">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2D8D6946">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3.11磋商小组按照下列方式确定提交最后报价的供应商，有特殊规定的从其规定：</w:t>
      </w:r>
    </w:p>
    <w:p w14:paraId="79C27754">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14:paraId="59D2620D">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0718F594">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3.12确定进入最后报价的供应商在规定时间内提交最后报价。</w:t>
      </w:r>
    </w:p>
    <w:p w14:paraId="7058322D">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3.13采购机构唱价。</w:t>
      </w:r>
    </w:p>
    <w:p w14:paraId="574E7615">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548C7143">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3.15磋商小组应当根据综合评分情况，按照评审得分由高到低顺序推荐3名以上成交候选供应商，并编写评审报告。</w:t>
      </w:r>
    </w:p>
    <w:p w14:paraId="714077C0">
      <w:pPr>
        <w:pStyle w:val="431"/>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4. 成交</w:t>
      </w:r>
    </w:p>
    <w:p w14:paraId="6C15F80A">
      <w:pPr>
        <w:pStyle w:val="431"/>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4.1.政府采购项目实行全流程电子化，评审报告送交、采购结果确定和结果公告均在线完成。采购代理机构应当依法及时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2998263A">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14:paraId="4A6EFB1E">
      <w:pPr>
        <w:pStyle w:val="431"/>
        <w:spacing w:before="0"/>
        <w:ind w:firstLine="0" w:firstLineChars="0"/>
        <w:rPr>
          <w:rFonts w:hint="eastAsia" w:ascii="宋体" w:hAnsi="宋体" w:eastAsia="宋体" w:cs="宋体"/>
          <w:color w:val="auto"/>
          <w:kern w:val="0"/>
          <w:szCs w:val="21"/>
          <w:highlight w:val="none"/>
        </w:rPr>
      </w:pPr>
      <w:r>
        <w:rPr>
          <w:rFonts w:hint="eastAsia" w:ascii="宋体" w:hAnsi="宋体" w:eastAsia="宋体" w:cs="宋体"/>
          <w:b/>
          <w:color w:val="auto"/>
          <w:highlight w:val="none"/>
        </w:rPr>
        <w:t>5.合同及履约验收</w:t>
      </w:r>
    </w:p>
    <w:p w14:paraId="5AA7C6BB">
      <w:pPr>
        <w:pStyle w:val="431"/>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5.1.采购人与成交供应商应当通过电子交易平台在成交通知书发出之日起三十日内，按照磋商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成交通知书发出之日起10个工作日内，与成交供应商按照磋商文件确定的事项签订政府采购合同。</w:t>
      </w:r>
    </w:p>
    <w:p w14:paraId="0BBF94CE">
      <w:pPr>
        <w:pStyle w:val="431"/>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5.2.成交供应商缴纳履约保证金（拟签订的合同文本要求成交供应商提交履约保证金的，供应商应当以支票、汇票、本票或者金融机构、担保机构出具的保函等非现金形式提交。履约保证金的数额不得超过政府采购合同金额的1.0%。采购人不得拒收履约保函），项目验收结束后应及时退还，延迟退还的，应当按照合同约定和法律规定承担相应的赔偿责任。</w:t>
      </w:r>
    </w:p>
    <w:p w14:paraId="6073BF1A">
      <w:pPr>
        <w:pStyle w:val="431"/>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5.3.供应商可登录政采云平台-【金融服务】—【我的项目】—【已备案合同】以保函形式提供：</w:t>
      </w:r>
    </w:p>
    <w:p w14:paraId="50FBDE6C">
      <w:pPr>
        <w:pStyle w:val="431"/>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5.4.1.</w:t>
      </w:r>
      <w:r>
        <w:rPr>
          <w:rFonts w:hint="eastAsia" w:ascii="宋体" w:hAnsi="宋体" w:eastAsia="宋体" w:cs="宋体"/>
          <w:color w:val="auto"/>
          <w:szCs w:val="24"/>
          <w:highlight w:val="none"/>
        </w:rPr>
        <w:tab/>
      </w:r>
      <w:r>
        <w:rPr>
          <w:rFonts w:hint="eastAsia" w:ascii="宋体" w:hAnsi="宋体" w:eastAsia="宋体" w:cs="宋体"/>
          <w:color w:val="auto"/>
          <w:szCs w:val="24"/>
          <w:highlight w:val="none"/>
        </w:rPr>
        <w:t>供应商在合同列表选择需要投保的合同，点击【保函推荐】。</w:t>
      </w:r>
    </w:p>
    <w:p w14:paraId="24BD79E2">
      <w:pPr>
        <w:pStyle w:val="431"/>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5.4.2.</w:t>
      </w:r>
      <w:r>
        <w:rPr>
          <w:rFonts w:hint="eastAsia" w:ascii="宋体" w:hAnsi="宋体" w:eastAsia="宋体" w:cs="宋体"/>
          <w:color w:val="auto"/>
          <w:szCs w:val="24"/>
          <w:highlight w:val="none"/>
        </w:rPr>
        <w:tab/>
      </w:r>
      <w:r>
        <w:rPr>
          <w:rFonts w:hint="eastAsia" w:ascii="宋体" w:hAnsi="宋体" w:eastAsia="宋体" w:cs="宋体"/>
          <w:color w:val="auto"/>
          <w:szCs w:val="24"/>
          <w:highlight w:val="none"/>
        </w:rPr>
        <w:t>在弹框里查看推荐的保函产品，供应商自行选择保函产品，点击【立即申请】。</w:t>
      </w:r>
    </w:p>
    <w:p w14:paraId="0E7C0F7B">
      <w:pPr>
        <w:pStyle w:val="431"/>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5.4.在弹框里填写保函申请信息。具体步骤：选择产品—填写供应商信息—选择交成项目—确认信息—等待保险/保函受理—确认保单—支付保费—成功出单。政采云金融专线400-903-9583。</w:t>
      </w:r>
    </w:p>
    <w:p w14:paraId="2163D3A9">
      <w:pPr>
        <w:pStyle w:val="431"/>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5.5.合同履约。</w:t>
      </w:r>
    </w:p>
    <w:p w14:paraId="5ADA76FC">
      <w:pPr>
        <w:pStyle w:val="4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5.6.采购人组织验收。</w:t>
      </w:r>
    </w:p>
    <w:p w14:paraId="5AB458C9">
      <w:pPr>
        <w:pStyle w:val="431"/>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6.竞争性磋商流程图</w:t>
      </w:r>
    </w:p>
    <w:p w14:paraId="688A31AE">
      <w:pPr>
        <w:widowControl/>
        <w:adjustRightInd/>
        <w:jc w:val="left"/>
        <w:rPr>
          <w:rFonts w:hint="eastAsia" w:ascii="宋体" w:hAnsi="宋体" w:eastAsia="宋体" w:cs="宋体"/>
          <w:b/>
          <w:color w:val="auto"/>
          <w:sz w:val="36"/>
          <w:szCs w:val="20"/>
          <w:highlight w:val="none"/>
        </w:rPr>
      </w:pPr>
      <w:r>
        <w:rPr>
          <w:rFonts w:hint="eastAsia" w:ascii="宋体" w:hAnsi="宋体" w:eastAsia="宋体" w:cs="宋体"/>
          <w:b/>
          <w:color w:val="auto"/>
          <w:highlight w:val="none"/>
        </w:rPr>
        <w:drawing>
          <wp:inline distT="0" distB="0" distL="114300" distR="114300">
            <wp:extent cx="5758180" cy="2319020"/>
            <wp:effectExtent l="0" t="0" r="13970" b="5080"/>
            <wp:docPr id="20" name="ECB019B1-382A-4266-B25C-5B523AA43C14-1" descr="C:/Users/Administrator/AppData/Local/Temp/wps.hNBePf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ECB019B1-382A-4266-B25C-5B523AA43C14-1" descr="C:/Users/Administrator/AppData/Local/Temp/wps.hNBePfwps"/>
                    <pic:cNvPicPr>
                      <a:picLocks noChangeAspect="1"/>
                    </pic:cNvPicPr>
                  </pic:nvPicPr>
                  <pic:blipFill>
                    <a:blip r:embed="rId13"/>
                    <a:stretch>
                      <a:fillRect/>
                    </a:stretch>
                  </pic:blipFill>
                  <pic:spPr>
                    <a:xfrm>
                      <a:off x="0" y="0"/>
                      <a:ext cx="5758180" cy="2319020"/>
                    </a:xfrm>
                    <a:prstGeom prst="rect">
                      <a:avLst/>
                    </a:prstGeom>
                  </pic:spPr>
                </pic:pic>
              </a:graphicData>
            </a:graphic>
          </wp:inline>
        </w:drawing>
      </w:r>
    </w:p>
    <w:p w14:paraId="51D4AD60">
      <w:pPr>
        <w:widowControl/>
        <w:adjustRightInd/>
        <w:jc w:val="left"/>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14:paraId="1D68A634">
      <w:pPr>
        <w:adjustRightInd/>
        <w:spacing w:line="360" w:lineRule="auto"/>
        <w:jc w:val="center"/>
        <w:outlineLvl w:val="0"/>
        <w:rPr>
          <w:rFonts w:hint="eastAsia" w:ascii="宋体" w:hAnsi="宋体" w:eastAsia="宋体" w:cs="宋体"/>
          <w:b/>
          <w:color w:val="auto"/>
          <w:sz w:val="36"/>
          <w:szCs w:val="20"/>
          <w:highlight w:val="none"/>
        </w:rPr>
      </w:pPr>
      <w:bookmarkStart w:id="60" w:name="_Toc12970"/>
      <w:r>
        <w:rPr>
          <w:rFonts w:hint="eastAsia" w:ascii="宋体" w:hAnsi="宋体" w:eastAsia="宋体" w:cs="宋体"/>
          <w:b/>
          <w:color w:val="auto"/>
          <w:sz w:val="36"/>
          <w:szCs w:val="20"/>
          <w:highlight w:val="none"/>
        </w:rPr>
        <w:t>第三部分</w:t>
      </w:r>
      <w:bookmarkEnd w:id="4"/>
      <w:r>
        <w:rPr>
          <w:rFonts w:hint="eastAsia" w:ascii="宋体" w:hAnsi="宋体" w:eastAsia="宋体" w:cs="宋体"/>
          <w:b/>
          <w:color w:val="auto"/>
          <w:sz w:val="36"/>
          <w:szCs w:val="20"/>
          <w:highlight w:val="none"/>
        </w:rPr>
        <w:t xml:space="preserve">  供应商须知</w:t>
      </w:r>
      <w:bookmarkEnd w:id="5"/>
      <w:bookmarkEnd w:id="60"/>
    </w:p>
    <w:p w14:paraId="3855A0C7">
      <w:pPr>
        <w:adjustRightInd/>
        <w:spacing w:line="360" w:lineRule="auto"/>
        <w:jc w:val="center"/>
        <w:outlineLvl w:val="0"/>
        <w:rPr>
          <w:rFonts w:hint="eastAsia" w:ascii="宋体" w:hAnsi="宋体" w:eastAsia="宋体" w:cs="宋体"/>
          <w:b/>
          <w:color w:val="auto"/>
          <w:sz w:val="36"/>
          <w:szCs w:val="20"/>
          <w:highlight w:val="none"/>
        </w:rPr>
      </w:pPr>
      <w:bookmarkStart w:id="61" w:name="_Toc7345"/>
      <w:r>
        <w:rPr>
          <w:rFonts w:hint="eastAsia" w:ascii="宋体" w:hAnsi="宋体" w:eastAsia="宋体" w:cs="宋体"/>
          <w:b/>
          <w:color w:val="auto"/>
          <w:sz w:val="36"/>
          <w:szCs w:val="20"/>
          <w:highlight w:val="none"/>
        </w:rPr>
        <w:t>一、前附表</w:t>
      </w:r>
      <w:bookmarkEnd w:id="61"/>
    </w:p>
    <w:tbl>
      <w:tblPr>
        <w:tblStyle w:val="60"/>
        <w:tblW w:w="9798" w:type="dxa"/>
        <w:tblInd w:w="-19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977"/>
        <w:gridCol w:w="1936"/>
        <w:gridCol w:w="6885"/>
      </w:tblGrid>
      <w:tr w14:paraId="11FF56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69" w:hRule="atLeast"/>
          <w:tblHeader/>
        </w:trPr>
        <w:tc>
          <w:tcPr>
            <w:tcW w:w="977" w:type="dxa"/>
            <w:tcBorders>
              <w:top w:val="single" w:color="auto" w:sz="4" w:space="0"/>
              <w:left w:val="single" w:color="auto" w:sz="4" w:space="0"/>
              <w:bottom w:val="single" w:color="auto" w:sz="4" w:space="0"/>
              <w:right w:val="single" w:color="auto" w:sz="4" w:space="0"/>
            </w:tcBorders>
            <w:vAlign w:val="center"/>
          </w:tcPr>
          <w:p w14:paraId="6601A9A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936" w:type="dxa"/>
            <w:tcBorders>
              <w:top w:val="single" w:color="000000" w:sz="8" w:space="0"/>
              <w:left w:val="single" w:color="auto" w:sz="4" w:space="0"/>
              <w:bottom w:val="single" w:color="000000" w:sz="8" w:space="0"/>
              <w:right w:val="single" w:color="000000" w:sz="8" w:space="0"/>
            </w:tcBorders>
            <w:vAlign w:val="center"/>
          </w:tcPr>
          <w:p w14:paraId="0A2C64B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885" w:type="dxa"/>
            <w:tcBorders>
              <w:top w:val="single" w:color="000000" w:sz="8" w:space="0"/>
              <w:left w:val="single" w:color="000000" w:sz="2" w:space="0"/>
              <w:bottom w:val="single" w:color="000000" w:sz="8" w:space="0"/>
              <w:right w:val="single" w:color="000000" w:sz="8" w:space="0"/>
            </w:tcBorders>
            <w:vAlign w:val="center"/>
          </w:tcPr>
          <w:p w14:paraId="28020F5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14:paraId="39E9DC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4" w:hRule="atLeast"/>
          <w:tblHeader/>
        </w:trPr>
        <w:tc>
          <w:tcPr>
            <w:tcW w:w="977" w:type="dxa"/>
            <w:tcBorders>
              <w:top w:val="single" w:color="auto" w:sz="4" w:space="0"/>
              <w:left w:val="single" w:color="auto" w:sz="4" w:space="0"/>
              <w:bottom w:val="single" w:color="auto" w:sz="4" w:space="0"/>
              <w:right w:val="single" w:color="auto" w:sz="4" w:space="0"/>
            </w:tcBorders>
            <w:vAlign w:val="center"/>
          </w:tcPr>
          <w:p w14:paraId="33A3319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936" w:type="dxa"/>
            <w:tcBorders>
              <w:top w:val="single" w:color="000000" w:sz="8" w:space="0"/>
              <w:left w:val="single" w:color="auto" w:sz="4" w:space="0"/>
              <w:bottom w:val="single" w:color="000000" w:sz="8" w:space="0"/>
              <w:right w:val="single" w:color="000000" w:sz="8" w:space="0"/>
            </w:tcBorders>
            <w:vAlign w:val="center"/>
          </w:tcPr>
          <w:p w14:paraId="694025D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w:t>
            </w:r>
          </w:p>
        </w:tc>
        <w:tc>
          <w:tcPr>
            <w:tcW w:w="6885" w:type="dxa"/>
            <w:tcBorders>
              <w:top w:val="single" w:color="000000" w:sz="8" w:space="0"/>
              <w:left w:val="single" w:color="000000" w:sz="2" w:space="0"/>
              <w:bottom w:val="single" w:color="000000" w:sz="8" w:space="0"/>
              <w:right w:val="single" w:color="000000" w:sz="8" w:space="0"/>
            </w:tcBorders>
            <w:vAlign w:val="center"/>
          </w:tcPr>
          <w:p w14:paraId="4FC2EDB7">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服务类。</w:t>
            </w:r>
          </w:p>
        </w:tc>
      </w:tr>
      <w:tr w14:paraId="0EC3DF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8" w:hRule="atLeast"/>
          <w:tblHeader/>
        </w:trPr>
        <w:tc>
          <w:tcPr>
            <w:tcW w:w="977" w:type="dxa"/>
            <w:tcBorders>
              <w:top w:val="single" w:color="auto" w:sz="4" w:space="0"/>
              <w:left w:val="single" w:color="auto" w:sz="4" w:space="0"/>
              <w:bottom w:val="single" w:color="auto" w:sz="4" w:space="0"/>
              <w:right w:val="single" w:color="auto" w:sz="4" w:space="0"/>
            </w:tcBorders>
            <w:vAlign w:val="center"/>
          </w:tcPr>
          <w:p w14:paraId="12946B0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936" w:type="dxa"/>
            <w:tcBorders>
              <w:top w:val="single" w:color="000000" w:sz="8" w:space="0"/>
              <w:left w:val="single" w:color="auto" w:sz="4" w:space="0"/>
              <w:bottom w:val="single" w:color="000000" w:sz="8" w:space="0"/>
              <w:right w:val="single" w:color="000000" w:sz="8" w:space="0"/>
            </w:tcBorders>
            <w:vAlign w:val="center"/>
          </w:tcPr>
          <w:p w14:paraId="657D6A2F">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采购标的及其对应的中小企业划分标准所属行业</w:t>
            </w:r>
          </w:p>
        </w:tc>
        <w:tc>
          <w:tcPr>
            <w:tcW w:w="6885" w:type="dxa"/>
            <w:tcBorders>
              <w:top w:val="single" w:color="000000" w:sz="8" w:space="0"/>
              <w:left w:val="single" w:color="000000" w:sz="2" w:space="0"/>
              <w:bottom w:val="single" w:color="000000" w:sz="8" w:space="0"/>
              <w:right w:val="single" w:color="000000" w:sz="8" w:space="0"/>
            </w:tcBorders>
            <w:vAlign w:val="center"/>
          </w:tcPr>
          <w:p w14:paraId="0870C93D">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标的：</w:t>
            </w:r>
            <w:r>
              <w:rPr>
                <w:rFonts w:hint="eastAsia" w:ascii="宋体" w:hAnsi="宋体" w:cs="宋体"/>
                <w:color w:val="auto"/>
                <w:kern w:val="0"/>
                <w:sz w:val="24"/>
                <w:highlight w:val="none"/>
                <w:u w:val="single"/>
                <w:lang w:eastAsia="zh-CN"/>
              </w:rPr>
              <w:t>龙湾分局“龙脉”溯源工作平台</w:t>
            </w:r>
            <w:r>
              <w:rPr>
                <w:rFonts w:hint="eastAsia" w:ascii="宋体" w:hAnsi="宋体" w:eastAsia="宋体" w:cs="宋体"/>
                <w:color w:val="auto"/>
                <w:kern w:val="0"/>
                <w:sz w:val="24"/>
                <w:highlight w:val="none"/>
              </w:rPr>
              <w:t>，属于</w:t>
            </w:r>
            <w:r>
              <w:rPr>
                <w:rFonts w:hint="eastAsia" w:ascii="宋体" w:hAnsi="宋体" w:eastAsia="宋体" w:cs="宋体"/>
                <w:color w:val="auto"/>
                <w:kern w:val="0"/>
                <w:sz w:val="24"/>
                <w:highlight w:val="none"/>
                <w:u w:val="single"/>
              </w:rPr>
              <w:t>软件和信息技术服务业</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rPr>
              <w:t>行业；</w:t>
            </w:r>
          </w:p>
          <w:p w14:paraId="13F71D0F">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highlight w:val="none"/>
              </w:rPr>
            </w:pPr>
            <w:r>
              <w:rPr>
                <w:rFonts w:hint="eastAsia" w:ascii="宋体" w:hAnsi="宋体" w:eastAsia="宋体" w:cs="宋体"/>
                <w:color w:val="auto"/>
                <w:kern w:val="0"/>
                <w:sz w:val="24"/>
                <w:highlight w:val="none"/>
              </w:rPr>
              <w:t>标准：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14:paraId="607AC2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42" w:hRule="atLeast"/>
          <w:tblHeader/>
        </w:trPr>
        <w:tc>
          <w:tcPr>
            <w:tcW w:w="977" w:type="dxa"/>
            <w:tcBorders>
              <w:top w:val="single" w:color="auto" w:sz="4" w:space="0"/>
              <w:left w:val="single" w:color="auto" w:sz="4" w:space="0"/>
              <w:bottom w:val="single" w:color="auto" w:sz="4" w:space="0"/>
              <w:right w:val="single" w:color="auto" w:sz="4" w:space="0"/>
            </w:tcBorders>
            <w:vAlign w:val="center"/>
          </w:tcPr>
          <w:p w14:paraId="2935EAE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936" w:type="dxa"/>
            <w:tcBorders>
              <w:top w:val="single" w:color="000000" w:sz="8" w:space="0"/>
              <w:left w:val="single" w:color="auto" w:sz="4" w:space="0"/>
              <w:bottom w:val="single" w:color="000000" w:sz="8" w:space="0"/>
              <w:right w:val="single" w:color="000000" w:sz="8" w:space="0"/>
            </w:tcBorders>
            <w:vAlign w:val="center"/>
          </w:tcPr>
          <w:p w14:paraId="308EE0B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是否允许采购进口产品</w:t>
            </w:r>
          </w:p>
        </w:tc>
        <w:tc>
          <w:tcPr>
            <w:tcW w:w="6885" w:type="dxa"/>
            <w:tcBorders>
              <w:top w:val="single" w:color="000000" w:sz="8" w:space="0"/>
              <w:left w:val="single" w:color="000000" w:sz="2" w:space="0"/>
              <w:bottom w:val="single" w:color="000000" w:sz="8" w:space="0"/>
              <w:right w:val="single" w:color="000000" w:sz="8" w:space="0"/>
            </w:tcBorders>
            <w:vAlign w:val="center"/>
          </w:tcPr>
          <w:p w14:paraId="2C995977">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本项目不允许采购进口产品。</w:t>
            </w:r>
          </w:p>
          <w:p w14:paraId="60D32C84">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可以就</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采购进口产品。</w:t>
            </w:r>
          </w:p>
        </w:tc>
      </w:tr>
      <w:tr w14:paraId="520FE4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8" w:hRule="atLeast"/>
          <w:tblHeader/>
        </w:trPr>
        <w:tc>
          <w:tcPr>
            <w:tcW w:w="977" w:type="dxa"/>
            <w:tcBorders>
              <w:top w:val="single" w:color="auto" w:sz="4" w:space="0"/>
              <w:left w:val="single" w:color="auto" w:sz="4" w:space="0"/>
              <w:bottom w:val="single" w:color="auto" w:sz="4" w:space="0"/>
              <w:right w:val="single" w:color="auto" w:sz="4" w:space="0"/>
            </w:tcBorders>
            <w:vAlign w:val="center"/>
          </w:tcPr>
          <w:p w14:paraId="71C3481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936" w:type="dxa"/>
            <w:tcBorders>
              <w:top w:val="single" w:color="000000" w:sz="8" w:space="0"/>
              <w:left w:val="single" w:color="auto" w:sz="4" w:space="0"/>
              <w:bottom w:val="single" w:color="000000" w:sz="8" w:space="0"/>
              <w:right w:val="single" w:color="000000" w:sz="8" w:space="0"/>
            </w:tcBorders>
            <w:vAlign w:val="center"/>
          </w:tcPr>
          <w:p w14:paraId="7029DFE3">
            <w:pPr>
              <w:keepNext w:val="0"/>
              <w:keepLines w:val="0"/>
              <w:pageBreakBefore w:val="0"/>
              <w:widowControl w:val="0"/>
              <w:kinsoku/>
              <w:wordWrap/>
              <w:overflowPunct/>
              <w:topLinePunct w:val="0"/>
              <w:autoSpaceDE/>
              <w:autoSpaceDN/>
              <w:bidi w:val="0"/>
              <w:adjustRightInd w:val="0"/>
              <w:snapToGrid w:val="0"/>
              <w:spacing w:line="240"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885" w:type="dxa"/>
            <w:tcBorders>
              <w:top w:val="single" w:color="000000" w:sz="8" w:space="0"/>
              <w:left w:val="single" w:color="000000" w:sz="2" w:space="0"/>
              <w:bottom w:val="single" w:color="000000" w:sz="8" w:space="0"/>
              <w:right w:val="single" w:color="000000" w:sz="8" w:space="0"/>
            </w:tcBorders>
            <w:vAlign w:val="center"/>
          </w:tcPr>
          <w:p w14:paraId="109B98EB">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7286927"/>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rPr>
              <w:t xml:space="preserve"> A</w:t>
            </w:r>
            <w:r>
              <w:rPr>
                <w:rFonts w:hint="eastAsia" w:ascii="宋体" w:hAnsi="宋体" w:eastAsia="宋体" w:cs="宋体"/>
                <w:color w:val="auto"/>
                <w:sz w:val="24"/>
                <w:highlight w:val="none"/>
              </w:rPr>
              <w:t>同意将非主体、非关键性的</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工作分包。</w:t>
            </w:r>
          </w:p>
          <w:p w14:paraId="376A79EB">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27633135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 xml:space="preserve"> B</w:t>
            </w:r>
            <w:r>
              <w:rPr>
                <w:rFonts w:hint="eastAsia" w:ascii="宋体" w:hAnsi="宋体" w:eastAsia="宋体" w:cs="宋体"/>
                <w:color w:val="auto"/>
                <w:sz w:val="24"/>
                <w:highlight w:val="none"/>
              </w:rPr>
              <w:t>不同意分包。</w:t>
            </w:r>
          </w:p>
          <w:p w14:paraId="5D9D0295">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注：不得限制大中型企业向小微企业合理分包。</w:t>
            </w:r>
          </w:p>
        </w:tc>
      </w:tr>
      <w:tr w14:paraId="02081F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97" w:hRule="atLeast"/>
          <w:tblHeader/>
        </w:trPr>
        <w:tc>
          <w:tcPr>
            <w:tcW w:w="977" w:type="dxa"/>
            <w:tcBorders>
              <w:top w:val="single" w:color="auto" w:sz="4" w:space="0"/>
              <w:left w:val="single" w:color="auto" w:sz="4" w:space="0"/>
              <w:bottom w:val="single" w:color="auto" w:sz="4" w:space="0"/>
              <w:right w:val="single" w:color="auto" w:sz="4" w:space="0"/>
            </w:tcBorders>
            <w:vAlign w:val="center"/>
          </w:tcPr>
          <w:p w14:paraId="22F8100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936" w:type="dxa"/>
            <w:tcBorders>
              <w:top w:val="single" w:color="000000" w:sz="8" w:space="0"/>
              <w:left w:val="single" w:color="auto" w:sz="4" w:space="0"/>
              <w:bottom w:val="single" w:color="000000" w:sz="8" w:space="0"/>
              <w:right w:val="single" w:color="000000" w:sz="8" w:space="0"/>
            </w:tcBorders>
            <w:vAlign w:val="center"/>
          </w:tcPr>
          <w:p w14:paraId="43DBFCA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885" w:type="dxa"/>
            <w:tcBorders>
              <w:top w:val="single" w:color="000000" w:sz="8" w:space="0"/>
              <w:left w:val="single" w:color="000000" w:sz="2" w:space="0"/>
              <w:bottom w:val="single" w:color="000000" w:sz="8" w:space="0"/>
              <w:right w:val="single" w:color="000000" w:sz="8" w:space="0"/>
            </w:tcBorders>
            <w:vAlign w:val="center"/>
          </w:tcPr>
          <w:p w14:paraId="5162114C">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14:paraId="2319A419">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tc>
      </w:tr>
      <w:tr w14:paraId="6F9464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275" w:hRule="atLeast"/>
          <w:tblHeader/>
        </w:trPr>
        <w:tc>
          <w:tcPr>
            <w:tcW w:w="977" w:type="dxa"/>
            <w:tcBorders>
              <w:top w:val="single" w:color="auto" w:sz="4" w:space="0"/>
              <w:left w:val="single" w:color="auto" w:sz="4" w:space="0"/>
              <w:bottom w:val="single" w:color="auto" w:sz="4" w:space="0"/>
              <w:right w:val="single" w:color="auto" w:sz="4" w:space="0"/>
            </w:tcBorders>
            <w:vAlign w:val="center"/>
          </w:tcPr>
          <w:p w14:paraId="6D2C510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936" w:type="dxa"/>
            <w:tcBorders>
              <w:top w:val="single" w:color="000000" w:sz="8" w:space="0"/>
              <w:left w:val="single" w:color="auto" w:sz="4" w:space="0"/>
              <w:bottom w:val="single" w:color="000000" w:sz="8" w:space="0"/>
              <w:right w:val="single" w:color="000000" w:sz="8" w:space="0"/>
            </w:tcBorders>
            <w:vAlign w:val="center"/>
          </w:tcPr>
          <w:p w14:paraId="2AA356D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885" w:type="dxa"/>
            <w:tcBorders>
              <w:top w:val="single" w:color="000000" w:sz="8" w:space="0"/>
              <w:left w:val="single" w:color="000000" w:sz="2" w:space="0"/>
              <w:bottom w:val="single" w:color="000000" w:sz="8" w:space="0"/>
              <w:right w:val="single" w:color="000000" w:sz="8" w:space="0"/>
            </w:tcBorders>
            <w:vAlign w:val="center"/>
          </w:tcPr>
          <w:p w14:paraId="548E35A7">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不要求提供。</w:t>
            </w:r>
          </w:p>
          <w:p w14:paraId="60229E5E">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B要求提供，</w:t>
            </w:r>
          </w:p>
          <w:p w14:paraId="5FC97210">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snapToGrid w:val="0"/>
                <w:color w:val="auto"/>
                <w:kern w:val="28"/>
                <w:sz w:val="24"/>
                <w:highlight w:val="none"/>
              </w:rPr>
              <w:t>样品：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1C751EA6">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snapToGrid w:val="0"/>
                <w:color w:val="auto"/>
                <w:kern w:val="28"/>
                <w:sz w:val="24"/>
                <w:highlight w:val="none"/>
              </w:rPr>
              <w:t>样品制作的标准和要求：</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12AA199F">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（3）样品的评审方法以及评审标准</w:t>
            </w:r>
            <w:r>
              <w:rPr>
                <w:rFonts w:hint="eastAsia" w:ascii="宋体" w:hAnsi="宋体" w:eastAsia="宋体" w:cs="宋体"/>
                <w:snapToGrid w:val="0"/>
                <w:color w:val="auto"/>
                <w:kern w:val="28"/>
                <w:sz w:val="24"/>
                <w:highlight w:val="none"/>
              </w:rPr>
              <w:t>：详见</w:t>
            </w:r>
            <w:r>
              <w:rPr>
                <w:rFonts w:hint="eastAsia" w:ascii="宋体" w:hAnsi="宋体" w:eastAsia="宋体" w:cs="宋体"/>
                <w:color w:val="auto"/>
                <w:sz w:val="24"/>
                <w:highlight w:val="none"/>
                <w:u w:val="single"/>
              </w:rPr>
              <w:t>评审标准</w:t>
            </w:r>
            <w:r>
              <w:rPr>
                <w:rFonts w:hint="eastAsia" w:ascii="宋体" w:hAnsi="宋体" w:eastAsia="宋体" w:cs="宋体"/>
                <w:color w:val="auto"/>
                <w:kern w:val="0"/>
                <w:sz w:val="24"/>
                <w:highlight w:val="none"/>
              </w:rPr>
              <w:t>；</w:t>
            </w:r>
          </w:p>
          <w:p w14:paraId="6944B19A">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（4）是否需要随样品提交检测报告：</w:t>
            </w:r>
            <w:sdt>
              <w:sdtPr>
                <w:rPr>
                  <w:rFonts w:hint="eastAsia" w:ascii="宋体" w:hAnsi="宋体" w:eastAsia="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否；</w:t>
            </w:r>
            <w:sdt>
              <w:sdtPr>
                <w:rPr>
                  <w:rFonts w:hint="eastAsia" w:ascii="宋体" w:hAnsi="宋体" w:eastAsia="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是，检测机构的要求</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；检测内容</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1D557577">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（5）提供样品的时间：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；联系人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28"/>
                <w:sz w:val="24"/>
                <w:highlight w:val="none"/>
              </w:rPr>
              <w:t>联系电话：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。请供应商在上述时间内提供样品并按规定位置安装完毕。超过截止时间的，采购人或采购代理机构将不予接收，并将清场并封闭样品现场。</w:t>
            </w:r>
          </w:p>
          <w:p w14:paraId="19877CD2">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(6)采购活动结束后，对于未成交人提供的样品，采购人、采购机构将通知未成交人在规定的时间内取回，逾期未取回的，采购人、采购机构不负保管义务；对于成交人提供的样品，采购人将进行保管、封存，并作为履约验收的参考。</w:t>
            </w:r>
          </w:p>
          <w:p w14:paraId="0F4C18F8">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（7）制作、运输、安装和保管样品所发生的一切费用由供应商自理。</w:t>
            </w:r>
          </w:p>
        </w:tc>
      </w:tr>
      <w:tr w14:paraId="3BF904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116" w:hRule="atLeast"/>
          <w:tblHeader/>
        </w:trPr>
        <w:tc>
          <w:tcPr>
            <w:tcW w:w="977" w:type="dxa"/>
            <w:tcBorders>
              <w:top w:val="single" w:color="auto" w:sz="4" w:space="0"/>
              <w:left w:val="single" w:color="auto" w:sz="4" w:space="0"/>
              <w:bottom w:val="single" w:color="auto" w:sz="4" w:space="0"/>
              <w:right w:val="single" w:color="auto" w:sz="4" w:space="0"/>
            </w:tcBorders>
            <w:vAlign w:val="center"/>
          </w:tcPr>
          <w:p w14:paraId="5B22624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936" w:type="dxa"/>
            <w:tcBorders>
              <w:top w:val="single" w:color="000000" w:sz="8" w:space="0"/>
              <w:left w:val="single" w:color="auto" w:sz="4" w:space="0"/>
              <w:bottom w:val="single" w:color="000000" w:sz="8" w:space="0"/>
              <w:right w:val="single" w:color="000000" w:sz="8" w:space="0"/>
            </w:tcBorders>
            <w:vAlign w:val="center"/>
          </w:tcPr>
          <w:p w14:paraId="2CE54D8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885" w:type="dxa"/>
            <w:tcBorders>
              <w:top w:val="single" w:color="000000" w:sz="8" w:space="0"/>
              <w:left w:val="single" w:color="000000" w:sz="2" w:space="0"/>
              <w:bottom w:val="single" w:color="000000" w:sz="8" w:space="0"/>
              <w:right w:val="single" w:color="000000" w:sz="8" w:space="0"/>
            </w:tcBorders>
            <w:vAlign w:val="center"/>
          </w:tcPr>
          <w:p w14:paraId="433207A8">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859348549"/>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14:paraId="51FDCD4A">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b/>
                <w:bCs/>
                <w:color w:val="auto"/>
                <w:kern w:val="0"/>
                <w:sz w:val="28"/>
                <w:szCs w:val="28"/>
                <w:highlight w:val="none"/>
                <w:u w:val="single"/>
              </w:rPr>
            </w:pPr>
            <w:sdt>
              <w:sdtPr>
                <w:rPr>
                  <w:rFonts w:hint="eastAsia" w:ascii="宋体" w:hAnsi="宋体" w:eastAsia="宋体" w:cs="宋体"/>
                  <w:b/>
                  <w:bCs/>
                  <w:color w:val="auto"/>
                  <w:kern w:val="0"/>
                  <w:sz w:val="28"/>
                  <w:szCs w:val="28"/>
                  <w:highlight w:val="none"/>
                  <w:u w:val="single"/>
                </w:rPr>
                <w:id w:val="1174071719"/>
                <w14:checkbox>
                  <w14:checked w14:val="1"/>
                  <w14:checkedState w14:val="00FE" w14:font="Wingdings"/>
                  <w14:uncheckedState w14:val="2610" w14:font="MS Gothic"/>
                </w14:checkbox>
              </w:sdtPr>
              <w:sdtEndPr>
                <w:rPr>
                  <w:rFonts w:hint="eastAsia" w:ascii="宋体" w:hAnsi="宋体" w:eastAsia="宋体" w:cs="宋体"/>
                  <w:b/>
                  <w:bCs/>
                  <w:color w:val="auto"/>
                  <w:kern w:val="0"/>
                  <w:sz w:val="28"/>
                  <w:szCs w:val="28"/>
                  <w:highlight w:val="none"/>
                  <w:u w:val="single"/>
                </w:rPr>
              </w:sdtEndPr>
              <w:sdtContent>
                <w:r>
                  <w:rPr>
                    <w:rFonts w:hint="eastAsia" w:ascii="Wingdings" w:hAnsi="Wingdings" w:eastAsia="宋体" w:cs="宋体"/>
                    <w:b/>
                    <w:bCs/>
                    <w:color w:val="auto"/>
                    <w:kern w:val="0"/>
                    <w:sz w:val="28"/>
                    <w:szCs w:val="28"/>
                    <w:highlight w:val="none"/>
                    <w:u w:val="single"/>
                    <w:lang w:val="en-US" w:eastAsia="zh-CN" w:bidi="ar-SA"/>
                  </w:rPr>
                  <w:t>þ</w:t>
                </w:r>
              </w:sdtContent>
            </w:sdt>
            <w:r>
              <w:rPr>
                <w:rFonts w:hint="eastAsia" w:ascii="宋体" w:hAnsi="宋体" w:eastAsia="宋体" w:cs="宋体"/>
                <w:b/>
                <w:bCs/>
                <w:color w:val="auto"/>
                <w:kern w:val="0"/>
                <w:sz w:val="28"/>
                <w:szCs w:val="28"/>
                <w:highlight w:val="none"/>
                <w:u w:val="single"/>
              </w:rPr>
              <w:t>B组织。</w:t>
            </w:r>
          </w:p>
          <w:p w14:paraId="02B7F44E">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（1）在评审时安排每个供应商进行方案讲解演示。每个供应商时间不超过</w:t>
            </w:r>
            <w:r>
              <w:rPr>
                <w:rFonts w:hint="eastAsia" w:ascii="宋体" w:hAnsi="宋体" w:cs="宋体"/>
                <w:color w:val="auto"/>
                <w:kern w:val="0"/>
                <w:sz w:val="24"/>
                <w:highlight w:val="none"/>
                <w:lang w:val="en-US" w:eastAsia="zh-CN"/>
              </w:rPr>
              <w:t>15</w:t>
            </w:r>
            <w:r>
              <w:rPr>
                <w:rFonts w:hint="eastAsia" w:ascii="宋体" w:hAnsi="宋体" w:eastAsia="宋体" w:cs="宋体"/>
                <w:color w:val="auto"/>
                <w:kern w:val="0"/>
                <w:sz w:val="24"/>
                <w:highlight w:val="none"/>
              </w:rPr>
              <w:t>分钟，讲解次序以响应文件解密时间先后次序为准</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演示形式：</w:t>
            </w:r>
            <w:r>
              <w:rPr>
                <w:rFonts w:hint="eastAsia" w:ascii="宋体" w:hAnsi="宋体" w:cs="宋体"/>
                <w:b/>
                <w:bCs/>
                <w:color w:val="auto"/>
                <w:kern w:val="0"/>
                <w:sz w:val="24"/>
                <w:highlight w:val="none"/>
                <w:u w:val="single"/>
                <w:lang w:val="en-US" w:eastAsia="zh-CN"/>
              </w:rPr>
              <w:t>采用录屏形式的需拷贝至U盘中随投标文件一同递交，无法打开的视频文件按未提交处理</w:t>
            </w:r>
            <w:r>
              <w:rPr>
                <w:rFonts w:hint="eastAsia" w:ascii="宋体" w:hAnsi="宋体" w:eastAsia="宋体" w:cs="宋体"/>
                <w:b/>
                <w:bCs/>
                <w:color w:val="auto"/>
                <w:kern w:val="0"/>
                <w:sz w:val="24"/>
                <w:highlight w:val="none"/>
                <w:u w:val="single"/>
              </w:rPr>
              <w:t>。</w:t>
            </w:r>
          </w:p>
          <w:p w14:paraId="2F2CCE56">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（2）</w:t>
            </w:r>
            <w:r>
              <w:rPr>
                <w:rFonts w:hint="eastAsia" w:ascii="宋体" w:hAnsi="宋体" w:eastAsia="宋体" w:cs="宋体"/>
                <w:color w:val="auto"/>
                <w:kern w:val="0"/>
                <w:sz w:val="24"/>
                <w:highlight w:val="none"/>
                <w:lang w:val="en-US" w:eastAsia="zh-CN"/>
              </w:rPr>
              <w:t>演示文件递交地点：</w:t>
            </w:r>
            <w:r>
              <w:rPr>
                <w:rFonts w:hint="eastAsia" w:ascii="宋体" w:hAnsi="宋体" w:eastAsia="宋体" w:cs="宋体"/>
                <w:color w:val="auto"/>
                <w:kern w:val="0"/>
                <w:sz w:val="24"/>
                <w:highlight w:val="none"/>
                <w:lang w:eastAsia="zh-CN"/>
              </w:rPr>
              <w:t>温州市鹿城区南汇街道锦江路458号深蓝国际大厦501-1室西首（</w:t>
            </w:r>
            <w:r>
              <w:rPr>
                <w:rFonts w:hint="eastAsia" w:ascii="宋体" w:hAnsi="宋体" w:eastAsia="宋体" w:cs="宋体"/>
                <w:color w:val="auto"/>
                <w:kern w:val="0"/>
                <w:sz w:val="24"/>
                <w:highlight w:val="none"/>
                <w:lang w:val="en-US" w:eastAsia="zh-CN"/>
              </w:rPr>
              <w:t>温州市德恒</w:t>
            </w:r>
            <w:r>
              <w:rPr>
                <w:rFonts w:hint="eastAsia" w:ascii="宋体" w:hAnsi="宋体" w:eastAsia="宋体" w:cs="宋体"/>
                <w:color w:val="auto"/>
                <w:kern w:val="0"/>
                <w:sz w:val="24"/>
                <w:highlight w:val="none"/>
                <w:lang w:eastAsia="zh-CN"/>
              </w:rPr>
              <w:t>）</w:t>
            </w:r>
          </w:p>
          <w:p w14:paraId="3849F164">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演示文件在投标文件递交截止时间前一小时内统一现场递交接收，外地公司如需邮寄请提前3个工作日与代理公司联系。</w:t>
            </w:r>
          </w:p>
          <w:p w14:paraId="344C6F92">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7DDC48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8" w:hRule="atLeast"/>
          <w:tblHeader/>
        </w:trPr>
        <w:tc>
          <w:tcPr>
            <w:tcW w:w="977" w:type="dxa"/>
            <w:vMerge w:val="restart"/>
            <w:tcBorders>
              <w:top w:val="single" w:color="auto" w:sz="4" w:space="0"/>
              <w:left w:val="single" w:color="auto" w:sz="4" w:space="0"/>
              <w:right w:val="single" w:color="auto" w:sz="4" w:space="0"/>
            </w:tcBorders>
            <w:vAlign w:val="center"/>
          </w:tcPr>
          <w:p w14:paraId="7B75541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936" w:type="dxa"/>
            <w:vMerge w:val="restart"/>
            <w:tcBorders>
              <w:top w:val="single" w:color="000000" w:sz="8" w:space="0"/>
              <w:left w:val="single" w:color="auto" w:sz="4" w:space="0"/>
              <w:right w:val="single" w:color="000000" w:sz="8" w:space="0"/>
            </w:tcBorders>
            <w:vAlign w:val="center"/>
          </w:tcPr>
          <w:p w14:paraId="32BB508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供应商应当提供的资格、资信证明文件</w:t>
            </w:r>
          </w:p>
        </w:tc>
        <w:tc>
          <w:tcPr>
            <w:tcW w:w="6885" w:type="dxa"/>
            <w:tcBorders>
              <w:top w:val="single" w:color="000000" w:sz="8" w:space="0"/>
              <w:left w:val="single" w:color="000000" w:sz="2" w:space="0"/>
              <w:bottom w:val="single" w:color="auto" w:sz="4" w:space="0"/>
              <w:right w:val="single" w:color="000000" w:sz="8" w:space="0"/>
            </w:tcBorders>
            <w:vAlign w:val="center"/>
          </w:tcPr>
          <w:p w14:paraId="201C647E">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（1）资格证明文件：见</w:t>
            </w:r>
            <w:r>
              <w:rPr>
                <w:rFonts w:hint="eastAsia" w:ascii="宋体" w:hAnsi="宋体" w:eastAsia="宋体" w:cs="宋体"/>
                <w:color w:val="auto"/>
                <w:sz w:val="24"/>
                <w:highlight w:val="none"/>
                <w:lang w:eastAsia="zh-CN"/>
              </w:rPr>
              <w:t>采购文件</w:t>
            </w:r>
            <w:r>
              <w:rPr>
                <w:rFonts w:hint="eastAsia" w:ascii="宋体" w:hAnsi="宋体" w:eastAsia="宋体" w:cs="宋体"/>
                <w:color w:val="auto"/>
                <w:sz w:val="24"/>
                <w:highlight w:val="none"/>
              </w:rPr>
              <w:t>第二部分11.1。</w:t>
            </w:r>
          </w:p>
          <w:p w14:paraId="0B7AD8D1">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snapToGrid w:val="0"/>
                <w:color w:val="auto"/>
                <w:kern w:val="0"/>
                <w:sz w:val="24"/>
                <w:highlight w:val="none"/>
              </w:rPr>
            </w:pPr>
            <w:r>
              <w:rPr>
                <w:rFonts w:hint="eastAsia" w:ascii="宋体" w:hAnsi="宋体" w:eastAsia="宋体" w:cs="宋体"/>
                <w:color w:val="auto"/>
                <w:kern w:val="0"/>
                <w:sz w:val="24"/>
                <w:highlight w:val="none"/>
                <w:lang w:val="zh-CN"/>
              </w:rPr>
              <w:t>供应商未提供有效的资格证明文件的，视为供应商不具备磋商文件中规定的资格要求，响应无效。</w:t>
            </w:r>
          </w:p>
        </w:tc>
      </w:tr>
      <w:tr w14:paraId="7BEC92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91" w:hRule="atLeast"/>
          <w:tblHeader/>
        </w:trPr>
        <w:tc>
          <w:tcPr>
            <w:tcW w:w="977" w:type="dxa"/>
            <w:vMerge w:val="continue"/>
            <w:tcBorders>
              <w:left w:val="single" w:color="auto" w:sz="4" w:space="0"/>
              <w:bottom w:val="single" w:color="auto" w:sz="4" w:space="0"/>
              <w:right w:val="single" w:color="auto" w:sz="4" w:space="0"/>
            </w:tcBorders>
            <w:vAlign w:val="center"/>
          </w:tcPr>
          <w:p w14:paraId="3F7625D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p>
        </w:tc>
        <w:tc>
          <w:tcPr>
            <w:tcW w:w="1936" w:type="dxa"/>
            <w:vMerge w:val="continue"/>
            <w:tcBorders>
              <w:left w:val="single" w:color="auto" w:sz="4" w:space="0"/>
              <w:bottom w:val="single" w:color="000000" w:sz="8" w:space="0"/>
              <w:right w:val="single" w:color="000000" w:sz="8" w:space="0"/>
            </w:tcBorders>
            <w:vAlign w:val="center"/>
          </w:tcPr>
          <w:p w14:paraId="2F3E9EE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highlight w:val="none"/>
              </w:rPr>
            </w:pPr>
          </w:p>
        </w:tc>
        <w:tc>
          <w:tcPr>
            <w:tcW w:w="6885" w:type="dxa"/>
            <w:tcBorders>
              <w:top w:val="single" w:color="auto" w:sz="4" w:space="0"/>
              <w:left w:val="single" w:color="000000" w:sz="2" w:space="0"/>
              <w:bottom w:val="single" w:color="000000" w:sz="8" w:space="0"/>
              <w:right w:val="single" w:color="000000" w:sz="8" w:space="0"/>
            </w:tcBorders>
            <w:vAlign w:val="center"/>
          </w:tcPr>
          <w:p w14:paraId="34F567C3">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（2）资信证明文件：根据磋商文件第五部分评审标准提供。</w:t>
            </w:r>
          </w:p>
        </w:tc>
      </w:tr>
      <w:tr w14:paraId="036654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33" w:hRule="atLeast"/>
          <w:tblHeader/>
        </w:trPr>
        <w:tc>
          <w:tcPr>
            <w:tcW w:w="977" w:type="dxa"/>
            <w:tcBorders>
              <w:top w:val="single" w:color="auto" w:sz="4" w:space="0"/>
              <w:left w:val="single" w:color="000000" w:sz="8" w:space="0"/>
              <w:bottom w:val="single" w:color="auto" w:sz="4" w:space="0"/>
              <w:right w:val="single" w:color="000000" w:sz="2" w:space="0"/>
            </w:tcBorders>
            <w:vAlign w:val="center"/>
          </w:tcPr>
          <w:p w14:paraId="4A53639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936" w:type="dxa"/>
            <w:tcBorders>
              <w:top w:val="single" w:color="000000" w:sz="8" w:space="0"/>
              <w:left w:val="single" w:color="000000" w:sz="2" w:space="0"/>
              <w:bottom w:val="single" w:color="000000" w:sz="8" w:space="0"/>
              <w:right w:val="single" w:color="000000" w:sz="8" w:space="0"/>
            </w:tcBorders>
            <w:vAlign w:val="center"/>
          </w:tcPr>
          <w:p w14:paraId="09B8A6D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节能产品、环境标志产品</w:t>
            </w:r>
          </w:p>
        </w:tc>
        <w:tc>
          <w:tcPr>
            <w:tcW w:w="6885" w:type="dxa"/>
            <w:tcBorders>
              <w:top w:val="single" w:color="000000" w:sz="8" w:space="0"/>
              <w:left w:val="single" w:color="000000" w:sz="2" w:space="0"/>
              <w:bottom w:val="single" w:color="000000" w:sz="8" w:space="0"/>
              <w:right w:val="single" w:color="000000" w:sz="8" w:space="0"/>
            </w:tcBorders>
            <w:vAlign w:val="center"/>
          </w:tcPr>
          <w:p w14:paraId="5D313FFC">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30CB0A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642" w:hRule="atLeast"/>
          <w:tblHeader/>
        </w:trPr>
        <w:tc>
          <w:tcPr>
            <w:tcW w:w="977" w:type="dxa"/>
            <w:tcBorders>
              <w:top w:val="single" w:color="auto" w:sz="4" w:space="0"/>
              <w:left w:val="single" w:color="000000" w:sz="8" w:space="0"/>
              <w:bottom w:val="single" w:color="auto" w:sz="4" w:space="0"/>
              <w:right w:val="single" w:color="000000" w:sz="2" w:space="0"/>
            </w:tcBorders>
            <w:vAlign w:val="center"/>
          </w:tcPr>
          <w:p w14:paraId="7B8B415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936" w:type="dxa"/>
            <w:tcBorders>
              <w:top w:val="single" w:color="000000" w:sz="8" w:space="0"/>
              <w:left w:val="single" w:color="000000" w:sz="2" w:space="0"/>
              <w:bottom w:val="single" w:color="000000" w:sz="8" w:space="0"/>
              <w:right w:val="single" w:color="000000" w:sz="8" w:space="0"/>
            </w:tcBorders>
            <w:vAlign w:val="center"/>
          </w:tcPr>
          <w:p w14:paraId="5EEB865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最后报价要求</w:t>
            </w:r>
          </w:p>
        </w:tc>
        <w:tc>
          <w:tcPr>
            <w:tcW w:w="6885" w:type="dxa"/>
            <w:tcBorders>
              <w:top w:val="single" w:color="000000" w:sz="8" w:space="0"/>
              <w:left w:val="single" w:color="000000" w:sz="2" w:space="0"/>
              <w:bottom w:val="single" w:color="000000" w:sz="8" w:space="0"/>
              <w:right w:val="single" w:color="000000" w:sz="8" w:space="0"/>
            </w:tcBorders>
            <w:vAlign w:val="center"/>
          </w:tcPr>
          <w:p w14:paraId="14D2D65F">
            <w:pPr>
              <w:keepNext w:val="0"/>
              <w:keepLines w:val="0"/>
              <w:pageBreakBefore w:val="0"/>
              <w:widowControl w:val="0"/>
              <w:kinsoku/>
              <w:wordWrap/>
              <w:overflowPunct/>
              <w:topLinePunct w:val="0"/>
              <w:autoSpaceDE/>
              <w:autoSpaceDN/>
              <w:bidi w:val="0"/>
              <w:adjustRightInd w:val="0"/>
              <w:snapToGrid w:val="0"/>
              <w:spacing w:line="240" w:lineRule="auto"/>
              <w:ind w:firstLine="482" w:firstLineChars="200"/>
              <w:jc w:val="left"/>
              <w:textAlignment w:val="auto"/>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有关本项目实施所需的所有费用（含税费）均计入最后报价。《最后报价一览表（报价表）》是最后报价的唯一载体。磋商文件中价格全部采用人民币报价。磋商文件未列明，而供应商认为必需的费用也需列入报价。</w:t>
            </w:r>
          </w:p>
          <w:p w14:paraId="01B5E4A4">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备注：本采购文件中除非有特别说明，所有的报价均指含税价。</w:t>
            </w:r>
          </w:p>
          <w:p w14:paraId="6A3101E7">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最后报价出现下列情形的，响应无效：</w:t>
            </w:r>
          </w:p>
          <w:p w14:paraId="0F8E7F15">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响应文件出现不是唯一的、有选择性的最后报价的；</w:t>
            </w:r>
          </w:p>
          <w:p w14:paraId="245D0B5C">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最后报价超过磋商文件中规定的预算金额或者最高限价的;</w:t>
            </w:r>
          </w:p>
          <w:p w14:paraId="171446E4">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最后报价明显低于其他通过符合性审查供应商的报价，有可能影响产品质量或者不能诚信履约的，未能按要求提供书面说明或者提交相关证明材料证明其报价合理性的;</w:t>
            </w:r>
          </w:p>
          <w:p w14:paraId="434BFA7D">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highlight w:val="none"/>
              </w:rPr>
            </w:pPr>
            <w:r>
              <w:rPr>
                <w:rFonts w:hint="eastAsia" w:ascii="宋体" w:hAnsi="宋体" w:eastAsia="宋体" w:cs="宋体"/>
                <w:b/>
                <w:bCs/>
                <w:color w:val="auto"/>
                <w:kern w:val="0"/>
                <w:sz w:val="24"/>
                <w:highlight w:val="none"/>
                <w:lang w:val="zh-CN"/>
              </w:rPr>
              <w:t>供应商对根据修正原则修正后的报价不确认的。</w:t>
            </w:r>
          </w:p>
        </w:tc>
      </w:tr>
      <w:tr w14:paraId="086B6F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05" w:hRule="atLeast"/>
          <w:tblHeader/>
        </w:trPr>
        <w:tc>
          <w:tcPr>
            <w:tcW w:w="977" w:type="dxa"/>
            <w:tcBorders>
              <w:top w:val="single" w:color="auto" w:sz="4" w:space="0"/>
              <w:left w:val="single" w:color="000000" w:sz="8" w:space="0"/>
              <w:right w:val="single" w:color="000000" w:sz="2" w:space="0"/>
            </w:tcBorders>
            <w:vAlign w:val="center"/>
          </w:tcPr>
          <w:p w14:paraId="67D1B47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1936" w:type="dxa"/>
            <w:tcBorders>
              <w:top w:val="single" w:color="000000" w:sz="8" w:space="0"/>
              <w:left w:val="single" w:color="000000" w:sz="2" w:space="0"/>
              <w:right w:val="single" w:color="000000" w:sz="8" w:space="0"/>
            </w:tcBorders>
            <w:vAlign w:val="center"/>
          </w:tcPr>
          <w:p w14:paraId="042B2AD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中小企业信用融资</w:t>
            </w:r>
          </w:p>
        </w:tc>
        <w:tc>
          <w:tcPr>
            <w:tcW w:w="6885" w:type="dxa"/>
            <w:tcBorders>
              <w:top w:val="single" w:color="000000" w:sz="8" w:space="0"/>
              <w:left w:val="single" w:color="000000" w:sz="2" w:space="0"/>
              <w:right w:val="single" w:color="000000" w:sz="8" w:space="0"/>
            </w:tcBorders>
            <w:vAlign w:val="center"/>
          </w:tcPr>
          <w:p w14:paraId="763483B8">
            <w:pPr>
              <w:keepNext w:val="0"/>
              <w:keepLines w:val="0"/>
              <w:pageBreakBefore w:val="0"/>
              <w:widowControl w:val="0"/>
              <w:kinsoku/>
              <w:wordWrap/>
              <w:overflowPunct/>
              <w:topLinePunct w:val="0"/>
              <w:autoSpaceDE/>
              <w:autoSpaceDN/>
              <w:bidi w:val="0"/>
              <w:adjustRightInd w:val="0"/>
              <w:spacing w:line="24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snapToGrid w:val="0"/>
                <w:color w:val="auto"/>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7E4E74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05" w:hRule="atLeast"/>
          <w:tblHeader/>
        </w:trPr>
        <w:tc>
          <w:tcPr>
            <w:tcW w:w="977" w:type="dxa"/>
            <w:tcBorders>
              <w:top w:val="single" w:color="auto" w:sz="4" w:space="0"/>
              <w:left w:val="single" w:color="000000" w:sz="8" w:space="0"/>
              <w:right w:val="single" w:color="000000" w:sz="2" w:space="0"/>
            </w:tcBorders>
            <w:vAlign w:val="center"/>
          </w:tcPr>
          <w:p w14:paraId="78CF4D8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13</w:t>
            </w:r>
          </w:p>
        </w:tc>
        <w:tc>
          <w:tcPr>
            <w:tcW w:w="1936" w:type="dxa"/>
            <w:tcBorders>
              <w:top w:val="single" w:color="000000" w:sz="8" w:space="0"/>
              <w:left w:val="single" w:color="000000" w:sz="2" w:space="0"/>
              <w:right w:val="single" w:color="000000" w:sz="8" w:space="0"/>
            </w:tcBorders>
            <w:vAlign w:val="center"/>
          </w:tcPr>
          <w:p w14:paraId="1C561A7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项目评审时间及地点</w:t>
            </w:r>
          </w:p>
        </w:tc>
        <w:tc>
          <w:tcPr>
            <w:tcW w:w="6885" w:type="dxa"/>
            <w:tcBorders>
              <w:top w:val="single" w:color="000000" w:sz="8" w:space="0"/>
              <w:left w:val="single" w:color="000000" w:sz="2" w:space="0"/>
              <w:right w:val="single" w:color="000000" w:sz="8" w:space="0"/>
            </w:tcBorders>
            <w:vAlign w:val="center"/>
          </w:tcPr>
          <w:p w14:paraId="6014FBE4">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kern w:val="28"/>
                <w:sz w:val="24"/>
                <w:szCs w:val="24"/>
                <w:highlight w:val="none"/>
              </w:rPr>
            </w:pPr>
            <w:r>
              <w:rPr>
                <w:rFonts w:hint="eastAsia" w:ascii="宋体" w:hAnsi="宋体" w:eastAsia="宋体" w:cs="宋体"/>
                <w:color w:val="auto"/>
                <w:kern w:val="28"/>
                <w:sz w:val="24"/>
                <w:szCs w:val="24"/>
                <w:highlight w:val="none"/>
              </w:rPr>
              <w:t>时间：</w:t>
            </w:r>
            <w:r>
              <w:rPr>
                <w:rFonts w:hint="eastAsia" w:ascii="宋体" w:hAnsi="宋体" w:eastAsia="宋体" w:cs="宋体"/>
                <w:color w:val="auto"/>
                <w:sz w:val="24"/>
                <w:highlight w:val="none"/>
                <w:u w:val="single"/>
                <w:lang w:eastAsia="zh-CN"/>
              </w:rPr>
              <w:t>202</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lang w:eastAsia="zh-CN"/>
              </w:rPr>
              <w:t>年</w:t>
            </w:r>
            <w:r>
              <w:rPr>
                <w:rFonts w:hint="eastAsia" w:ascii="宋体" w:hAnsi="宋体" w:cs="宋体"/>
                <w:color w:val="auto"/>
                <w:sz w:val="24"/>
                <w:highlight w:val="none"/>
                <w:u w:val="single"/>
                <w:lang w:val="en-US" w:eastAsia="zh-CN"/>
              </w:rPr>
              <w:t>3</w:t>
            </w:r>
            <w:r>
              <w:rPr>
                <w:rFonts w:hint="eastAsia" w:ascii="宋体" w:hAnsi="宋体" w:eastAsia="宋体" w:cs="宋体"/>
                <w:color w:val="auto"/>
                <w:sz w:val="24"/>
                <w:highlight w:val="none"/>
                <w:u w:val="single"/>
                <w:lang w:eastAsia="zh-CN"/>
              </w:rPr>
              <w:t>月</w:t>
            </w:r>
            <w:r>
              <w:rPr>
                <w:rFonts w:hint="eastAsia" w:ascii="宋体" w:hAnsi="宋体" w:cs="宋体"/>
                <w:color w:val="auto"/>
                <w:sz w:val="24"/>
                <w:highlight w:val="none"/>
                <w:u w:val="single"/>
                <w:lang w:val="en-US" w:eastAsia="zh-CN"/>
              </w:rPr>
              <w:t>7</w:t>
            </w:r>
            <w:r>
              <w:rPr>
                <w:rFonts w:hint="eastAsia" w:ascii="宋体" w:hAnsi="宋体" w:eastAsia="宋体" w:cs="宋体"/>
                <w:color w:val="auto"/>
                <w:sz w:val="24"/>
                <w:highlight w:val="none"/>
                <w:u w:val="single"/>
                <w:lang w:eastAsia="zh-CN"/>
              </w:rPr>
              <w:t>日</w:t>
            </w:r>
            <w:r>
              <w:rPr>
                <w:rFonts w:hint="eastAsia" w:ascii="宋体" w:hAnsi="宋体" w:cs="宋体"/>
                <w:color w:val="auto"/>
                <w:sz w:val="24"/>
                <w:highlight w:val="none"/>
                <w:u w:val="single"/>
                <w:lang w:eastAsia="zh-CN"/>
              </w:rPr>
              <w:t>14点30分</w:t>
            </w:r>
            <w:r>
              <w:rPr>
                <w:rFonts w:hint="eastAsia" w:ascii="宋体" w:hAnsi="宋体" w:eastAsia="宋体" w:cs="宋体"/>
                <w:color w:val="auto"/>
                <w:sz w:val="24"/>
                <w:highlight w:val="none"/>
                <w:u w:val="single"/>
                <w:lang w:eastAsia="zh-CN"/>
              </w:rPr>
              <w:t>00秒</w:t>
            </w:r>
            <w:r>
              <w:rPr>
                <w:rFonts w:hint="eastAsia" w:ascii="宋体" w:hAnsi="宋体" w:eastAsia="宋体" w:cs="宋体"/>
                <w:color w:val="auto"/>
                <w:kern w:val="28"/>
                <w:sz w:val="24"/>
                <w:szCs w:val="24"/>
                <w:highlight w:val="none"/>
              </w:rPr>
              <w:t>（北京时间）</w:t>
            </w:r>
          </w:p>
          <w:p w14:paraId="3EB0684E">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snapToGrid w:val="0"/>
                <w:color w:val="auto"/>
                <w:kern w:val="28"/>
                <w:sz w:val="24"/>
                <w:highlight w:val="none"/>
                <w:lang w:val="en-US" w:eastAsia="zh-CN"/>
              </w:rPr>
            </w:pPr>
            <w:r>
              <w:rPr>
                <w:rFonts w:hint="eastAsia" w:ascii="宋体" w:hAnsi="宋体" w:eastAsia="宋体" w:cs="宋体"/>
                <w:color w:val="auto"/>
                <w:kern w:val="28"/>
                <w:sz w:val="24"/>
                <w:szCs w:val="24"/>
                <w:highlight w:val="none"/>
              </w:rPr>
              <w:t>地点：政采云平台（https://www.zcygov.cn/）</w:t>
            </w:r>
            <w:r>
              <w:rPr>
                <w:rFonts w:hint="eastAsia" w:ascii="宋体" w:hAnsi="宋体" w:eastAsia="宋体" w:cs="宋体"/>
                <w:color w:val="auto"/>
                <w:kern w:val="28"/>
                <w:sz w:val="24"/>
                <w:szCs w:val="24"/>
                <w:highlight w:val="none"/>
                <w:lang w:val="en-US" w:eastAsia="zh-CN"/>
              </w:rPr>
              <w:t>/</w:t>
            </w:r>
            <w:r>
              <w:rPr>
                <w:rFonts w:hint="eastAsia" w:ascii="宋体" w:hAnsi="宋体" w:eastAsia="宋体" w:cs="宋体"/>
                <w:color w:val="auto"/>
                <w:kern w:val="28"/>
                <w:sz w:val="24"/>
                <w:szCs w:val="24"/>
                <w:highlight w:val="none"/>
              </w:rPr>
              <w:t>温州市鹿城区南汇街道锦江路458号</w:t>
            </w:r>
            <w:r>
              <w:rPr>
                <w:rFonts w:hint="eastAsia" w:ascii="宋体" w:hAnsi="宋体" w:cs="宋体"/>
                <w:color w:val="auto"/>
                <w:kern w:val="28"/>
                <w:sz w:val="24"/>
                <w:szCs w:val="24"/>
                <w:highlight w:val="none"/>
                <w:lang w:eastAsia="zh-CN"/>
              </w:rPr>
              <w:t>深蓝国际大厦</w:t>
            </w:r>
            <w:r>
              <w:rPr>
                <w:rFonts w:hint="eastAsia" w:ascii="宋体" w:hAnsi="宋体" w:eastAsia="宋体" w:cs="宋体"/>
                <w:color w:val="auto"/>
                <w:kern w:val="28"/>
                <w:sz w:val="24"/>
                <w:szCs w:val="24"/>
                <w:highlight w:val="none"/>
              </w:rPr>
              <w:t>501-1室</w:t>
            </w:r>
            <w:r>
              <w:rPr>
                <w:rFonts w:hint="eastAsia" w:ascii="宋体" w:hAnsi="宋体" w:eastAsia="宋体" w:cs="宋体"/>
                <w:color w:val="auto"/>
                <w:kern w:val="28"/>
                <w:sz w:val="24"/>
                <w:szCs w:val="24"/>
                <w:highlight w:val="none"/>
                <w:lang w:val="en-US" w:eastAsia="zh-CN"/>
              </w:rPr>
              <w:t>在线评审</w:t>
            </w:r>
          </w:p>
        </w:tc>
      </w:tr>
      <w:tr w14:paraId="5ACD39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32" w:hRule="atLeast"/>
          <w:tblHeader/>
        </w:trPr>
        <w:tc>
          <w:tcPr>
            <w:tcW w:w="977" w:type="dxa"/>
            <w:tcBorders>
              <w:top w:val="single" w:color="auto" w:sz="4" w:space="0"/>
              <w:left w:val="single" w:color="000000" w:sz="8" w:space="0"/>
              <w:bottom w:val="single" w:color="auto" w:sz="4" w:space="0"/>
              <w:right w:val="single" w:color="000000" w:sz="2" w:space="0"/>
            </w:tcBorders>
            <w:vAlign w:val="center"/>
          </w:tcPr>
          <w:p w14:paraId="7A75C0D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936" w:type="dxa"/>
            <w:tcBorders>
              <w:top w:val="single" w:color="000000" w:sz="8" w:space="0"/>
              <w:left w:val="single" w:color="000000" w:sz="2" w:space="0"/>
              <w:bottom w:val="single" w:color="000000" w:sz="8" w:space="0"/>
              <w:right w:val="single" w:color="000000" w:sz="8" w:space="0"/>
            </w:tcBorders>
            <w:vAlign w:val="center"/>
          </w:tcPr>
          <w:p w14:paraId="3E4A337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备份响应文件送达地点和签收人员 </w:t>
            </w:r>
          </w:p>
        </w:tc>
        <w:tc>
          <w:tcPr>
            <w:tcW w:w="6885" w:type="dxa"/>
            <w:tcBorders>
              <w:top w:val="single" w:color="000000" w:sz="8" w:space="0"/>
              <w:left w:val="single" w:color="000000" w:sz="2" w:space="0"/>
              <w:bottom w:val="single" w:color="000000" w:sz="8" w:space="0"/>
              <w:right w:val="single" w:color="000000" w:sz="8" w:space="0"/>
            </w:tcBorders>
            <w:vAlign w:val="center"/>
          </w:tcPr>
          <w:p w14:paraId="3E3412CA">
            <w:pPr>
              <w:pStyle w:val="32"/>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color w:val="auto"/>
                <w:kern w:val="28"/>
                <w:sz w:val="24"/>
                <w:szCs w:val="24"/>
                <w:highlight w:val="none"/>
              </w:rPr>
            </w:pPr>
            <w:r>
              <w:rPr>
                <w:rFonts w:hint="eastAsia" w:ascii="宋体" w:hAnsi="宋体" w:eastAsia="宋体" w:cs="宋体"/>
                <w:color w:val="auto"/>
                <w:kern w:val="28"/>
                <w:sz w:val="24"/>
                <w:szCs w:val="24"/>
                <w:highlight w:val="none"/>
              </w:rPr>
              <w:t>备份响应文件送达地点：温州市鹿城区南汇街道锦江路458号</w:t>
            </w:r>
            <w:r>
              <w:rPr>
                <w:rFonts w:hint="eastAsia" w:hAnsi="宋体" w:cs="宋体"/>
                <w:color w:val="auto"/>
                <w:kern w:val="28"/>
                <w:sz w:val="24"/>
                <w:szCs w:val="24"/>
                <w:highlight w:val="none"/>
                <w:lang w:eastAsia="zh-CN"/>
              </w:rPr>
              <w:t>深蓝国际大厦</w:t>
            </w:r>
            <w:r>
              <w:rPr>
                <w:rFonts w:hint="eastAsia" w:ascii="宋体" w:hAnsi="宋体" w:eastAsia="宋体" w:cs="宋体"/>
                <w:color w:val="auto"/>
                <w:kern w:val="28"/>
                <w:sz w:val="24"/>
                <w:szCs w:val="24"/>
                <w:highlight w:val="none"/>
              </w:rPr>
              <w:t>501-1室；备份响应文件签收人员联系电话：</w:t>
            </w:r>
            <w:r>
              <w:rPr>
                <w:rFonts w:hint="eastAsia" w:ascii="宋体" w:hAnsi="宋体" w:eastAsia="宋体" w:cs="宋体"/>
                <w:color w:val="auto"/>
                <w:sz w:val="24"/>
                <w:szCs w:val="24"/>
                <w:highlight w:val="none"/>
                <w:u w:val="single"/>
              </w:rPr>
              <w:t>057</w:t>
            </w:r>
            <w:r>
              <w:rPr>
                <w:rFonts w:hint="eastAsia" w:ascii="宋体" w:hAnsi="宋体" w:eastAsia="宋体" w:cs="宋体"/>
                <w:color w:val="auto"/>
                <w:sz w:val="24"/>
                <w:szCs w:val="24"/>
                <w:highlight w:val="none"/>
                <w:u w:val="single"/>
                <w:lang w:val="en-US" w:eastAsia="zh-CN"/>
              </w:rPr>
              <w:t>7-88915899</w:t>
            </w:r>
            <w:r>
              <w:rPr>
                <w:rFonts w:hint="eastAsia" w:hAnsi="宋体" w:cs="宋体"/>
                <w:color w:val="auto"/>
                <w:sz w:val="24"/>
                <w:szCs w:val="24"/>
                <w:highlight w:val="none"/>
                <w:u w:val="single"/>
                <w:lang w:val="en-US" w:eastAsia="zh-CN"/>
              </w:rPr>
              <w:t>/15705853800余温怡</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采购人、采购机构不强制或变相强制供应商提交备份响应文件。</w:t>
            </w:r>
          </w:p>
        </w:tc>
      </w:tr>
      <w:tr w14:paraId="019718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92" w:hRule="atLeast"/>
          <w:tblHeader/>
        </w:trPr>
        <w:tc>
          <w:tcPr>
            <w:tcW w:w="977" w:type="dxa"/>
            <w:tcBorders>
              <w:top w:val="single" w:color="auto" w:sz="4" w:space="0"/>
              <w:left w:val="single" w:color="000000" w:sz="8" w:space="0"/>
              <w:bottom w:val="single" w:color="auto" w:sz="4" w:space="0"/>
              <w:right w:val="single" w:color="000000" w:sz="2" w:space="0"/>
            </w:tcBorders>
            <w:vAlign w:val="center"/>
          </w:tcPr>
          <w:p w14:paraId="1DFECA0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936" w:type="dxa"/>
            <w:tcBorders>
              <w:top w:val="single" w:color="000000" w:sz="8" w:space="0"/>
              <w:left w:val="single" w:color="000000" w:sz="2" w:space="0"/>
              <w:bottom w:val="single" w:color="000000" w:sz="8" w:space="0"/>
              <w:right w:val="single" w:color="000000" w:sz="8" w:space="0"/>
            </w:tcBorders>
            <w:vAlign w:val="center"/>
          </w:tcPr>
          <w:p w14:paraId="572DA77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采购代理服务费</w:t>
            </w:r>
          </w:p>
        </w:tc>
        <w:tc>
          <w:tcPr>
            <w:tcW w:w="6885" w:type="dxa"/>
            <w:tcBorders>
              <w:top w:val="single" w:color="000000" w:sz="8" w:space="0"/>
              <w:left w:val="single" w:color="000000" w:sz="2" w:space="0"/>
              <w:bottom w:val="single" w:color="000000" w:sz="8" w:space="0"/>
              <w:right w:val="single" w:color="000000" w:sz="8" w:space="0"/>
            </w:tcBorders>
            <w:vAlign w:val="center"/>
          </w:tcPr>
          <w:p w14:paraId="21687B13">
            <w:pPr>
              <w:pStyle w:val="32"/>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本项目招标代理服务费：本项目招标代理服务费</w:t>
            </w:r>
            <w:r>
              <w:rPr>
                <w:rFonts w:hint="eastAsia" w:hAnsi="宋体" w:cs="宋体"/>
                <w:color w:val="auto"/>
                <w:sz w:val="24"/>
                <w:szCs w:val="24"/>
                <w:highlight w:val="none"/>
                <w:lang w:val="en-US" w:eastAsia="zh-CN"/>
              </w:rPr>
              <w:t>按照8000元包干计取，</w:t>
            </w:r>
            <w:r>
              <w:rPr>
                <w:rFonts w:hint="eastAsia" w:ascii="宋体" w:hAnsi="宋体" w:eastAsia="宋体" w:cs="宋体"/>
                <w:color w:val="auto"/>
                <w:sz w:val="24"/>
                <w:szCs w:val="24"/>
                <w:highlight w:val="none"/>
              </w:rPr>
              <w:t>由中标单位支付给招标代理机构，费用综合考虑计入投标报价。</w:t>
            </w:r>
            <w:r>
              <w:rPr>
                <w:rFonts w:hint="eastAsia" w:ascii="宋体" w:hAnsi="宋体" w:eastAsia="宋体" w:cs="宋体"/>
                <w:color w:val="auto"/>
                <w:sz w:val="24"/>
                <w:szCs w:val="24"/>
                <w:highlight w:val="none"/>
                <w:lang w:eastAsia="zh-CN"/>
              </w:rPr>
              <w:t>成交供应商</w:t>
            </w:r>
            <w:r>
              <w:rPr>
                <w:rFonts w:hint="eastAsia" w:ascii="宋体" w:hAnsi="宋体" w:eastAsia="宋体" w:cs="宋体"/>
                <w:color w:val="auto"/>
                <w:sz w:val="24"/>
                <w:szCs w:val="24"/>
                <w:highlight w:val="none"/>
              </w:rPr>
              <w:t>在领取</w:t>
            </w:r>
            <w:r>
              <w:rPr>
                <w:rFonts w:hint="eastAsia" w:ascii="宋体" w:hAnsi="宋体" w:eastAsia="宋体" w:cs="宋体"/>
                <w:color w:val="auto"/>
                <w:sz w:val="24"/>
                <w:szCs w:val="24"/>
                <w:highlight w:val="none"/>
                <w:lang w:eastAsia="zh-CN"/>
              </w:rPr>
              <w:t>中标（成交）通知书</w:t>
            </w:r>
            <w:r>
              <w:rPr>
                <w:rFonts w:hint="eastAsia" w:ascii="宋体" w:hAnsi="宋体" w:eastAsia="宋体" w:cs="宋体"/>
                <w:color w:val="auto"/>
                <w:sz w:val="24"/>
                <w:szCs w:val="24"/>
                <w:highlight w:val="none"/>
              </w:rPr>
              <w:t>同时向代理机构支付招标代理服务费。</w:t>
            </w:r>
          </w:p>
        </w:tc>
      </w:tr>
      <w:tr w14:paraId="1B522F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8" w:hRule="atLeast"/>
          <w:tblHeader/>
        </w:trPr>
        <w:tc>
          <w:tcPr>
            <w:tcW w:w="977" w:type="dxa"/>
            <w:vMerge w:val="restart"/>
            <w:tcBorders>
              <w:top w:val="single" w:color="auto" w:sz="4" w:space="0"/>
              <w:left w:val="single" w:color="000000" w:sz="8" w:space="0"/>
              <w:right w:val="single" w:color="000000" w:sz="2" w:space="0"/>
            </w:tcBorders>
            <w:vAlign w:val="center"/>
          </w:tcPr>
          <w:p w14:paraId="62C1F65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16</w:t>
            </w:r>
          </w:p>
        </w:tc>
        <w:tc>
          <w:tcPr>
            <w:tcW w:w="1936" w:type="dxa"/>
            <w:vMerge w:val="restart"/>
            <w:tcBorders>
              <w:top w:val="single" w:color="000000" w:sz="8" w:space="0"/>
              <w:left w:val="single" w:color="000000" w:sz="2" w:space="0"/>
              <w:right w:val="single" w:color="000000" w:sz="8" w:space="0"/>
            </w:tcBorders>
            <w:vAlign w:val="center"/>
          </w:tcPr>
          <w:p w14:paraId="72B5B9E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w:t>
            </w:r>
          </w:p>
        </w:tc>
        <w:tc>
          <w:tcPr>
            <w:tcW w:w="6885" w:type="dxa"/>
            <w:tcBorders>
              <w:top w:val="single" w:color="000000" w:sz="8" w:space="0"/>
              <w:left w:val="single" w:color="000000" w:sz="2" w:space="0"/>
              <w:bottom w:val="single" w:color="000000" w:sz="8" w:space="0"/>
              <w:right w:val="single" w:color="000000" w:sz="8" w:space="0"/>
            </w:tcBorders>
            <w:vAlign w:val="center"/>
          </w:tcPr>
          <w:p w14:paraId="63C8DE51">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022570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38" w:hRule="atLeast"/>
          <w:tblHeader/>
        </w:trPr>
        <w:tc>
          <w:tcPr>
            <w:tcW w:w="977" w:type="dxa"/>
            <w:vMerge w:val="continue"/>
            <w:tcBorders>
              <w:left w:val="single" w:color="000000" w:sz="8" w:space="0"/>
              <w:bottom w:val="single" w:color="auto" w:sz="4" w:space="0"/>
              <w:right w:val="single" w:color="000000" w:sz="2" w:space="0"/>
            </w:tcBorders>
            <w:vAlign w:val="center"/>
          </w:tcPr>
          <w:p w14:paraId="14109EF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p>
        </w:tc>
        <w:tc>
          <w:tcPr>
            <w:tcW w:w="1936" w:type="dxa"/>
            <w:vMerge w:val="continue"/>
            <w:tcBorders>
              <w:left w:val="single" w:color="000000" w:sz="2" w:space="0"/>
              <w:bottom w:val="single" w:color="000000" w:sz="8" w:space="0"/>
              <w:right w:val="single" w:color="000000" w:sz="8" w:space="0"/>
            </w:tcBorders>
            <w:vAlign w:val="center"/>
          </w:tcPr>
          <w:p w14:paraId="0674C7C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highlight w:val="none"/>
              </w:rPr>
            </w:pPr>
          </w:p>
        </w:tc>
        <w:tc>
          <w:tcPr>
            <w:tcW w:w="6885" w:type="dxa"/>
            <w:tcBorders>
              <w:top w:val="single" w:color="000000" w:sz="8" w:space="0"/>
              <w:left w:val="single" w:color="000000" w:sz="2" w:space="0"/>
              <w:bottom w:val="single" w:color="000000" w:sz="8" w:space="0"/>
              <w:right w:val="single" w:color="000000" w:sz="8" w:space="0"/>
            </w:tcBorders>
            <w:vAlign w:val="center"/>
          </w:tcPr>
          <w:p w14:paraId="7DA67FDA">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snapToGrid w:val="0"/>
                <w:color w:val="auto"/>
                <w:kern w:val="28"/>
                <w:sz w:val="24"/>
                <w:highlight w:val="none"/>
              </w:rPr>
            </w:pPr>
            <w:sdt>
              <w:sdtPr>
                <w:rPr>
                  <w:rFonts w:hint="eastAsia" w:ascii="宋体" w:hAnsi="宋体" w:eastAsia="宋体" w:cs="宋体"/>
                  <w:color w:val="auto"/>
                  <w:kern w:val="0"/>
                  <w:sz w:val="24"/>
                  <w:highlight w:val="none"/>
                </w:rPr>
                <w:id w:val="-181633666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snapToGrid w:val="0"/>
                <w:color w:val="auto"/>
                <w:kern w:val="28"/>
                <w:sz w:val="24"/>
                <w:highlight w:val="none"/>
              </w:rPr>
              <w:t>联合体响应的，联合体各方均需按磋商文件第五部分评审标准要求提供资信证明文件，否则视为不符合相关要求。</w:t>
            </w:r>
          </w:p>
          <w:p w14:paraId="6D484EDE">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宋体" w:hAnsi="宋体" w:eastAsia="宋体" w:cs="宋体"/>
                <w:snapToGrid w:val="0"/>
                <w:color w:val="auto"/>
                <w:kern w:val="28"/>
                <w:sz w:val="24"/>
                <w:highlight w:val="none"/>
              </w:rPr>
            </w:pPr>
            <w:sdt>
              <w:sdtPr>
                <w:rPr>
                  <w:rFonts w:hint="eastAsia" w:ascii="宋体" w:hAnsi="宋体" w:eastAsia="宋体" w:cs="宋体"/>
                  <w:color w:val="auto"/>
                  <w:kern w:val="0"/>
                  <w:sz w:val="24"/>
                  <w:highlight w:val="none"/>
                </w:rPr>
                <w:id w:val="-23231189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snapToGrid w:val="0"/>
                <w:color w:val="auto"/>
                <w:kern w:val="28"/>
                <w:sz w:val="24"/>
                <w:highlight w:val="none"/>
              </w:rPr>
              <w:t>联合体响应的，联合体中有一方或者联合体成员根据分工按磋商文件第五部分评审标准要求提供资信证明文件的，视为符合了相关要求。</w:t>
            </w:r>
          </w:p>
        </w:tc>
      </w:tr>
    </w:tbl>
    <w:p w14:paraId="76FBB475">
      <w:pPr>
        <w:snapToGrid w:val="0"/>
        <w:jc w:val="center"/>
        <w:rPr>
          <w:rFonts w:hint="eastAsia" w:ascii="宋体" w:hAnsi="宋体" w:eastAsia="宋体" w:cs="宋体"/>
          <w:b/>
          <w:color w:val="auto"/>
          <w:sz w:val="32"/>
          <w:szCs w:val="20"/>
          <w:highlight w:val="none"/>
        </w:rPr>
      </w:pPr>
    </w:p>
    <w:p w14:paraId="177E54DA">
      <w:pPr>
        <w:widowControl/>
        <w:adjustRightInd/>
        <w:jc w:val="left"/>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br w:type="page"/>
      </w:r>
    </w:p>
    <w:p w14:paraId="66EB7094">
      <w:pPr>
        <w:adjustRightInd/>
        <w:spacing w:line="360" w:lineRule="auto"/>
        <w:ind w:firstLine="3845" w:firstLineChars="1197"/>
        <w:outlineLvl w:val="0"/>
        <w:rPr>
          <w:rFonts w:hint="eastAsia" w:ascii="宋体" w:hAnsi="宋体" w:eastAsia="宋体" w:cs="宋体"/>
          <w:b/>
          <w:color w:val="auto"/>
          <w:sz w:val="32"/>
          <w:szCs w:val="20"/>
          <w:highlight w:val="none"/>
        </w:rPr>
      </w:pPr>
      <w:bookmarkStart w:id="62" w:name="_Toc29928"/>
      <w:r>
        <w:rPr>
          <w:rFonts w:hint="eastAsia" w:ascii="宋体" w:hAnsi="宋体" w:eastAsia="宋体" w:cs="宋体"/>
          <w:b/>
          <w:color w:val="auto"/>
          <w:sz w:val="32"/>
          <w:szCs w:val="20"/>
          <w:highlight w:val="none"/>
        </w:rPr>
        <w:t>二、总则</w:t>
      </w:r>
      <w:bookmarkEnd w:id="62"/>
    </w:p>
    <w:p w14:paraId="1CC8502C">
      <w:pPr>
        <w:snapToGrid w:val="0"/>
        <w:spacing w:line="360" w:lineRule="auto"/>
        <w:jc w:val="left"/>
        <w:outlineLvl w:val="1"/>
        <w:rPr>
          <w:rFonts w:hint="eastAsia" w:ascii="宋体" w:hAnsi="宋体" w:eastAsia="宋体" w:cs="宋体"/>
          <w:b/>
          <w:color w:val="auto"/>
          <w:sz w:val="24"/>
          <w:highlight w:val="none"/>
        </w:rPr>
      </w:pPr>
      <w:bookmarkStart w:id="63" w:name="_Toc27538"/>
      <w:r>
        <w:rPr>
          <w:rFonts w:hint="eastAsia" w:ascii="宋体" w:hAnsi="宋体" w:eastAsia="宋体" w:cs="宋体"/>
          <w:b/>
          <w:color w:val="auto"/>
          <w:sz w:val="24"/>
          <w:highlight w:val="none"/>
        </w:rPr>
        <w:t>1. 适用范围</w:t>
      </w:r>
      <w:bookmarkEnd w:id="63"/>
    </w:p>
    <w:p w14:paraId="7D361273">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本磋商文件适用于该项目的邀请、响应、开启响应文件、信用信息查询、资格性审查、评审、成交、合同、验收等行为（法律、法规另有规定的，从其规定）。</w:t>
      </w:r>
    </w:p>
    <w:p w14:paraId="53CEAC89">
      <w:pPr>
        <w:adjustRightInd/>
        <w:spacing w:line="360" w:lineRule="auto"/>
        <w:outlineLvl w:val="0"/>
        <w:rPr>
          <w:rFonts w:hint="eastAsia" w:ascii="宋体" w:hAnsi="宋体" w:eastAsia="宋体" w:cs="宋体"/>
          <w:b/>
          <w:color w:val="auto"/>
          <w:sz w:val="24"/>
          <w:highlight w:val="none"/>
        </w:rPr>
      </w:pPr>
      <w:bookmarkStart w:id="64" w:name="_Toc787"/>
      <w:r>
        <w:rPr>
          <w:rFonts w:hint="eastAsia" w:ascii="宋体" w:hAnsi="宋体" w:eastAsia="宋体" w:cs="宋体"/>
          <w:b/>
          <w:color w:val="auto"/>
          <w:sz w:val="24"/>
          <w:highlight w:val="none"/>
        </w:rPr>
        <w:t>2.定义</w:t>
      </w:r>
      <w:bookmarkEnd w:id="64"/>
    </w:p>
    <w:p w14:paraId="06900B8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“采购人”系指磋商邀请公告中载明的本项目的采购人。</w:t>
      </w:r>
    </w:p>
    <w:p w14:paraId="60B435D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“采购机构”系指磋商邀请公告中载明的本项目的采购机构。</w:t>
      </w:r>
    </w:p>
    <w:p w14:paraId="4017FA5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 “供应商”系指响应磋商、参加本次竞争的法人、其他组织或自然人。</w:t>
      </w:r>
    </w:p>
    <w:p w14:paraId="0EA9618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14:paraId="33A0C60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 “成交人”系指经评审确定的成交供应商。</w:t>
      </w:r>
    </w:p>
    <w:p w14:paraId="0BAECB7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2.6“响应文件”系指供应商提交的商务技术文件。供应商提交最后报价后，最后报价是供应商响应文件的有效组成部分。</w:t>
      </w:r>
    </w:p>
    <w:p w14:paraId="5C81EE4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2.7“电子交易平台”是指本项目政府采购活动所依托的政府采购云平台（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 </w:instrText>
      </w:r>
      <w:r>
        <w:rPr>
          <w:rFonts w:hint="eastAsia" w:ascii="宋体" w:hAnsi="宋体" w:eastAsia="宋体" w:cs="宋体"/>
          <w:color w:val="auto"/>
          <w:highlight w:val="none"/>
        </w:rPr>
        <w:fldChar w:fldCharType="separate"/>
      </w:r>
      <w:r>
        <w:rPr>
          <w:rStyle w:val="68"/>
          <w:rFonts w:hint="eastAsia" w:ascii="宋体" w:hAnsi="宋体" w:eastAsia="宋体" w:cs="宋体"/>
          <w:snapToGrid/>
          <w:color w:val="auto"/>
          <w:kern w:val="2"/>
          <w:sz w:val="24"/>
          <w:szCs w:val="24"/>
          <w:highlight w:val="none"/>
        </w:rPr>
        <w:t>https://www.zcygov.cn/</w:t>
      </w:r>
      <w:r>
        <w:rPr>
          <w:rStyle w:val="68"/>
          <w:rFonts w:hint="eastAsia" w:ascii="宋体" w:hAnsi="宋体" w:eastAsia="宋体" w:cs="宋体"/>
          <w:snapToGrid/>
          <w:color w:val="auto"/>
          <w:kern w:val="2"/>
          <w:sz w:val="24"/>
          <w:szCs w:val="24"/>
          <w:highlight w:val="none"/>
        </w:rPr>
        <w:fldChar w:fldCharType="end"/>
      </w:r>
      <w:r>
        <w:rPr>
          <w:rFonts w:hint="eastAsia" w:ascii="宋体" w:hAnsi="宋体" w:eastAsia="宋体" w:cs="宋体"/>
          <w:color w:val="auto"/>
          <w:sz w:val="24"/>
          <w:highlight w:val="none"/>
        </w:rPr>
        <w:t>）。</w:t>
      </w:r>
    </w:p>
    <w:p w14:paraId="1805F3D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4）。</w:t>
      </w:r>
    </w:p>
    <w:p w14:paraId="54624F2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2.9 </w:t>
      </w:r>
      <w:r>
        <w:rPr>
          <w:rFonts w:hint="eastAsia" w:ascii="宋体" w:hAnsi="宋体" w:eastAsia="宋体" w:cs="宋体"/>
          <w:color w:val="auto"/>
          <w:sz w:val="24"/>
          <w:highlight w:val="none"/>
          <w:u w:val="single"/>
        </w:rPr>
        <w:t>“书面形式”包括数据电文形式与纸质形式。数据电文形式与纸质形式的采购活动具有同等法律效力。</w:t>
      </w:r>
    </w:p>
    <w:p w14:paraId="05987069">
      <w:pPr>
        <w:snapToGrid w:val="0"/>
        <w:spacing w:line="360" w:lineRule="auto"/>
        <w:ind w:firstLine="480" w:firstLineChars="200"/>
        <w:jc w:val="left"/>
        <w:rPr>
          <w:rFonts w:hint="eastAsia" w:ascii="宋体" w:hAnsi="宋体" w:eastAsia="宋体" w:cs="宋体"/>
          <w:b/>
          <w:color w:val="auto"/>
          <w:sz w:val="24"/>
          <w:highlight w:val="none"/>
        </w:rPr>
      </w:pPr>
      <w:r>
        <w:rPr>
          <w:rFonts w:hint="eastAsia" w:ascii="宋体" w:hAnsi="宋体" w:eastAsia="宋体" w:cs="宋体"/>
          <w:color w:val="auto"/>
          <w:sz w:val="24"/>
          <w:highlight w:val="none"/>
        </w:rPr>
        <w:t>2.10 “▲” 系指实质性要求条款， “※”系指磋商过程中可能实质性变动的内容， “</w:t>
      </w:r>
      <w:sdt>
        <w:sdtPr>
          <w:rPr>
            <w:rFonts w:hint="eastAsia" w:ascii="宋体" w:hAnsi="宋体" w:eastAsia="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color w:val="auto"/>
          <w:sz w:val="24"/>
          <w:highlight w:val="none"/>
        </w:rPr>
        <w:t>” 系指适用本项目的要求，“</w:t>
      </w:r>
      <w:sdt>
        <w:sdtPr>
          <w:rPr>
            <w:rFonts w:hint="eastAsia" w:ascii="宋体" w:hAnsi="宋体" w:eastAsia="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 系指不适用本项目的要求。</w:t>
      </w:r>
    </w:p>
    <w:p w14:paraId="5E7D7E4B">
      <w:pPr>
        <w:adjustRightInd/>
        <w:spacing w:line="360" w:lineRule="auto"/>
        <w:outlineLvl w:val="0"/>
        <w:rPr>
          <w:rFonts w:hint="eastAsia" w:ascii="宋体" w:hAnsi="宋体" w:eastAsia="宋体" w:cs="宋体"/>
          <w:b/>
          <w:color w:val="auto"/>
          <w:sz w:val="24"/>
          <w:highlight w:val="none"/>
        </w:rPr>
      </w:pPr>
      <w:bookmarkStart w:id="65" w:name="_Toc7613"/>
      <w:r>
        <w:rPr>
          <w:rFonts w:hint="eastAsia" w:ascii="宋体" w:hAnsi="宋体" w:eastAsia="宋体" w:cs="宋体"/>
          <w:b/>
          <w:color w:val="auto"/>
          <w:sz w:val="24"/>
          <w:highlight w:val="none"/>
        </w:rPr>
        <w:t>3. 响应有效期</w:t>
      </w:r>
      <w:bookmarkEnd w:id="65"/>
    </w:p>
    <w:p w14:paraId="78D13077">
      <w:pPr>
        <w:spacing w:line="360" w:lineRule="auto"/>
        <w:ind w:firstLine="480" w:firstLineChars="200"/>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▲3.1</w:t>
      </w:r>
      <w:r>
        <w:rPr>
          <w:rFonts w:hint="eastAsia" w:ascii="宋体" w:hAnsi="宋体" w:eastAsia="宋体" w:cs="宋体"/>
          <w:b/>
          <w:color w:val="auto"/>
          <w:sz w:val="24"/>
          <w:szCs w:val="20"/>
          <w:highlight w:val="none"/>
        </w:rPr>
        <w:t>响应有效期为从提交响应文件的截止之日起90天。供应商的响应文件中承</w:t>
      </w:r>
      <w:r>
        <w:rPr>
          <w:rFonts w:hint="eastAsia" w:ascii="宋体" w:hAnsi="宋体" w:eastAsia="宋体" w:cs="宋体"/>
          <w:b/>
          <w:color w:val="auto"/>
          <w:sz w:val="24"/>
          <w:szCs w:val="21"/>
          <w:highlight w:val="none"/>
        </w:rPr>
        <w:t>诺的响应有效期少于磋商文件中载明的磋商有效期的，响应无效。</w:t>
      </w:r>
    </w:p>
    <w:p w14:paraId="186F3765">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3.2响应文件合格提交后，自响应截止日期起，在响应有效期内有效。</w:t>
      </w:r>
    </w:p>
    <w:p w14:paraId="3C2E5A1F">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3.3在原定响应有效期满之前，如果出现特殊情况，采购机构可以以书面形式通知供应商延长响应有效期。供应商同意延长的，不得要求或被允许修改其响应文件;供应商拒绝延长的，其响应无效。</w:t>
      </w:r>
      <w:r>
        <w:rPr>
          <w:rFonts w:hint="eastAsia" w:ascii="宋体" w:hAnsi="宋体" w:eastAsia="宋体" w:cs="宋体"/>
          <w:color w:val="auto"/>
          <w:szCs w:val="24"/>
          <w:highlight w:val="none"/>
        </w:rPr>
        <w:t>拒绝延长磋商有效期的供应商不得再参与该项目后续采购活动。</w:t>
      </w:r>
    </w:p>
    <w:p w14:paraId="6ACB4FE9">
      <w:pPr>
        <w:tabs>
          <w:tab w:val="left" w:pos="378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4．响应费用</w:t>
      </w:r>
    </w:p>
    <w:p w14:paraId="127FF10C">
      <w:pPr>
        <w:pStyle w:val="32"/>
        <w:spacing w:line="360" w:lineRule="auto"/>
        <w:ind w:firstLine="360" w:firstLineChars="15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供应商需自行承担涉及响应的一切费用</w:t>
      </w:r>
      <w:r>
        <w:rPr>
          <w:rFonts w:hint="eastAsia" w:ascii="宋体" w:hAnsi="宋体" w:eastAsia="宋体" w:cs="宋体"/>
          <w:color w:val="auto"/>
          <w:sz w:val="24"/>
          <w:highlight w:val="none"/>
          <w:lang w:val="zh-CN"/>
        </w:rPr>
        <w:t>。</w:t>
      </w:r>
    </w:p>
    <w:p w14:paraId="7A1CE206">
      <w:pPr>
        <w:spacing w:line="360" w:lineRule="auto"/>
        <w:jc w:val="center"/>
        <w:rPr>
          <w:rFonts w:hint="eastAsia" w:ascii="宋体" w:hAnsi="宋体" w:eastAsia="宋体" w:cs="宋体"/>
          <w:b/>
          <w:color w:val="auto"/>
          <w:sz w:val="24"/>
          <w:highlight w:val="none"/>
        </w:rPr>
      </w:pPr>
    </w:p>
    <w:p w14:paraId="03096AE9">
      <w:pPr>
        <w:adjustRightInd/>
        <w:spacing w:line="360" w:lineRule="auto"/>
        <w:jc w:val="center"/>
        <w:outlineLvl w:val="0"/>
        <w:rPr>
          <w:rFonts w:hint="eastAsia" w:ascii="宋体" w:hAnsi="宋体" w:eastAsia="宋体" w:cs="宋体"/>
          <w:b/>
          <w:color w:val="auto"/>
          <w:sz w:val="32"/>
          <w:szCs w:val="20"/>
          <w:highlight w:val="none"/>
        </w:rPr>
      </w:pPr>
      <w:bookmarkStart w:id="66" w:name="_Toc28459"/>
      <w:r>
        <w:rPr>
          <w:rFonts w:hint="eastAsia" w:ascii="宋体" w:hAnsi="宋体" w:eastAsia="宋体" w:cs="宋体"/>
          <w:b/>
          <w:color w:val="auto"/>
          <w:sz w:val="32"/>
          <w:szCs w:val="20"/>
          <w:highlight w:val="none"/>
        </w:rPr>
        <w:t>三、需要落实的政府采购政策</w:t>
      </w:r>
      <w:bookmarkEnd w:id="66"/>
    </w:p>
    <w:p w14:paraId="544B1205">
      <w:pPr>
        <w:pStyle w:val="431"/>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1.是否允许采购进口产品要求</w:t>
      </w:r>
    </w:p>
    <w:p w14:paraId="390FC213">
      <w:pPr>
        <w:pStyle w:val="32"/>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eastAsia="宋体" w:cs="宋体"/>
          <w:color w:val="auto"/>
          <w:kern w:val="0"/>
          <w:sz w:val="24"/>
          <w:highlight w:val="none"/>
        </w:rPr>
        <w:t>优先采购向我国企业转让技术、与我国企业签订消化吸收再创新方案的供应商的进口产品</w:t>
      </w:r>
      <w:r>
        <w:rPr>
          <w:rFonts w:hint="eastAsia" w:ascii="宋体" w:hAnsi="宋体" w:eastAsia="宋体" w:cs="宋体"/>
          <w:color w:val="auto"/>
          <w:sz w:val="24"/>
          <w:highlight w:val="none"/>
        </w:rPr>
        <w:t>。</w:t>
      </w:r>
    </w:p>
    <w:p w14:paraId="25CB323C">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2.支持绿色发展</w:t>
      </w:r>
    </w:p>
    <w:p w14:paraId="32C864C2">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eastAsia="宋体" w:cs="宋体"/>
          <w:b/>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14:paraId="26073B1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2.2纳入政府采购管理的修缮、装修类项目采购建材的，鼓励采购单位将绿色建材性能、指标等作为实质性条件纳入采购文件和合同，具体性能指标要求参考相关绿色建材政府采购需求标准。</w:t>
      </w:r>
    </w:p>
    <w:p w14:paraId="4B5D556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296A8CC3">
      <w:pPr>
        <w:pStyle w:val="32"/>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3.支持中小企业发展。</w:t>
      </w:r>
    </w:p>
    <w:p w14:paraId="500F6A5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010D3FE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14:paraId="2D373E76">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3.2</w:t>
      </w:r>
      <w:r>
        <w:rPr>
          <w:rFonts w:hint="eastAsia" w:ascii="宋体" w:hAnsi="宋体" w:eastAsia="宋体" w:cs="宋体"/>
          <w:color w:val="auto"/>
          <w:kern w:val="0"/>
          <w:sz w:val="24"/>
          <w:highlight w:val="none"/>
        </w:rPr>
        <w:t>在政府采购活动中，服务类项目采购，服务由中小企业承接，即提供服务的人员为中小企业依照《中华人民共和国劳动合同法》订立劳动合同的从业人员，享受中小企业扶持政策。</w:t>
      </w:r>
    </w:p>
    <w:p w14:paraId="37B52F13">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以联合体形式参加政府采购活动，联合体各方均为中小企业的，联合体视同中小企业。其中，联合体各方均为小微企业的，联合体视同小微企业。</w:t>
      </w:r>
    </w:p>
    <w:p w14:paraId="11686DF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3.3对于未预留份额专门面向中小企业的政府采购服务项目，以及预留份额政府采购服务项目中的非预留部分标项，对小型和微型企业的最后报价给予</w:t>
      </w:r>
      <w:r>
        <w:rPr>
          <w:rFonts w:hint="eastAsia" w:ascii="宋体" w:hAnsi="宋体" w:eastAsia="宋体" w:cs="宋体"/>
          <w:b/>
          <w:bCs/>
          <w:color w:val="auto"/>
          <w:sz w:val="24"/>
          <w:highlight w:val="none"/>
          <w:u w:val="single"/>
        </w:rPr>
        <w:t>10</w:t>
      </w:r>
      <w:r>
        <w:rPr>
          <w:rFonts w:hint="eastAsia" w:ascii="宋体" w:hAnsi="宋体" w:eastAsia="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的扣除，用扣除后的价格参加评审。组成联合体或者接受分包的小微企业与联合体内其他企业、分包企业之间存在直接控股、管理关系的，不享受价格扣除优惠政策。</w:t>
      </w:r>
    </w:p>
    <w:p w14:paraId="65AD353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3.4符合《关于促进残疾人就业政府采购政策的通知》（财库〔2017〕141号）规定的条件并提供《残疾人福利性单位声明函》（附件3）的残疾人福利性单位视同小型、微型企业；</w:t>
      </w:r>
    </w:p>
    <w:p w14:paraId="18C363F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08B2D7F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4E1DA02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3.7中小企业享受扶持政策获得政府采购合同的，小微企业不得将合同分包给大中型企业，中型企业不得将合同分包给大型企业。</w:t>
      </w:r>
    </w:p>
    <w:p w14:paraId="7A67C8A5">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w:t>
      </w:r>
      <w:r>
        <w:rPr>
          <w:rFonts w:hint="eastAsia" w:ascii="宋体" w:hAnsi="宋体" w:eastAsia="宋体" w:cs="宋体"/>
          <w:b/>
          <w:bCs/>
          <w:color w:val="auto"/>
          <w:sz w:val="24"/>
          <w:highlight w:val="none"/>
        </w:rPr>
        <w:t>支持创新发展</w:t>
      </w:r>
    </w:p>
    <w:p w14:paraId="4A99728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4.1 采购人优先采购被认定为首台套产品和“制造精品”的自主创新产品。</w:t>
      </w:r>
    </w:p>
    <w:p w14:paraId="0B146A2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219DEFBB">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5.平等对待内外资企业和符合条件的破产重整企业</w:t>
      </w:r>
    </w:p>
    <w:p w14:paraId="5A715CE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平等对待内外资企业和符合条件的破产重整企业，切实保障企业公平竞争，平等维护企业的合法利益。</w:t>
      </w:r>
    </w:p>
    <w:p w14:paraId="647FEA3B">
      <w:pPr>
        <w:spacing w:line="360" w:lineRule="auto"/>
        <w:ind w:firstLine="480" w:firstLineChars="200"/>
        <w:rPr>
          <w:rFonts w:hint="eastAsia" w:ascii="宋体" w:hAnsi="宋体" w:eastAsia="宋体" w:cs="宋体"/>
          <w:color w:val="auto"/>
          <w:sz w:val="24"/>
          <w:highlight w:val="none"/>
        </w:rPr>
      </w:pPr>
    </w:p>
    <w:p w14:paraId="3C88D45E">
      <w:pPr>
        <w:adjustRightInd/>
        <w:spacing w:line="360" w:lineRule="auto"/>
        <w:jc w:val="center"/>
        <w:outlineLvl w:val="0"/>
        <w:rPr>
          <w:rFonts w:hint="eastAsia" w:ascii="宋体" w:hAnsi="宋体" w:eastAsia="宋体" w:cs="宋体"/>
          <w:b/>
          <w:color w:val="auto"/>
          <w:sz w:val="32"/>
          <w:szCs w:val="20"/>
          <w:highlight w:val="none"/>
        </w:rPr>
      </w:pPr>
      <w:bookmarkStart w:id="67" w:name="_Toc2000"/>
      <w:r>
        <w:rPr>
          <w:rFonts w:hint="eastAsia" w:ascii="宋体" w:hAnsi="宋体" w:eastAsia="宋体" w:cs="宋体"/>
          <w:b/>
          <w:color w:val="auto"/>
          <w:sz w:val="32"/>
          <w:szCs w:val="20"/>
          <w:highlight w:val="none"/>
        </w:rPr>
        <w:t>四、询问、质疑与投诉</w:t>
      </w:r>
      <w:bookmarkEnd w:id="67"/>
    </w:p>
    <w:p w14:paraId="6CAFFBD8">
      <w:pPr>
        <w:pStyle w:val="32"/>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1.在线询问、质疑、投诉</w:t>
      </w:r>
    </w:p>
    <w:p w14:paraId="60FFF941">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194DDD0">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 供应商询问</w:t>
      </w:r>
    </w:p>
    <w:p w14:paraId="676BD309">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48C7F41">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 供应商质疑</w:t>
      </w:r>
    </w:p>
    <w:p w14:paraId="49CA828C">
      <w:pPr>
        <w:pStyle w:val="32"/>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lang w:val="zh-CN"/>
        </w:rPr>
        <w:t>3</w:t>
      </w:r>
      <w:r>
        <w:rPr>
          <w:rFonts w:hint="eastAsia" w:ascii="宋体" w:hAnsi="宋体" w:eastAsia="宋体" w:cs="宋体"/>
          <w:b/>
          <w:color w:val="auto"/>
          <w:sz w:val="24"/>
          <w:highlight w:val="none"/>
        </w:rPr>
        <w:t>.1质疑提出时效</w:t>
      </w:r>
    </w:p>
    <w:p w14:paraId="20EFD10E">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3.1.1提出质疑的供应商应当是参与所质疑项目采购活动的供应商。潜在供应商已依法获取其可质疑的采购文件的，可以对该文件提出质疑。</w:t>
      </w:r>
    </w:p>
    <w:p w14:paraId="2FB0FE2C">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3</w:t>
      </w:r>
      <w:r>
        <w:rPr>
          <w:rFonts w:hint="eastAsia" w:ascii="宋体" w:hAnsi="宋体" w:eastAsia="宋体" w:cs="宋体"/>
          <w:color w:val="auto"/>
          <w:sz w:val="24"/>
          <w:highlight w:val="none"/>
        </w:rPr>
        <w:t>.1.2供应商认为采购文件、采购过程和成交结果使自己的权益受到损害的，可以在知道或者应知其权益受到损害之日起七个工作日内，以书面形式向采购人或者采购机构提出质疑，否则，采购人或者采购机构不予受理：</w:t>
      </w:r>
    </w:p>
    <w:p w14:paraId="1AE5D99D">
      <w:pPr>
        <w:pStyle w:val="6"/>
        <w:spacing w:line="360" w:lineRule="auto"/>
        <w:ind w:firstLine="434" w:firstLineChars="181"/>
        <w:rPr>
          <w:rFonts w:hint="eastAsia" w:ascii="宋体" w:hAnsi="宋体" w:eastAsia="宋体" w:cs="宋体"/>
          <w:snapToGrid/>
          <w:color w:val="auto"/>
          <w:kern w:val="2"/>
          <w:sz w:val="24"/>
          <w:highlight w:val="none"/>
        </w:rPr>
      </w:pPr>
      <w:r>
        <w:rPr>
          <w:rFonts w:hint="eastAsia" w:ascii="宋体" w:hAnsi="宋体" w:eastAsia="宋体" w:cs="宋体"/>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33C62E7F">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3.1.2.2对采购过程提出质疑的，质疑期限为各采购程序环节结束之日起计算。</w:t>
      </w:r>
    </w:p>
    <w:p w14:paraId="4955437E">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3.1.2.3对采购结果提出质疑的，质疑期限自采购结果公告期限届满之日起计算。</w:t>
      </w:r>
    </w:p>
    <w:p w14:paraId="5AFE5099">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3.1.2.4对同一采购程序环节的质疑，供应商须一次性提出。</w:t>
      </w:r>
    </w:p>
    <w:p w14:paraId="4C10D03A">
      <w:pPr>
        <w:pStyle w:val="32"/>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3.2质疑答复</w:t>
      </w:r>
    </w:p>
    <w:p w14:paraId="1C1A7882">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3.2.1采购人或者采购机构应当在收到供应商的书面质疑后七个工作日内作出答复，并以书面形式通知质疑供应商和其他与质疑处理结果有利害关系的政府采购当事人，但答复的内容不得涉及商业秘密。</w:t>
      </w:r>
    </w:p>
    <w:p w14:paraId="5550D54F">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 2.2询问或者质疑事项可能影响采购结果的，采购人应当暂停签订合同，已经签订合同的，应当中止履行合同。</w:t>
      </w:r>
    </w:p>
    <w:p w14:paraId="0DBF071F">
      <w:pPr>
        <w:pStyle w:val="32"/>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lang w:val="zh-CN"/>
        </w:rPr>
        <w:t>3.3质疑函</w:t>
      </w:r>
    </w:p>
    <w:p w14:paraId="5FDDA2F5">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3.3.1供应商提出质疑应当提交质疑函和必要的证明材料。质疑函应当包括下列内容：</w:t>
      </w:r>
    </w:p>
    <w:p w14:paraId="14F6D385">
      <w:pPr>
        <w:pStyle w:val="32"/>
        <w:numPr>
          <w:ilvl w:val="0"/>
          <w:numId w:val="4"/>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供应商的姓名或者名称、地址、邮编、联系人及联系电话；</w:t>
      </w:r>
    </w:p>
    <w:p w14:paraId="00CB7740">
      <w:pPr>
        <w:pStyle w:val="32"/>
        <w:numPr>
          <w:ilvl w:val="0"/>
          <w:numId w:val="4"/>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质疑项目的名称、编号；</w:t>
      </w:r>
    </w:p>
    <w:p w14:paraId="12C353D0">
      <w:pPr>
        <w:pStyle w:val="32"/>
        <w:numPr>
          <w:ilvl w:val="0"/>
          <w:numId w:val="4"/>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具体、明确的质疑事项和与质疑事项相关的请求；</w:t>
      </w:r>
    </w:p>
    <w:p w14:paraId="22529F20">
      <w:pPr>
        <w:pStyle w:val="32"/>
        <w:numPr>
          <w:ilvl w:val="0"/>
          <w:numId w:val="4"/>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事实依据；</w:t>
      </w:r>
    </w:p>
    <w:p w14:paraId="4B5DDBB2">
      <w:pPr>
        <w:pStyle w:val="32"/>
        <w:numPr>
          <w:ilvl w:val="0"/>
          <w:numId w:val="4"/>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必要的法律依据；</w:t>
      </w:r>
    </w:p>
    <w:p w14:paraId="10F59EB3">
      <w:pPr>
        <w:pStyle w:val="32"/>
        <w:numPr>
          <w:ilvl w:val="0"/>
          <w:numId w:val="4"/>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提出质疑的日期。</w:t>
      </w:r>
    </w:p>
    <w:p w14:paraId="74CE73ED">
      <w:pPr>
        <w:pStyle w:val="32"/>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14:paraId="36A40233">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4.供应商投诉</w:t>
      </w:r>
    </w:p>
    <w:p w14:paraId="594C0CFE">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4.1质疑供应商对采购人、采购机构的答复不满意或者采购人、采购机构未在规定的时间内作出答复的，可以在答复期满后十五个工作日内向同级政府采购监督管理部门提出投诉。</w:t>
      </w:r>
    </w:p>
    <w:p w14:paraId="7EE0D2DC">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4.2供应商投诉的事项不得超出已质疑事项的范围，基于质疑答复内容提出的投诉事项除外。</w:t>
      </w:r>
    </w:p>
    <w:p w14:paraId="3EA61733">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4.3供应商投诉应当有明确的请求和必要的证明材料。</w:t>
      </w:r>
    </w:p>
    <w:p w14:paraId="307E3BCC">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4.4以联合体形式参加政府采购活动的，其投诉应当由组成联合体的所有供应商共同提出。</w:t>
      </w:r>
    </w:p>
    <w:p w14:paraId="1CD42B46">
      <w:pPr>
        <w:pStyle w:val="32"/>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投诉书范本及制作说明详见附件2。</w:t>
      </w:r>
    </w:p>
    <w:p w14:paraId="3825C84C">
      <w:pPr>
        <w:adjustRightInd/>
        <w:spacing w:line="360" w:lineRule="auto"/>
        <w:jc w:val="center"/>
        <w:outlineLvl w:val="0"/>
        <w:rPr>
          <w:rFonts w:hint="eastAsia" w:ascii="宋体" w:hAnsi="宋体" w:eastAsia="宋体" w:cs="宋体"/>
          <w:b/>
          <w:color w:val="auto"/>
          <w:sz w:val="32"/>
          <w:szCs w:val="20"/>
          <w:highlight w:val="none"/>
        </w:rPr>
      </w:pPr>
    </w:p>
    <w:p w14:paraId="40425B33">
      <w:pPr>
        <w:adjustRightInd/>
        <w:spacing w:line="360" w:lineRule="auto"/>
        <w:jc w:val="center"/>
        <w:outlineLvl w:val="0"/>
        <w:rPr>
          <w:rFonts w:hint="eastAsia" w:ascii="宋体" w:hAnsi="宋体" w:eastAsia="宋体" w:cs="宋体"/>
          <w:b/>
          <w:color w:val="auto"/>
          <w:sz w:val="32"/>
          <w:szCs w:val="20"/>
          <w:highlight w:val="none"/>
        </w:rPr>
      </w:pPr>
      <w:bookmarkStart w:id="68" w:name="_Toc896"/>
      <w:r>
        <w:rPr>
          <w:rFonts w:hint="eastAsia" w:ascii="宋体" w:hAnsi="宋体" w:eastAsia="宋体" w:cs="宋体"/>
          <w:b/>
          <w:color w:val="auto"/>
          <w:sz w:val="32"/>
          <w:szCs w:val="20"/>
          <w:highlight w:val="none"/>
        </w:rPr>
        <w:t>五、磋商文件构成、修改、解释</w:t>
      </w:r>
      <w:bookmarkEnd w:id="68"/>
    </w:p>
    <w:p w14:paraId="1B021522">
      <w:pPr>
        <w:autoSpaceDE w:val="0"/>
        <w:autoSpaceDN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1．磋商文件的构成</w:t>
      </w:r>
    </w:p>
    <w:p w14:paraId="0FFFF99D">
      <w:pPr>
        <w:pStyle w:val="32"/>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 磋商文件包括下列文件及附件</w:t>
      </w:r>
    </w:p>
    <w:p w14:paraId="087AB342">
      <w:pPr>
        <w:pStyle w:val="32"/>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第一部分  供应商邀请</w:t>
      </w:r>
    </w:p>
    <w:p w14:paraId="233826E9">
      <w:pPr>
        <w:pStyle w:val="32"/>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第二部分  竞争性磋商流程</w:t>
      </w:r>
    </w:p>
    <w:p w14:paraId="7D26B366">
      <w:pPr>
        <w:pStyle w:val="32"/>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第三部分  供应商须知</w:t>
      </w:r>
    </w:p>
    <w:p w14:paraId="7146CE57">
      <w:pPr>
        <w:pStyle w:val="32"/>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第四部分  采购需求</w:t>
      </w:r>
    </w:p>
    <w:p w14:paraId="102C21C0">
      <w:pPr>
        <w:pStyle w:val="32"/>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第五部分  评审方法及评审标准</w:t>
      </w:r>
    </w:p>
    <w:p w14:paraId="1291F8D4">
      <w:pPr>
        <w:pStyle w:val="32"/>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第六部分  拟签订的合同文本</w:t>
      </w:r>
    </w:p>
    <w:p w14:paraId="572BB942">
      <w:pPr>
        <w:pStyle w:val="32"/>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第七部分  应提交的有关格式范例</w:t>
      </w:r>
    </w:p>
    <w:p w14:paraId="3DB2439E">
      <w:pPr>
        <w:pStyle w:val="32"/>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第八部分  最后报价格式</w:t>
      </w:r>
    </w:p>
    <w:p w14:paraId="56D832CA">
      <w:pPr>
        <w:pStyle w:val="32"/>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1.2 </w:t>
      </w:r>
      <w:r>
        <w:rPr>
          <w:rFonts w:hint="eastAsia" w:ascii="宋体" w:hAnsi="宋体" w:eastAsia="宋体" w:cs="宋体"/>
          <w:color w:val="auto"/>
          <w:sz w:val="24"/>
          <w:highlight w:val="none"/>
        </w:rPr>
        <w:t>与本项目有关的</w:t>
      </w:r>
      <w:r>
        <w:rPr>
          <w:rFonts w:hint="eastAsia" w:ascii="宋体" w:hAnsi="宋体" w:eastAsia="宋体" w:cs="宋体"/>
          <w:bCs/>
          <w:color w:val="auto"/>
          <w:sz w:val="24"/>
          <w:highlight w:val="none"/>
        </w:rPr>
        <w:t>澄清或者修改的内容为磋商文件的组成部分</w:t>
      </w:r>
      <w:r>
        <w:rPr>
          <w:rFonts w:hint="eastAsia" w:ascii="宋体" w:hAnsi="宋体" w:eastAsia="宋体" w:cs="宋体"/>
          <w:color w:val="auto"/>
          <w:sz w:val="24"/>
          <w:highlight w:val="none"/>
        </w:rPr>
        <w:t>。</w:t>
      </w:r>
    </w:p>
    <w:p w14:paraId="0FECD266">
      <w:pPr>
        <w:pStyle w:val="32"/>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 磋商文件的澄清、修改</w:t>
      </w:r>
    </w:p>
    <w:p w14:paraId="348717EC">
      <w:pPr>
        <w:pStyle w:val="431"/>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2.1已获取磋商文件的潜在供应商，若有问题需要澄清，应于提交首次响应文件截止时间前，以书面形式向采购机构提出。</w:t>
      </w:r>
    </w:p>
    <w:p w14:paraId="3BA436CF">
      <w:pPr>
        <w:pStyle w:val="431"/>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2.2采购机构对磋商文件进行澄清或修改的，将同时通过电子交易平台通知已获取磋商文件的供应商。依法应当公告的，将按规定公告，同时视情况延长提交首次响应文件截止时间和响应文件开启时间。该澄清或者修改的内容为磋商文件的组成部分。</w:t>
      </w:r>
    </w:p>
    <w:p w14:paraId="2E3AB034">
      <w:pPr>
        <w:pStyle w:val="431"/>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2.3澄清或者修改的内容可能影响响应文件编制的，采购人、采购机构应当在提交首次响应文件截止时间至少5日前，通过电子交易平台通知所有获取磋商文件的供应商；不足5日的，采购人、采购机构应当顺延提交首次响应文件截止时间。</w:t>
      </w:r>
    </w:p>
    <w:p w14:paraId="00005FDD">
      <w:pPr>
        <w:pStyle w:val="431"/>
        <w:snapToGrid w:val="0"/>
        <w:spacing w:before="0"/>
        <w:ind w:firstLine="482"/>
        <w:rPr>
          <w:rFonts w:hint="eastAsia" w:ascii="宋体" w:hAnsi="宋体" w:eastAsia="宋体" w:cs="宋体"/>
          <w:color w:val="auto"/>
          <w:highlight w:val="none"/>
        </w:rPr>
      </w:pPr>
      <w:r>
        <w:rPr>
          <w:rFonts w:hint="eastAsia" w:ascii="宋体" w:hAnsi="宋体" w:eastAsia="宋体" w:cs="宋体"/>
          <w:b/>
          <w:color w:val="auto"/>
          <w:highlight w:val="none"/>
        </w:rPr>
        <w:t>▲</w:t>
      </w:r>
      <w:r>
        <w:rPr>
          <w:rFonts w:hint="eastAsia" w:ascii="宋体" w:hAnsi="宋体" w:eastAsia="宋体" w:cs="宋体"/>
          <w:b/>
          <w:color w:val="auto"/>
          <w:szCs w:val="21"/>
          <w:highlight w:val="none"/>
        </w:rPr>
        <w:t>响应文件未按磋商文件的澄清、修改的内容编制，又不符合实质性要求的，响应无效。</w:t>
      </w:r>
    </w:p>
    <w:p w14:paraId="3FDCC070">
      <w:pPr>
        <w:pStyle w:val="2"/>
        <w:rPr>
          <w:rFonts w:hint="eastAsia" w:ascii="宋体" w:hAnsi="宋体" w:eastAsia="宋体" w:cs="宋体"/>
          <w:color w:val="auto"/>
          <w:sz w:val="18"/>
          <w:szCs w:val="18"/>
          <w:highlight w:val="none"/>
          <w:lang w:val="en-US"/>
        </w:rPr>
      </w:pPr>
      <w:r>
        <w:rPr>
          <w:rFonts w:hint="eastAsia" w:ascii="宋体" w:hAnsi="宋体" w:eastAsia="宋体" w:cs="宋体"/>
          <w:color w:val="auto"/>
          <w:szCs w:val="24"/>
          <w:highlight w:val="none"/>
          <w:lang w:val="en-US"/>
        </w:rPr>
        <w:t xml:space="preserve">    </w:t>
      </w:r>
    </w:p>
    <w:p w14:paraId="5810E74F">
      <w:pPr>
        <w:adjustRightInd/>
        <w:spacing w:line="360" w:lineRule="auto"/>
        <w:jc w:val="center"/>
        <w:outlineLvl w:val="0"/>
        <w:rPr>
          <w:rFonts w:hint="eastAsia" w:ascii="宋体" w:hAnsi="宋体" w:eastAsia="宋体" w:cs="宋体"/>
          <w:b/>
          <w:color w:val="auto"/>
          <w:sz w:val="32"/>
          <w:szCs w:val="20"/>
          <w:highlight w:val="none"/>
        </w:rPr>
      </w:pPr>
      <w:bookmarkStart w:id="69" w:name="_Toc14917"/>
      <w:r>
        <w:rPr>
          <w:rFonts w:hint="eastAsia" w:ascii="宋体" w:hAnsi="宋体" w:eastAsia="宋体" w:cs="宋体"/>
          <w:b/>
          <w:color w:val="auto"/>
          <w:sz w:val="32"/>
          <w:szCs w:val="20"/>
          <w:highlight w:val="none"/>
        </w:rPr>
        <w:t>六、响应文件的编制</w:t>
      </w:r>
      <w:bookmarkEnd w:id="69"/>
    </w:p>
    <w:p w14:paraId="1EEEAB40">
      <w:pPr>
        <w:pStyle w:val="32"/>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highlight w:val="none"/>
        </w:rPr>
        <w:t>1. 响应文件的语言</w:t>
      </w:r>
    </w:p>
    <w:p w14:paraId="2E5AC0EB">
      <w:pPr>
        <w:pStyle w:val="32"/>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响应文件及供应商与采购有关的来往通知、函件和文件均应使用中文。</w:t>
      </w:r>
    </w:p>
    <w:p w14:paraId="348EDFB4">
      <w:pPr>
        <w:pStyle w:val="32"/>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highlight w:val="none"/>
        </w:rPr>
        <w:t>2. 响应文件的组成</w:t>
      </w:r>
    </w:p>
    <w:p w14:paraId="0CC3ACA9">
      <w:pPr>
        <w:pStyle w:val="32"/>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响应文件应当包括以下主要内容：</w:t>
      </w:r>
    </w:p>
    <w:p w14:paraId="2DCFDB75">
      <w:pPr>
        <w:pStyle w:val="32"/>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2.1.资格文件：</w:t>
      </w:r>
    </w:p>
    <w:p w14:paraId="74B31FDD">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(1)符合参加政府采购活动应当具备的一般条件的承诺函；</w:t>
      </w:r>
    </w:p>
    <w:p w14:paraId="2D7A73B1">
      <w:pPr>
        <w:pStyle w:val="32"/>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有效的企业营业执照（或事业法人登记证书或其它工商等登记证明材料，自然人提供身份证)复制件</w:t>
      </w:r>
      <w:r>
        <w:rPr>
          <w:rFonts w:hint="eastAsia" w:ascii="宋体" w:hAnsi="宋体" w:eastAsia="宋体" w:cs="宋体"/>
          <w:color w:val="auto"/>
          <w:sz w:val="24"/>
          <w:highlight w:val="none"/>
          <w:lang w:eastAsia="zh-CN"/>
        </w:rPr>
        <w:t>；</w:t>
      </w:r>
    </w:p>
    <w:p w14:paraId="64069327">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)联合协议</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w:t>
      </w:r>
    </w:p>
    <w:p w14:paraId="045BD540">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)落实政府采购政策需满足的资格要求</w:t>
      </w:r>
      <w:r>
        <w:rPr>
          <w:rFonts w:hint="eastAsia" w:ascii="宋体" w:hAnsi="宋体" w:eastAsia="宋体" w:cs="宋体"/>
          <w:color w:val="auto"/>
          <w:sz w:val="24"/>
          <w:highlight w:val="none"/>
          <w:lang w:eastAsia="zh-CN"/>
        </w:rPr>
        <w:t>：</w:t>
      </w:r>
      <w:r>
        <w:rPr>
          <w:rFonts w:hint="eastAsia" w:ascii="宋体" w:hAnsi="宋体" w:eastAsia="宋体" w:cs="宋体"/>
          <w:b/>
          <w:bCs/>
          <w:color w:val="auto"/>
          <w:sz w:val="24"/>
          <w:highlight w:val="none"/>
          <w:u w:val="single"/>
          <w:lang w:val="en-US" w:eastAsia="zh-CN"/>
        </w:rPr>
        <w:t>供应商为中小企业/小微企业，提供附件7：中小企业声明函（工程/服务）</w:t>
      </w:r>
    </w:p>
    <w:p w14:paraId="78200639">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)本项目的特定资格要求</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w:t>
      </w:r>
    </w:p>
    <w:p w14:paraId="76BFD69D">
      <w:pPr>
        <w:pStyle w:val="32"/>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2.2.商务技术文件：</w:t>
      </w:r>
    </w:p>
    <w:p w14:paraId="2B7C386A">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(1)响应函； </w:t>
      </w:r>
    </w:p>
    <w:p w14:paraId="5493B093">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(2)授权委托书或法定代表人（单位负责人、自然人本人）身份证明；</w:t>
      </w:r>
    </w:p>
    <w:p w14:paraId="615F0EB6">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(3)分包意向协议；（如果有）</w:t>
      </w:r>
    </w:p>
    <w:p w14:paraId="59872A64">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(4)符合性审查资料；</w:t>
      </w:r>
    </w:p>
    <w:p w14:paraId="4D938F66">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(5)评标标准相应的商务技术资料；</w:t>
      </w:r>
    </w:p>
    <w:p w14:paraId="421A4F9E">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(6)标的清单；</w:t>
      </w:r>
    </w:p>
    <w:p w14:paraId="036C1E2C">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(7)商务技术偏离表；</w:t>
      </w:r>
    </w:p>
    <w:p w14:paraId="6331F78F">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(8)政府采购供应商廉洁自律承诺书。</w:t>
      </w:r>
    </w:p>
    <w:p w14:paraId="5A832489">
      <w:pPr>
        <w:pStyle w:val="32"/>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2.3.报价文件： </w:t>
      </w:r>
    </w:p>
    <w:p w14:paraId="1C10C444">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(1)初始报价一览表；</w:t>
      </w:r>
    </w:p>
    <w:p w14:paraId="25DF7C62">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分项报价表</w:t>
      </w:r>
    </w:p>
    <w:p w14:paraId="2635D545">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)中小企业声明函（如果有）。</w:t>
      </w:r>
    </w:p>
    <w:p w14:paraId="3DBC052A">
      <w:pPr>
        <w:pStyle w:val="32"/>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响应文件含有采购人不能接受的附加条件的，磋商无效；</w:t>
      </w:r>
    </w:p>
    <w:p w14:paraId="5AF53B27">
      <w:pPr>
        <w:pStyle w:val="32"/>
        <w:spacing w:line="360" w:lineRule="auto"/>
        <w:ind w:firstLine="482" w:firstLineChars="200"/>
        <w:rPr>
          <w:rFonts w:hint="eastAsia" w:ascii="宋体" w:hAnsi="宋体" w:eastAsia="宋体" w:cs="宋体"/>
          <w:b/>
          <w:color w:val="auto"/>
          <w:kern w:val="0"/>
          <w:sz w:val="24"/>
          <w:highlight w:val="none"/>
        </w:rPr>
      </w:pPr>
      <w:r>
        <w:rPr>
          <w:rFonts w:hint="eastAsia" w:ascii="宋体" w:hAnsi="宋体" w:eastAsia="宋体" w:cs="宋体"/>
          <w:b/>
          <w:color w:val="auto"/>
          <w:sz w:val="24"/>
          <w:highlight w:val="none"/>
        </w:rPr>
        <w:t>供应商提供虚假材料响应的，磋商无效。</w:t>
      </w:r>
    </w:p>
    <w:p w14:paraId="73258DB8">
      <w:pPr>
        <w:pStyle w:val="32"/>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 响应文件的编制和签署</w:t>
      </w:r>
    </w:p>
    <w:p w14:paraId="6FC7C703">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3.1各供应商在编制响应文件时请按照磋商文件第七部分规定的格式进行，混乱的编排导致响应文件被误读或磋商小组查找不到有效文件是供应商的风险。</w:t>
      </w:r>
    </w:p>
    <w:p w14:paraId="1A8A7310">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7F9259CC">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3.3使用“政采云电子交易客户端”需要提前申领CA数字证书，申领流程请自行前往“浙江政府采购网-下载专区-电子交易客户端-CA驱动和申领流程”进行查阅。</w:t>
      </w:r>
    </w:p>
    <w:p w14:paraId="421065B2">
      <w:pPr>
        <w:pStyle w:val="431"/>
        <w:snapToGrid w:val="0"/>
        <w:spacing w:before="0"/>
        <w:ind w:firstLine="480"/>
        <w:rPr>
          <w:rFonts w:hint="eastAsia" w:ascii="宋体" w:hAnsi="宋体" w:eastAsia="宋体" w:cs="宋体"/>
          <w:b/>
          <w:color w:val="auto"/>
          <w:highlight w:val="none"/>
        </w:rPr>
      </w:pPr>
      <w:r>
        <w:rPr>
          <w:rFonts w:hint="eastAsia" w:ascii="宋体" w:hAnsi="宋体" w:eastAsia="宋体" w:cs="宋体"/>
          <w:color w:val="auto"/>
          <w:szCs w:val="24"/>
          <w:highlight w:val="none"/>
        </w:rPr>
        <w:t>3.4响应文件按照磋商文件第七部分格式要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▲供应商的响应文件未按照磋商文件要求签署、盖章的，其响应无效</w:t>
      </w:r>
      <w:r>
        <w:rPr>
          <w:rFonts w:hint="eastAsia" w:ascii="宋体" w:hAnsi="宋体" w:eastAsia="宋体" w:cs="宋体"/>
          <w:color w:val="auto"/>
          <w:szCs w:val="24"/>
          <w:highlight w:val="none"/>
        </w:rPr>
        <w:t>。</w:t>
      </w:r>
    </w:p>
    <w:p w14:paraId="7C25C868">
      <w:pPr>
        <w:pStyle w:val="431"/>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szCs w:val="24"/>
          <w:highlight w:val="none"/>
        </w:rPr>
        <w:t>3.5为确保网上操作合法、有效和安全，供应商应当在响应截止时间前完成在“政府采购云平台”的身份认证，确保在电子交易过程中能够对相关数据电文进行加密和使用电子签名。</w:t>
      </w:r>
    </w:p>
    <w:p w14:paraId="6AE5E959">
      <w:pPr>
        <w:pStyle w:val="431"/>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3.6磋商文件对响应文件签署、盖章的要求适用于电子签名。</w:t>
      </w:r>
    </w:p>
    <w:p w14:paraId="0EB8C16C">
      <w:pPr>
        <w:adjustRightInd/>
        <w:spacing w:line="360" w:lineRule="auto"/>
        <w:jc w:val="center"/>
        <w:outlineLvl w:val="0"/>
        <w:rPr>
          <w:rFonts w:hint="eastAsia" w:ascii="宋体" w:hAnsi="宋体" w:eastAsia="宋体" w:cs="宋体"/>
          <w:b/>
          <w:color w:val="auto"/>
          <w:sz w:val="32"/>
          <w:szCs w:val="20"/>
          <w:highlight w:val="none"/>
        </w:rPr>
      </w:pPr>
      <w:bookmarkStart w:id="70" w:name="_Toc26733"/>
      <w:r>
        <w:rPr>
          <w:rFonts w:hint="eastAsia" w:ascii="宋体" w:hAnsi="宋体" w:eastAsia="宋体" w:cs="宋体"/>
          <w:b/>
          <w:color w:val="auto"/>
          <w:sz w:val="32"/>
          <w:szCs w:val="20"/>
          <w:highlight w:val="none"/>
        </w:rPr>
        <w:t>七、</w:t>
      </w:r>
      <w:r>
        <w:rPr>
          <w:rFonts w:hint="eastAsia" w:ascii="宋体" w:hAnsi="宋体" w:eastAsia="宋体" w:cs="宋体"/>
          <w:b/>
          <w:color w:val="auto"/>
          <w:sz w:val="32"/>
          <w:szCs w:val="32"/>
          <w:highlight w:val="none"/>
        </w:rPr>
        <w:t>响应</w:t>
      </w:r>
      <w:r>
        <w:rPr>
          <w:rFonts w:hint="eastAsia" w:ascii="宋体" w:hAnsi="宋体" w:eastAsia="宋体" w:cs="宋体"/>
          <w:b/>
          <w:color w:val="auto"/>
          <w:sz w:val="32"/>
          <w:szCs w:val="20"/>
          <w:highlight w:val="none"/>
        </w:rPr>
        <w:t>文件的提交和备份</w:t>
      </w:r>
      <w:bookmarkEnd w:id="70"/>
    </w:p>
    <w:p w14:paraId="48187D9C">
      <w:pPr>
        <w:pStyle w:val="431"/>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1.响应文件的提交、补充、修改、撤回</w:t>
      </w:r>
    </w:p>
    <w:p w14:paraId="484C6171">
      <w:pPr>
        <w:pStyle w:val="431"/>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5163A1F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 在响应截止时间以后，不能补充、修改响应文件</w:t>
      </w:r>
      <w:bookmarkStart w:id="139" w:name="_GoBack"/>
      <w:bookmarkEnd w:id="139"/>
      <w:r>
        <w:rPr>
          <w:rFonts w:hint="eastAsia" w:ascii="宋体" w:hAnsi="宋体" w:eastAsia="宋体" w:cs="宋体"/>
          <w:color w:val="auto"/>
          <w:sz w:val="24"/>
          <w:highlight w:val="none"/>
        </w:rPr>
        <w:t>。</w:t>
      </w:r>
    </w:p>
    <w:p w14:paraId="42D942D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 在提交“最后报价”后，供应商不能退出磋商。</w:t>
      </w:r>
    </w:p>
    <w:p w14:paraId="50E3F8B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14:paraId="539B23C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 采购机构可以视情况延长提交响应文件的截止时间。在上述情况下，采购机构与供应商以前在响应截止期方面的全部权利、责任和义务，将适用于延长至新的响应截止期。</w:t>
      </w:r>
    </w:p>
    <w:p w14:paraId="2AB791BE">
      <w:pPr>
        <w:pStyle w:val="32"/>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2.备份响应文件</w:t>
      </w:r>
    </w:p>
    <w:p w14:paraId="7D41EA34">
      <w:pPr>
        <w:pStyle w:val="32"/>
        <w:spacing w:line="360" w:lineRule="auto"/>
        <w:ind w:firstLine="360" w:firstLineChars="15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2.1 供应商在电子交易平台传输提交响应文件后，还可以在响应截止时间前直接提交或者以邮政快递方式递交备份响应文件1份，</w:t>
      </w:r>
      <w:r>
        <w:rPr>
          <w:rFonts w:hint="eastAsia" w:ascii="宋体" w:hAnsi="宋体" w:eastAsia="宋体" w:cs="宋体"/>
          <w:b/>
          <w:color w:val="auto"/>
          <w:sz w:val="24"/>
          <w:szCs w:val="24"/>
          <w:highlight w:val="none"/>
        </w:rPr>
        <w:t>但采购人、采购机构不强制或变相强制供应商提交备份响应文件。</w:t>
      </w:r>
    </w:p>
    <w:p w14:paraId="6D18B10D">
      <w:pPr>
        <w:pStyle w:val="32"/>
        <w:spacing w:line="360" w:lineRule="auto"/>
        <w:ind w:firstLine="360" w:firstLineChars="15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2.2 备份响应文件须在“政采云投标客户端”制作生成，并储存在不可修改的</w:t>
      </w:r>
      <w:r>
        <w:rPr>
          <w:rFonts w:hint="eastAsia" w:ascii="宋体" w:hAnsi="宋体" w:eastAsia="宋体" w:cs="宋体"/>
          <w:b/>
          <w:color w:val="auto"/>
          <w:sz w:val="24"/>
          <w:highlight w:val="none"/>
          <w:u w:val="single"/>
        </w:rPr>
        <w:t>电子光盘</w:t>
      </w:r>
      <w:r>
        <w:rPr>
          <w:rFonts w:hint="eastAsia" w:ascii="宋体" w:hAnsi="宋体" w:eastAsia="宋体" w:cs="宋体"/>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宋体" w:hAnsi="宋体" w:eastAsia="宋体" w:cs="宋体"/>
          <w:b/>
          <w:color w:val="auto"/>
          <w:sz w:val="24"/>
          <w:highlight w:val="none"/>
        </w:rPr>
        <w:t>▲不符合上述制作、</w:t>
      </w:r>
      <w:r>
        <w:rPr>
          <w:rFonts w:hint="eastAsia" w:ascii="宋体" w:hAnsi="宋体" w:eastAsia="宋体" w:cs="宋体"/>
          <w:b/>
          <w:color w:val="auto"/>
          <w:sz w:val="24"/>
          <w:szCs w:val="24"/>
          <w:highlight w:val="none"/>
        </w:rPr>
        <w:t>存储、密封规定的备份响应文件将被视为无效或者被拒绝接收。</w:t>
      </w:r>
    </w:p>
    <w:p w14:paraId="1CC19FDA">
      <w:pPr>
        <w:pStyle w:val="32"/>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直接提交备份响应文件的，供应商应于响应截止时间前在磋商公告中载明的开启响应文件的地点将备份响应文件提交给采购机构，采购机构将拒绝接受逾期送达的备份响应文件。</w:t>
      </w:r>
    </w:p>
    <w:p w14:paraId="4B904CA9">
      <w:pPr>
        <w:pStyle w:val="32"/>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 以邮政快递方式递交备份响应文件的，供应商应先将备份响应文件按要求密封和标记，再进行邮政快递包装后邮寄。备份响应文件须在提交响应文件截止时间之前送达磋商文件第三部分供应商须知前附表规定的备份响应文件送达地点；送达时间以签收人签收时间为准。采购机构将拒绝接受逾期送达的备份响应文件。邮寄过程中，电子备份响应文件发生泄露、遗失、损坏或延期送达等情况的，由供应商自行负责。</w:t>
      </w:r>
    </w:p>
    <w:p w14:paraId="5603D4AA">
      <w:pPr>
        <w:pStyle w:val="32"/>
        <w:spacing w:line="360" w:lineRule="auto"/>
        <w:ind w:firstLine="361" w:firstLineChars="15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 xml:space="preserve">2.5 </w:t>
      </w:r>
      <w:r>
        <w:rPr>
          <w:rFonts w:hint="eastAsia" w:ascii="宋体" w:hAnsi="宋体" w:eastAsia="宋体" w:cs="宋体"/>
          <w:b/>
          <w:color w:val="auto"/>
          <w:sz w:val="24"/>
          <w:highlight w:val="none"/>
        </w:rPr>
        <w:t>▲</w:t>
      </w:r>
      <w:r>
        <w:rPr>
          <w:rFonts w:hint="eastAsia" w:ascii="宋体" w:hAnsi="宋体" w:eastAsia="宋体" w:cs="宋体"/>
          <w:b/>
          <w:color w:val="auto"/>
          <w:sz w:val="24"/>
          <w:szCs w:val="24"/>
          <w:highlight w:val="none"/>
        </w:rPr>
        <w:t>供应商仅提交备份响应文件，未在电子交易平台传输提交响应文件的，响应无效。</w:t>
      </w:r>
    </w:p>
    <w:p w14:paraId="3CE58B53">
      <w:pPr>
        <w:adjustRightInd/>
        <w:spacing w:line="360" w:lineRule="auto"/>
        <w:jc w:val="center"/>
        <w:outlineLvl w:val="0"/>
        <w:rPr>
          <w:rFonts w:hint="eastAsia" w:ascii="宋体" w:hAnsi="宋体" w:eastAsia="宋体" w:cs="宋体"/>
          <w:b/>
          <w:color w:val="auto"/>
          <w:sz w:val="32"/>
          <w:szCs w:val="20"/>
          <w:highlight w:val="none"/>
        </w:rPr>
      </w:pPr>
    </w:p>
    <w:p w14:paraId="2189B87F">
      <w:pPr>
        <w:adjustRightInd/>
        <w:spacing w:line="360" w:lineRule="auto"/>
        <w:jc w:val="center"/>
        <w:outlineLvl w:val="0"/>
        <w:rPr>
          <w:rFonts w:hint="eastAsia" w:ascii="宋体" w:hAnsi="宋体" w:eastAsia="宋体" w:cs="宋体"/>
          <w:b/>
          <w:color w:val="auto"/>
          <w:sz w:val="32"/>
          <w:szCs w:val="20"/>
          <w:highlight w:val="none"/>
        </w:rPr>
      </w:pPr>
      <w:bookmarkStart w:id="71" w:name="_Toc14017"/>
      <w:r>
        <w:rPr>
          <w:rFonts w:hint="eastAsia" w:ascii="宋体" w:hAnsi="宋体" w:eastAsia="宋体" w:cs="宋体"/>
          <w:b/>
          <w:color w:val="auto"/>
          <w:sz w:val="32"/>
          <w:szCs w:val="20"/>
          <w:highlight w:val="none"/>
        </w:rPr>
        <w:t>八、</w:t>
      </w:r>
      <w:r>
        <w:rPr>
          <w:rFonts w:hint="eastAsia" w:ascii="宋体" w:hAnsi="宋体" w:eastAsia="宋体" w:cs="宋体"/>
          <w:b/>
          <w:color w:val="auto"/>
          <w:sz w:val="32"/>
          <w:szCs w:val="32"/>
          <w:highlight w:val="none"/>
        </w:rPr>
        <w:t>开启响应文件与信用信息查询</w:t>
      </w:r>
      <w:bookmarkEnd w:id="71"/>
    </w:p>
    <w:p w14:paraId="1DCE7426">
      <w:pPr>
        <w:pStyle w:val="32"/>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 开启响应文件</w:t>
      </w:r>
    </w:p>
    <w:p w14:paraId="0BFF00D7">
      <w:pPr>
        <w:pStyle w:val="32"/>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 采购机构按照磋商文件规定的时间通过电子交易平台组织响应文件开启，所有供应商均应当准时在线参加。</w:t>
      </w:r>
      <w:r>
        <w:rPr>
          <w:rFonts w:hint="eastAsia" w:ascii="宋体" w:hAnsi="宋体" w:eastAsia="宋体" w:cs="宋体"/>
          <w:b/>
          <w:color w:val="auto"/>
          <w:sz w:val="24"/>
          <w:szCs w:val="24"/>
          <w:highlight w:val="none"/>
        </w:rPr>
        <w:t>供应商数量不符合规定的，不得开启响应文件。</w:t>
      </w:r>
    </w:p>
    <w:p w14:paraId="60B75A6E">
      <w:pPr>
        <w:pStyle w:val="32"/>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1.2开启响应文件时，电子交易平台按开启响应文件时间自动提取所有响应文件。采购机构依托电子交易平台发起开始解密指令，供应商按照平台提示和磋商文件的规定在半小时内完成在线解密。</w:t>
      </w:r>
    </w:p>
    <w:p w14:paraId="7C50C897">
      <w:pPr>
        <w:pStyle w:val="32"/>
        <w:spacing w:line="360" w:lineRule="auto"/>
        <w:ind w:firstLine="361" w:firstLineChars="15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5762CF1E">
      <w:pPr>
        <w:pStyle w:val="431"/>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2.信用信息查询</w:t>
      </w:r>
    </w:p>
    <w:p w14:paraId="2C366459">
      <w:pPr>
        <w:pStyle w:val="431"/>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2.1信用信息查询渠道及截止时间：采购机构将通过“信用中国”网站(</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"http://www.creditchina.gov.cn" </w:instrText>
      </w:r>
      <w:r>
        <w:rPr>
          <w:rFonts w:hint="eastAsia" w:ascii="宋体" w:hAnsi="宋体" w:eastAsia="宋体" w:cs="宋体"/>
          <w:color w:val="auto"/>
          <w:highlight w:val="none"/>
        </w:rPr>
        <w:fldChar w:fldCharType="separate"/>
      </w:r>
      <w:r>
        <w:rPr>
          <w:rStyle w:val="68"/>
          <w:rFonts w:hint="eastAsia" w:ascii="宋体" w:hAnsi="宋体" w:eastAsia="宋体" w:cs="宋体"/>
          <w:snapToGrid/>
          <w:color w:val="auto"/>
          <w:sz w:val="24"/>
          <w:szCs w:val="24"/>
          <w:highlight w:val="none"/>
        </w:rPr>
        <w:t>www.creditchina.gov.cn</w:t>
      </w:r>
      <w:r>
        <w:rPr>
          <w:rStyle w:val="68"/>
          <w:rFonts w:hint="eastAsia" w:ascii="宋体" w:hAnsi="宋体" w:eastAsia="宋体" w:cs="宋体"/>
          <w:snapToGrid/>
          <w:color w:val="auto"/>
          <w:sz w:val="24"/>
          <w:szCs w:val="24"/>
          <w:highlight w:val="none"/>
        </w:rPr>
        <w:fldChar w:fldCharType="end"/>
      </w:r>
      <w:r>
        <w:rPr>
          <w:rFonts w:hint="eastAsia" w:ascii="宋体" w:hAnsi="宋体" w:eastAsia="宋体" w:cs="宋体"/>
          <w:color w:val="auto"/>
          <w:kern w:val="0"/>
          <w:szCs w:val="24"/>
          <w:highlight w:val="none"/>
        </w:rPr>
        <w:t>)、中国政府采购网(www.ccgp.gov.cn)渠道查询供应商响应截止时间前的信用记录。</w:t>
      </w:r>
    </w:p>
    <w:p w14:paraId="2EBA7215">
      <w:pPr>
        <w:pStyle w:val="431"/>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2.2信用信息查询记录和证据留存的具体方式：现场查询的供应商的信用记录、查询结果经确认后存档。</w:t>
      </w:r>
    </w:p>
    <w:p w14:paraId="156C3339">
      <w:pPr>
        <w:pStyle w:val="431"/>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2.3信用信息的使用规则：经查询列入失信被执行人名单、重大税收违法案件当事人名单、政府采购严重违法失信行为记录名单的供应商将被拒绝参与政府采购活动。</w:t>
      </w:r>
    </w:p>
    <w:p w14:paraId="646C67A6">
      <w:pPr>
        <w:pStyle w:val="431"/>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737D8C80">
      <w:pPr>
        <w:pStyle w:val="32"/>
        <w:spacing w:line="360" w:lineRule="auto"/>
        <w:rPr>
          <w:rFonts w:hint="eastAsia" w:ascii="宋体" w:hAnsi="宋体" w:eastAsia="宋体" w:cs="宋体"/>
          <w:b/>
          <w:color w:val="auto"/>
          <w:sz w:val="24"/>
          <w:szCs w:val="24"/>
          <w:highlight w:val="none"/>
        </w:rPr>
      </w:pPr>
    </w:p>
    <w:p w14:paraId="325B1D2D">
      <w:pPr>
        <w:adjustRightInd/>
        <w:spacing w:line="360" w:lineRule="auto"/>
        <w:jc w:val="center"/>
        <w:outlineLvl w:val="0"/>
        <w:rPr>
          <w:rFonts w:hint="eastAsia" w:ascii="宋体" w:hAnsi="宋体" w:eastAsia="宋体" w:cs="宋体"/>
          <w:b/>
          <w:color w:val="auto"/>
          <w:sz w:val="32"/>
          <w:szCs w:val="32"/>
          <w:highlight w:val="none"/>
        </w:rPr>
      </w:pPr>
      <w:bookmarkStart w:id="72" w:name="_Toc4301"/>
      <w:r>
        <w:rPr>
          <w:rFonts w:hint="eastAsia" w:ascii="宋体" w:hAnsi="宋体" w:eastAsia="宋体" w:cs="宋体"/>
          <w:b/>
          <w:color w:val="auto"/>
          <w:sz w:val="32"/>
          <w:highlight w:val="none"/>
        </w:rPr>
        <w:t>九</w:t>
      </w:r>
      <w:r>
        <w:rPr>
          <w:rFonts w:hint="eastAsia" w:ascii="宋体" w:hAnsi="宋体" w:eastAsia="宋体" w:cs="宋体"/>
          <w:b/>
          <w:color w:val="auto"/>
          <w:sz w:val="32"/>
          <w:szCs w:val="20"/>
          <w:highlight w:val="none"/>
        </w:rPr>
        <w:t>、提交</w:t>
      </w:r>
      <w:r>
        <w:rPr>
          <w:rFonts w:hint="eastAsia" w:ascii="宋体" w:hAnsi="宋体" w:eastAsia="宋体" w:cs="宋体"/>
          <w:b/>
          <w:color w:val="auto"/>
          <w:sz w:val="32"/>
          <w:szCs w:val="32"/>
          <w:highlight w:val="none"/>
        </w:rPr>
        <w:t>最后报价</w:t>
      </w:r>
      <w:bookmarkEnd w:id="72"/>
    </w:p>
    <w:p w14:paraId="73432889">
      <w:pPr>
        <w:snapToGrid w:val="0"/>
        <w:spacing w:line="360" w:lineRule="auto"/>
        <w:rPr>
          <w:rFonts w:hint="eastAsia" w:ascii="宋体" w:hAnsi="宋体" w:eastAsia="宋体" w:cs="宋体"/>
          <w:color w:val="auto"/>
          <w:sz w:val="24"/>
          <w:highlight w:val="none"/>
          <w:u w:val="single"/>
          <w:lang w:val="zh-CN"/>
        </w:rPr>
      </w:pPr>
      <w:r>
        <w:rPr>
          <w:rFonts w:hint="eastAsia" w:ascii="宋体" w:hAnsi="宋体" w:eastAsia="宋体" w:cs="宋体"/>
          <w:b/>
          <w:color w:val="auto"/>
          <w:sz w:val="24"/>
          <w:highlight w:val="none"/>
        </w:rPr>
        <w:t>1.</w:t>
      </w:r>
      <w:r>
        <w:rPr>
          <w:rFonts w:hint="eastAsia" w:ascii="宋体" w:hAnsi="宋体" w:eastAsia="宋体" w:cs="宋体"/>
          <w:color w:val="auto"/>
          <w:sz w:val="24"/>
          <w:highlight w:val="none"/>
        </w:rPr>
        <w:t>供应商的</w:t>
      </w:r>
      <w:r>
        <w:rPr>
          <w:rFonts w:hint="eastAsia" w:ascii="宋体" w:hAnsi="宋体" w:eastAsia="宋体" w:cs="宋体"/>
          <w:b/>
          <w:color w:val="auto"/>
          <w:sz w:val="24"/>
          <w:highlight w:val="none"/>
        </w:rPr>
        <w:t>最后报价文件</w:t>
      </w:r>
      <w:r>
        <w:rPr>
          <w:rFonts w:hint="eastAsia" w:ascii="宋体" w:hAnsi="宋体" w:eastAsia="宋体" w:cs="宋体"/>
          <w:color w:val="auto"/>
          <w:sz w:val="24"/>
          <w:highlight w:val="none"/>
        </w:rPr>
        <w:t>应包括以下内容（均需使用电子签名）：</w:t>
      </w:r>
    </w:p>
    <w:p w14:paraId="5CC38AD4">
      <w:pPr>
        <w:pStyle w:val="32"/>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1.1最后报价一览表。</w:t>
      </w:r>
    </w:p>
    <w:p w14:paraId="2A0EA6C3">
      <w:pPr>
        <w:adjustRightInd/>
        <w:spacing w:line="360" w:lineRule="auto"/>
        <w:jc w:val="center"/>
        <w:outlineLvl w:val="0"/>
        <w:rPr>
          <w:rFonts w:hint="eastAsia" w:ascii="宋体" w:hAnsi="宋体" w:eastAsia="宋体" w:cs="宋体"/>
          <w:b/>
          <w:color w:val="auto"/>
          <w:sz w:val="32"/>
          <w:szCs w:val="20"/>
          <w:highlight w:val="none"/>
        </w:rPr>
      </w:pPr>
    </w:p>
    <w:p w14:paraId="3122DE13">
      <w:pPr>
        <w:adjustRightInd/>
        <w:spacing w:line="360" w:lineRule="auto"/>
        <w:jc w:val="center"/>
        <w:outlineLvl w:val="0"/>
        <w:rPr>
          <w:rFonts w:hint="eastAsia" w:ascii="宋体" w:hAnsi="宋体" w:eastAsia="宋体" w:cs="宋体"/>
          <w:b/>
          <w:color w:val="auto"/>
          <w:sz w:val="32"/>
          <w:highlight w:val="none"/>
        </w:rPr>
      </w:pPr>
      <w:bookmarkStart w:id="73" w:name="_Toc1345"/>
      <w:r>
        <w:rPr>
          <w:rFonts w:hint="eastAsia" w:ascii="宋体" w:hAnsi="宋体" w:eastAsia="宋体" w:cs="宋体"/>
          <w:b/>
          <w:color w:val="auto"/>
          <w:sz w:val="32"/>
          <w:szCs w:val="20"/>
          <w:highlight w:val="none"/>
        </w:rPr>
        <w:t>十、</w:t>
      </w:r>
      <w:r>
        <w:rPr>
          <w:rFonts w:hint="eastAsia" w:ascii="宋体" w:hAnsi="宋体" w:eastAsia="宋体" w:cs="宋体"/>
          <w:b/>
          <w:color w:val="auto"/>
          <w:sz w:val="32"/>
          <w:szCs w:val="32"/>
          <w:highlight w:val="none"/>
        </w:rPr>
        <w:t>评审</w:t>
      </w:r>
      <w:bookmarkEnd w:id="73"/>
    </w:p>
    <w:p w14:paraId="092327BB">
      <w:pPr>
        <w:pStyle w:val="431"/>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szCs w:val="24"/>
          <w:highlight w:val="none"/>
        </w:rPr>
        <w:t>1.</w:t>
      </w:r>
      <w:r>
        <w:rPr>
          <w:rFonts w:hint="eastAsia" w:ascii="宋体" w:hAnsi="宋体" w:eastAsia="宋体" w:cs="宋体"/>
          <w:b/>
          <w:color w:val="auto"/>
          <w:highlight w:val="none"/>
        </w:rPr>
        <w:t xml:space="preserve"> 评审方法：</w:t>
      </w:r>
      <w:r>
        <w:rPr>
          <w:rFonts w:hint="eastAsia" w:ascii="宋体" w:hAnsi="宋体" w:eastAsia="宋体" w:cs="宋体"/>
          <w:color w:val="auto"/>
          <w:highlight w:val="none"/>
        </w:rPr>
        <w:t>综合评分法。</w:t>
      </w:r>
    </w:p>
    <w:p w14:paraId="3271B5E4">
      <w:pPr>
        <w:pStyle w:val="431"/>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2. 价格分计算方法：</w:t>
      </w:r>
      <w:r>
        <w:rPr>
          <w:rFonts w:hint="eastAsia" w:ascii="宋体" w:hAnsi="宋体" w:eastAsia="宋体" w:cs="宋体"/>
          <w:color w:val="auto"/>
          <w:highlight w:val="none"/>
        </w:rPr>
        <w:t>低价优先法。</w:t>
      </w:r>
    </w:p>
    <w:p w14:paraId="570901F8">
      <w:pPr>
        <w:pStyle w:val="431"/>
        <w:spacing w:before="0"/>
        <w:ind w:firstLine="0" w:firstLineChars="0"/>
        <w:rPr>
          <w:rFonts w:hint="eastAsia" w:ascii="宋体" w:hAnsi="宋体" w:eastAsia="宋体" w:cs="宋体"/>
          <w:color w:val="auto"/>
          <w:szCs w:val="24"/>
          <w:highlight w:val="none"/>
        </w:rPr>
      </w:pPr>
      <w:r>
        <w:rPr>
          <w:rFonts w:hint="eastAsia" w:ascii="宋体" w:hAnsi="宋体" w:eastAsia="宋体" w:cs="宋体"/>
          <w:b/>
          <w:color w:val="auto"/>
          <w:highlight w:val="none"/>
        </w:rPr>
        <w:t>3. 评审要求：</w:t>
      </w:r>
      <w:r>
        <w:rPr>
          <w:rFonts w:hint="eastAsia" w:ascii="宋体" w:hAnsi="宋体" w:eastAsia="宋体" w:cs="宋体"/>
          <w:color w:val="auto"/>
          <w:highlight w:val="none"/>
        </w:rPr>
        <w:t>详见磋商文件第五部分“评审方法及评审标准”。</w:t>
      </w:r>
    </w:p>
    <w:p w14:paraId="080A8509">
      <w:pPr>
        <w:adjustRightInd/>
        <w:spacing w:line="360" w:lineRule="auto"/>
        <w:jc w:val="center"/>
        <w:outlineLvl w:val="0"/>
        <w:rPr>
          <w:rFonts w:hint="eastAsia" w:ascii="宋体" w:hAnsi="宋体" w:eastAsia="宋体" w:cs="宋体"/>
          <w:color w:val="auto"/>
          <w:sz w:val="24"/>
          <w:highlight w:val="none"/>
        </w:rPr>
      </w:pPr>
    </w:p>
    <w:p w14:paraId="175AB857">
      <w:pPr>
        <w:adjustRightInd/>
        <w:spacing w:line="360" w:lineRule="auto"/>
        <w:jc w:val="center"/>
        <w:outlineLvl w:val="0"/>
        <w:rPr>
          <w:rFonts w:hint="eastAsia" w:ascii="宋体" w:hAnsi="宋体" w:eastAsia="宋体" w:cs="宋体"/>
          <w:b/>
          <w:color w:val="auto"/>
          <w:sz w:val="32"/>
          <w:szCs w:val="20"/>
          <w:highlight w:val="none"/>
        </w:rPr>
      </w:pPr>
      <w:bookmarkStart w:id="74" w:name="_Toc27411"/>
      <w:r>
        <w:rPr>
          <w:rFonts w:hint="eastAsia" w:ascii="宋体" w:hAnsi="宋体" w:eastAsia="宋体" w:cs="宋体"/>
          <w:b/>
          <w:color w:val="auto"/>
          <w:sz w:val="32"/>
          <w:szCs w:val="20"/>
          <w:highlight w:val="none"/>
        </w:rPr>
        <w:t>十一、</w:t>
      </w:r>
      <w:r>
        <w:rPr>
          <w:rFonts w:hint="eastAsia" w:ascii="宋体" w:hAnsi="宋体" w:eastAsia="宋体" w:cs="宋体"/>
          <w:b/>
          <w:color w:val="auto"/>
          <w:sz w:val="32"/>
          <w:szCs w:val="32"/>
          <w:highlight w:val="none"/>
        </w:rPr>
        <w:t>成交</w:t>
      </w:r>
      <w:bookmarkEnd w:id="74"/>
    </w:p>
    <w:p w14:paraId="2869F4C4">
      <w:pPr>
        <w:pStyle w:val="32"/>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highlight w:val="none"/>
        </w:rPr>
        <w:t>1. 推荐成交候选供应商</w:t>
      </w:r>
    </w:p>
    <w:p w14:paraId="6711DFDD">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26115B49">
      <w:pPr>
        <w:pStyle w:val="32"/>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 确定成交供应商</w:t>
      </w:r>
    </w:p>
    <w:p w14:paraId="4F8AF7D9">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14:paraId="3A425F55">
      <w:pPr>
        <w:tabs>
          <w:tab w:val="left" w:pos="0"/>
        </w:tabs>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sz w:val="24"/>
          <w:highlight w:val="none"/>
        </w:rPr>
        <w:t>3．成交通知及成交结果公告</w:t>
      </w:r>
    </w:p>
    <w:p w14:paraId="41BCEA10">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szCs w:val="21"/>
          <w:highlight w:val="none"/>
        </w:rPr>
        <w:t>3.1自成交人确定之日起2个工作日内，采购机构通过电子交易平台向成交人发出成交通知书，</w:t>
      </w:r>
      <w:r>
        <w:rPr>
          <w:rFonts w:hint="eastAsia" w:ascii="宋体" w:hAnsi="宋体" w:eastAsia="宋体" w:cs="宋体"/>
          <w:color w:val="auto"/>
          <w:sz w:val="24"/>
          <w:highlight w:val="none"/>
        </w:rPr>
        <w:t>同时编制发布采购</w:t>
      </w:r>
      <w:r>
        <w:rPr>
          <w:rFonts w:hint="eastAsia" w:ascii="宋体" w:hAnsi="宋体" w:eastAsia="宋体" w:cs="宋体"/>
          <w:color w:val="auto"/>
          <w:sz w:val="24"/>
          <w:szCs w:val="21"/>
          <w:highlight w:val="none"/>
        </w:rPr>
        <w:t>成交结果公告。</w:t>
      </w:r>
      <w:r>
        <w:rPr>
          <w:rFonts w:hint="eastAsia" w:ascii="宋体" w:hAnsi="宋体" w:eastAsia="宋体" w:cs="宋体"/>
          <w:color w:val="auto"/>
          <w:sz w:val="24"/>
          <w:highlight w:val="none"/>
        </w:rPr>
        <w:t>采购机构也可以以纸质形式进行成交通知。</w:t>
      </w:r>
    </w:p>
    <w:p w14:paraId="1070137E">
      <w:pPr>
        <w:spacing w:line="360" w:lineRule="auto"/>
        <w:ind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highlight w:val="none"/>
        </w:rPr>
        <w:t>3.2</w:t>
      </w:r>
      <w:r>
        <w:rPr>
          <w:rFonts w:hint="eastAsia" w:ascii="宋体" w:hAnsi="宋体" w:eastAsia="宋体" w:cs="宋体"/>
          <w:color w:val="auto"/>
          <w:sz w:val="24"/>
          <w:szCs w:val="21"/>
          <w:highlight w:val="none"/>
        </w:rPr>
        <w:t>成交</w:t>
      </w:r>
      <w:r>
        <w:rPr>
          <w:rFonts w:hint="eastAsia" w:ascii="宋体" w:hAnsi="宋体" w:eastAsia="宋体" w:cs="宋体"/>
          <w:color w:val="auto"/>
          <w:sz w:val="24"/>
          <w:highlight w:val="none"/>
        </w:rPr>
        <w:t>结果公告内容包括采购人及其委托的采购机构的名称、地址、联系方式，项目名称和项目编号，成交人名称、地址和成交金额，主要中标标的的名称、规格型号、数量、单价、服务要求，开标记录、</w:t>
      </w:r>
      <w:bookmarkStart w:id="75" w:name="_Hlk101184471"/>
      <w:r>
        <w:rPr>
          <w:rFonts w:hint="eastAsia" w:ascii="宋体" w:hAnsi="宋体" w:eastAsia="宋体" w:cs="宋体"/>
          <w:color w:val="auto"/>
          <w:sz w:val="24"/>
          <w:highlight w:val="none"/>
        </w:rPr>
        <w:t>资格审查情况、评审专家抽取规则、符合性审查情况、</w:t>
      </w:r>
      <w:bookmarkEnd w:id="75"/>
      <w:r>
        <w:rPr>
          <w:rFonts w:hint="eastAsia" w:ascii="宋体" w:hAnsi="宋体" w:eastAsia="宋体" w:cs="宋体"/>
          <w:color w:val="auto"/>
          <w:sz w:val="24"/>
          <w:highlight w:val="none"/>
        </w:rPr>
        <w:t>未成交情况说明、成交公告期限以及评审专家名单、评分汇总及明细。</w:t>
      </w:r>
    </w:p>
    <w:p w14:paraId="640E994E">
      <w:pPr>
        <w:spacing w:line="360" w:lineRule="auto"/>
        <w:ind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3.3公告期限为1个工作日。</w:t>
      </w:r>
    </w:p>
    <w:p w14:paraId="62A256D8">
      <w:pPr>
        <w:snapToGrid w:val="0"/>
        <w:spacing w:line="360" w:lineRule="auto"/>
        <w:jc w:val="center"/>
        <w:outlineLvl w:val="0"/>
        <w:rPr>
          <w:rFonts w:hint="eastAsia" w:ascii="宋体" w:hAnsi="宋体" w:eastAsia="宋体" w:cs="宋体"/>
          <w:b/>
          <w:color w:val="auto"/>
          <w:sz w:val="36"/>
          <w:szCs w:val="36"/>
          <w:highlight w:val="none"/>
        </w:rPr>
      </w:pPr>
    </w:p>
    <w:p w14:paraId="7186EA70">
      <w:pPr>
        <w:snapToGrid w:val="0"/>
        <w:spacing w:line="360" w:lineRule="auto"/>
        <w:jc w:val="center"/>
        <w:outlineLvl w:val="0"/>
        <w:rPr>
          <w:rFonts w:hint="eastAsia" w:ascii="宋体" w:hAnsi="宋体" w:eastAsia="宋体" w:cs="宋体"/>
          <w:b/>
          <w:color w:val="auto"/>
          <w:sz w:val="36"/>
          <w:szCs w:val="36"/>
          <w:highlight w:val="none"/>
        </w:rPr>
      </w:pPr>
      <w:bookmarkStart w:id="76" w:name="_Toc20290"/>
      <w:r>
        <w:rPr>
          <w:rFonts w:hint="eastAsia" w:ascii="宋体" w:hAnsi="宋体" w:eastAsia="宋体" w:cs="宋体"/>
          <w:b/>
          <w:color w:val="auto"/>
          <w:sz w:val="36"/>
          <w:szCs w:val="36"/>
          <w:highlight w:val="none"/>
        </w:rPr>
        <w:t>十二、合同</w:t>
      </w:r>
      <w:bookmarkEnd w:id="76"/>
    </w:p>
    <w:p w14:paraId="25783198">
      <w:pP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1.合同主要条款：</w:t>
      </w:r>
      <w:r>
        <w:rPr>
          <w:rFonts w:hint="eastAsia" w:ascii="宋体" w:hAnsi="宋体" w:eastAsia="宋体" w:cs="宋体"/>
          <w:color w:val="auto"/>
          <w:sz w:val="24"/>
          <w:highlight w:val="none"/>
        </w:rPr>
        <w:t>详见“第六部分拟签订的合同文本”。</w:t>
      </w:r>
    </w:p>
    <w:p w14:paraId="604276D1">
      <w:pP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2.合同的签订</w:t>
      </w:r>
    </w:p>
    <w:p w14:paraId="56BF5B66">
      <w:pPr>
        <w:widowControl/>
        <w:shd w:val="clear" w:color="auto" w:fill="FFFFFF"/>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szCs w:val="21"/>
          <w:highlight w:val="none"/>
        </w:rPr>
        <w:t>2.1</w:t>
      </w:r>
      <w:r>
        <w:rPr>
          <w:rFonts w:hint="eastAsia" w:ascii="宋体" w:hAnsi="宋体" w:eastAsia="宋体" w:cs="宋体"/>
          <w:color w:val="auto"/>
          <w:kern w:val="0"/>
          <w:sz w:val="24"/>
          <w:highlight w:val="none"/>
        </w:rPr>
        <w:t>除不可抗力等特殊情况外，原则上采购人应当在成交通知书发出之日起30天内，与成交供应商按照磋商文件确定的事项签订政府采购合同，并在签订之日起2个工作日内将政府采购合同在浙江政府采购网上公告。</w:t>
      </w:r>
    </w:p>
    <w:p w14:paraId="3564456A">
      <w:pPr>
        <w:pStyle w:val="431"/>
        <w:snapToGrid w:val="0"/>
        <w:spacing w:before="0"/>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14:paraId="0749618E">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5ABAEFE9">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07486AE4">
      <w:pPr>
        <w:pStyle w:val="431"/>
        <w:snapToGrid w:val="0"/>
        <w:spacing w:before="0" w:after="120"/>
        <w:ind w:firstLine="480"/>
        <w:rPr>
          <w:rFonts w:hint="eastAsia" w:ascii="宋体" w:hAnsi="宋体" w:eastAsia="宋体" w:cs="宋体"/>
          <w:color w:val="auto"/>
          <w:highlight w:val="none"/>
        </w:rPr>
      </w:pPr>
      <w:r>
        <w:rPr>
          <w:rFonts w:hint="eastAsia" w:ascii="宋体" w:hAnsi="宋体" w:eastAsia="宋体" w:cs="宋体"/>
          <w:color w:val="auto"/>
          <w:highlight w:val="none"/>
        </w:rPr>
        <w:t>2.5采购合同由采购人与成交供应商根据磋商文件、响应文件等内容通过政府采购电子交易平台在线签订，自动备案。</w:t>
      </w:r>
    </w:p>
    <w:p w14:paraId="45D2693C">
      <w:pP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3．履约保证金</w:t>
      </w:r>
    </w:p>
    <w:p w14:paraId="59145F4D">
      <w:pPr>
        <w:tabs>
          <w:tab w:val="left" w:pos="0"/>
        </w:tabs>
        <w:spacing w:line="360" w:lineRule="auto"/>
        <w:ind w:firstLine="482"/>
        <w:rPr>
          <w:rFonts w:hint="eastAsia" w:ascii="宋体" w:hAnsi="宋体" w:eastAsia="宋体" w:cs="宋体"/>
          <w:color w:val="auto"/>
          <w:sz w:val="24"/>
          <w:highlight w:val="none"/>
        </w:rPr>
      </w:pPr>
      <w:r>
        <w:rPr>
          <w:rFonts w:hint="eastAsia" w:ascii="宋体" w:hAnsi="宋体" w:eastAsia="宋体" w:cs="宋体"/>
          <w:color w:val="auto"/>
          <w:sz w:val="24"/>
          <w:highlight w:val="none"/>
        </w:rPr>
        <w:t>3.1拟签订的合同文本要求成交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14:paraId="33C1F959">
      <w:pPr>
        <w:tabs>
          <w:tab w:val="left" w:pos="0"/>
        </w:tabs>
        <w:spacing w:line="360" w:lineRule="auto"/>
        <w:ind w:firstLine="482"/>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3.2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成交项目—确认信息—等待保险/保函受理—确认保单—支付保费—成功出单。政采云金融专线400-903-9583。</w:t>
      </w:r>
    </w:p>
    <w:p w14:paraId="6CA13F6A">
      <w:pPr>
        <w:snapToGrid w:val="0"/>
        <w:spacing w:line="360" w:lineRule="auto"/>
        <w:jc w:val="center"/>
        <w:rPr>
          <w:rFonts w:hint="eastAsia" w:ascii="宋体" w:hAnsi="宋体" w:eastAsia="宋体" w:cs="宋体"/>
          <w:b/>
          <w:color w:val="auto"/>
          <w:sz w:val="36"/>
          <w:szCs w:val="36"/>
          <w:highlight w:val="none"/>
        </w:rPr>
      </w:pPr>
    </w:p>
    <w:p w14:paraId="61701508">
      <w:pPr>
        <w:snapToGrid w:val="0"/>
        <w:spacing w:line="360" w:lineRule="auto"/>
        <w:jc w:val="center"/>
        <w:outlineLvl w:val="0"/>
        <w:rPr>
          <w:rFonts w:hint="eastAsia" w:ascii="宋体" w:hAnsi="宋体" w:eastAsia="宋体" w:cs="宋体"/>
          <w:b/>
          <w:color w:val="auto"/>
          <w:sz w:val="36"/>
          <w:szCs w:val="36"/>
          <w:highlight w:val="none"/>
        </w:rPr>
      </w:pPr>
      <w:bookmarkStart w:id="77" w:name="_Toc1074"/>
      <w:r>
        <w:rPr>
          <w:rFonts w:hint="eastAsia" w:ascii="宋体" w:hAnsi="宋体" w:eastAsia="宋体" w:cs="宋体"/>
          <w:b/>
          <w:color w:val="auto"/>
          <w:sz w:val="36"/>
          <w:szCs w:val="36"/>
          <w:highlight w:val="none"/>
        </w:rPr>
        <w:t>十三、验收</w:t>
      </w:r>
      <w:bookmarkEnd w:id="77"/>
    </w:p>
    <w:p w14:paraId="1DC2DBEB">
      <w:pPr>
        <w:pStyle w:val="24"/>
        <w:spacing w:line="360" w:lineRule="auto"/>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1.验收</w:t>
      </w:r>
    </w:p>
    <w:p w14:paraId="4E489EC5">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EB11867">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1.2采购人可以邀请参加本项目的其他供应商或者第三方机构参与验收。参与验收的供应商或者第三方机构的意见作为验收书的参考资料一并存档。</w:t>
      </w:r>
    </w:p>
    <w:p w14:paraId="64CD0B18">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BE8D453">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63F91E6D">
      <w:pPr>
        <w:snapToGrid w:val="0"/>
        <w:spacing w:line="360" w:lineRule="auto"/>
        <w:jc w:val="center"/>
        <w:rPr>
          <w:rFonts w:hint="eastAsia" w:ascii="宋体" w:hAnsi="宋体" w:eastAsia="宋体" w:cs="宋体"/>
          <w:b/>
          <w:color w:val="auto"/>
          <w:sz w:val="36"/>
          <w:szCs w:val="36"/>
          <w:highlight w:val="none"/>
        </w:rPr>
      </w:pPr>
    </w:p>
    <w:p w14:paraId="2F2B9168">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36"/>
          <w:szCs w:val="36"/>
          <w:highlight w:val="none"/>
        </w:rPr>
        <w:t>十四、电子交易活动的中止</w:t>
      </w:r>
    </w:p>
    <w:p w14:paraId="39311DE5">
      <w:pP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 电子交易活动的中止</w:t>
      </w:r>
    </w:p>
    <w:p w14:paraId="4A088AD8">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采购过程中出现以下情形，导致电子交易平台无法正常运行，或者无法保证电子交易的公平、公正和安全时，采购机构可中止电子交易活动：</w:t>
      </w:r>
    </w:p>
    <w:p w14:paraId="758721E8">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1.1电子交易平台发生故障而无法登录访问的； </w:t>
      </w:r>
    </w:p>
    <w:p w14:paraId="2F4F82DA">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1.2电子交易平台应用或数据库出现错误，不能进行正常操作的；</w:t>
      </w:r>
    </w:p>
    <w:p w14:paraId="606D6919">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1.3电子交易平台发现严重安全漏洞，有潜在泄密危险的；</w:t>
      </w:r>
    </w:p>
    <w:p w14:paraId="4510114A">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1.4病毒发作导致不能进行正常操作的； </w:t>
      </w:r>
    </w:p>
    <w:p w14:paraId="1EF9F39F">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1.5其他无法保证电子交易的公平、公正和安全的情况。</w:t>
      </w:r>
    </w:p>
    <w:p w14:paraId="5388A7AB">
      <w:pPr>
        <w:tabs>
          <w:tab w:val="left" w:pos="0"/>
        </w:tabs>
        <w:spacing w:line="360" w:lineRule="auto"/>
        <w:rPr>
          <w:rFonts w:hint="eastAsia" w:ascii="宋体" w:hAnsi="宋体" w:eastAsia="宋体" w:cs="宋体"/>
          <w:b/>
          <w:color w:val="auto"/>
          <w:sz w:val="36"/>
          <w:szCs w:val="36"/>
          <w:highlight w:val="none"/>
        </w:rPr>
      </w:pPr>
      <w:r>
        <w:rPr>
          <w:rFonts w:hint="eastAsia" w:ascii="宋体" w:hAnsi="宋体" w:eastAsia="宋体" w:cs="宋体"/>
          <w:b/>
          <w:color w:val="auto"/>
          <w:kern w:val="0"/>
          <w:sz w:val="24"/>
          <w:highlight w:val="none"/>
        </w:rPr>
        <w:t>2.</w:t>
      </w:r>
      <w:r>
        <w:rPr>
          <w:rFonts w:hint="eastAsia" w:ascii="宋体" w:hAnsi="宋体" w:eastAsia="宋体" w:cs="宋体"/>
          <w:color w:val="auto"/>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6"/>
      <w:bookmarkStart w:id="78" w:name="_Hlt74707468"/>
      <w:bookmarkEnd w:id="78"/>
      <w:bookmarkStart w:id="79" w:name="_Hlt75236011"/>
      <w:bookmarkEnd w:id="79"/>
      <w:bookmarkStart w:id="80" w:name="_Hlt74714665"/>
      <w:bookmarkEnd w:id="80"/>
      <w:bookmarkStart w:id="81" w:name="_Hlt68057669"/>
      <w:bookmarkEnd w:id="81"/>
      <w:bookmarkStart w:id="82" w:name="_Hlt74730295"/>
      <w:bookmarkEnd w:id="82"/>
      <w:bookmarkStart w:id="83" w:name="_Hlt68072990"/>
      <w:bookmarkEnd w:id="83"/>
      <w:bookmarkStart w:id="84" w:name="_Hlt75236290"/>
      <w:bookmarkEnd w:id="84"/>
      <w:bookmarkStart w:id="85" w:name="_Hlt75236101"/>
      <w:bookmarkEnd w:id="85"/>
      <w:bookmarkStart w:id="86" w:name="_Hlt74729768"/>
      <w:bookmarkEnd w:id="86"/>
      <w:bookmarkStart w:id="87" w:name="第三部分"/>
      <w:bookmarkStart w:id="88" w:name="_Toc164416483"/>
      <w:r>
        <w:rPr>
          <w:rFonts w:hint="eastAsia" w:ascii="宋体" w:hAnsi="宋体" w:eastAsia="宋体" w:cs="宋体"/>
          <w:b/>
          <w:color w:val="auto"/>
          <w:sz w:val="36"/>
          <w:szCs w:val="36"/>
          <w:highlight w:val="none"/>
        </w:rPr>
        <w:br w:type="page"/>
      </w:r>
    </w:p>
    <w:p w14:paraId="544B9DF0">
      <w:pPr>
        <w:adjustRightInd/>
        <w:spacing w:line="360" w:lineRule="auto"/>
        <w:jc w:val="center"/>
        <w:outlineLvl w:val="0"/>
        <w:rPr>
          <w:rFonts w:hint="eastAsia" w:ascii="宋体" w:hAnsi="宋体" w:eastAsia="宋体" w:cs="宋体"/>
          <w:b/>
          <w:color w:val="auto"/>
          <w:sz w:val="36"/>
          <w:szCs w:val="36"/>
          <w:highlight w:val="none"/>
        </w:rPr>
      </w:pPr>
      <w:bookmarkStart w:id="89" w:name="_Toc6552"/>
      <w:r>
        <w:rPr>
          <w:rFonts w:hint="eastAsia" w:ascii="宋体" w:hAnsi="宋体" w:eastAsia="宋体" w:cs="宋体"/>
          <w:b/>
          <w:color w:val="auto"/>
          <w:sz w:val="36"/>
          <w:szCs w:val="36"/>
          <w:highlight w:val="none"/>
        </w:rPr>
        <w:t>第四部分  采购需求</w:t>
      </w:r>
      <w:bookmarkEnd w:id="89"/>
    </w:p>
    <w:p w14:paraId="4AC8C6A6">
      <w:pPr>
        <w:numPr>
          <w:ilvl w:val="0"/>
          <w:numId w:val="0"/>
        </w:numPr>
        <w:spacing w:line="360" w:lineRule="auto"/>
        <w:outlineLvl w:val="0"/>
        <w:rPr>
          <w:rFonts w:hint="eastAsia" w:ascii="宋体" w:hAnsi="宋体" w:eastAsia="宋体" w:cs="宋体"/>
          <w:color w:val="auto"/>
          <w:highlight w:val="none"/>
        </w:rPr>
      </w:pPr>
      <w:bookmarkStart w:id="90" w:name="_Toc178668981"/>
      <w:bookmarkStart w:id="91" w:name="_Toc197743830"/>
      <w:r>
        <w:rPr>
          <w:rFonts w:hint="eastAsia" w:ascii="宋体" w:hAnsi="宋体" w:eastAsia="宋体" w:cs="宋体"/>
          <w:color w:val="auto"/>
          <w:sz w:val="28"/>
          <w:szCs w:val="28"/>
          <w:highlight w:val="none"/>
          <w:lang w:val="en-US" w:eastAsia="zh-CN"/>
        </w:rPr>
        <w:t>一、</w:t>
      </w:r>
      <w:r>
        <w:rPr>
          <w:rFonts w:hint="eastAsia" w:ascii="宋体" w:hAnsi="宋体" w:eastAsia="宋体" w:cs="宋体"/>
          <w:color w:val="auto"/>
          <w:sz w:val="28"/>
          <w:szCs w:val="28"/>
          <w:highlight w:val="none"/>
        </w:rPr>
        <w:t>项目概述</w:t>
      </w:r>
    </w:p>
    <w:p w14:paraId="7A1C1FC8">
      <w:pPr>
        <w:spacing w:line="360" w:lineRule="auto"/>
        <w:ind w:firstLine="48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为深入贯彻落实全市公安机关敏感案事件溯源会议精神，根据</w:t>
      </w:r>
      <w:r>
        <w:rPr>
          <w:rFonts w:hint="eastAsia" w:ascii="宋体" w:hAnsi="宋体" w:cs="宋体"/>
          <w:color w:val="auto"/>
          <w:sz w:val="28"/>
          <w:szCs w:val="28"/>
          <w:highlight w:val="none"/>
          <w:lang w:val="en-US" w:eastAsia="zh-CN"/>
        </w:rPr>
        <w:t>市局相关文件</w:t>
      </w:r>
      <w:r>
        <w:rPr>
          <w:rFonts w:hint="eastAsia" w:ascii="宋体" w:hAnsi="宋体" w:eastAsia="宋体" w:cs="宋体"/>
          <w:color w:val="auto"/>
          <w:sz w:val="28"/>
          <w:szCs w:val="28"/>
          <w:highlight w:val="none"/>
        </w:rPr>
        <w:t>要求，结合龙湾工作实际，我局计划建设分局溯源工作平台，全面实现公安溯源工作信息化、智能化，有效提升分局溯源基础工作效率，规范溯源工作人员办事流程。</w:t>
      </w:r>
    </w:p>
    <w:p w14:paraId="23FC2216">
      <w:pPr>
        <w:numPr>
          <w:ilvl w:val="0"/>
          <w:numId w:val="0"/>
        </w:numPr>
        <w:spacing w:line="360" w:lineRule="auto"/>
        <w:outlineLvl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二、</w:t>
      </w:r>
      <w:r>
        <w:rPr>
          <w:rFonts w:hint="eastAsia" w:ascii="宋体" w:hAnsi="宋体" w:eastAsia="宋体" w:cs="宋体"/>
          <w:color w:val="auto"/>
          <w:sz w:val="28"/>
          <w:szCs w:val="28"/>
          <w:highlight w:val="none"/>
        </w:rPr>
        <w:t>建设需求</w:t>
      </w:r>
    </w:p>
    <w:p w14:paraId="579E8FDA">
      <w:pPr>
        <w:spacing w:line="360" w:lineRule="auto"/>
        <w:ind w:firstLine="48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次项目建设旨在梳理公安分局现有溯源机制流程，信息化改造溯源数据源、溯源任务流转等模块，实现“标准化、平台化、简便化、智能化”借助信息化系统落地，高效解决溯源机制执行过程中遇到的普遍问题，实现工作闭环、标本兼治的目的。</w:t>
      </w:r>
    </w:p>
    <w:p w14:paraId="0FD8DE9D">
      <w:pPr>
        <w:spacing w:line="360" w:lineRule="auto"/>
        <w:ind w:firstLine="480"/>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color w:val="auto"/>
          <w:sz w:val="28"/>
          <w:szCs w:val="28"/>
          <w:highlight w:val="none"/>
        </w:rPr>
        <w:t>本次项目建设要求实现溯源数据源管理、溯源任务全流程处置、数据分析模块、全市部署基本能力、系统管理功能等重点模块。</w:t>
      </w:r>
    </w:p>
    <w:p w14:paraId="6307586A">
      <w:pPr>
        <w:numPr>
          <w:ilvl w:val="0"/>
          <w:numId w:val="0"/>
        </w:numPr>
        <w:spacing w:line="360" w:lineRule="auto"/>
        <w:outlineLvl w:val="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三、采购清单以及技术要求如下：</w:t>
      </w:r>
    </w:p>
    <w:tbl>
      <w:tblPr>
        <w:tblStyle w:val="60"/>
        <w:tblW w:w="903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31"/>
        <w:gridCol w:w="1205"/>
        <w:gridCol w:w="1470"/>
        <w:gridCol w:w="4129"/>
        <w:gridCol w:w="1196"/>
      </w:tblGrid>
      <w:tr w14:paraId="5F560F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blHeader/>
        </w:trPr>
        <w:tc>
          <w:tcPr>
            <w:tcW w:w="1031" w:type="dxa"/>
            <w:tcBorders>
              <w:top w:val="single" w:color="auto" w:sz="4" w:space="0"/>
              <w:left w:val="single" w:color="auto" w:sz="4" w:space="0"/>
              <w:bottom w:val="single" w:color="auto" w:sz="4" w:space="0"/>
              <w:right w:val="single" w:color="auto" w:sz="4" w:space="0"/>
            </w:tcBorders>
            <w:shd w:val="clear" w:color="auto" w:fill="auto"/>
            <w:vAlign w:val="center"/>
          </w:tcPr>
          <w:p w14:paraId="6891D150">
            <w:pPr>
              <w:keepNext w:val="0"/>
              <w:keepLines w:val="0"/>
              <w:pageBreakBefore w:val="0"/>
              <w:widowControl/>
              <w:suppressLineNumbers w:val="0"/>
              <w:kinsoku/>
              <w:wordWrap/>
              <w:overflowPunct/>
              <w:topLinePunct w:val="0"/>
              <w:autoSpaceDE/>
              <w:autoSpaceDN/>
              <w:bidi w:val="0"/>
              <w:adjustRightInd/>
              <w:snapToGrid/>
              <w:spacing w:line="400" w:lineRule="exact"/>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序号</w:t>
            </w:r>
          </w:p>
        </w:tc>
        <w:tc>
          <w:tcPr>
            <w:tcW w:w="1205" w:type="dxa"/>
            <w:tcBorders>
              <w:top w:val="single" w:color="auto" w:sz="4" w:space="0"/>
              <w:left w:val="single" w:color="auto" w:sz="4" w:space="0"/>
              <w:bottom w:val="single" w:color="auto" w:sz="4" w:space="0"/>
              <w:right w:val="single" w:color="auto" w:sz="4" w:space="0"/>
            </w:tcBorders>
            <w:shd w:val="clear" w:color="auto" w:fill="auto"/>
            <w:vAlign w:val="center"/>
          </w:tcPr>
          <w:p w14:paraId="403BCC3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模块名称</w:t>
            </w:r>
          </w:p>
        </w:tc>
        <w:tc>
          <w:tcPr>
            <w:tcW w:w="1470" w:type="dxa"/>
            <w:tcBorders>
              <w:top w:val="single" w:color="auto" w:sz="4" w:space="0"/>
              <w:left w:val="single" w:color="auto" w:sz="4" w:space="0"/>
              <w:bottom w:val="single" w:color="auto" w:sz="4" w:space="0"/>
              <w:right w:val="single" w:color="auto" w:sz="4" w:space="0"/>
            </w:tcBorders>
            <w:shd w:val="clear" w:color="auto" w:fill="auto"/>
            <w:vAlign w:val="center"/>
          </w:tcPr>
          <w:p w14:paraId="2E5B480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子模块</w:t>
            </w:r>
          </w:p>
        </w:tc>
        <w:tc>
          <w:tcPr>
            <w:tcW w:w="4129" w:type="dxa"/>
            <w:tcBorders>
              <w:top w:val="single" w:color="auto" w:sz="4" w:space="0"/>
              <w:left w:val="single" w:color="auto" w:sz="4" w:space="0"/>
              <w:bottom w:val="single" w:color="auto" w:sz="4" w:space="0"/>
              <w:right w:val="single" w:color="auto" w:sz="4" w:space="0"/>
            </w:tcBorders>
            <w:shd w:val="clear" w:color="auto" w:fill="auto"/>
            <w:vAlign w:val="center"/>
          </w:tcPr>
          <w:p w14:paraId="0313BC51">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lang w:val="en-US"/>
              </w:rPr>
            </w:pPr>
            <w:r>
              <w:rPr>
                <w:rFonts w:hint="eastAsia" w:ascii="宋体" w:hAnsi="宋体" w:eastAsia="宋体" w:cs="宋体"/>
                <w:i w:val="0"/>
                <w:iCs w:val="0"/>
                <w:color w:val="auto"/>
                <w:kern w:val="0"/>
                <w:sz w:val="22"/>
                <w:szCs w:val="22"/>
                <w:highlight w:val="none"/>
                <w:u w:val="none"/>
                <w:lang w:val="en-US" w:eastAsia="zh-CN" w:bidi="ar"/>
              </w:rPr>
              <w:t>主要建设内容</w:t>
            </w:r>
          </w:p>
        </w:tc>
        <w:tc>
          <w:tcPr>
            <w:tcW w:w="119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DE2EEA8">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数量</w:t>
            </w:r>
          </w:p>
        </w:tc>
      </w:tr>
      <w:tr w14:paraId="06CB6D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9031" w:type="dxa"/>
            <w:gridSpan w:val="5"/>
            <w:tcBorders>
              <w:top w:val="single" w:color="auto" w:sz="4" w:space="0"/>
              <w:left w:val="single" w:color="000000" w:sz="8" w:space="0"/>
              <w:bottom w:val="single" w:color="000000" w:sz="8" w:space="0"/>
              <w:right w:val="single" w:color="000000" w:sz="8" w:space="0"/>
            </w:tcBorders>
            <w:shd w:val="clear" w:color="auto" w:fill="auto"/>
            <w:vAlign w:val="center"/>
          </w:tcPr>
          <w:p w14:paraId="04A9B975">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b/>
                <w:bCs/>
                <w:i w:val="0"/>
                <w:iCs w:val="0"/>
                <w:color w:val="auto"/>
                <w:sz w:val="22"/>
                <w:szCs w:val="22"/>
                <w:highlight w:val="none"/>
                <w:u w:val="none"/>
              </w:rPr>
            </w:pPr>
            <w:r>
              <w:rPr>
                <w:rFonts w:hint="eastAsia" w:ascii="宋体" w:hAnsi="宋体" w:eastAsia="宋体" w:cs="宋体"/>
                <w:b/>
                <w:bCs/>
                <w:i w:val="0"/>
                <w:iCs w:val="0"/>
                <w:color w:val="auto"/>
                <w:kern w:val="0"/>
                <w:sz w:val="22"/>
                <w:szCs w:val="22"/>
                <w:highlight w:val="none"/>
                <w:u w:val="none"/>
                <w:lang w:val="en-US" w:eastAsia="zh-CN" w:bidi="ar"/>
              </w:rPr>
              <w:t>一、溯源工作平台</w:t>
            </w:r>
          </w:p>
        </w:tc>
      </w:tr>
      <w:tr w14:paraId="6737A5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3355713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1205" w:type="dxa"/>
            <w:vMerge w:val="restart"/>
            <w:tcBorders>
              <w:top w:val="nil"/>
              <w:left w:val="nil"/>
              <w:bottom w:val="single" w:color="000000" w:sz="8" w:space="0"/>
              <w:right w:val="single" w:color="000000" w:sz="8" w:space="0"/>
            </w:tcBorders>
            <w:shd w:val="clear" w:color="auto" w:fill="auto"/>
            <w:vAlign w:val="center"/>
          </w:tcPr>
          <w:p w14:paraId="71C234A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数据源管理　</w:t>
            </w:r>
          </w:p>
        </w:tc>
        <w:tc>
          <w:tcPr>
            <w:tcW w:w="1470" w:type="dxa"/>
            <w:tcBorders>
              <w:top w:val="nil"/>
              <w:left w:val="nil"/>
              <w:bottom w:val="single" w:color="000000" w:sz="8" w:space="0"/>
              <w:right w:val="single" w:color="000000" w:sz="8" w:space="0"/>
            </w:tcBorders>
            <w:shd w:val="clear" w:color="auto" w:fill="auto"/>
            <w:vAlign w:val="center"/>
          </w:tcPr>
          <w:p w14:paraId="057A3AF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**数据管理</w:t>
            </w:r>
          </w:p>
        </w:tc>
        <w:tc>
          <w:tcPr>
            <w:tcW w:w="4129" w:type="dxa"/>
            <w:tcBorders>
              <w:top w:val="nil"/>
              <w:left w:val="nil"/>
              <w:bottom w:val="single" w:color="000000" w:sz="8" w:space="0"/>
              <w:right w:val="single" w:color="000000" w:sz="8" w:space="0"/>
            </w:tcBorders>
            <w:shd w:val="clear" w:color="auto" w:fill="auto"/>
            <w:vAlign w:val="center"/>
          </w:tcPr>
          <w:p w14:paraId="20F0B746">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lang w:val="en-US"/>
              </w:rPr>
            </w:pPr>
            <w:r>
              <w:rPr>
                <w:rFonts w:hint="eastAsia" w:ascii="宋体" w:hAnsi="宋体" w:eastAsia="宋体" w:cs="宋体"/>
                <w:i w:val="0"/>
                <w:iCs w:val="0"/>
                <w:color w:val="auto"/>
                <w:kern w:val="0"/>
                <w:sz w:val="22"/>
                <w:szCs w:val="22"/>
                <w:highlight w:val="none"/>
                <w:u w:val="none"/>
                <w:lang w:val="en-US" w:eastAsia="zh-CN" w:bidi="ar"/>
              </w:rPr>
              <w:t>实现**交办、**</w:t>
            </w:r>
            <w:r>
              <w:rPr>
                <w:rFonts w:hint="eastAsia" w:ascii="宋体" w:hAnsi="宋体" w:cs="宋体"/>
                <w:i w:val="0"/>
                <w:iCs w:val="0"/>
                <w:color w:val="auto"/>
                <w:kern w:val="0"/>
                <w:sz w:val="22"/>
                <w:szCs w:val="22"/>
                <w:highlight w:val="none"/>
                <w:u w:val="none"/>
                <w:lang w:val="en-US" w:eastAsia="zh-CN" w:bidi="ar"/>
              </w:rPr>
              <w:t>*</w:t>
            </w:r>
            <w:r>
              <w:rPr>
                <w:rFonts w:hint="eastAsia" w:ascii="宋体" w:hAnsi="宋体" w:eastAsia="宋体" w:cs="宋体"/>
                <w:i w:val="0"/>
                <w:iCs w:val="0"/>
                <w:color w:val="auto"/>
                <w:kern w:val="0"/>
                <w:sz w:val="22"/>
                <w:szCs w:val="22"/>
                <w:highlight w:val="none"/>
                <w:u w:val="none"/>
                <w:lang w:val="en-US" w:eastAsia="zh-CN" w:bidi="ar"/>
              </w:rPr>
              <w:t>等三方平台数据接口对接。支持通过文件导入、人工维护方式归集录入**（**类、交办类、**</w:t>
            </w:r>
            <w:r>
              <w:rPr>
                <w:rFonts w:hint="eastAsia" w:ascii="宋体" w:hAnsi="宋体" w:cs="宋体"/>
                <w:i w:val="0"/>
                <w:iCs w:val="0"/>
                <w:color w:val="auto"/>
                <w:kern w:val="0"/>
                <w:sz w:val="22"/>
                <w:szCs w:val="22"/>
                <w:highlight w:val="none"/>
                <w:u w:val="none"/>
                <w:lang w:val="en-US" w:eastAsia="zh-CN" w:bidi="ar"/>
              </w:rPr>
              <w:t>*</w:t>
            </w:r>
            <w:r>
              <w:rPr>
                <w:rFonts w:hint="eastAsia" w:ascii="宋体" w:hAnsi="宋体" w:eastAsia="宋体" w:cs="宋体"/>
                <w:i w:val="0"/>
                <w:iCs w:val="0"/>
                <w:color w:val="auto"/>
                <w:kern w:val="0"/>
                <w:sz w:val="22"/>
                <w:szCs w:val="22"/>
                <w:highlight w:val="none"/>
                <w:u w:val="none"/>
                <w:lang w:val="en-US" w:eastAsia="zh-CN" w:bidi="ar"/>
              </w:rPr>
              <w:t>类）数据，支持对**数据进行增、删、改、查等基础操作。</w:t>
            </w:r>
          </w:p>
        </w:tc>
        <w:tc>
          <w:tcPr>
            <w:tcW w:w="1196" w:type="dxa"/>
            <w:tcBorders>
              <w:top w:val="nil"/>
              <w:left w:val="nil"/>
              <w:bottom w:val="single" w:color="000000" w:sz="8" w:space="0"/>
              <w:right w:val="single" w:color="000000" w:sz="8" w:space="0"/>
            </w:tcBorders>
            <w:shd w:val="clear" w:color="auto" w:fill="auto"/>
            <w:noWrap/>
            <w:vAlign w:val="center"/>
          </w:tcPr>
          <w:p w14:paraId="12BF19D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4A48F7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6502339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w:t>
            </w:r>
          </w:p>
        </w:tc>
        <w:tc>
          <w:tcPr>
            <w:tcW w:w="1205" w:type="dxa"/>
            <w:vMerge w:val="continue"/>
            <w:tcBorders>
              <w:top w:val="nil"/>
              <w:left w:val="nil"/>
              <w:bottom w:val="single" w:color="000000" w:sz="8" w:space="0"/>
              <w:right w:val="single" w:color="000000" w:sz="8" w:space="0"/>
            </w:tcBorders>
            <w:shd w:val="clear" w:color="auto" w:fill="auto"/>
            <w:vAlign w:val="center"/>
          </w:tcPr>
          <w:p w14:paraId="0907B1C3">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auto"/>
                <w:sz w:val="22"/>
                <w:szCs w:val="22"/>
                <w:highlight w:val="none"/>
                <w:u w:val="none"/>
              </w:rPr>
            </w:pPr>
          </w:p>
        </w:tc>
        <w:tc>
          <w:tcPr>
            <w:tcW w:w="1470" w:type="dxa"/>
            <w:tcBorders>
              <w:top w:val="nil"/>
              <w:left w:val="nil"/>
              <w:bottom w:val="single" w:color="000000" w:sz="8" w:space="0"/>
              <w:right w:val="single" w:color="000000" w:sz="8" w:space="0"/>
            </w:tcBorders>
            <w:shd w:val="clear" w:color="auto" w:fill="auto"/>
            <w:vAlign w:val="center"/>
          </w:tcPr>
          <w:p w14:paraId="719FDEB8">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警情数据管理</w:t>
            </w:r>
          </w:p>
        </w:tc>
        <w:tc>
          <w:tcPr>
            <w:tcW w:w="4129" w:type="dxa"/>
            <w:tcBorders>
              <w:top w:val="nil"/>
              <w:left w:val="nil"/>
              <w:bottom w:val="single" w:color="000000" w:sz="8" w:space="0"/>
              <w:right w:val="single" w:color="000000" w:sz="8" w:space="0"/>
            </w:tcBorders>
            <w:shd w:val="clear" w:color="auto" w:fill="auto"/>
            <w:vAlign w:val="center"/>
          </w:tcPr>
          <w:p w14:paraId="4D0C4041">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实现指挥中心等三方平台数据接口对接。支持通过文件导入、人工维护方式归集录入警情（重复、投诉、涉*、涉*、补充、其他、历史重复）数据，支持对警情数据进行增、删、改、查等基础操作。</w:t>
            </w:r>
          </w:p>
        </w:tc>
        <w:tc>
          <w:tcPr>
            <w:tcW w:w="1196" w:type="dxa"/>
            <w:tcBorders>
              <w:top w:val="nil"/>
              <w:left w:val="nil"/>
              <w:bottom w:val="single" w:color="000000" w:sz="8" w:space="0"/>
              <w:right w:val="single" w:color="000000" w:sz="8" w:space="0"/>
            </w:tcBorders>
            <w:shd w:val="clear" w:color="auto" w:fill="auto"/>
            <w:noWrap/>
            <w:vAlign w:val="center"/>
          </w:tcPr>
          <w:p w14:paraId="6021E468">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317F8B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6A71D80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w:t>
            </w:r>
          </w:p>
        </w:tc>
        <w:tc>
          <w:tcPr>
            <w:tcW w:w="1205" w:type="dxa"/>
            <w:vMerge w:val="continue"/>
            <w:tcBorders>
              <w:top w:val="nil"/>
              <w:left w:val="nil"/>
              <w:bottom w:val="single" w:color="000000" w:sz="8" w:space="0"/>
              <w:right w:val="single" w:color="000000" w:sz="8" w:space="0"/>
            </w:tcBorders>
            <w:shd w:val="clear" w:color="auto" w:fill="auto"/>
            <w:vAlign w:val="center"/>
          </w:tcPr>
          <w:p w14:paraId="2F7323AB">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auto"/>
                <w:sz w:val="22"/>
                <w:szCs w:val="22"/>
                <w:highlight w:val="none"/>
                <w:u w:val="none"/>
              </w:rPr>
            </w:pPr>
          </w:p>
        </w:tc>
        <w:tc>
          <w:tcPr>
            <w:tcW w:w="1470" w:type="dxa"/>
            <w:tcBorders>
              <w:top w:val="nil"/>
              <w:left w:val="nil"/>
              <w:bottom w:val="single" w:color="000000" w:sz="8" w:space="0"/>
              <w:right w:val="single" w:color="000000" w:sz="8" w:space="0"/>
            </w:tcBorders>
            <w:shd w:val="clear" w:color="auto" w:fill="auto"/>
            <w:vAlign w:val="center"/>
          </w:tcPr>
          <w:p w14:paraId="67C73A6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执法数据管理</w:t>
            </w:r>
          </w:p>
        </w:tc>
        <w:tc>
          <w:tcPr>
            <w:tcW w:w="4129" w:type="dxa"/>
            <w:tcBorders>
              <w:top w:val="nil"/>
              <w:left w:val="nil"/>
              <w:bottom w:val="single" w:color="000000" w:sz="8" w:space="0"/>
              <w:right w:val="single" w:color="000000" w:sz="8" w:space="0"/>
            </w:tcBorders>
            <w:shd w:val="clear" w:color="auto" w:fill="auto"/>
            <w:vAlign w:val="center"/>
          </w:tcPr>
          <w:p w14:paraId="6E5A3F68">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归集录入执法(执法扣分类、执法监督类、手动录入类)数据，支持对执法数据进行增、删、改、查等基础操作。使用执法扣分类数据，通过公式计算判断是否符合溯源要求。</w:t>
            </w:r>
          </w:p>
        </w:tc>
        <w:tc>
          <w:tcPr>
            <w:tcW w:w="1196" w:type="dxa"/>
            <w:tcBorders>
              <w:top w:val="nil"/>
              <w:left w:val="nil"/>
              <w:bottom w:val="single" w:color="000000" w:sz="8" w:space="0"/>
              <w:right w:val="single" w:color="000000" w:sz="8" w:space="0"/>
            </w:tcBorders>
            <w:shd w:val="clear" w:color="auto" w:fill="auto"/>
            <w:noWrap/>
            <w:vAlign w:val="center"/>
          </w:tcPr>
          <w:p w14:paraId="3EC6FB1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61DAE8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723A45F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w:t>
            </w:r>
          </w:p>
        </w:tc>
        <w:tc>
          <w:tcPr>
            <w:tcW w:w="1205" w:type="dxa"/>
            <w:vMerge w:val="continue"/>
            <w:tcBorders>
              <w:top w:val="nil"/>
              <w:left w:val="nil"/>
              <w:bottom w:val="single" w:color="000000" w:sz="8" w:space="0"/>
              <w:right w:val="single" w:color="000000" w:sz="8" w:space="0"/>
            </w:tcBorders>
            <w:shd w:val="clear" w:color="auto" w:fill="auto"/>
            <w:vAlign w:val="center"/>
          </w:tcPr>
          <w:p w14:paraId="0B69AA3D">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auto"/>
                <w:sz w:val="22"/>
                <w:szCs w:val="22"/>
                <w:highlight w:val="none"/>
                <w:u w:val="none"/>
              </w:rPr>
            </w:pPr>
          </w:p>
        </w:tc>
        <w:tc>
          <w:tcPr>
            <w:tcW w:w="1470" w:type="dxa"/>
            <w:tcBorders>
              <w:top w:val="nil"/>
              <w:left w:val="nil"/>
              <w:bottom w:val="single" w:color="000000" w:sz="8" w:space="0"/>
              <w:right w:val="single" w:color="000000" w:sz="8" w:space="0"/>
            </w:tcBorders>
            <w:shd w:val="clear" w:color="auto" w:fill="auto"/>
            <w:vAlign w:val="center"/>
          </w:tcPr>
          <w:p w14:paraId="7ED70B3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风险数据管理</w:t>
            </w:r>
          </w:p>
        </w:tc>
        <w:tc>
          <w:tcPr>
            <w:tcW w:w="4129" w:type="dxa"/>
            <w:tcBorders>
              <w:top w:val="nil"/>
              <w:left w:val="nil"/>
              <w:bottom w:val="single" w:color="000000" w:sz="8" w:space="0"/>
              <w:right w:val="single" w:color="000000" w:sz="8" w:space="0"/>
            </w:tcBorders>
            <w:shd w:val="clear" w:color="auto" w:fill="auto"/>
            <w:vAlign w:val="center"/>
          </w:tcPr>
          <w:p w14:paraId="35E83860">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eastAsia="zh-CN" w:bidi="ar"/>
              </w:rPr>
              <w:t>归集录入</w:t>
            </w:r>
            <w:r>
              <w:rPr>
                <w:rFonts w:hint="eastAsia" w:ascii="宋体" w:hAnsi="宋体" w:eastAsia="宋体" w:cs="宋体"/>
                <w:i w:val="0"/>
                <w:iCs w:val="0"/>
                <w:color w:val="auto"/>
                <w:kern w:val="0"/>
                <w:sz w:val="22"/>
                <w:szCs w:val="22"/>
                <w:highlight w:val="none"/>
                <w:u w:val="none"/>
                <w:lang w:val="en-US" w:eastAsia="zh-CN" w:bidi="ar"/>
              </w:rPr>
              <w:t>风险数据，支持对风险数据进行增、删、改、查等基础操作。</w:t>
            </w:r>
          </w:p>
        </w:tc>
        <w:tc>
          <w:tcPr>
            <w:tcW w:w="1196" w:type="dxa"/>
            <w:tcBorders>
              <w:top w:val="nil"/>
              <w:left w:val="nil"/>
              <w:bottom w:val="single" w:color="000000" w:sz="8" w:space="0"/>
              <w:right w:val="single" w:color="000000" w:sz="8" w:space="0"/>
            </w:tcBorders>
            <w:shd w:val="clear" w:color="auto" w:fill="auto"/>
            <w:noWrap/>
            <w:vAlign w:val="center"/>
          </w:tcPr>
          <w:p w14:paraId="65C05A5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66F563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6FF4958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w:t>
            </w:r>
          </w:p>
        </w:tc>
        <w:tc>
          <w:tcPr>
            <w:tcW w:w="1205" w:type="dxa"/>
            <w:vMerge w:val="continue"/>
            <w:tcBorders>
              <w:top w:val="nil"/>
              <w:left w:val="nil"/>
              <w:bottom w:val="single" w:color="000000" w:sz="8" w:space="0"/>
              <w:right w:val="single" w:color="000000" w:sz="8" w:space="0"/>
            </w:tcBorders>
            <w:shd w:val="clear" w:color="auto" w:fill="auto"/>
            <w:vAlign w:val="center"/>
          </w:tcPr>
          <w:p w14:paraId="0E1D9169">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auto"/>
                <w:sz w:val="22"/>
                <w:szCs w:val="22"/>
                <w:highlight w:val="none"/>
                <w:u w:val="none"/>
              </w:rPr>
            </w:pPr>
          </w:p>
        </w:tc>
        <w:tc>
          <w:tcPr>
            <w:tcW w:w="1470" w:type="dxa"/>
            <w:tcBorders>
              <w:top w:val="nil"/>
              <w:left w:val="nil"/>
              <w:bottom w:val="single" w:color="000000" w:sz="8" w:space="0"/>
              <w:right w:val="single" w:color="000000" w:sz="8" w:space="0"/>
            </w:tcBorders>
            <w:shd w:val="clear" w:color="auto" w:fill="auto"/>
            <w:vAlign w:val="center"/>
          </w:tcPr>
          <w:p w14:paraId="2B1F6A1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事件数据管理</w:t>
            </w:r>
          </w:p>
        </w:tc>
        <w:tc>
          <w:tcPr>
            <w:tcW w:w="4129" w:type="dxa"/>
            <w:tcBorders>
              <w:top w:val="nil"/>
              <w:left w:val="nil"/>
              <w:bottom w:val="single" w:color="000000" w:sz="8" w:space="0"/>
              <w:right w:val="single" w:color="000000" w:sz="8" w:space="0"/>
            </w:tcBorders>
            <w:shd w:val="clear" w:color="auto" w:fill="auto"/>
            <w:vAlign w:val="center"/>
          </w:tcPr>
          <w:p w14:paraId="18802065">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eastAsia="zh-CN" w:bidi="ar"/>
              </w:rPr>
              <w:t>归集录入</w:t>
            </w:r>
            <w:r>
              <w:rPr>
                <w:rFonts w:hint="eastAsia" w:ascii="宋体" w:hAnsi="宋体" w:eastAsia="宋体" w:cs="宋体"/>
                <w:i w:val="0"/>
                <w:iCs w:val="0"/>
                <w:color w:val="auto"/>
                <w:kern w:val="0"/>
                <w:sz w:val="22"/>
                <w:szCs w:val="22"/>
                <w:highlight w:val="none"/>
                <w:u w:val="none"/>
                <w:lang w:val="en-US" w:eastAsia="zh-CN" w:bidi="ar"/>
              </w:rPr>
              <w:t>案件数据，支持对事件数据进行增、删、改、查等基础操作。</w:t>
            </w:r>
          </w:p>
        </w:tc>
        <w:tc>
          <w:tcPr>
            <w:tcW w:w="1196" w:type="dxa"/>
            <w:tcBorders>
              <w:top w:val="nil"/>
              <w:left w:val="nil"/>
              <w:bottom w:val="single" w:color="000000" w:sz="8" w:space="0"/>
              <w:right w:val="single" w:color="000000" w:sz="8" w:space="0"/>
            </w:tcBorders>
            <w:shd w:val="clear" w:color="auto" w:fill="auto"/>
            <w:noWrap/>
            <w:vAlign w:val="center"/>
          </w:tcPr>
          <w:p w14:paraId="33284B9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7553C3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4C79009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w:t>
            </w:r>
          </w:p>
        </w:tc>
        <w:tc>
          <w:tcPr>
            <w:tcW w:w="1205" w:type="dxa"/>
            <w:vMerge w:val="continue"/>
            <w:tcBorders>
              <w:top w:val="nil"/>
              <w:left w:val="nil"/>
              <w:bottom w:val="single" w:color="000000" w:sz="8" w:space="0"/>
              <w:right w:val="single" w:color="000000" w:sz="8" w:space="0"/>
            </w:tcBorders>
            <w:shd w:val="clear" w:color="auto" w:fill="auto"/>
            <w:vAlign w:val="center"/>
          </w:tcPr>
          <w:p w14:paraId="2F973837">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auto"/>
                <w:sz w:val="22"/>
                <w:szCs w:val="22"/>
                <w:highlight w:val="none"/>
                <w:u w:val="none"/>
              </w:rPr>
            </w:pPr>
          </w:p>
        </w:tc>
        <w:tc>
          <w:tcPr>
            <w:tcW w:w="1470" w:type="dxa"/>
            <w:tcBorders>
              <w:top w:val="nil"/>
              <w:left w:val="nil"/>
              <w:bottom w:val="single" w:color="000000" w:sz="8" w:space="0"/>
              <w:right w:val="single" w:color="000000" w:sz="8" w:space="0"/>
            </w:tcBorders>
            <w:shd w:val="clear" w:color="auto" w:fill="auto"/>
            <w:vAlign w:val="center"/>
          </w:tcPr>
          <w:p w14:paraId="742F0BF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案件数据管理</w:t>
            </w:r>
          </w:p>
        </w:tc>
        <w:tc>
          <w:tcPr>
            <w:tcW w:w="4129" w:type="dxa"/>
            <w:tcBorders>
              <w:top w:val="nil"/>
              <w:left w:val="nil"/>
              <w:bottom w:val="single" w:color="000000" w:sz="8" w:space="0"/>
              <w:right w:val="single" w:color="000000" w:sz="8" w:space="0"/>
            </w:tcBorders>
            <w:shd w:val="clear" w:color="auto" w:fill="auto"/>
            <w:vAlign w:val="center"/>
          </w:tcPr>
          <w:p w14:paraId="4A16FAB8">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支持文件导入、人工维护方式、对接三方平台（执法二期系统、三方警案系统）录入案件数据，支持对案件数据进行增、删、改、查等基础操作。</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对指定视图表数据，获取执法预警类(待反馈、带预警)数据展示，支持根据规则计算执法预警类后生成办案时效表及按照预警规则发送预警通知。</w:t>
            </w:r>
          </w:p>
          <w:p w14:paraId="0AE675EA">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对接指定视图表数据，获取办案实效类(待反馈、带预警)数据展示，支持根据规则计算办案实效类后生成办案时效表及按照预警规则发送预警通知。</w:t>
            </w:r>
          </w:p>
        </w:tc>
        <w:tc>
          <w:tcPr>
            <w:tcW w:w="1196" w:type="dxa"/>
            <w:tcBorders>
              <w:top w:val="nil"/>
              <w:left w:val="nil"/>
              <w:bottom w:val="single" w:color="000000" w:sz="8" w:space="0"/>
              <w:right w:val="single" w:color="000000" w:sz="8" w:space="0"/>
            </w:tcBorders>
            <w:shd w:val="clear" w:color="auto" w:fill="auto"/>
            <w:noWrap/>
            <w:vAlign w:val="center"/>
          </w:tcPr>
          <w:p w14:paraId="5C18581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14CB8B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5" w:hRule="atLeast"/>
        </w:trPr>
        <w:tc>
          <w:tcPr>
            <w:tcW w:w="1031" w:type="dxa"/>
            <w:tcBorders>
              <w:top w:val="nil"/>
              <w:left w:val="single" w:color="000000" w:sz="8" w:space="0"/>
              <w:bottom w:val="single" w:color="auto" w:sz="4" w:space="0"/>
              <w:right w:val="single" w:color="000000" w:sz="8" w:space="0"/>
            </w:tcBorders>
            <w:shd w:val="clear" w:color="auto" w:fill="auto"/>
            <w:noWrap/>
            <w:vAlign w:val="center"/>
          </w:tcPr>
          <w:p w14:paraId="2144779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7</w:t>
            </w:r>
          </w:p>
        </w:tc>
        <w:tc>
          <w:tcPr>
            <w:tcW w:w="1205" w:type="dxa"/>
            <w:vMerge w:val="continue"/>
            <w:tcBorders>
              <w:top w:val="nil"/>
              <w:left w:val="nil"/>
              <w:bottom w:val="single" w:color="auto" w:sz="4" w:space="0"/>
              <w:right w:val="single" w:color="000000" w:sz="8" w:space="0"/>
            </w:tcBorders>
            <w:shd w:val="clear" w:color="auto" w:fill="auto"/>
            <w:vAlign w:val="center"/>
          </w:tcPr>
          <w:p w14:paraId="67F76DB8">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auto"/>
                <w:sz w:val="22"/>
                <w:szCs w:val="22"/>
                <w:highlight w:val="none"/>
                <w:u w:val="none"/>
              </w:rPr>
            </w:pPr>
          </w:p>
        </w:tc>
        <w:tc>
          <w:tcPr>
            <w:tcW w:w="1470" w:type="dxa"/>
            <w:tcBorders>
              <w:top w:val="nil"/>
              <w:left w:val="nil"/>
              <w:bottom w:val="single" w:color="auto" w:sz="4" w:space="0"/>
              <w:right w:val="single" w:color="000000" w:sz="8" w:space="0"/>
            </w:tcBorders>
            <w:shd w:val="clear" w:color="auto" w:fill="auto"/>
            <w:vAlign w:val="center"/>
          </w:tcPr>
          <w:p w14:paraId="0A9A231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其他类事件</w:t>
            </w:r>
          </w:p>
        </w:tc>
        <w:tc>
          <w:tcPr>
            <w:tcW w:w="4129" w:type="dxa"/>
            <w:tcBorders>
              <w:top w:val="nil"/>
              <w:left w:val="nil"/>
              <w:bottom w:val="single" w:color="auto" w:sz="4" w:space="0"/>
              <w:right w:val="single" w:color="000000" w:sz="8" w:space="0"/>
            </w:tcBorders>
            <w:shd w:val="clear" w:color="auto" w:fill="auto"/>
            <w:vAlign w:val="center"/>
          </w:tcPr>
          <w:p w14:paraId="4D7FB644">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归集录入其他类数据源数据。</w:t>
            </w:r>
          </w:p>
        </w:tc>
        <w:tc>
          <w:tcPr>
            <w:tcW w:w="1196" w:type="dxa"/>
            <w:tcBorders>
              <w:top w:val="nil"/>
              <w:left w:val="nil"/>
              <w:bottom w:val="single" w:color="auto" w:sz="4" w:space="0"/>
              <w:right w:val="single" w:color="000000" w:sz="8" w:space="0"/>
            </w:tcBorders>
            <w:shd w:val="clear" w:color="auto" w:fill="auto"/>
            <w:noWrap/>
            <w:vAlign w:val="center"/>
          </w:tcPr>
          <w:p w14:paraId="504AB2A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0F84C2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single" w:color="auto" w:sz="4" w:space="0"/>
              <w:left w:val="single" w:color="000000" w:sz="8" w:space="0"/>
              <w:bottom w:val="single" w:color="000000" w:sz="8" w:space="0"/>
              <w:right w:val="single" w:color="000000" w:sz="8" w:space="0"/>
            </w:tcBorders>
            <w:shd w:val="clear" w:color="auto" w:fill="auto"/>
            <w:noWrap/>
            <w:vAlign w:val="center"/>
          </w:tcPr>
          <w:p w14:paraId="0C9696B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8</w:t>
            </w:r>
          </w:p>
        </w:tc>
        <w:tc>
          <w:tcPr>
            <w:tcW w:w="1205" w:type="dxa"/>
            <w:vMerge w:val="restart"/>
            <w:tcBorders>
              <w:top w:val="single" w:color="auto" w:sz="4" w:space="0"/>
              <w:left w:val="nil"/>
              <w:bottom w:val="single" w:color="000000" w:sz="8" w:space="0"/>
              <w:right w:val="single" w:color="000000" w:sz="8" w:space="0"/>
            </w:tcBorders>
            <w:shd w:val="clear" w:color="auto" w:fill="auto"/>
            <w:vAlign w:val="center"/>
          </w:tcPr>
          <w:p w14:paraId="01B1BEB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6C97063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181C4DE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3266260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0D11440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6C47B59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2FD4EFC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641E4CA1">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4F23078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13132B00">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4C36975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55E2586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52DBA60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68BB50A0">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7A34D1A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2D783A9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4777C7B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538DA5A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1428039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04030CE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6DF2BBF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2FCBCDF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7146E03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638A9D6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1281A94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溯源任务全流程处置</w:t>
            </w:r>
          </w:p>
        </w:tc>
        <w:tc>
          <w:tcPr>
            <w:tcW w:w="1470" w:type="dxa"/>
            <w:tcBorders>
              <w:top w:val="single" w:color="auto" w:sz="4" w:space="0"/>
              <w:left w:val="nil"/>
              <w:bottom w:val="single" w:color="000000" w:sz="8" w:space="0"/>
              <w:right w:val="single" w:color="000000" w:sz="8" w:space="0"/>
            </w:tcBorders>
            <w:shd w:val="clear" w:color="auto" w:fill="auto"/>
            <w:vAlign w:val="center"/>
          </w:tcPr>
          <w:p w14:paraId="4EF7D93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溯源任务管理</w:t>
            </w:r>
          </w:p>
        </w:tc>
        <w:tc>
          <w:tcPr>
            <w:tcW w:w="4129" w:type="dxa"/>
            <w:tcBorders>
              <w:top w:val="single" w:color="auto" w:sz="4" w:space="0"/>
              <w:left w:val="nil"/>
              <w:bottom w:val="single" w:color="000000" w:sz="8" w:space="0"/>
              <w:right w:val="single" w:color="000000" w:sz="8" w:space="0"/>
            </w:tcBorders>
            <w:shd w:val="clear" w:color="auto" w:fill="auto"/>
            <w:vAlign w:val="center"/>
          </w:tcPr>
          <w:p w14:paraId="4FF2F750">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根据数据源自动生成待启动溯源任务，支持相应部门和角色对溯源任务进行浏览、编辑、启动、审定、调查、退回、提级、溯核、撤回等操作。</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支持根据数据源大小类配置分级流转。</w:t>
            </w:r>
          </w:p>
          <w:p w14:paraId="590A187B">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支持溯源任务的手动生成、自动生成（添加数据源后）、删除、导出等操作。</w:t>
            </w:r>
          </w:p>
          <w:p w14:paraId="4F40A4EB">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color w:val="auto"/>
                <w:sz w:val="22"/>
                <w:szCs w:val="28"/>
                <w:highlight w:val="none"/>
              </w:rPr>
            </w:pPr>
            <w:r>
              <w:rPr>
                <w:rFonts w:hint="eastAsia" w:ascii="宋体" w:hAnsi="宋体" w:eastAsia="宋体" w:cs="宋体"/>
                <w:i w:val="0"/>
                <w:iCs w:val="0"/>
                <w:color w:val="auto"/>
                <w:kern w:val="0"/>
                <w:sz w:val="22"/>
                <w:szCs w:val="22"/>
                <w:highlight w:val="none"/>
                <w:u w:val="none"/>
                <w:lang w:val="en-US" w:eastAsia="zh-CN" w:bidi="ar"/>
              </w:rPr>
              <w:t>支持溯源任务全流程各角色操作全程留痕可查。</w:t>
            </w:r>
          </w:p>
        </w:tc>
        <w:tc>
          <w:tcPr>
            <w:tcW w:w="1196" w:type="dxa"/>
            <w:tcBorders>
              <w:top w:val="single" w:color="auto" w:sz="4" w:space="0"/>
              <w:left w:val="nil"/>
              <w:bottom w:val="single" w:color="000000" w:sz="8" w:space="0"/>
              <w:right w:val="single" w:color="000000" w:sz="8" w:space="0"/>
            </w:tcBorders>
            <w:shd w:val="clear" w:color="auto" w:fill="auto"/>
            <w:noWrap/>
            <w:vAlign w:val="center"/>
          </w:tcPr>
          <w:p w14:paraId="2AABCF0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77A4BE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795131F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1D7327C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9</w:t>
            </w:r>
          </w:p>
        </w:tc>
        <w:tc>
          <w:tcPr>
            <w:tcW w:w="1205" w:type="dxa"/>
            <w:vMerge w:val="continue"/>
            <w:tcBorders>
              <w:top w:val="nil"/>
              <w:left w:val="nil"/>
              <w:bottom w:val="single" w:color="000000" w:sz="8" w:space="0"/>
              <w:right w:val="single" w:color="000000" w:sz="8" w:space="0"/>
            </w:tcBorders>
            <w:shd w:val="clear" w:color="auto" w:fill="auto"/>
            <w:vAlign w:val="center"/>
          </w:tcPr>
          <w:p w14:paraId="6CE71771">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auto"/>
                <w:sz w:val="22"/>
                <w:szCs w:val="22"/>
                <w:highlight w:val="none"/>
                <w:u w:val="none"/>
              </w:rPr>
            </w:pPr>
          </w:p>
        </w:tc>
        <w:tc>
          <w:tcPr>
            <w:tcW w:w="1470" w:type="dxa"/>
            <w:tcBorders>
              <w:top w:val="nil"/>
              <w:left w:val="nil"/>
              <w:bottom w:val="single" w:color="000000" w:sz="8" w:space="0"/>
              <w:right w:val="single" w:color="000000" w:sz="8" w:space="0"/>
            </w:tcBorders>
            <w:shd w:val="clear" w:color="auto" w:fill="auto"/>
            <w:vAlign w:val="center"/>
          </w:tcPr>
          <w:p w14:paraId="578BBEF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溯源任务流转</w:t>
            </w:r>
          </w:p>
        </w:tc>
        <w:tc>
          <w:tcPr>
            <w:tcW w:w="4129" w:type="dxa"/>
            <w:tcBorders>
              <w:top w:val="nil"/>
              <w:left w:val="nil"/>
              <w:bottom w:val="single" w:color="000000" w:sz="8" w:space="0"/>
              <w:right w:val="single" w:color="000000" w:sz="8" w:space="0"/>
            </w:tcBorders>
            <w:shd w:val="clear" w:color="auto" w:fill="auto"/>
            <w:vAlign w:val="center"/>
          </w:tcPr>
          <w:p w14:paraId="5C6659FF">
            <w:pPr>
              <w:widowControl/>
              <w:spacing w:line="400" w:lineRule="exact"/>
              <w:jc w:val="left"/>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支持相应部门和角色账户浏览相应任务内容，支持包括新增、待启动、启动调查、责任单位提交溯源报告、发起单位审定、发起单位退回、一般局领导审定、一般局领导退回、主要局领导审定、主要局领导退回、责任单位整改、发起单位整改审定、发起单位整改退回、归档、暂不启动、溯源办提级操作的全流程任务流转，包括4级（发起单位审定、溯源办审定、一般领导审定、主要领导审定）审定流程。</w:t>
            </w:r>
            <w:r>
              <w:rPr>
                <w:rFonts w:hint="eastAsia" w:ascii="宋体" w:hAnsi="宋体" w:eastAsia="宋体" w:cs="宋体"/>
                <w:color w:val="auto"/>
                <w:kern w:val="0"/>
                <w:sz w:val="22"/>
                <w:szCs w:val="22"/>
                <w:highlight w:val="none"/>
                <w:lang w:bidi="ar"/>
              </w:rPr>
              <w:br w:type="textWrapping"/>
            </w:r>
            <w:r>
              <w:rPr>
                <w:rFonts w:hint="eastAsia" w:ascii="宋体" w:hAnsi="宋体" w:eastAsia="宋体" w:cs="宋体"/>
                <w:color w:val="auto"/>
                <w:kern w:val="0"/>
                <w:sz w:val="22"/>
                <w:szCs w:val="22"/>
                <w:highlight w:val="none"/>
                <w:lang w:bidi="ar"/>
              </w:rPr>
              <w:t>根据数据源类型及是否提级区分4级审定流程，未提级或一般数据源类型</w:t>
            </w:r>
            <w:r>
              <w:rPr>
                <w:rFonts w:hint="eastAsia" w:ascii="宋体" w:hAnsi="宋体" w:eastAsia="宋体" w:cs="宋体"/>
                <w:color w:val="auto"/>
                <w:kern w:val="0"/>
                <w:sz w:val="22"/>
                <w:szCs w:val="22"/>
                <w:highlight w:val="none"/>
                <w:lang w:val="en-US" w:eastAsia="zh-CN" w:bidi="ar"/>
              </w:rPr>
              <w:t>可设置</w:t>
            </w:r>
            <w:r>
              <w:rPr>
                <w:rFonts w:hint="eastAsia" w:ascii="宋体" w:hAnsi="宋体" w:eastAsia="宋体" w:cs="宋体"/>
                <w:color w:val="auto"/>
                <w:kern w:val="0"/>
                <w:sz w:val="22"/>
                <w:szCs w:val="22"/>
                <w:highlight w:val="none"/>
                <w:lang w:bidi="ar"/>
              </w:rPr>
              <w:t>3级审定（发起单位审定、溯源办审定、一般领导审定），</w:t>
            </w:r>
            <w:r>
              <w:rPr>
                <w:rFonts w:hint="eastAsia" w:ascii="宋体" w:hAnsi="宋体" w:eastAsia="宋体" w:cs="宋体"/>
                <w:color w:val="auto"/>
                <w:kern w:val="0"/>
                <w:sz w:val="22"/>
                <w:szCs w:val="22"/>
                <w:highlight w:val="none"/>
                <w:lang w:val="en-US" w:eastAsia="zh-CN" w:bidi="ar"/>
              </w:rPr>
              <w:t>并且</w:t>
            </w:r>
            <w:r>
              <w:rPr>
                <w:rFonts w:hint="eastAsia" w:ascii="宋体" w:hAnsi="宋体" w:eastAsia="宋体" w:cs="宋体"/>
                <w:color w:val="auto"/>
                <w:kern w:val="0"/>
                <w:sz w:val="22"/>
                <w:szCs w:val="22"/>
                <w:highlight w:val="none"/>
                <w:lang w:bidi="ar"/>
              </w:rPr>
              <w:t>系统可进行配置。</w:t>
            </w:r>
          </w:p>
          <w:p w14:paraId="255710D3">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color w:val="auto"/>
                <w:sz w:val="22"/>
                <w:szCs w:val="28"/>
                <w:highlight w:val="none"/>
              </w:rPr>
            </w:pPr>
            <w:r>
              <w:rPr>
                <w:rFonts w:hint="eastAsia" w:ascii="宋体" w:hAnsi="宋体" w:eastAsia="宋体" w:cs="宋体"/>
                <w:color w:val="auto"/>
                <w:kern w:val="0"/>
                <w:sz w:val="22"/>
                <w:szCs w:val="22"/>
                <w:highlight w:val="none"/>
                <w:lang w:bidi="ar"/>
              </w:rPr>
              <w:t>支持对溯源任务进行提请追责，系统支持多级审核的追责流程（支持牵头部门、发起部门、溯源办在各自环节将任务提请至3个部门进行追责）。</w:t>
            </w:r>
          </w:p>
        </w:tc>
        <w:tc>
          <w:tcPr>
            <w:tcW w:w="1196" w:type="dxa"/>
            <w:tcBorders>
              <w:top w:val="nil"/>
              <w:left w:val="nil"/>
              <w:bottom w:val="single" w:color="000000" w:sz="8" w:space="0"/>
              <w:right w:val="single" w:color="000000" w:sz="8" w:space="0"/>
            </w:tcBorders>
            <w:shd w:val="clear" w:color="auto" w:fill="auto"/>
            <w:noWrap/>
            <w:vAlign w:val="center"/>
          </w:tcPr>
          <w:p w14:paraId="15410640">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0F5725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33DE844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w:t>
            </w:r>
          </w:p>
        </w:tc>
        <w:tc>
          <w:tcPr>
            <w:tcW w:w="1205" w:type="dxa"/>
            <w:vMerge w:val="continue"/>
            <w:tcBorders>
              <w:top w:val="nil"/>
              <w:left w:val="nil"/>
              <w:bottom w:val="single" w:color="000000" w:sz="8" w:space="0"/>
              <w:right w:val="single" w:color="000000" w:sz="8" w:space="0"/>
            </w:tcBorders>
            <w:shd w:val="clear" w:color="auto" w:fill="auto"/>
            <w:vAlign w:val="center"/>
          </w:tcPr>
          <w:p w14:paraId="484A0502">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auto"/>
                <w:sz w:val="22"/>
                <w:szCs w:val="22"/>
                <w:highlight w:val="none"/>
                <w:u w:val="none"/>
              </w:rPr>
            </w:pPr>
          </w:p>
        </w:tc>
        <w:tc>
          <w:tcPr>
            <w:tcW w:w="1470" w:type="dxa"/>
            <w:tcBorders>
              <w:top w:val="nil"/>
              <w:left w:val="nil"/>
              <w:bottom w:val="single" w:color="000000" w:sz="8" w:space="0"/>
              <w:right w:val="single" w:color="000000" w:sz="8" w:space="0"/>
            </w:tcBorders>
            <w:shd w:val="clear" w:color="auto" w:fill="auto"/>
            <w:vAlign w:val="center"/>
          </w:tcPr>
          <w:p w14:paraId="0127D390">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溯源任务报告管理</w:t>
            </w:r>
          </w:p>
        </w:tc>
        <w:tc>
          <w:tcPr>
            <w:tcW w:w="4129" w:type="dxa"/>
            <w:tcBorders>
              <w:top w:val="nil"/>
              <w:left w:val="nil"/>
              <w:bottom w:val="single" w:color="000000" w:sz="8" w:space="0"/>
              <w:right w:val="single" w:color="000000" w:sz="8" w:space="0"/>
            </w:tcBorders>
            <w:shd w:val="clear" w:color="auto" w:fill="auto"/>
            <w:vAlign w:val="center"/>
          </w:tcPr>
          <w:p w14:paraId="4395CF78">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支持相应权限用户录入报告标题、存在问题列表、整改措施列表、责任人信息、说明等字段形成溯源任务报告。</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支持协同部门在支流程中提交简要报告。</w:t>
            </w:r>
          </w:p>
          <w:p w14:paraId="21932DAD">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支持溯源任务回收站列表功能，支持对已删除的溯源任务件在管理端进行恢复操作。</w:t>
            </w:r>
          </w:p>
          <w:p w14:paraId="090B28B7">
            <w:pPr>
              <w:pStyle w:val="3"/>
              <w:ind w:left="0" w:leftChars="0" w:firstLine="0" w:firstLineChars="0"/>
              <w:jc w:val="both"/>
              <w:rPr>
                <w:rFonts w:hint="eastAsia" w:ascii="宋体" w:hAnsi="宋体" w:eastAsia="宋体" w:cs="宋体"/>
                <w:color w:val="auto"/>
                <w:sz w:val="28"/>
                <w:szCs w:val="21"/>
                <w:highlight w:val="none"/>
                <w:lang w:val="en-US"/>
              </w:rPr>
            </w:pPr>
            <w:r>
              <w:rPr>
                <w:rFonts w:hint="eastAsia" w:ascii="宋体" w:hAnsi="宋体" w:eastAsia="宋体" w:cs="宋体"/>
                <w:i w:val="0"/>
                <w:iCs w:val="0"/>
                <w:color w:val="auto"/>
                <w:kern w:val="0"/>
                <w:sz w:val="22"/>
                <w:szCs w:val="22"/>
                <w:highlight w:val="none"/>
                <w:u w:val="none"/>
                <w:lang w:val="en-US" w:eastAsia="zh-CN" w:bidi="ar"/>
              </w:rPr>
              <w:t>支持对溯源任务报告的导出。</w:t>
            </w:r>
          </w:p>
        </w:tc>
        <w:tc>
          <w:tcPr>
            <w:tcW w:w="1196" w:type="dxa"/>
            <w:tcBorders>
              <w:top w:val="nil"/>
              <w:left w:val="nil"/>
              <w:bottom w:val="single" w:color="000000" w:sz="8" w:space="0"/>
              <w:right w:val="single" w:color="000000" w:sz="8" w:space="0"/>
            </w:tcBorders>
            <w:shd w:val="clear" w:color="auto" w:fill="auto"/>
            <w:noWrap/>
            <w:vAlign w:val="center"/>
          </w:tcPr>
          <w:p w14:paraId="4268F05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6F9AF6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7EA43B1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11</w:t>
            </w:r>
          </w:p>
        </w:tc>
        <w:tc>
          <w:tcPr>
            <w:tcW w:w="1205" w:type="dxa"/>
            <w:vMerge w:val="continue"/>
            <w:tcBorders>
              <w:top w:val="nil"/>
              <w:left w:val="nil"/>
              <w:bottom w:val="single" w:color="000000" w:sz="8" w:space="0"/>
              <w:right w:val="single" w:color="000000" w:sz="8" w:space="0"/>
            </w:tcBorders>
            <w:shd w:val="clear" w:color="auto" w:fill="auto"/>
            <w:vAlign w:val="center"/>
          </w:tcPr>
          <w:p w14:paraId="53AD4FCB">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auto"/>
                <w:sz w:val="22"/>
                <w:szCs w:val="22"/>
                <w:highlight w:val="none"/>
                <w:u w:val="none"/>
              </w:rPr>
            </w:pPr>
          </w:p>
        </w:tc>
        <w:tc>
          <w:tcPr>
            <w:tcW w:w="1470" w:type="dxa"/>
            <w:tcBorders>
              <w:top w:val="nil"/>
              <w:left w:val="nil"/>
              <w:bottom w:val="single" w:color="000000" w:sz="8" w:space="0"/>
              <w:right w:val="single" w:color="000000" w:sz="8" w:space="0"/>
            </w:tcBorders>
            <w:shd w:val="clear" w:color="auto" w:fill="auto"/>
            <w:noWrap/>
            <w:vAlign w:val="center"/>
          </w:tcPr>
          <w:p w14:paraId="49D68C2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溯源任务督办</w:t>
            </w:r>
          </w:p>
        </w:tc>
        <w:tc>
          <w:tcPr>
            <w:tcW w:w="4129" w:type="dxa"/>
            <w:tcBorders>
              <w:top w:val="nil"/>
              <w:left w:val="nil"/>
              <w:bottom w:val="single" w:color="000000" w:sz="8" w:space="0"/>
              <w:right w:val="single" w:color="000000" w:sz="8" w:space="0"/>
            </w:tcBorders>
            <w:shd w:val="clear" w:color="auto" w:fill="auto"/>
            <w:vAlign w:val="center"/>
          </w:tcPr>
          <w:p w14:paraId="01CC5303">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支持溯源任务进度提醒、督办、预警等功能，支持量化、评价、考核、晾晒等数据分析功能。</w:t>
            </w:r>
          </w:p>
        </w:tc>
        <w:tc>
          <w:tcPr>
            <w:tcW w:w="1196" w:type="dxa"/>
            <w:tcBorders>
              <w:top w:val="nil"/>
              <w:left w:val="nil"/>
              <w:bottom w:val="single" w:color="000000" w:sz="8" w:space="0"/>
              <w:right w:val="single" w:color="000000" w:sz="8" w:space="0"/>
            </w:tcBorders>
            <w:shd w:val="clear" w:color="auto" w:fill="auto"/>
            <w:noWrap/>
            <w:vAlign w:val="center"/>
          </w:tcPr>
          <w:p w14:paraId="6AA18040">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59C572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559F2F5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12</w:t>
            </w:r>
          </w:p>
        </w:tc>
        <w:tc>
          <w:tcPr>
            <w:tcW w:w="1205" w:type="dxa"/>
            <w:vMerge w:val="continue"/>
            <w:tcBorders>
              <w:top w:val="nil"/>
              <w:left w:val="nil"/>
              <w:bottom w:val="single" w:color="000000" w:sz="8" w:space="0"/>
              <w:right w:val="single" w:color="000000" w:sz="8" w:space="0"/>
            </w:tcBorders>
            <w:shd w:val="clear" w:color="auto" w:fill="auto"/>
            <w:vAlign w:val="center"/>
          </w:tcPr>
          <w:p w14:paraId="6402D373">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auto"/>
                <w:sz w:val="22"/>
                <w:szCs w:val="22"/>
                <w:highlight w:val="none"/>
                <w:u w:val="none"/>
              </w:rPr>
            </w:pPr>
          </w:p>
        </w:tc>
        <w:tc>
          <w:tcPr>
            <w:tcW w:w="1470" w:type="dxa"/>
            <w:tcBorders>
              <w:top w:val="nil"/>
              <w:left w:val="nil"/>
              <w:bottom w:val="single" w:color="000000" w:sz="8" w:space="0"/>
              <w:right w:val="single" w:color="000000" w:sz="8" w:space="0"/>
            </w:tcBorders>
            <w:shd w:val="clear" w:color="auto" w:fill="auto"/>
            <w:noWrap/>
            <w:vAlign w:val="center"/>
          </w:tcPr>
          <w:p w14:paraId="2D3AE18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重复溯源件预警</w:t>
            </w:r>
          </w:p>
        </w:tc>
        <w:tc>
          <w:tcPr>
            <w:tcW w:w="4129" w:type="dxa"/>
            <w:tcBorders>
              <w:top w:val="nil"/>
              <w:left w:val="nil"/>
              <w:bottom w:val="single" w:color="000000" w:sz="8" w:space="0"/>
              <w:right w:val="single" w:color="000000" w:sz="8" w:space="0"/>
            </w:tcBorders>
            <w:shd w:val="clear" w:color="auto" w:fill="auto"/>
            <w:vAlign w:val="center"/>
          </w:tcPr>
          <w:p w14:paraId="22D932FF">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重复溯源件预警提醒功能。通过对比不同数据源的关键参数，挖掘出现重复溯源的案事件，及时发现源头问题及判断该任务的重要性。</w:t>
            </w:r>
          </w:p>
        </w:tc>
        <w:tc>
          <w:tcPr>
            <w:tcW w:w="1196" w:type="dxa"/>
            <w:tcBorders>
              <w:top w:val="nil"/>
              <w:left w:val="nil"/>
              <w:bottom w:val="single" w:color="000000" w:sz="8" w:space="0"/>
              <w:right w:val="single" w:color="000000" w:sz="8" w:space="0"/>
            </w:tcBorders>
            <w:shd w:val="clear" w:color="auto" w:fill="auto"/>
            <w:noWrap/>
            <w:vAlign w:val="center"/>
          </w:tcPr>
          <w:p w14:paraId="798577A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22FA9C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6FB0ABE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13</w:t>
            </w:r>
          </w:p>
        </w:tc>
        <w:tc>
          <w:tcPr>
            <w:tcW w:w="1205" w:type="dxa"/>
            <w:vMerge w:val="continue"/>
            <w:tcBorders>
              <w:top w:val="nil"/>
              <w:left w:val="nil"/>
              <w:bottom w:val="single" w:color="000000" w:sz="8" w:space="0"/>
              <w:right w:val="single" w:color="000000" w:sz="8" w:space="0"/>
            </w:tcBorders>
            <w:shd w:val="clear" w:color="auto" w:fill="auto"/>
            <w:vAlign w:val="center"/>
          </w:tcPr>
          <w:p w14:paraId="3438568D">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auto"/>
                <w:sz w:val="22"/>
                <w:szCs w:val="22"/>
                <w:highlight w:val="none"/>
                <w:u w:val="none"/>
              </w:rPr>
            </w:pPr>
          </w:p>
        </w:tc>
        <w:tc>
          <w:tcPr>
            <w:tcW w:w="1470" w:type="dxa"/>
            <w:tcBorders>
              <w:top w:val="nil"/>
              <w:left w:val="nil"/>
              <w:bottom w:val="single" w:color="000000" w:sz="8" w:space="0"/>
              <w:right w:val="single" w:color="000000" w:sz="8" w:space="0"/>
            </w:tcBorders>
            <w:shd w:val="clear" w:color="auto" w:fill="auto"/>
            <w:noWrap/>
            <w:vAlign w:val="center"/>
          </w:tcPr>
          <w:p w14:paraId="1A8F084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话务系统对接</w:t>
            </w:r>
          </w:p>
        </w:tc>
        <w:tc>
          <w:tcPr>
            <w:tcW w:w="4129" w:type="dxa"/>
            <w:tcBorders>
              <w:top w:val="nil"/>
              <w:left w:val="nil"/>
              <w:bottom w:val="single" w:color="000000" w:sz="8" w:space="0"/>
              <w:right w:val="single" w:color="000000" w:sz="8" w:space="0"/>
            </w:tcBorders>
            <w:shd w:val="clear" w:color="auto" w:fill="auto"/>
            <w:vAlign w:val="center"/>
          </w:tcPr>
          <w:p w14:paraId="0E675920">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对接IPPBX设备，实现在归档等环节通过系统发起语言回访，并可保存语言通话信息留档作为后续督查使用。</w:t>
            </w:r>
          </w:p>
        </w:tc>
        <w:tc>
          <w:tcPr>
            <w:tcW w:w="1196" w:type="dxa"/>
            <w:tcBorders>
              <w:top w:val="nil"/>
              <w:left w:val="nil"/>
              <w:bottom w:val="single" w:color="000000" w:sz="8" w:space="0"/>
              <w:right w:val="single" w:color="000000" w:sz="8" w:space="0"/>
            </w:tcBorders>
            <w:shd w:val="clear" w:color="auto" w:fill="auto"/>
            <w:noWrap/>
            <w:vAlign w:val="center"/>
          </w:tcPr>
          <w:p w14:paraId="42349DF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0E55CA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0A2899D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14</w:t>
            </w:r>
          </w:p>
        </w:tc>
        <w:tc>
          <w:tcPr>
            <w:tcW w:w="1205" w:type="dxa"/>
            <w:vMerge w:val="continue"/>
            <w:tcBorders>
              <w:top w:val="nil"/>
              <w:left w:val="nil"/>
              <w:bottom w:val="single" w:color="000000" w:sz="8" w:space="0"/>
              <w:right w:val="single" w:color="000000" w:sz="8" w:space="0"/>
            </w:tcBorders>
            <w:shd w:val="clear" w:color="auto" w:fill="auto"/>
            <w:vAlign w:val="center"/>
          </w:tcPr>
          <w:p w14:paraId="29E8F9E4">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auto"/>
                <w:sz w:val="22"/>
                <w:szCs w:val="22"/>
                <w:highlight w:val="none"/>
                <w:u w:val="none"/>
              </w:rPr>
            </w:pPr>
          </w:p>
        </w:tc>
        <w:tc>
          <w:tcPr>
            <w:tcW w:w="1470" w:type="dxa"/>
            <w:tcBorders>
              <w:top w:val="nil"/>
              <w:left w:val="nil"/>
              <w:bottom w:val="single" w:color="000000" w:sz="8" w:space="0"/>
              <w:right w:val="single" w:color="000000" w:sz="8" w:space="0"/>
            </w:tcBorders>
            <w:shd w:val="clear" w:color="auto" w:fill="auto"/>
            <w:noWrap/>
            <w:vAlign w:val="center"/>
          </w:tcPr>
          <w:p w14:paraId="17B13BD1">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机制管理</w:t>
            </w:r>
          </w:p>
        </w:tc>
        <w:tc>
          <w:tcPr>
            <w:tcW w:w="4129" w:type="dxa"/>
            <w:tcBorders>
              <w:top w:val="nil"/>
              <w:left w:val="nil"/>
              <w:bottom w:val="single" w:color="000000" w:sz="8" w:space="0"/>
              <w:right w:val="single" w:color="000000" w:sz="8" w:space="0"/>
            </w:tcBorders>
            <w:shd w:val="clear" w:color="auto" w:fill="auto"/>
            <w:vAlign w:val="center"/>
          </w:tcPr>
          <w:p w14:paraId="566AC486">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支持对溯源工作形成的工作机制信息进行维护、管理，支持机制名称、发布单位、机制文件等信息录入，支持查看及检索机制文件列表，支持相应权限账号添加机制文件等。</w:t>
            </w:r>
          </w:p>
        </w:tc>
        <w:tc>
          <w:tcPr>
            <w:tcW w:w="1196" w:type="dxa"/>
            <w:tcBorders>
              <w:top w:val="nil"/>
              <w:left w:val="nil"/>
              <w:bottom w:val="single" w:color="000000" w:sz="8" w:space="0"/>
              <w:right w:val="single" w:color="000000" w:sz="8" w:space="0"/>
            </w:tcBorders>
            <w:shd w:val="clear" w:color="auto" w:fill="auto"/>
            <w:noWrap/>
            <w:vAlign w:val="center"/>
          </w:tcPr>
          <w:p w14:paraId="1A6E067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427122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086E81D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15</w:t>
            </w:r>
          </w:p>
        </w:tc>
        <w:tc>
          <w:tcPr>
            <w:tcW w:w="1205" w:type="dxa"/>
            <w:vMerge w:val="continue"/>
            <w:tcBorders>
              <w:top w:val="nil"/>
              <w:left w:val="nil"/>
              <w:bottom w:val="single" w:color="000000" w:sz="8" w:space="0"/>
              <w:right w:val="single" w:color="000000" w:sz="8" w:space="0"/>
            </w:tcBorders>
            <w:shd w:val="clear" w:color="auto" w:fill="auto"/>
            <w:vAlign w:val="center"/>
          </w:tcPr>
          <w:p w14:paraId="1249A62C">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auto"/>
                <w:sz w:val="22"/>
                <w:szCs w:val="22"/>
                <w:highlight w:val="none"/>
                <w:u w:val="none"/>
              </w:rPr>
            </w:pPr>
          </w:p>
        </w:tc>
        <w:tc>
          <w:tcPr>
            <w:tcW w:w="1470" w:type="dxa"/>
            <w:tcBorders>
              <w:top w:val="nil"/>
              <w:left w:val="nil"/>
              <w:bottom w:val="single" w:color="000000" w:sz="8" w:space="0"/>
              <w:right w:val="single" w:color="000000" w:sz="8" w:space="0"/>
            </w:tcBorders>
            <w:shd w:val="clear" w:color="auto" w:fill="auto"/>
            <w:noWrap/>
            <w:vAlign w:val="center"/>
          </w:tcPr>
          <w:p w14:paraId="23C1C140">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追责人员管理</w:t>
            </w:r>
          </w:p>
        </w:tc>
        <w:tc>
          <w:tcPr>
            <w:tcW w:w="4129" w:type="dxa"/>
            <w:tcBorders>
              <w:top w:val="nil"/>
              <w:left w:val="nil"/>
              <w:bottom w:val="single" w:color="000000" w:sz="8" w:space="0"/>
              <w:right w:val="single" w:color="000000" w:sz="8" w:space="0"/>
            </w:tcBorders>
            <w:shd w:val="clear" w:color="auto" w:fill="auto"/>
            <w:vAlign w:val="center"/>
          </w:tcPr>
          <w:p w14:paraId="34D72B96">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支持对在溯源任务流转过程中产生的追责人员信息进行管理，要求支持通过列表形式展示系统中所有追责人员信息及相关联溯源任务信息。</w:t>
            </w:r>
          </w:p>
          <w:p w14:paraId="531AEF84">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lang w:val="en-US"/>
              </w:rPr>
            </w:pPr>
            <w:r>
              <w:rPr>
                <w:rFonts w:hint="eastAsia" w:ascii="宋体" w:hAnsi="宋体" w:eastAsia="宋体" w:cs="宋体"/>
                <w:i w:val="0"/>
                <w:iCs w:val="0"/>
                <w:color w:val="auto"/>
                <w:kern w:val="0"/>
                <w:sz w:val="22"/>
                <w:szCs w:val="22"/>
                <w:highlight w:val="none"/>
                <w:u w:val="none"/>
                <w:lang w:val="en-US" w:eastAsia="zh-CN" w:bidi="ar"/>
              </w:rPr>
              <w:t>可在溯源任务流转中新增追责人员。</w:t>
            </w:r>
          </w:p>
        </w:tc>
        <w:tc>
          <w:tcPr>
            <w:tcW w:w="1196" w:type="dxa"/>
            <w:tcBorders>
              <w:top w:val="nil"/>
              <w:left w:val="nil"/>
              <w:bottom w:val="single" w:color="000000" w:sz="8" w:space="0"/>
              <w:right w:val="single" w:color="000000" w:sz="8" w:space="0"/>
            </w:tcBorders>
            <w:shd w:val="clear" w:color="auto" w:fill="auto"/>
            <w:noWrap/>
            <w:vAlign w:val="center"/>
          </w:tcPr>
          <w:p w14:paraId="6D8B043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1EDD7D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46E7C26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16</w:t>
            </w:r>
          </w:p>
        </w:tc>
        <w:tc>
          <w:tcPr>
            <w:tcW w:w="1205" w:type="dxa"/>
            <w:tcBorders>
              <w:top w:val="nil"/>
              <w:left w:val="nil"/>
              <w:bottom w:val="single" w:color="000000" w:sz="8" w:space="0"/>
              <w:right w:val="single" w:color="000000" w:sz="8" w:space="0"/>
            </w:tcBorders>
            <w:shd w:val="clear" w:color="auto" w:fill="auto"/>
            <w:vAlign w:val="center"/>
          </w:tcPr>
          <w:p w14:paraId="5D97CAB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数据分析模块</w:t>
            </w:r>
          </w:p>
        </w:tc>
        <w:tc>
          <w:tcPr>
            <w:tcW w:w="1470" w:type="dxa"/>
            <w:tcBorders>
              <w:top w:val="nil"/>
              <w:left w:val="nil"/>
              <w:bottom w:val="single" w:color="000000" w:sz="8" w:space="0"/>
              <w:right w:val="single" w:color="000000" w:sz="8" w:space="0"/>
            </w:tcBorders>
            <w:shd w:val="clear" w:color="auto" w:fill="auto"/>
            <w:vAlign w:val="center"/>
          </w:tcPr>
          <w:p w14:paraId="12823D2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数据分析</w:t>
            </w:r>
          </w:p>
        </w:tc>
        <w:tc>
          <w:tcPr>
            <w:tcW w:w="4129" w:type="dxa"/>
            <w:tcBorders>
              <w:top w:val="nil"/>
              <w:left w:val="nil"/>
              <w:bottom w:val="single" w:color="000000" w:sz="8" w:space="0"/>
              <w:right w:val="single" w:color="000000" w:sz="8" w:space="0"/>
            </w:tcBorders>
            <w:shd w:val="clear" w:color="auto" w:fill="auto"/>
            <w:vAlign w:val="center"/>
          </w:tcPr>
          <w:p w14:paraId="52D563CE">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通过任务数量、整改情况、处置效率、闭环情况、关键问题等多维度、多图表实时直观分析溯源任务流转情况。</w:t>
            </w:r>
          </w:p>
        </w:tc>
        <w:tc>
          <w:tcPr>
            <w:tcW w:w="1196" w:type="dxa"/>
            <w:tcBorders>
              <w:top w:val="nil"/>
              <w:left w:val="nil"/>
              <w:bottom w:val="single" w:color="000000" w:sz="8" w:space="0"/>
              <w:right w:val="single" w:color="000000" w:sz="8" w:space="0"/>
            </w:tcBorders>
            <w:shd w:val="clear" w:color="auto" w:fill="auto"/>
            <w:noWrap/>
            <w:vAlign w:val="center"/>
          </w:tcPr>
          <w:p w14:paraId="5ED559C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1A7828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6FB83B8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17</w:t>
            </w:r>
          </w:p>
        </w:tc>
        <w:tc>
          <w:tcPr>
            <w:tcW w:w="1205" w:type="dxa"/>
            <w:vMerge w:val="restart"/>
            <w:tcBorders>
              <w:top w:val="nil"/>
              <w:left w:val="nil"/>
              <w:bottom w:val="single" w:color="000000" w:sz="8" w:space="0"/>
              <w:right w:val="single" w:color="000000" w:sz="8" w:space="0"/>
            </w:tcBorders>
            <w:shd w:val="clear" w:color="auto" w:fill="auto"/>
            <w:vAlign w:val="center"/>
          </w:tcPr>
          <w:p w14:paraId="28DA899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lang w:val="en-US"/>
              </w:rPr>
            </w:pPr>
            <w:r>
              <w:rPr>
                <w:rFonts w:hint="eastAsia" w:ascii="宋体" w:hAnsi="宋体" w:eastAsia="宋体" w:cs="宋体"/>
                <w:i w:val="0"/>
                <w:iCs w:val="0"/>
                <w:color w:val="auto"/>
                <w:kern w:val="0"/>
                <w:sz w:val="22"/>
                <w:szCs w:val="22"/>
                <w:highlight w:val="none"/>
                <w:u w:val="none"/>
                <w:lang w:eastAsia="zh-CN" w:bidi="ar"/>
              </w:rPr>
              <w:t>具备全市部署</w:t>
            </w:r>
            <w:r>
              <w:rPr>
                <w:rFonts w:hint="eastAsia" w:ascii="宋体" w:hAnsi="宋体" w:eastAsia="宋体" w:cs="宋体"/>
                <w:i w:val="0"/>
                <w:iCs w:val="0"/>
                <w:color w:val="auto"/>
                <w:kern w:val="0"/>
                <w:sz w:val="22"/>
                <w:szCs w:val="22"/>
                <w:highlight w:val="none"/>
                <w:u w:val="none"/>
                <w:lang w:val="en-US" w:eastAsia="zh-CN" w:bidi="ar"/>
              </w:rPr>
              <w:t>基础能力</w:t>
            </w:r>
          </w:p>
        </w:tc>
        <w:tc>
          <w:tcPr>
            <w:tcW w:w="1470" w:type="dxa"/>
            <w:tcBorders>
              <w:top w:val="nil"/>
              <w:left w:val="nil"/>
              <w:bottom w:val="single" w:color="000000" w:sz="8" w:space="0"/>
              <w:right w:val="single" w:color="000000" w:sz="8" w:space="0"/>
            </w:tcBorders>
            <w:shd w:val="clear" w:color="auto" w:fill="auto"/>
            <w:vAlign w:val="center"/>
          </w:tcPr>
          <w:p w14:paraId="46762BF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省警综通讯录组织架构对接</w:t>
            </w:r>
          </w:p>
        </w:tc>
        <w:tc>
          <w:tcPr>
            <w:tcW w:w="4129" w:type="dxa"/>
            <w:tcBorders>
              <w:top w:val="nil"/>
              <w:left w:val="nil"/>
              <w:bottom w:val="single" w:color="000000" w:sz="8" w:space="0"/>
              <w:right w:val="single" w:color="000000" w:sz="8" w:space="0"/>
            </w:tcBorders>
            <w:shd w:val="clear" w:color="auto" w:fill="auto"/>
            <w:vAlign w:val="center"/>
          </w:tcPr>
          <w:p w14:paraId="4F84809A">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rPr>
              <w:t>对接省警综通讯录温州市架构全量数据，整理部门及用户的多级组织架构后导入至系统，支持数据定时动态同步。</w:t>
            </w:r>
          </w:p>
        </w:tc>
        <w:tc>
          <w:tcPr>
            <w:tcW w:w="1196" w:type="dxa"/>
            <w:tcBorders>
              <w:top w:val="nil"/>
              <w:left w:val="nil"/>
              <w:bottom w:val="single" w:color="000000" w:sz="8" w:space="0"/>
              <w:right w:val="single" w:color="000000" w:sz="8" w:space="0"/>
            </w:tcBorders>
            <w:shd w:val="clear" w:color="auto" w:fill="auto"/>
            <w:noWrap/>
            <w:vAlign w:val="center"/>
          </w:tcPr>
          <w:p w14:paraId="1B339888">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3017E1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2EC14C6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lang w:val="en-US"/>
              </w:rPr>
            </w:pPr>
            <w:r>
              <w:rPr>
                <w:rFonts w:hint="eastAsia" w:ascii="宋体" w:hAnsi="宋体" w:eastAsia="宋体" w:cs="宋体"/>
                <w:i w:val="0"/>
                <w:iCs w:val="0"/>
                <w:color w:val="auto"/>
                <w:kern w:val="0"/>
                <w:sz w:val="22"/>
                <w:szCs w:val="22"/>
                <w:highlight w:val="none"/>
                <w:u w:val="none"/>
                <w:lang w:val="en-US" w:eastAsia="zh-CN" w:bidi="ar"/>
              </w:rPr>
              <w:t>18</w:t>
            </w:r>
          </w:p>
        </w:tc>
        <w:tc>
          <w:tcPr>
            <w:tcW w:w="1205" w:type="dxa"/>
            <w:vMerge w:val="continue"/>
            <w:tcBorders>
              <w:top w:val="nil"/>
              <w:left w:val="nil"/>
              <w:bottom w:val="single" w:color="000000" w:sz="8" w:space="0"/>
              <w:right w:val="single" w:color="000000" w:sz="8" w:space="0"/>
            </w:tcBorders>
            <w:shd w:val="clear" w:color="auto" w:fill="auto"/>
            <w:vAlign w:val="center"/>
          </w:tcPr>
          <w:p w14:paraId="070FC77D">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auto"/>
                <w:sz w:val="22"/>
                <w:szCs w:val="22"/>
                <w:highlight w:val="none"/>
                <w:u w:val="none"/>
              </w:rPr>
            </w:pPr>
          </w:p>
        </w:tc>
        <w:tc>
          <w:tcPr>
            <w:tcW w:w="1470" w:type="dxa"/>
            <w:tcBorders>
              <w:top w:val="nil"/>
              <w:left w:val="nil"/>
              <w:bottom w:val="single" w:color="000000" w:sz="8" w:space="0"/>
              <w:right w:val="single" w:color="000000" w:sz="8" w:space="0"/>
            </w:tcBorders>
            <w:shd w:val="clear" w:color="auto" w:fill="auto"/>
            <w:vAlign w:val="center"/>
          </w:tcPr>
          <w:p w14:paraId="50BECB2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分级组织可配置</w:t>
            </w:r>
          </w:p>
        </w:tc>
        <w:tc>
          <w:tcPr>
            <w:tcW w:w="4129" w:type="dxa"/>
            <w:tcBorders>
              <w:top w:val="nil"/>
              <w:left w:val="nil"/>
              <w:bottom w:val="single" w:color="000000" w:sz="8" w:space="0"/>
              <w:right w:val="single" w:color="000000" w:sz="8" w:space="0"/>
            </w:tcBorders>
            <w:shd w:val="clear" w:color="auto" w:fill="auto"/>
            <w:vAlign w:val="center"/>
          </w:tcPr>
          <w:p w14:paraId="2CD34B72">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color w:val="auto"/>
                <w:kern w:val="0"/>
                <w:sz w:val="22"/>
                <w:szCs w:val="22"/>
                <w:highlight w:val="none"/>
                <w:lang w:bidi="ar"/>
              </w:rPr>
              <w:t>支持市级、县市区级多级部署单位实际情况，配置溯源流程节点责任单位及流程。</w:t>
            </w:r>
          </w:p>
        </w:tc>
        <w:tc>
          <w:tcPr>
            <w:tcW w:w="1196" w:type="dxa"/>
            <w:tcBorders>
              <w:top w:val="nil"/>
              <w:left w:val="nil"/>
              <w:bottom w:val="single" w:color="000000" w:sz="8" w:space="0"/>
              <w:right w:val="single" w:color="000000" w:sz="8" w:space="0"/>
            </w:tcBorders>
            <w:shd w:val="clear" w:color="auto" w:fill="auto"/>
            <w:noWrap/>
            <w:vAlign w:val="center"/>
          </w:tcPr>
          <w:p w14:paraId="27550611">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7947B2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389CEBE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19</w:t>
            </w:r>
          </w:p>
        </w:tc>
        <w:tc>
          <w:tcPr>
            <w:tcW w:w="1205" w:type="dxa"/>
            <w:vMerge w:val="continue"/>
            <w:tcBorders>
              <w:top w:val="nil"/>
              <w:left w:val="nil"/>
              <w:bottom w:val="single" w:color="000000" w:sz="8" w:space="0"/>
              <w:right w:val="single" w:color="000000" w:sz="8" w:space="0"/>
            </w:tcBorders>
            <w:shd w:val="clear" w:color="auto" w:fill="auto"/>
            <w:vAlign w:val="center"/>
          </w:tcPr>
          <w:p w14:paraId="6ED20085">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auto"/>
                <w:sz w:val="22"/>
                <w:szCs w:val="22"/>
                <w:highlight w:val="none"/>
                <w:u w:val="none"/>
              </w:rPr>
            </w:pPr>
          </w:p>
        </w:tc>
        <w:tc>
          <w:tcPr>
            <w:tcW w:w="1470" w:type="dxa"/>
            <w:tcBorders>
              <w:top w:val="nil"/>
              <w:left w:val="nil"/>
              <w:bottom w:val="single" w:color="000000" w:sz="8" w:space="0"/>
              <w:right w:val="single" w:color="000000" w:sz="8" w:space="0"/>
            </w:tcBorders>
            <w:shd w:val="clear" w:color="auto" w:fill="auto"/>
            <w:vAlign w:val="center"/>
          </w:tcPr>
          <w:p w14:paraId="7B81A36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建设全市部署框架</w:t>
            </w:r>
          </w:p>
        </w:tc>
        <w:tc>
          <w:tcPr>
            <w:tcW w:w="4129" w:type="dxa"/>
            <w:tcBorders>
              <w:top w:val="nil"/>
              <w:left w:val="nil"/>
              <w:bottom w:val="single" w:color="000000" w:sz="8" w:space="0"/>
              <w:right w:val="single" w:color="000000" w:sz="8" w:space="0"/>
            </w:tcBorders>
            <w:shd w:val="clear" w:color="auto" w:fill="auto"/>
            <w:vAlign w:val="center"/>
          </w:tcPr>
          <w:p w14:paraId="5AED6502">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在现有功能基础上，定制</w:t>
            </w:r>
            <w:r>
              <w:rPr>
                <w:rFonts w:hint="eastAsia" w:ascii="宋体" w:hAnsi="宋体" w:eastAsia="宋体" w:cs="宋体"/>
                <w:color w:val="auto"/>
                <w:kern w:val="0"/>
                <w:sz w:val="22"/>
                <w:szCs w:val="22"/>
                <w:highlight w:val="none"/>
                <w:u w:val="none"/>
                <w:lang w:bidi="ar"/>
              </w:rPr>
              <w:t>溯源工作平台</w:t>
            </w:r>
            <w:r>
              <w:rPr>
                <w:rFonts w:hint="eastAsia" w:ascii="宋体" w:hAnsi="宋体" w:eastAsia="宋体" w:cs="宋体"/>
                <w:color w:val="auto"/>
                <w:kern w:val="0"/>
                <w:sz w:val="22"/>
                <w:szCs w:val="22"/>
                <w:highlight w:val="none"/>
                <w:u w:val="none"/>
                <w:lang w:val="en-US" w:eastAsia="zh-CN" w:bidi="ar"/>
              </w:rPr>
              <w:t>的</w:t>
            </w:r>
            <w:r>
              <w:rPr>
                <w:rFonts w:hint="eastAsia" w:ascii="宋体" w:hAnsi="宋体" w:eastAsia="宋体" w:cs="宋体"/>
                <w:i w:val="0"/>
                <w:iCs w:val="0"/>
                <w:color w:val="auto"/>
                <w:kern w:val="0"/>
                <w:sz w:val="22"/>
                <w:szCs w:val="22"/>
                <w:highlight w:val="none"/>
                <w:u w:val="none"/>
                <w:lang w:val="en-US" w:eastAsia="zh-CN" w:bidi="ar"/>
              </w:rPr>
              <w:t>通用版本，支持除现有客制化数据源录入外的其他功能，支持独立内网环境部署。</w:t>
            </w:r>
          </w:p>
        </w:tc>
        <w:tc>
          <w:tcPr>
            <w:tcW w:w="1196" w:type="dxa"/>
            <w:tcBorders>
              <w:top w:val="nil"/>
              <w:left w:val="nil"/>
              <w:bottom w:val="single" w:color="000000" w:sz="8" w:space="0"/>
              <w:right w:val="single" w:color="000000" w:sz="8" w:space="0"/>
            </w:tcBorders>
            <w:shd w:val="clear" w:color="auto" w:fill="auto"/>
            <w:noWrap/>
            <w:vAlign w:val="center"/>
          </w:tcPr>
          <w:p w14:paraId="7DE1AE5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1C79DC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5B546931">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20</w:t>
            </w:r>
          </w:p>
        </w:tc>
        <w:tc>
          <w:tcPr>
            <w:tcW w:w="1205" w:type="dxa"/>
            <w:vMerge w:val="restart"/>
            <w:tcBorders>
              <w:top w:val="nil"/>
              <w:left w:val="nil"/>
              <w:bottom w:val="single" w:color="000000" w:sz="8" w:space="0"/>
              <w:right w:val="single" w:color="000000" w:sz="8" w:space="0"/>
            </w:tcBorders>
            <w:shd w:val="clear" w:color="auto" w:fill="auto"/>
            <w:vAlign w:val="center"/>
          </w:tcPr>
          <w:p w14:paraId="5406330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p>
          <w:p w14:paraId="23C6E30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系统管理功能</w:t>
            </w:r>
          </w:p>
        </w:tc>
        <w:tc>
          <w:tcPr>
            <w:tcW w:w="1470" w:type="dxa"/>
            <w:tcBorders>
              <w:top w:val="nil"/>
              <w:left w:val="nil"/>
              <w:bottom w:val="single" w:color="000000" w:sz="8" w:space="0"/>
              <w:right w:val="single" w:color="000000" w:sz="8" w:space="0"/>
            </w:tcBorders>
            <w:shd w:val="clear" w:color="auto" w:fill="auto"/>
            <w:vAlign w:val="center"/>
          </w:tcPr>
          <w:p w14:paraId="0A23EE2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后台用户管理</w:t>
            </w:r>
          </w:p>
        </w:tc>
        <w:tc>
          <w:tcPr>
            <w:tcW w:w="4129" w:type="dxa"/>
            <w:tcBorders>
              <w:top w:val="nil"/>
              <w:left w:val="nil"/>
              <w:bottom w:val="single" w:color="000000" w:sz="8" w:space="0"/>
              <w:right w:val="single" w:color="000000" w:sz="8" w:space="0"/>
            </w:tcBorders>
            <w:shd w:val="clear" w:color="auto" w:fill="auto"/>
            <w:vAlign w:val="center"/>
          </w:tcPr>
          <w:p w14:paraId="268558C5">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服务端后台对用户进行管理，配置管理角色分组，设置后台管理员，与区公安分局内部组织架构同步。</w:t>
            </w:r>
          </w:p>
        </w:tc>
        <w:tc>
          <w:tcPr>
            <w:tcW w:w="1196" w:type="dxa"/>
            <w:tcBorders>
              <w:top w:val="nil"/>
              <w:left w:val="nil"/>
              <w:bottom w:val="single" w:color="000000" w:sz="8" w:space="0"/>
              <w:right w:val="single" w:color="000000" w:sz="8" w:space="0"/>
            </w:tcBorders>
            <w:shd w:val="clear" w:color="auto" w:fill="auto"/>
            <w:noWrap/>
            <w:vAlign w:val="center"/>
          </w:tcPr>
          <w:p w14:paraId="4D3CD92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74401D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5160213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21</w:t>
            </w:r>
          </w:p>
        </w:tc>
        <w:tc>
          <w:tcPr>
            <w:tcW w:w="1205" w:type="dxa"/>
            <w:vMerge w:val="continue"/>
            <w:tcBorders>
              <w:top w:val="nil"/>
              <w:left w:val="nil"/>
              <w:bottom w:val="single" w:color="000000" w:sz="8" w:space="0"/>
              <w:right w:val="single" w:color="000000" w:sz="8" w:space="0"/>
            </w:tcBorders>
            <w:shd w:val="clear" w:color="auto" w:fill="auto"/>
            <w:vAlign w:val="center"/>
          </w:tcPr>
          <w:p w14:paraId="41303E87">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auto"/>
                <w:sz w:val="22"/>
                <w:szCs w:val="22"/>
                <w:highlight w:val="none"/>
                <w:u w:val="none"/>
              </w:rPr>
            </w:pPr>
          </w:p>
        </w:tc>
        <w:tc>
          <w:tcPr>
            <w:tcW w:w="1470" w:type="dxa"/>
            <w:tcBorders>
              <w:top w:val="nil"/>
              <w:left w:val="nil"/>
              <w:bottom w:val="single" w:color="000000" w:sz="8" w:space="0"/>
              <w:right w:val="single" w:color="000000" w:sz="8" w:space="0"/>
            </w:tcBorders>
            <w:shd w:val="clear" w:color="auto" w:fill="auto"/>
            <w:vAlign w:val="center"/>
          </w:tcPr>
          <w:p w14:paraId="486709B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后台用户权限管理</w:t>
            </w:r>
          </w:p>
        </w:tc>
        <w:tc>
          <w:tcPr>
            <w:tcW w:w="4129" w:type="dxa"/>
            <w:tcBorders>
              <w:top w:val="nil"/>
              <w:left w:val="nil"/>
              <w:bottom w:val="single" w:color="000000" w:sz="8" w:space="0"/>
              <w:right w:val="single" w:color="000000" w:sz="8" w:space="0"/>
            </w:tcBorders>
            <w:shd w:val="clear" w:color="auto" w:fill="auto"/>
            <w:vAlign w:val="center"/>
          </w:tcPr>
          <w:p w14:paraId="6BD86807">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可根据管理角色分组设置管理权限，根据RBAC原则进行权限分配设置。</w:t>
            </w:r>
          </w:p>
        </w:tc>
        <w:tc>
          <w:tcPr>
            <w:tcW w:w="1196" w:type="dxa"/>
            <w:tcBorders>
              <w:top w:val="nil"/>
              <w:left w:val="nil"/>
              <w:bottom w:val="single" w:color="000000" w:sz="8" w:space="0"/>
              <w:right w:val="single" w:color="000000" w:sz="8" w:space="0"/>
            </w:tcBorders>
            <w:shd w:val="clear" w:color="auto" w:fill="auto"/>
            <w:noWrap/>
            <w:vAlign w:val="center"/>
          </w:tcPr>
          <w:p w14:paraId="2F09935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247959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0574B2B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22</w:t>
            </w:r>
          </w:p>
        </w:tc>
        <w:tc>
          <w:tcPr>
            <w:tcW w:w="1205" w:type="dxa"/>
            <w:vMerge w:val="continue"/>
            <w:tcBorders>
              <w:top w:val="nil"/>
              <w:left w:val="nil"/>
              <w:bottom w:val="single" w:color="000000" w:sz="8" w:space="0"/>
              <w:right w:val="single" w:color="000000" w:sz="8" w:space="0"/>
            </w:tcBorders>
            <w:shd w:val="clear" w:color="auto" w:fill="auto"/>
            <w:vAlign w:val="center"/>
          </w:tcPr>
          <w:p w14:paraId="1D709E74">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auto"/>
                <w:sz w:val="22"/>
                <w:szCs w:val="22"/>
                <w:highlight w:val="none"/>
                <w:u w:val="none"/>
              </w:rPr>
            </w:pPr>
          </w:p>
        </w:tc>
        <w:tc>
          <w:tcPr>
            <w:tcW w:w="1470" w:type="dxa"/>
            <w:tcBorders>
              <w:top w:val="nil"/>
              <w:left w:val="nil"/>
              <w:bottom w:val="single" w:color="000000" w:sz="8" w:space="0"/>
              <w:right w:val="single" w:color="000000" w:sz="8" w:space="0"/>
            </w:tcBorders>
            <w:shd w:val="clear" w:color="auto" w:fill="auto"/>
            <w:vAlign w:val="center"/>
          </w:tcPr>
          <w:p w14:paraId="2F9F798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后台部门管理</w:t>
            </w:r>
          </w:p>
        </w:tc>
        <w:tc>
          <w:tcPr>
            <w:tcW w:w="4129" w:type="dxa"/>
            <w:tcBorders>
              <w:top w:val="nil"/>
              <w:left w:val="nil"/>
              <w:bottom w:val="single" w:color="000000" w:sz="8" w:space="0"/>
              <w:right w:val="single" w:color="000000" w:sz="8" w:space="0"/>
            </w:tcBorders>
            <w:shd w:val="clear" w:color="auto" w:fill="auto"/>
            <w:vAlign w:val="center"/>
          </w:tcPr>
          <w:p w14:paraId="7532E07D">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服务端后台对部门进行管理，与区公安分局内部组织架构同步。</w:t>
            </w:r>
          </w:p>
          <w:p w14:paraId="14F083AD">
            <w:pPr>
              <w:spacing w:line="360" w:lineRule="auto"/>
              <w:rPr>
                <w:rFonts w:hint="eastAsia" w:ascii="宋体" w:hAnsi="宋体" w:eastAsia="宋体" w:cs="宋体"/>
                <w:color w:val="auto"/>
                <w:sz w:val="22"/>
                <w:szCs w:val="28"/>
                <w:highlight w:val="none"/>
              </w:rPr>
            </w:pPr>
            <w:r>
              <w:rPr>
                <w:rFonts w:hint="eastAsia" w:ascii="宋体" w:hAnsi="宋体" w:eastAsia="宋体" w:cs="宋体"/>
                <w:i w:val="0"/>
                <w:iCs w:val="0"/>
                <w:color w:val="auto"/>
                <w:kern w:val="0"/>
                <w:sz w:val="22"/>
                <w:szCs w:val="22"/>
                <w:highlight w:val="none"/>
                <w:u w:val="none"/>
                <w:lang w:val="en-US" w:eastAsia="zh-CN" w:bidi="ar"/>
              </w:rPr>
              <w:t>支持配置部门负责账号、部门负责数据源类型。</w:t>
            </w:r>
          </w:p>
        </w:tc>
        <w:tc>
          <w:tcPr>
            <w:tcW w:w="1196" w:type="dxa"/>
            <w:tcBorders>
              <w:top w:val="nil"/>
              <w:left w:val="nil"/>
              <w:bottom w:val="single" w:color="000000" w:sz="8" w:space="0"/>
              <w:right w:val="single" w:color="000000" w:sz="8" w:space="0"/>
            </w:tcBorders>
            <w:shd w:val="clear" w:color="auto" w:fill="auto"/>
            <w:noWrap/>
            <w:vAlign w:val="center"/>
          </w:tcPr>
          <w:p w14:paraId="4B427EB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7A1DEB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529CD09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23</w:t>
            </w:r>
          </w:p>
        </w:tc>
        <w:tc>
          <w:tcPr>
            <w:tcW w:w="1205" w:type="dxa"/>
            <w:vMerge w:val="continue"/>
            <w:tcBorders>
              <w:top w:val="nil"/>
              <w:left w:val="nil"/>
              <w:bottom w:val="single" w:color="000000" w:sz="8" w:space="0"/>
              <w:right w:val="single" w:color="000000" w:sz="8" w:space="0"/>
            </w:tcBorders>
            <w:shd w:val="clear" w:color="auto" w:fill="auto"/>
            <w:vAlign w:val="center"/>
          </w:tcPr>
          <w:p w14:paraId="0D2D9D04">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auto"/>
                <w:sz w:val="22"/>
                <w:szCs w:val="22"/>
                <w:highlight w:val="none"/>
                <w:u w:val="none"/>
              </w:rPr>
            </w:pPr>
          </w:p>
        </w:tc>
        <w:tc>
          <w:tcPr>
            <w:tcW w:w="1470" w:type="dxa"/>
            <w:tcBorders>
              <w:top w:val="nil"/>
              <w:left w:val="nil"/>
              <w:bottom w:val="single" w:color="000000" w:sz="8" w:space="0"/>
              <w:right w:val="single" w:color="000000" w:sz="8" w:space="0"/>
            </w:tcBorders>
            <w:shd w:val="clear" w:color="auto" w:fill="auto"/>
            <w:vAlign w:val="center"/>
          </w:tcPr>
          <w:p w14:paraId="78192BA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标签管理</w:t>
            </w:r>
          </w:p>
        </w:tc>
        <w:tc>
          <w:tcPr>
            <w:tcW w:w="4129" w:type="dxa"/>
            <w:tcBorders>
              <w:top w:val="nil"/>
              <w:left w:val="nil"/>
              <w:bottom w:val="single" w:color="000000" w:sz="8" w:space="0"/>
              <w:right w:val="single" w:color="000000" w:sz="8" w:space="0"/>
            </w:tcBorders>
            <w:shd w:val="clear" w:color="auto" w:fill="auto"/>
            <w:vAlign w:val="center"/>
          </w:tcPr>
          <w:p w14:paraId="6B776A98">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支持溯源类型、问题类型、措施类型等标签类数据在管理端编辑管理。</w:t>
            </w:r>
          </w:p>
        </w:tc>
        <w:tc>
          <w:tcPr>
            <w:tcW w:w="1196" w:type="dxa"/>
            <w:tcBorders>
              <w:top w:val="nil"/>
              <w:left w:val="nil"/>
              <w:bottom w:val="single" w:color="000000" w:sz="8" w:space="0"/>
              <w:right w:val="single" w:color="000000" w:sz="8" w:space="0"/>
            </w:tcBorders>
            <w:shd w:val="clear" w:color="auto" w:fill="auto"/>
            <w:noWrap/>
            <w:vAlign w:val="center"/>
          </w:tcPr>
          <w:p w14:paraId="530EC64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255496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nil"/>
              <w:left w:val="single" w:color="000000" w:sz="8" w:space="0"/>
              <w:bottom w:val="single" w:color="000000" w:sz="8" w:space="0"/>
              <w:right w:val="single" w:color="000000" w:sz="8" w:space="0"/>
            </w:tcBorders>
            <w:shd w:val="clear" w:color="auto" w:fill="auto"/>
            <w:noWrap/>
            <w:vAlign w:val="center"/>
          </w:tcPr>
          <w:p w14:paraId="229DCF4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lang w:val="en-US"/>
              </w:rPr>
            </w:pPr>
            <w:r>
              <w:rPr>
                <w:rFonts w:hint="eastAsia" w:ascii="宋体" w:hAnsi="宋体" w:eastAsia="宋体" w:cs="宋体"/>
                <w:i w:val="0"/>
                <w:iCs w:val="0"/>
                <w:color w:val="auto"/>
                <w:kern w:val="0"/>
                <w:sz w:val="22"/>
                <w:szCs w:val="22"/>
                <w:highlight w:val="none"/>
                <w:u w:val="none"/>
                <w:lang w:val="en-US" w:eastAsia="zh-CN" w:bidi="ar"/>
              </w:rPr>
              <w:t>24</w:t>
            </w:r>
          </w:p>
        </w:tc>
        <w:tc>
          <w:tcPr>
            <w:tcW w:w="1205" w:type="dxa"/>
            <w:vMerge w:val="continue"/>
            <w:tcBorders>
              <w:top w:val="nil"/>
              <w:left w:val="nil"/>
              <w:bottom w:val="single" w:color="000000" w:sz="8" w:space="0"/>
              <w:right w:val="single" w:color="000000" w:sz="8" w:space="0"/>
            </w:tcBorders>
            <w:shd w:val="clear" w:color="auto" w:fill="auto"/>
            <w:vAlign w:val="center"/>
          </w:tcPr>
          <w:p w14:paraId="6822DFB7">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i w:val="0"/>
                <w:iCs w:val="0"/>
                <w:color w:val="auto"/>
                <w:sz w:val="22"/>
                <w:szCs w:val="22"/>
                <w:highlight w:val="none"/>
                <w:u w:val="none"/>
              </w:rPr>
            </w:pPr>
          </w:p>
        </w:tc>
        <w:tc>
          <w:tcPr>
            <w:tcW w:w="1470" w:type="dxa"/>
            <w:tcBorders>
              <w:top w:val="nil"/>
              <w:left w:val="nil"/>
              <w:bottom w:val="single" w:color="000000" w:sz="8" w:space="0"/>
              <w:right w:val="single" w:color="000000" w:sz="8" w:space="0"/>
            </w:tcBorders>
            <w:shd w:val="clear" w:color="auto" w:fill="auto"/>
            <w:vAlign w:val="center"/>
          </w:tcPr>
          <w:p w14:paraId="02CB96E0">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组织架构、数字证书等三方系统对接</w:t>
            </w:r>
          </w:p>
        </w:tc>
        <w:tc>
          <w:tcPr>
            <w:tcW w:w="4129" w:type="dxa"/>
            <w:tcBorders>
              <w:top w:val="nil"/>
              <w:left w:val="nil"/>
              <w:bottom w:val="single" w:color="000000" w:sz="8" w:space="0"/>
              <w:right w:val="single" w:color="000000" w:sz="8" w:space="0"/>
            </w:tcBorders>
            <w:shd w:val="clear" w:color="auto" w:fill="auto"/>
            <w:vAlign w:val="center"/>
          </w:tcPr>
          <w:p w14:paraId="762425E0">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包括区公安分局内部组织架构接口、浙政钉业务接口等三方对接，实现用户数据、部门数据表周期性更新同步。</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接入公安数字证书鉴权，实现登录页面通过数字证书进行鉴权登录。</w:t>
            </w:r>
          </w:p>
        </w:tc>
        <w:tc>
          <w:tcPr>
            <w:tcW w:w="1196" w:type="dxa"/>
            <w:tcBorders>
              <w:top w:val="nil"/>
              <w:left w:val="nil"/>
              <w:bottom w:val="single" w:color="000000" w:sz="8" w:space="0"/>
              <w:right w:val="single" w:color="000000" w:sz="8" w:space="0"/>
            </w:tcBorders>
            <w:shd w:val="clear" w:color="auto" w:fill="auto"/>
            <w:noWrap/>
            <w:vAlign w:val="center"/>
          </w:tcPr>
          <w:p w14:paraId="1A9C6D5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1B3A51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9031" w:type="dxa"/>
            <w:gridSpan w:val="5"/>
            <w:tcBorders>
              <w:top w:val="single" w:color="000000" w:sz="8" w:space="0"/>
              <w:left w:val="single" w:color="000000" w:sz="8" w:space="0"/>
              <w:bottom w:val="single" w:color="000000" w:sz="8" w:space="0"/>
              <w:right w:val="single" w:color="000000" w:sz="8" w:space="0"/>
            </w:tcBorders>
            <w:shd w:val="clear" w:color="auto" w:fill="auto"/>
            <w:noWrap/>
            <w:vAlign w:val="center"/>
          </w:tcPr>
          <w:p w14:paraId="5490556B">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b/>
                <w:bCs/>
                <w:i w:val="0"/>
                <w:iCs w:val="0"/>
                <w:color w:val="auto"/>
                <w:sz w:val="22"/>
                <w:szCs w:val="22"/>
                <w:highlight w:val="none"/>
                <w:u w:val="none"/>
              </w:rPr>
            </w:pPr>
            <w:r>
              <w:rPr>
                <w:rFonts w:hint="eastAsia" w:ascii="宋体" w:hAnsi="宋体" w:eastAsia="宋体" w:cs="宋体"/>
                <w:b/>
                <w:bCs/>
                <w:i w:val="0"/>
                <w:iCs w:val="0"/>
                <w:color w:val="auto"/>
                <w:kern w:val="0"/>
                <w:sz w:val="22"/>
                <w:szCs w:val="22"/>
                <w:highlight w:val="none"/>
                <w:u w:val="none"/>
                <w:lang w:val="en-US" w:eastAsia="zh-CN" w:bidi="ar"/>
              </w:rPr>
              <w:t>二、安全保障体系</w:t>
            </w:r>
          </w:p>
        </w:tc>
      </w:tr>
      <w:tr w14:paraId="17E161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single" w:color="000000" w:sz="8" w:space="0"/>
              <w:left w:val="single" w:color="000000" w:sz="8" w:space="0"/>
              <w:bottom w:val="single" w:color="000000" w:sz="8" w:space="0"/>
              <w:right w:val="nil"/>
            </w:tcBorders>
            <w:shd w:val="clear" w:color="auto" w:fill="auto"/>
            <w:noWrap/>
            <w:vAlign w:val="center"/>
          </w:tcPr>
          <w:p w14:paraId="55DD4B9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26</w:t>
            </w:r>
          </w:p>
        </w:tc>
        <w:tc>
          <w:tcPr>
            <w:tcW w:w="1205"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26D46ED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二级等保</w:t>
            </w:r>
          </w:p>
        </w:tc>
        <w:tc>
          <w:tcPr>
            <w:tcW w:w="1470" w:type="dxa"/>
            <w:tcBorders>
              <w:top w:val="single" w:color="000000" w:sz="8" w:space="0"/>
              <w:left w:val="nil"/>
              <w:bottom w:val="single" w:color="000000" w:sz="8" w:space="0"/>
              <w:right w:val="nil"/>
            </w:tcBorders>
            <w:shd w:val="clear" w:color="auto" w:fill="auto"/>
            <w:noWrap/>
            <w:vAlign w:val="center"/>
          </w:tcPr>
          <w:p w14:paraId="330A555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lang w:val="en-US"/>
              </w:rPr>
            </w:pPr>
            <w:r>
              <w:rPr>
                <w:rFonts w:hint="eastAsia" w:ascii="宋体" w:hAnsi="宋体" w:eastAsia="宋体" w:cs="宋体"/>
                <w:i w:val="0"/>
                <w:iCs w:val="0"/>
                <w:color w:val="auto"/>
                <w:kern w:val="0"/>
                <w:sz w:val="22"/>
                <w:szCs w:val="22"/>
                <w:highlight w:val="none"/>
                <w:u w:val="none"/>
                <w:lang w:val="en-US" w:eastAsia="zh-CN" w:bidi="ar"/>
              </w:rPr>
              <w:t>二级等保测评</w:t>
            </w:r>
          </w:p>
        </w:tc>
        <w:tc>
          <w:tcPr>
            <w:tcW w:w="4129" w:type="dxa"/>
            <w:tcBorders>
              <w:top w:val="single" w:color="000000" w:sz="8" w:space="0"/>
              <w:left w:val="single" w:color="000000" w:sz="8" w:space="0"/>
              <w:bottom w:val="single" w:color="000000" w:sz="8" w:space="0"/>
              <w:right w:val="single" w:color="auto" w:sz="4" w:space="0"/>
            </w:tcBorders>
            <w:shd w:val="clear" w:color="auto" w:fill="auto"/>
            <w:noWrap/>
            <w:vAlign w:val="center"/>
          </w:tcPr>
          <w:p w14:paraId="18613DD6">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二级等保测评服务。</w:t>
            </w:r>
          </w:p>
        </w:tc>
        <w:tc>
          <w:tcPr>
            <w:tcW w:w="119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238767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1套</w:t>
            </w:r>
          </w:p>
        </w:tc>
      </w:tr>
      <w:tr w14:paraId="46BB9E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9031" w:type="dxa"/>
            <w:gridSpan w:val="5"/>
            <w:tcBorders>
              <w:top w:val="single" w:color="000000" w:sz="8" w:space="0"/>
              <w:left w:val="single" w:color="000000" w:sz="8" w:space="0"/>
              <w:bottom w:val="single" w:color="000000" w:sz="8" w:space="0"/>
              <w:right w:val="single" w:color="auto" w:sz="4" w:space="0"/>
            </w:tcBorders>
            <w:shd w:val="clear" w:color="auto" w:fill="auto"/>
            <w:noWrap/>
            <w:vAlign w:val="center"/>
          </w:tcPr>
          <w:p w14:paraId="514EBA0C">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b/>
                <w:bCs/>
                <w:i w:val="0"/>
                <w:iCs w:val="0"/>
                <w:color w:val="auto"/>
                <w:kern w:val="0"/>
                <w:sz w:val="22"/>
                <w:szCs w:val="22"/>
                <w:highlight w:val="none"/>
                <w:u w:val="none"/>
                <w:lang w:val="en-US" w:eastAsia="zh-CN" w:bidi="ar"/>
              </w:rPr>
            </w:pPr>
            <w:r>
              <w:rPr>
                <w:rFonts w:hint="eastAsia" w:ascii="宋体" w:hAnsi="宋体" w:eastAsia="宋体" w:cs="宋体"/>
                <w:b/>
                <w:bCs/>
                <w:i w:val="0"/>
                <w:iCs w:val="0"/>
                <w:color w:val="auto"/>
                <w:kern w:val="0"/>
                <w:sz w:val="22"/>
                <w:szCs w:val="22"/>
                <w:highlight w:val="none"/>
                <w:u w:val="none"/>
                <w:lang w:val="en-US" w:eastAsia="zh-CN" w:bidi="ar"/>
              </w:rPr>
              <w:t>三、其他</w:t>
            </w:r>
          </w:p>
        </w:tc>
      </w:tr>
      <w:tr w14:paraId="7AAD11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single" w:color="000000" w:sz="8" w:space="0"/>
              <w:left w:val="single" w:color="000000" w:sz="8" w:space="0"/>
              <w:bottom w:val="single" w:color="000000" w:sz="8" w:space="0"/>
              <w:right w:val="nil"/>
            </w:tcBorders>
            <w:shd w:val="clear" w:color="auto" w:fill="auto"/>
            <w:noWrap/>
            <w:vAlign w:val="center"/>
          </w:tcPr>
          <w:p w14:paraId="247A235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27</w:t>
            </w:r>
          </w:p>
        </w:tc>
        <w:tc>
          <w:tcPr>
            <w:tcW w:w="1205"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25AB8673">
            <w:pPr>
              <w:keepNext w:val="0"/>
              <w:keepLines w:val="0"/>
              <w:widowControl/>
              <w:suppressLineNumbers w:val="0"/>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eastAsia="zh-CN" w:bidi="ar"/>
              </w:rPr>
              <w:t>运维及服务</w:t>
            </w:r>
          </w:p>
        </w:tc>
        <w:tc>
          <w:tcPr>
            <w:tcW w:w="1470" w:type="dxa"/>
            <w:tcBorders>
              <w:top w:val="single" w:color="000000" w:sz="8" w:space="0"/>
              <w:left w:val="nil"/>
              <w:bottom w:val="single" w:color="000000" w:sz="8" w:space="0"/>
              <w:right w:val="nil"/>
            </w:tcBorders>
            <w:shd w:val="clear" w:color="auto" w:fill="auto"/>
            <w:noWrap/>
            <w:vAlign w:val="center"/>
          </w:tcPr>
          <w:p w14:paraId="74EAFB4D">
            <w:pPr>
              <w:keepNext w:val="0"/>
              <w:keepLines w:val="0"/>
              <w:widowControl/>
              <w:suppressLineNumbers w:val="0"/>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eastAsia="zh-CN" w:bidi="ar"/>
              </w:rPr>
              <w:t>运维服务费用</w:t>
            </w:r>
          </w:p>
        </w:tc>
        <w:tc>
          <w:tcPr>
            <w:tcW w:w="4129" w:type="dxa"/>
            <w:tcBorders>
              <w:top w:val="single" w:color="000000" w:sz="8" w:space="0"/>
              <w:left w:val="single" w:color="000000" w:sz="8" w:space="0"/>
              <w:bottom w:val="single" w:color="000000" w:sz="8" w:space="0"/>
              <w:right w:val="single" w:color="auto" w:sz="4" w:space="0"/>
            </w:tcBorders>
            <w:shd w:val="clear" w:color="auto" w:fill="auto"/>
            <w:noWrap/>
            <w:vAlign w:val="center"/>
          </w:tcPr>
          <w:p w14:paraId="12F19EA3">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color w:val="auto"/>
                <w:kern w:val="2"/>
                <w:sz w:val="22"/>
                <w:szCs w:val="22"/>
                <w:highlight w:val="none"/>
                <w:lang w:eastAsia="zh-CN" w:bidi="ar"/>
              </w:rPr>
              <w:t>项目终验</w:t>
            </w:r>
            <w:r>
              <w:rPr>
                <w:rFonts w:hint="eastAsia" w:ascii="宋体" w:hAnsi="宋体" w:eastAsia="宋体" w:cs="宋体"/>
                <w:color w:val="auto"/>
                <w:kern w:val="2"/>
                <w:sz w:val="22"/>
                <w:szCs w:val="22"/>
                <w:highlight w:val="none"/>
                <w:lang w:val="en-US" w:eastAsia="zh-CN" w:bidi="ar"/>
              </w:rPr>
              <w:t>通过后，</w:t>
            </w:r>
            <w:r>
              <w:rPr>
                <w:rFonts w:hint="eastAsia" w:ascii="宋体" w:hAnsi="宋体" w:eastAsia="宋体" w:cs="宋体"/>
                <w:color w:val="auto"/>
                <w:kern w:val="2"/>
                <w:sz w:val="22"/>
                <w:szCs w:val="22"/>
                <w:highlight w:val="none"/>
                <w:lang w:eastAsia="zh-CN" w:bidi="ar"/>
              </w:rPr>
              <w:t>提供</w:t>
            </w:r>
            <w:r>
              <w:rPr>
                <w:rFonts w:hint="eastAsia" w:ascii="宋体" w:hAnsi="宋体" w:eastAsia="宋体" w:cs="宋体"/>
                <w:color w:val="auto"/>
                <w:kern w:val="2"/>
                <w:sz w:val="22"/>
                <w:szCs w:val="22"/>
                <w:highlight w:val="none"/>
                <w:lang w:val="en-US" w:eastAsia="zh-CN" w:bidi="ar"/>
              </w:rPr>
              <w:t>三年免费运维</w:t>
            </w:r>
            <w:r>
              <w:rPr>
                <w:rFonts w:hint="eastAsia" w:ascii="宋体" w:hAnsi="宋体" w:eastAsia="宋体" w:cs="宋体"/>
                <w:color w:val="auto"/>
                <w:kern w:val="2"/>
                <w:sz w:val="22"/>
                <w:szCs w:val="22"/>
                <w:highlight w:val="none"/>
                <w:lang w:eastAsia="zh-CN" w:bidi="ar"/>
              </w:rPr>
              <w:t>服务。</w:t>
            </w:r>
          </w:p>
        </w:tc>
        <w:tc>
          <w:tcPr>
            <w:tcW w:w="119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249770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1套</w:t>
            </w:r>
          </w:p>
        </w:tc>
      </w:tr>
      <w:tr w14:paraId="2A24B6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1031" w:type="dxa"/>
            <w:tcBorders>
              <w:top w:val="single" w:color="000000" w:sz="8" w:space="0"/>
              <w:left w:val="single" w:color="000000" w:sz="8" w:space="0"/>
              <w:bottom w:val="single" w:color="000000" w:sz="8" w:space="0"/>
              <w:right w:val="nil"/>
            </w:tcBorders>
            <w:shd w:val="clear" w:color="auto" w:fill="auto"/>
            <w:noWrap/>
            <w:vAlign w:val="center"/>
          </w:tcPr>
          <w:p w14:paraId="2519995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28</w:t>
            </w:r>
          </w:p>
        </w:tc>
        <w:tc>
          <w:tcPr>
            <w:tcW w:w="1205"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31CEAC78">
            <w:pPr>
              <w:keepNext w:val="0"/>
              <w:keepLines w:val="0"/>
              <w:widowControl/>
              <w:suppressLineNumbers w:val="0"/>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第三方测评</w:t>
            </w:r>
          </w:p>
        </w:tc>
        <w:tc>
          <w:tcPr>
            <w:tcW w:w="1470" w:type="dxa"/>
            <w:tcBorders>
              <w:top w:val="single" w:color="000000" w:sz="8" w:space="0"/>
              <w:left w:val="nil"/>
              <w:bottom w:val="single" w:color="000000" w:sz="8" w:space="0"/>
              <w:right w:val="nil"/>
            </w:tcBorders>
            <w:shd w:val="clear" w:color="auto" w:fill="auto"/>
            <w:noWrap/>
            <w:vAlign w:val="center"/>
          </w:tcPr>
          <w:p w14:paraId="7A32B352">
            <w:pPr>
              <w:keepNext w:val="0"/>
              <w:keepLines w:val="0"/>
              <w:widowControl/>
              <w:suppressLineNumbers w:val="0"/>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第三方测评</w:t>
            </w:r>
          </w:p>
        </w:tc>
        <w:tc>
          <w:tcPr>
            <w:tcW w:w="4129" w:type="dxa"/>
            <w:tcBorders>
              <w:top w:val="single" w:color="000000" w:sz="8" w:space="0"/>
              <w:left w:val="single" w:color="000000" w:sz="8" w:space="0"/>
              <w:bottom w:val="single" w:color="000000" w:sz="8" w:space="0"/>
              <w:right w:val="single" w:color="auto" w:sz="4" w:space="0"/>
            </w:tcBorders>
            <w:shd w:val="clear" w:color="auto" w:fill="auto"/>
            <w:noWrap/>
            <w:vAlign w:val="center"/>
          </w:tcPr>
          <w:p w14:paraId="24E777C5">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宋体" w:hAnsi="宋体" w:eastAsia="宋体" w:cs="宋体"/>
                <w:color w:val="auto"/>
                <w:kern w:val="2"/>
                <w:sz w:val="22"/>
                <w:szCs w:val="22"/>
                <w:highlight w:val="none"/>
                <w:lang w:val="en-US" w:eastAsia="zh-CN" w:bidi="ar"/>
              </w:rPr>
            </w:pPr>
            <w:r>
              <w:rPr>
                <w:rFonts w:hint="eastAsia" w:ascii="宋体" w:hAnsi="宋体" w:eastAsia="宋体" w:cs="宋体"/>
                <w:color w:val="auto"/>
                <w:sz w:val="22"/>
                <w:szCs w:val="22"/>
                <w:highlight w:val="none"/>
                <w:lang w:val="en-US" w:eastAsia="zh-CN" w:bidi="ar"/>
              </w:rPr>
              <w:t>对定制开发</w:t>
            </w:r>
            <w:r>
              <w:rPr>
                <w:rFonts w:hint="eastAsia" w:ascii="宋体" w:hAnsi="宋体" w:eastAsia="宋体" w:cs="宋体"/>
                <w:color w:val="auto"/>
                <w:sz w:val="22"/>
                <w:szCs w:val="22"/>
                <w:highlight w:val="none"/>
                <w:lang w:bidi="ar"/>
              </w:rPr>
              <w:t>软件</w:t>
            </w:r>
            <w:r>
              <w:rPr>
                <w:rFonts w:hint="eastAsia" w:ascii="宋体" w:hAnsi="宋体" w:eastAsia="宋体" w:cs="宋体"/>
                <w:color w:val="auto"/>
                <w:sz w:val="22"/>
                <w:szCs w:val="22"/>
                <w:highlight w:val="none"/>
                <w:lang w:val="en-US" w:eastAsia="zh-CN" w:bidi="ar"/>
              </w:rPr>
              <w:t>进行功能</w:t>
            </w:r>
            <w:r>
              <w:rPr>
                <w:rFonts w:hint="eastAsia" w:ascii="宋体" w:hAnsi="宋体" w:eastAsia="宋体" w:cs="宋体"/>
                <w:color w:val="auto"/>
                <w:sz w:val="22"/>
                <w:szCs w:val="22"/>
                <w:highlight w:val="none"/>
                <w:lang w:bidi="ar"/>
              </w:rPr>
              <w:t>测评</w:t>
            </w:r>
            <w:r>
              <w:rPr>
                <w:rFonts w:hint="eastAsia" w:ascii="宋体" w:hAnsi="宋体" w:eastAsia="宋体" w:cs="宋体"/>
                <w:color w:val="auto"/>
                <w:sz w:val="22"/>
                <w:szCs w:val="22"/>
                <w:highlight w:val="none"/>
                <w:lang w:eastAsia="zh-CN" w:bidi="ar"/>
              </w:rPr>
              <w:t>、</w:t>
            </w:r>
            <w:r>
              <w:rPr>
                <w:rFonts w:hint="eastAsia" w:ascii="宋体" w:hAnsi="宋体" w:eastAsia="宋体" w:cs="宋体"/>
                <w:color w:val="auto"/>
                <w:sz w:val="22"/>
                <w:szCs w:val="22"/>
                <w:highlight w:val="none"/>
                <w:lang w:val="en-US" w:eastAsia="zh-CN" w:bidi="ar"/>
              </w:rPr>
              <w:t>性能测评。</w:t>
            </w:r>
          </w:p>
        </w:tc>
        <w:tc>
          <w:tcPr>
            <w:tcW w:w="119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72483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1套</w:t>
            </w:r>
          </w:p>
        </w:tc>
      </w:tr>
    </w:tbl>
    <w:p w14:paraId="6147A89D">
      <w:pPr>
        <w:rPr>
          <w:rFonts w:hint="eastAsia" w:ascii="宋体" w:hAnsi="宋体" w:eastAsia="宋体" w:cs="宋体"/>
          <w:b/>
          <w:bCs/>
          <w:color w:val="auto"/>
          <w:sz w:val="24"/>
          <w:szCs w:val="32"/>
          <w:highlight w:val="none"/>
          <w:u w:val="single"/>
          <w:lang w:val="en-US" w:eastAsia="zh-CN"/>
        </w:rPr>
      </w:pPr>
      <w:r>
        <w:rPr>
          <w:rFonts w:hint="eastAsia" w:ascii="宋体" w:hAnsi="宋体" w:eastAsia="宋体" w:cs="宋体"/>
          <w:b/>
          <w:bCs/>
          <w:color w:val="auto"/>
          <w:sz w:val="24"/>
          <w:szCs w:val="32"/>
          <w:highlight w:val="none"/>
          <w:u w:val="single"/>
        </w:rPr>
        <w:t>▲</w:t>
      </w:r>
      <w:r>
        <w:rPr>
          <w:rFonts w:hint="eastAsia" w:ascii="宋体" w:hAnsi="宋体" w:eastAsia="宋体" w:cs="宋体"/>
          <w:b/>
          <w:bCs/>
          <w:color w:val="auto"/>
          <w:sz w:val="24"/>
          <w:szCs w:val="32"/>
          <w:highlight w:val="none"/>
          <w:u w:val="single"/>
          <w:lang w:val="en-US" w:eastAsia="zh-CN"/>
        </w:rPr>
        <w:t>以上采购清单以及技术要求需全部满足。</w:t>
      </w:r>
    </w:p>
    <w:p w14:paraId="647B16A4">
      <w:pPr>
        <w:tabs>
          <w:tab w:val="left" w:pos="9135"/>
        </w:tabs>
        <w:snapToGrid w:val="0"/>
        <w:spacing w:line="460" w:lineRule="exact"/>
        <w:ind w:firstLine="442" w:firstLineChars="200"/>
        <w:outlineLvl w:val="1"/>
        <w:rPr>
          <w:rFonts w:hint="eastAsia" w:ascii="宋体" w:hAnsi="宋体" w:eastAsia="宋体" w:cs="宋体"/>
          <w:b/>
          <w:color w:val="auto"/>
          <w:kern w:val="0"/>
          <w:sz w:val="22"/>
          <w:szCs w:val="22"/>
          <w:highlight w:val="none"/>
          <w:lang w:val="en-US" w:eastAsia="zh-CN" w:bidi="ar-SA"/>
        </w:rPr>
      </w:pPr>
      <w:r>
        <w:rPr>
          <w:rFonts w:hint="eastAsia" w:ascii="宋体" w:hAnsi="宋体" w:cs="宋体"/>
          <w:b/>
          <w:color w:val="auto"/>
          <w:kern w:val="0"/>
          <w:sz w:val="22"/>
          <w:szCs w:val="22"/>
          <w:highlight w:val="none"/>
          <w:lang w:val="en-US" w:eastAsia="zh-CN" w:bidi="ar-SA"/>
        </w:rPr>
        <w:t>四</w:t>
      </w:r>
      <w:r>
        <w:rPr>
          <w:rFonts w:hint="eastAsia" w:ascii="宋体" w:hAnsi="宋体" w:eastAsia="宋体" w:cs="宋体"/>
          <w:b/>
          <w:color w:val="auto"/>
          <w:kern w:val="0"/>
          <w:sz w:val="22"/>
          <w:szCs w:val="22"/>
          <w:highlight w:val="none"/>
          <w:lang w:val="en-US" w:eastAsia="zh-CN" w:bidi="ar-SA"/>
        </w:rPr>
        <w:t>、商务要求</w:t>
      </w:r>
    </w:p>
    <w:p w14:paraId="029FA286">
      <w:pPr>
        <w:snapToGrid w:val="0"/>
        <w:spacing w:line="460" w:lineRule="exact"/>
        <w:ind w:firstLine="440" w:firstLineChars="200"/>
        <w:outlineLvl w:val="0"/>
        <w:rPr>
          <w:rFonts w:ascii="宋体" w:hAnsi="宋体"/>
          <w:color w:val="auto"/>
          <w:sz w:val="22"/>
          <w:szCs w:val="22"/>
          <w:highlight w:val="none"/>
        </w:rPr>
      </w:pPr>
      <w:r>
        <w:rPr>
          <w:rFonts w:hint="eastAsia" w:ascii="宋体" w:hAnsi="宋体"/>
          <w:color w:val="auto"/>
          <w:sz w:val="22"/>
          <w:szCs w:val="22"/>
          <w:highlight w:val="none"/>
          <w:lang w:eastAsia="zh-CN"/>
        </w:rPr>
        <w:t>（</w:t>
      </w:r>
      <w:r>
        <w:rPr>
          <w:rFonts w:hint="eastAsia" w:ascii="宋体" w:hAnsi="宋体"/>
          <w:color w:val="auto"/>
          <w:sz w:val="22"/>
          <w:szCs w:val="22"/>
          <w:highlight w:val="none"/>
          <w:lang w:val="en-US" w:eastAsia="zh-CN"/>
        </w:rPr>
        <w:t>一</w:t>
      </w:r>
      <w:r>
        <w:rPr>
          <w:rFonts w:hint="eastAsia" w:ascii="宋体" w:hAnsi="宋体"/>
          <w:color w:val="auto"/>
          <w:sz w:val="22"/>
          <w:szCs w:val="22"/>
          <w:highlight w:val="none"/>
          <w:lang w:eastAsia="zh-CN"/>
        </w:rPr>
        <w:t>）</w:t>
      </w:r>
      <w:r>
        <w:rPr>
          <w:rFonts w:hint="eastAsia" w:ascii="宋体" w:hAnsi="宋体"/>
          <w:color w:val="auto"/>
          <w:sz w:val="22"/>
          <w:szCs w:val="22"/>
          <w:highlight w:val="none"/>
        </w:rPr>
        <w:t>安装、调试及上线</w:t>
      </w:r>
    </w:p>
    <w:p w14:paraId="2482EE44">
      <w:pPr>
        <w:snapToGrid w:val="0"/>
        <w:spacing w:line="46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1、成交供应商负责</w:t>
      </w:r>
      <w:r>
        <w:rPr>
          <w:rFonts w:hint="eastAsia" w:ascii="宋体" w:hAnsi="宋体"/>
          <w:color w:val="auto"/>
          <w:sz w:val="22"/>
          <w:szCs w:val="22"/>
          <w:highlight w:val="none"/>
          <w:lang w:val="en-US" w:eastAsia="zh-CN"/>
        </w:rPr>
        <w:t>工作平台</w:t>
      </w:r>
      <w:r>
        <w:rPr>
          <w:rFonts w:hint="eastAsia" w:ascii="宋体" w:hAnsi="宋体"/>
          <w:color w:val="auto"/>
          <w:sz w:val="22"/>
          <w:szCs w:val="22"/>
          <w:highlight w:val="none"/>
        </w:rPr>
        <w:t>的开发</w:t>
      </w:r>
      <w:r>
        <w:rPr>
          <w:rFonts w:hint="eastAsia" w:ascii="宋体" w:hAnsi="宋体"/>
          <w:color w:val="auto"/>
          <w:sz w:val="22"/>
          <w:szCs w:val="22"/>
          <w:highlight w:val="none"/>
          <w:lang w:val="en-US" w:eastAsia="zh-CN"/>
        </w:rPr>
        <w:t>建设</w:t>
      </w:r>
      <w:r>
        <w:rPr>
          <w:rFonts w:hint="eastAsia" w:ascii="宋体" w:hAnsi="宋体"/>
          <w:color w:val="auto"/>
          <w:sz w:val="22"/>
          <w:szCs w:val="22"/>
          <w:highlight w:val="none"/>
        </w:rPr>
        <w:t>、安装、调试及上线，采购人予以配合。</w:t>
      </w:r>
    </w:p>
    <w:p w14:paraId="003F5DE5">
      <w:pPr>
        <w:snapToGrid w:val="0"/>
        <w:spacing w:line="46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2、</w:t>
      </w:r>
      <w:r>
        <w:rPr>
          <w:rFonts w:hint="eastAsia" w:ascii="宋体" w:hAnsi="宋体"/>
          <w:color w:val="auto"/>
          <w:sz w:val="22"/>
          <w:szCs w:val="22"/>
          <w:highlight w:val="none"/>
          <w:lang w:val="en-US" w:eastAsia="zh-CN"/>
        </w:rPr>
        <w:t>工作平台</w:t>
      </w:r>
      <w:r>
        <w:rPr>
          <w:rFonts w:hint="eastAsia" w:ascii="宋体" w:hAnsi="宋体"/>
          <w:color w:val="auto"/>
          <w:sz w:val="22"/>
          <w:szCs w:val="22"/>
          <w:highlight w:val="none"/>
        </w:rPr>
        <w:t>的开发、安装、调试所需的工具等应由成交供应商自行解决。</w:t>
      </w:r>
    </w:p>
    <w:p w14:paraId="63B392A8">
      <w:pPr>
        <w:snapToGrid w:val="0"/>
        <w:spacing w:line="46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3、成交供应商在实施前提供详细的实施方案，并提交采购人认可。成交供应商应根据采购人的需要，在规定的时间内，保证质量，完成</w:t>
      </w:r>
      <w:r>
        <w:rPr>
          <w:rFonts w:hint="eastAsia" w:ascii="宋体" w:hAnsi="宋体"/>
          <w:color w:val="auto"/>
          <w:sz w:val="22"/>
          <w:szCs w:val="22"/>
          <w:highlight w:val="none"/>
          <w:lang w:val="en-US" w:eastAsia="zh-CN"/>
        </w:rPr>
        <w:t>工作平台</w:t>
      </w:r>
      <w:r>
        <w:rPr>
          <w:rFonts w:hint="eastAsia" w:ascii="宋体" w:hAnsi="宋体"/>
          <w:color w:val="auto"/>
          <w:sz w:val="22"/>
          <w:szCs w:val="22"/>
          <w:highlight w:val="none"/>
        </w:rPr>
        <w:t>建设。实施过程中应科学、合理地掌握与其他工作界面的协调、交叉。</w:t>
      </w:r>
    </w:p>
    <w:p w14:paraId="1CF683C9">
      <w:pPr>
        <w:snapToGrid w:val="0"/>
        <w:spacing w:line="46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4</w:t>
      </w:r>
      <w:r>
        <w:rPr>
          <w:rFonts w:hint="eastAsia" w:ascii="宋体" w:hAnsi="宋体"/>
          <w:b/>
          <w:bCs/>
          <w:color w:val="auto"/>
          <w:sz w:val="22"/>
          <w:szCs w:val="22"/>
          <w:highlight w:val="none"/>
          <w:u w:val="single"/>
        </w:rPr>
        <w:t>、</w:t>
      </w:r>
      <w:r>
        <w:rPr>
          <w:rFonts w:hint="eastAsia" w:ascii="宋体" w:hAnsi="宋体" w:eastAsia="宋体" w:cs="宋体"/>
          <w:b/>
          <w:bCs/>
          <w:color w:val="auto"/>
          <w:highlight w:val="none"/>
          <w:u w:val="single"/>
        </w:rPr>
        <w:t>▲</w:t>
      </w:r>
      <w:r>
        <w:rPr>
          <w:rFonts w:hint="eastAsia" w:ascii="宋体" w:hAnsi="宋体"/>
          <w:b/>
          <w:bCs/>
          <w:color w:val="auto"/>
          <w:sz w:val="22"/>
          <w:szCs w:val="22"/>
          <w:highlight w:val="none"/>
          <w:u w:val="single"/>
        </w:rPr>
        <w:t>项目完工期：合同签订后30日内完成项目建设并初验，</w:t>
      </w:r>
      <w:r>
        <w:rPr>
          <w:rFonts w:hint="eastAsia" w:ascii="宋体" w:hAnsi="宋体"/>
          <w:b/>
          <w:bCs/>
          <w:color w:val="auto"/>
          <w:sz w:val="22"/>
          <w:szCs w:val="22"/>
          <w:highlight w:val="none"/>
          <w:u w:val="single"/>
          <w:lang w:val="en-US" w:eastAsia="zh-CN"/>
        </w:rPr>
        <w:t>通过</w:t>
      </w:r>
      <w:r>
        <w:rPr>
          <w:rFonts w:hint="eastAsia" w:ascii="宋体" w:hAnsi="宋体"/>
          <w:b/>
          <w:bCs/>
          <w:color w:val="auto"/>
          <w:sz w:val="22"/>
          <w:szCs w:val="22"/>
          <w:highlight w:val="none"/>
          <w:u w:val="single"/>
        </w:rPr>
        <w:t>初验后进入试运行阶段，试运行时长三个月</w:t>
      </w:r>
      <w:r>
        <w:rPr>
          <w:rFonts w:hint="eastAsia" w:ascii="宋体" w:hAnsi="宋体"/>
          <w:b/>
          <w:bCs/>
          <w:color w:val="auto"/>
          <w:sz w:val="22"/>
          <w:szCs w:val="22"/>
          <w:highlight w:val="none"/>
          <w:u w:val="single"/>
          <w:lang w:eastAsia="zh-CN"/>
        </w:rPr>
        <w:t>。</w:t>
      </w:r>
      <w:r>
        <w:rPr>
          <w:rFonts w:hint="eastAsia" w:ascii="宋体" w:hAnsi="宋体"/>
          <w:b/>
          <w:bCs/>
          <w:color w:val="auto"/>
          <w:sz w:val="22"/>
          <w:szCs w:val="22"/>
          <w:highlight w:val="none"/>
          <w:u w:val="single"/>
        </w:rPr>
        <w:t>试运行完成后进行终验</w:t>
      </w:r>
      <w:r>
        <w:rPr>
          <w:rFonts w:hint="eastAsia" w:ascii="宋体" w:hAnsi="宋体"/>
          <w:b/>
          <w:bCs/>
          <w:color w:val="auto"/>
          <w:sz w:val="22"/>
          <w:szCs w:val="22"/>
          <w:highlight w:val="none"/>
          <w:u w:val="single"/>
          <w:lang w:eastAsia="zh-CN"/>
        </w:rPr>
        <w:t>，</w:t>
      </w:r>
      <w:r>
        <w:rPr>
          <w:rFonts w:hint="eastAsia" w:ascii="宋体" w:hAnsi="宋体"/>
          <w:b/>
          <w:bCs/>
          <w:color w:val="auto"/>
          <w:sz w:val="22"/>
          <w:szCs w:val="22"/>
          <w:highlight w:val="none"/>
          <w:u w:val="single"/>
        </w:rPr>
        <w:t>终验后维护期三年。</w:t>
      </w:r>
    </w:p>
    <w:p w14:paraId="3903CF95">
      <w:pPr>
        <w:snapToGrid w:val="0"/>
        <w:spacing w:line="460" w:lineRule="exact"/>
        <w:ind w:firstLine="440" w:firstLineChars="200"/>
        <w:rPr>
          <w:rFonts w:hint="eastAsia" w:ascii="宋体" w:hAnsi="宋体" w:eastAsia="宋体"/>
          <w:color w:val="auto"/>
          <w:sz w:val="22"/>
          <w:szCs w:val="22"/>
          <w:highlight w:val="none"/>
          <w:lang w:eastAsia="zh-CN"/>
        </w:rPr>
      </w:pPr>
      <w:r>
        <w:rPr>
          <w:rFonts w:hint="eastAsia" w:ascii="宋体" w:hAnsi="宋体"/>
          <w:color w:val="auto"/>
          <w:sz w:val="22"/>
          <w:szCs w:val="22"/>
          <w:highlight w:val="none"/>
        </w:rPr>
        <w:t>5、实施地点：用户指定地点</w:t>
      </w:r>
      <w:r>
        <w:rPr>
          <w:rFonts w:hint="eastAsia" w:ascii="宋体" w:hAnsi="宋体"/>
          <w:color w:val="auto"/>
          <w:sz w:val="22"/>
          <w:szCs w:val="22"/>
          <w:highlight w:val="none"/>
          <w:lang w:eastAsia="zh-CN"/>
        </w:rPr>
        <w:t>。</w:t>
      </w:r>
    </w:p>
    <w:p w14:paraId="40E51C1F">
      <w:pPr>
        <w:tabs>
          <w:tab w:val="left" w:pos="910"/>
        </w:tabs>
        <w:snapToGrid w:val="0"/>
        <w:spacing w:line="460" w:lineRule="exact"/>
        <w:ind w:firstLine="440" w:firstLineChars="200"/>
        <w:outlineLvl w:val="0"/>
        <w:rPr>
          <w:rFonts w:hint="eastAsia" w:ascii="宋体" w:hAnsi="宋体"/>
          <w:color w:val="auto"/>
          <w:sz w:val="22"/>
          <w:szCs w:val="22"/>
          <w:highlight w:val="none"/>
        </w:rPr>
      </w:pPr>
      <w:r>
        <w:rPr>
          <w:rFonts w:hint="eastAsia" w:ascii="宋体" w:hAnsi="宋体"/>
          <w:color w:val="auto"/>
          <w:sz w:val="22"/>
          <w:szCs w:val="22"/>
          <w:highlight w:val="none"/>
          <w:lang w:val="en-US" w:eastAsia="zh-CN"/>
        </w:rPr>
        <w:t>五、</w:t>
      </w:r>
      <w:r>
        <w:rPr>
          <w:rFonts w:ascii="宋体" w:hAnsi="宋体"/>
          <w:color w:val="auto"/>
          <w:sz w:val="22"/>
          <w:szCs w:val="22"/>
          <w:highlight w:val="none"/>
        </w:rPr>
        <w:t>培训及</w:t>
      </w:r>
      <w:r>
        <w:rPr>
          <w:rFonts w:hint="eastAsia" w:ascii="宋体" w:hAnsi="宋体"/>
          <w:color w:val="auto"/>
          <w:sz w:val="22"/>
          <w:szCs w:val="22"/>
          <w:highlight w:val="none"/>
        </w:rPr>
        <w:t>售后服务</w:t>
      </w:r>
    </w:p>
    <w:p w14:paraId="618E06D0">
      <w:pPr>
        <w:snapToGrid w:val="0"/>
        <w:spacing w:line="460" w:lineRule="exact"/>
        <w:ind w:firstLine="440" w:firstLineChars="200"/>
        <w:outlineLvl w:val="0"/>
        <w:rPr>
          <w:rFonts w:hint="eastAsia" w:ascii="宋体" w:hAnsi="宋体"/>
          <w:color w:val="auto"/>
          <w:sz w:val="22"/>
          <w:szCs w:val="22"/>
          <w:highlight w:val="none"/>
        </w:rPr>
      </w:pPr>
      <w:r>
        <w:rPr>
          <w:rFonts w:hint="eastAsia" w:ascii="宋体" w:hAnsi="宋体"/>
          <w:color w:val="auto"/>
          <w:sz w:val="22"/>
          <w:szCs w:val="22"/>
          <w:highlight w:val="none"/>
        </w:rPr>
        <w:t>1、培训要求</w:t>
      </w:r>
    </w:p>
    <w:p w14:paraId="490E0F68">
      <w:pPr>
        <w:snapToGrid w:val="0"/>
        <w:spacing w:line="460" w:lineRule="exact"/>
        <w:ind w:firstLine="440" w:firstLineChars="200"/>
        <w:outlineLvl w:val="0"/>
        <w:rPr>
          <w:rFonts w:hint="eastAsia" w:ascii="宋体" w:hAnsi="宋体"/>
          <w:color w:val="auto"/>
          <w:sz w:val="22"/>
          <w:szCs w:val="22"/>
          <w:highlight w:val="none"/>
        </w:rPr>
      </w:pPr>
      <w:r>
        <w:rPr>
          <w:rFonts w:hint="eastAsia" w:ascii="宋体" w:hAnsi="宋体"/>
          <w:color w:val="auto"/>
          <w:sz w:val="22"/>
          <w:szCs w:val="22"/>
          <w:highlight w:val="none"/>
          <w:lang w:eastAsia="zh-CN"/>
        </w:rPr>
        <w:t>供应商</w:t>
      </w:r>
      <w:r>
        <w:rPr>
          <w:rFonts w:hint="eastAsia" w:ascii="宋体" w:hAnsi="宋体"/>
          <w:color w:val="auto"/>
          <w:sz w:val="22"/>
          <w:szCs w:val="22"/>
          <w:highlight w:val="none"/>
        </w:rPr>
        <w:t>提出培训的具体建议和详细方案，</w:t>
      </w:r>
      <w:r>
        <w:rPr>
          <w:rFonts w:hint="eastAsia" w:ascii="宋体" w:hAnsi="宋体"/>
          <w:color w:val="auto"/>
          <w:sz w:val="22"/>
          <w:szCs w:val="22"/>
          <w:highlight w:val="none"/>
          <w:lang w:eastAsia="zh-CN"/>
        </w:rPr>
        <w:t>供应商</w:t>
      </w:r>
      <w:r>
        <w:rPr>
          <w:rFonts w:hint="eastAsia" w:ascii="宋体" w:hAnsi="宋体"/>
          <w:color w:val="auto"/>
          <w:sz w:val="22"/>
          <w:szCs w:val="22"/>
          <w:highlight w:val="none"/>
        </w:rPr>
        <w:t>应为采购人提供包括但不限于：系统业务操作、系统管理与维护等方面的培训方案。</w:t>
      </w:r>
    </w:p>
    <w:p w14:paraId="5E11C8C8">
      <w:pPr>
        <w:snapToGrid w:val="0"/>
        <w:spacing w:line="460" w:lineRule="exact"/>
        <w:ind w:firstLine="440" w:firstLineChars="200"/>
        <w:outlineLvl w:val="0"/>
        <w:rPr>
          <w:rFonts w:hint="eastAsia" w:ascii="宋体" w:hAnsi="宋体"/>
          <w:color w:val="auto"/>
          <w:sz w:val="22"/>
          <w:szCs w:val="22"/>
          <w:highlight w:val="none"/>
        </w:rPr>
      </w:pPr>
      <w:r>
        <w:rPr>
          <w:rFonts w:hint="eastAsia" w:ascii="宋体" w:hAnsi="宋体"/>
          <w:color w:val="auto"/>
          <w:sz w:val="22"/>
          <w:szCs w:val="22"/>
          <w:highlight w:val="none"/>
        </w:rPr>
        <w:t>成交供应商应负责对用户进行系统实操培训，培训对象主要包括系统管理员、使用人员，培训主要内容包括系统管理员技术培训、业务人员系统操作培训。其中，系统的日常管理及维护内容由系统管理员负责，需要进行专门的技术培训，同时也要对系统使用人员进行必要的培训以确保其能够正确、合理地使用业务系统。</w:t>
      </w:r>
    </w:p>
    <w:p w14:paraId="4DB82590">
      <w:pPr>
        <w:snapToGrid w:val="0"/>
        <w:spacing w:line="460" w:lineRule="exact"/>
        <w:ind w:firstLine="440" w:firstLineChars="200"/>
        <w:outlineLvl w:val="0"/>
        <w:rPr>
          <w:rFonts w:ascii="宋体" w:hAnsi="宋体"/>
          <w:color w:val="auto"/>
          <w:sz w:val="22"/>
          <w:szCs w:val="22"/>
          <w:highlight w:val="none"/>
        </w:rPr>
      </w:pPr>
      <w:r>
        <w:rPr>
          <w:rFonts w:hint="eastAsia" w:ascii="宋体" w:hAnsi="宋体"/>
          <w:color w:val="auto"/>
          <w:sz w:val="22"/>
          <w:szCs w:val="22"/>
          <w:highlight w:val="none"/>
        </w:rPr>
        <w:t>2、售后服务</w:t>
      </w:r>
    </w:p>
    <w:p w14:paraId="774FFBDD">
      <w:pPr>
        <w:snapToGrid w:val="0"/>
        <w:spacing w:line="46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在</w:t>
      </w:r>
      <w:r>
        <w:rPr>
          <w:rFonts w:hint="eastAsia" w:ascii="宋体" w:hAnsi="宋体"/>
          <w:color w:val="auto"/>
          <w:sz w:val="22"/>
          <w:szCs w:val="22"/>
          <w:highlight w:val="none"/>
          <w:lang w:val="en-US" w:eastAsia="zh-CN"/>
        </w:rPr>
        <w:t>工作平台</w:t>
      </w:r>
      <w:r>
        <w:rPr>
          <w:rFonts w:hint="eastAsia" w:ascii="宋体" w:hAnsi="宋体"/>
          <w:color w:val="auto"/>
          <w:sz w:val="22"/>
          <w:szCs w:val="22"/>
          <w:highlight w:val="none"/>
        </w:rPr>
        <w:t>验收合格后，以项目验收合格之日为免费维护期的正式开始时间，安排技术人员对系统提供</w:t>
      </w:r>
      <w:r>
        <w:rPr>
          <w:rFonts w:ascii="宋体" w:hAnsi="宋体"/>
          <w:color w:val="auto"/>
          <w:sz w:val="22"/>
          <w:szCs w:val="22"/>
          <w:highlight w:val="none"/>
        </w:rPr>
        <w:t>3</w:t>
      </w:r>
      <w:r>
        <w:rPr>
          <w:rFonts w:hint="eastAsia" w:ascii="宋体" w:hAnsi="宋体"/>
          <w:color w:val="auto"/>
          <w:sz w:val="22"/>
          <w:szCs w:val="22"/>
          <w:highlight w:val="none"/>
        </w:rPr>
        <w:t>年的免费</w:t>
      </w:r>
      <w:r>
        <w:rPr>
          <w:rFonts w:hint="eastAsia" w:ascii="宋体" w:hAnsi="宋体" w:eastAsia="宋体" w:cs="宋体"/>
          <w:color w:val="auto"/>
          <w:kern w:val="2"/>
          <w:sz w:val="22"/>
          <w:szCs w:val="22"/>
          <w:highlight w:val="none"/>
          <w:lang w:val="en-US" w:eastAsia="zh-CN" w:bidi="ar"/>
        </w:rPr>
        <w:t>运维</w:t>
      </w:r>
      <w:r>
        <w:rPr>
          <w:rFonts w:hint="eastAsia" w:ascii="宋体" w:hAnsi="宋体" w:eastAsia="宋体" w:cs="宋体"/>
          <w:color w:val="auto"/>
          <w:kern w:val="2"/>
          <w:sz w:val="22"/>
          <w:szCs w:val="22"/>
          <w:highlight w:val="none"/>
          <w:lang w:eastAsia="zh-CN" w:bidi="ar"/>
        </w:rPr>
        <w:t>服务。</w:t>
      </w:r>
      <w:r>
        <w:rPr>
          <w:rFonts w:hint="eastAsia" w:ascii="宋体" w:hAnsi="宋体" w:eastAsia="宋体" w:cs="宋体"/>
          <w:color w:val="auto"/>
          <w:kern w:val="2"/>
          <w:sz w:val="22"/>
          <w:szCs w:val="22"/>
          <w:highlight w:val="none"/>
          <w:lang w:val="en-US" w:eastAsia="zh-CN" w:bidi="ar"/>
        </w:rPr>
        <w:t>运维</w:t>
      </w:r>
      <w:r>
        <w:rPr>
          <w:rFonts w:hint="eastAsia" w:ascii="宋体" w:hAnsi="宋体" w:eastAsia="宋体" w:cs="宋体"/>
          <w:color w:val="auto"/>
          <w:kern w:val="2"/>
          <w:sz w:val="22"/>
          <w:szCs w:val="22"/>
          <w:highlight w:val="none"/>
          <w:lang w:eastAsia="zh-CN" w:bidi="ar"/>
        </w:rPr>
        <w:t>服务</w:t>
      </w:r>
      <w:r>
        <w:rPr>
          <w:rFonts w:hint="eastAsia" w:ascii="宋体" w:hAnsi="宋体"/>
          <w:color w:val="auto"/>
          <w:sz w:val="22"/>
          <w:szCs w:val="22"/>
          <w:highlight w:val="none"/>
        </w:rPr>
        <w:t>期内安排专人提供及时线上响应服务，在线无法解决问题时快速派人到场解决问题。对于影响系统正常运行的故障修复时间不超过12小时，无法短期修复的问题应启动应急预案，保障系统正常使用，并尽快修复问题。</w:t>
      </w:r>
    </w:p>
    <w:p w14:paraId="2F0C99CA">
      <w:pPr>
        <w:snapToGrid w:val="0"/>
        <w:spacing w:line="460" w:lineRule="exact"/>
        <w:ind w:firstLine="440" w:firstLineChars="200"/>
        <w:outlineLvl w:val="0"/>
        <w:rPr>
          <w:rFonts w:ascii="宋体" w:hAnsi="宋体"/>
          <w:color w:val="auto"/>
          <w:sz w:val="22"/>
          <w:szCs w:val="22"/>
          <w:highlight w:val="none"/>
        </w:rPr>
      </w:pPr>
      <w:r>
        <w:rPr>
          <w:rFonts w:hint="eastAsia" w:ascii="宋体" w:hAnsi="宋体"/>
          <w:color w:val="auto"/>
          <w:sz w:val="22"/>
          <w:szCs w:val="22"/>
          <w:highlight w:val="none"/>
          <w:lang w:val="en-US" w:eastAsia="zh-CN"/>
        </w:rPr>
        <w:t>六</w:t>
      </w:r>
      <w:r>
        <w:rPr>
          <w:rFonts w:hint="eastAsia" w:ascii="宋体" w:hAnsi="宋体"/>
          <w:color w:val="auto"/>
          <w:sz w:val="22"/>
          <w:szCs w:val="22"/>
          <w:highlight w:val="none"/>
        </w:rPr>
        <w:t>、履约保证金及付款方式</w:t>
      </w:r>
    </w:p>
    <w:p w14:paraId="1152CE6B">
      <w:pPr>
        <w:snapToGrid w:val="0"/>
        <w:spacing w:line="46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履约保证金：无。</w:t>
      </w:r>
    </w:p>
    <w:p w14:paraId="73FC39EB">
      <w:pPr>
        <w:snapToGrid w:val="0"/>
        <w:spacing w:line="460" w:lineRule="exact"/>
        <w:ind w:firstLine="442" w:firstLineChars="200"/>
        <w:rPr>
          <w:rFonts w:hint="eastAsia" w:ascii="宋体" w:hAnsi="宋体" w:eastAsia="宋体"/>
          <w:b/>
          <w:bCs/>
          <w:color w:val="auto"/>
          <w:sz w:val="22"/>
          <w:szCs w:val="22"/>
          <w:highlight w:val="none"/>
          <w:lang w:eastAsia="zh-CN"/>
        </w:rPr>
      </w:pPr>
      <w:r>
        <w:rPr>
          <w:rFonts w:hint="eastAsia" w:ascii="宋体" w:hAnsi="宋体"/>
          <w:b/>
          <w:bCs/>
          <w:color w:val="auto"/>
          <w:sz w:val="22"/>
          <w:szCs w:val="22"/>
          <w:highlight w:val="none"/>
        </w:rPr>
        <w:t>合同款的支付</w:t>
      </w:r>
      <w:r>
        <w:rPr>
          <w:rFonts w:hint="eastAsia" w:ascii="宋体" w:hAnsi="宋体"/>
          <w:b/>
          <w:bCs/>
          <w:color w:val="auto"/>
          <w:sz w:val="22"/>
          <w:szCs w:val="22"/>
          <w:highlight w:val="none"/>
          <w:lang w:eastAsia="zh-CN"/>
        </w:rPr>
        <w:t>：</w:t>
      </w:r>
    </w:p>
    <w:p w14:paraId="53131F52">
      <w:pPr>
        <w:snapToGrid w:val="0"/>
        <w:spacing w:line="460" w:lineRule="exact"/>
        <w:ind w:firstLine="442" w:firstLineChars="200"/>
        <w:rPr>
          <w:rFonts w:hint="eastAsia" w:ascii="宋体" w:hAnsi="宋体"/>
          <w:b/>
          <w:bCs/>
          <w:color w:val="auto"/>
          <w:sz w:val="22"/>
          <w:szCs w:val="22"/>
          <w:highlight w:val="none"/>
        </w:rPr>
      </w:pPr>
      <w:r>
        <w:rPr>
          <w:rFonts w:hint="eastAsia" w:ascii="宋体" w:hAnsi="宋体"/>
          <w:b/>
          <w:bCs/>
          <w:color w:val="auto"/>
          <w:sz w:val="22"/>
          <w:szCs w:val="22"/>
          <w:highlight w:val="none"/>
        </w:rPr>
        <w:t>第1笔付款：合同签订生效后，在</w:t>
      </w:r>
      <w:r>
        <w:rPr>
          <w:rFonts w:hint="eastAsia" w:ascii="宋体" w:hAnsi="宋体"/>
          <w:b/>
          <w:bCs/>
          <w:color w:val="auto"/>
          <w:sz w:val="22"/>
          <w:szCs w:val="22"/>
          <w:highlight w:val="none"/>
          <w:lang w:val="en-US" w:eastAsia="zh-CN"/>
        </w:rPr>
        <w:t>采购人</w:t>
      </w:r>
      <w:r>
        <w:rPr>
          <w:rFonts w:hint="eastAsia" w:ascii="宋体" w:hAnsi="宋体"/>
          <w:b/>
          <w:bCs/>
          <w:color w:val="auto"/>
          <w:sz w:val="22"/>
          <w:szCs w:val="22"/>
          <w:highlight w:val="none"/>
        </w:rPr>
        <w:t>收取发票并符合付款条款5个工作日内向</w:t>
      </w:r>
      <w:r>
        <w:rPr>
          <w:rFonts w:hint="eastAsia" w:ascii="宋体" w:hAnsi="宋体"/>
          <w:b/>
          <w:bCs/>
          <w:color w:val="auto"/>
          <w:sz w:val="22"/>
          <w:szCs w:val="22"/>
          <w:highlight w:val="none"/>
          <w:lang w:val="en-US" w:eastAsia="zh-CN"/>
        </w:rPr>
        <w:t>成交供应商</w:t>
      </w:r>
      <w:r>
        <w:rPr>
          <w:rFonts w:hint="eastAsia" w:ascii="宋体" w:hAnsi="宋体"/>
          <w:b/>
          <w:bCs/>
          <w:color w:val="auto"/>
          <w:sz w:val="22"/>
          <w:szCs w:val="22"/>
          <w:highlight w:val="none"/>
        </w:rPr>
        <w:t>支付合同价款的40%作为预付款；（财政资金到位后支付）</w:t>
      </w:r>
    </w:p>
    <w:p w14:paraId="67A765D1">
      <w:pPr>
        <w:snapToGrid w:val="0"/>
        <w:spacing w:line="460" w:lineRule="exact"/>
        <w:ind w:firstLine="442" w:firstLineChars="200"/>
        <w:rPr>
          <w:rFonts w:hint="eastAsia" w:ascii="宋体" w:hAnsi="宋体"/>
          <w:b/>
          <w:bCs/>
          <w:color w:val="auto"/>
          <w:sz w:val="22"/>
          <w:szCs w:val="22"/>
          <w:highlight w:val="none"/>
        </w:rPr>
      </w:pPr>
      <w:r>
        <w:rPr>
          <w:rFonts w:hint="eastAsia" w:ascii="宋体" w:hAnsi="宋体"/>
          <w:b/>
          <w:bCs/>
          <w:color w:val="auto"/>
          <w:sz w:val="22"/>
          <w:szCs w:val="22"/>
          <w:highlight w:val="none"/>
        </w:rPr>
        <w:t>第2笔付款：项目完成系统开发，经初验合格交付使用后，在</w:t>
      </w:r>
      <w:r>
        <w:rPr>
          <w:rFonts w:hint="eastAsia" w:ascii="宋体" w:hAnsi="宋体"/>
          <w:b/>
          <w:bCs/>
          <w:color w:val="auto"/>
          <w:sz w:val="22"/>
          <w:szCs w:val="22"/>
          <w:highlight w:val="none"/>
          <w:lang w:val="en-US" w:eastAsia="zh-CN"/>
        </w:rPr>
        <w:t>采购人</w:t>
      </w:r>
      <w:r>
        <w:rPr>
          <w:rFonts w:hint="eastAsia" w:ascii="宋体" w:hAnsi="宋体"/>
          <w:b/>
          <w:bCs/>
          <w:color w:val="auto"/>
          <w:sz w:val="22"/>
          <w:szCs w:val="22"/>
          <w:highlight w:val="none"/>
        </w:rPr>
        <w:t>收取发票并符合付款条款5个工作日内向</w:t>
      </w:r>
      <w:r>
        <w:rPr>
          <w:rFonts w:hint="eastAsia" w:ascii="宋体" w:hAnsi="宋体"/>
          <w:b/>
          <w:bCs/>
          <w:color w:val="auto"/>
          <w:sz w:val="22"/>
          <w:szCs w:val="22"/>
          <w:highlight w:val="none"/>
          <w:lang w:val="en-US" w:eastAsia="zh-CN"/>
        </w:rPr>
        <w:t>成交供应商</w:t>
      </w:r>
      <w:r>
        <w:rPr>
          <w:rFonts w:hint="eastAsia" w:ascii="宋体" w:hAnsi="宋体"/>
          <w:b/>
          <w:bCs/>
          <w:color w:val="auto"/>
          <w:sz w:val="22"/>
          <w:szCs w:val="22"/>
          <w:highlight w:val="none"/>
        </w:rPr>
        <w:t>支付合同价款的40%；（财政资金到位后支付）</w:t>
      </w:r>
    </w:p>
    <w:p w14:paraId="68AA7341">
      <w:pPr>
        <w:snapToGrid w:val="0"/>
        <w:spacing w:line="460" w:lineRule="exact"/>
        <w:ind w:firstLine="442" w:firstLineChars="200"/>
        <w:rPr>
          <w:rFonts w:hint="eastAsia" w:ascii="宋体" w:hAnsi="宋体"/>
          <w:b/>
          <w:bCs/>
          <w:color w:val="auto"/>
          <w:sz w:val="22"/>
          <w:szCs w:val="22"/>
          <w:highlight w:val="none"/>
        </w:rPr>
      </w:pPr>
      <w:r>
        <w:rPr>
          <w:rFonts w:hint="eastAsia" w:ascii="宋体" w:hAnsi="宋体"/>
          <w:b/>
          <w:bCs/>
          <w:color w:val="auto"/>
          <w:sz w:val="22"/>
          <w:szCs w:val="22"/>
          <w:highlight w:val="none"/>
        </w:rPr>
        <w:t>第3笔付款：完成系统上线正常运行后提交全部报告材料，并通过</w:t>
      </w:r>
      <w:r>
        <w:rPr>
          <w:rFonts w:hint="eastAsia" w:ascii="宋体" w:hAnsi="宋体"/>
          <w:b/>
          <w:bCs/>
          <w:color w:val="auto"/>
          <w:sz w:val="22"/>
          <w:szCs w:val="22"/>
          <w:highlight w:val="none"/>
          <w:lang w:val="en-US" w:eastAsia="zh-CN"/>
        </w:rPr>
        <w:t>最终</w:t>
      </w:r>
      <w:r>
        <w:rPr>
          <w:rFonts w:hint="eastAsia" w:ascii="宋体" w:hAnsi="宋体"/>
          <w:b/>
          <w:bCs/>
          <w:color w:val="auto"/>
          <w:sz w:val="22"/>
          <w:szCs w:val="22"/>
          <w:highlight w:val="none"/>
        </w:rPr>
        <w:t>验收</w:t>
      </w:r>
      <w:r>
        <w:rPr>
          <w:rFonts w:hint="eastAsia" w:ascii="宋体" w:hAnsi="宋体"/>
          <w:b/>
          <w:bCs/>
          <w:color w:val="auto"/>
          <w:sz w:val="22"/>
          <w:szCs w:val="22"/>
          <w:highlight w:val="none"/>
        </w:rPr>
        <w:t>，出具项目终验报告后，在</w:t>
      </w:r>
      <w:r>
        <w:rPr>
          <w:rFonts w:hint="eastAsia" w:ascii="宋体" w:hAnsi="宋体"/>
          <w:b/>
          <w:bCs/>
          <w:color w:val="auto"/>
          <w:sz w:val="22"/>
          <w:szCs w:val="22"/>
          <w:highlight w:val="none"/>
          <w:lang w:val="en-US" w:eastAsia="zh-CN"/>
        </w:rPr>
        <w:t>采购人</w:t>
      </w:r>
      <w:r>
        <w:rPr>
          <w:rFonts w:hint="eastAsia" w:ascii="宋体" w:hAnsi="宋体"/>
          <w:b/>
          <w:bCs/>
          <w:color w:val="auto"/>
          <w:sz w:val="22"/>
          <w:szCs w:val="22"/>
          <w:highlight w:val="none"/>
        </w:rPr>
        <w:t>收取发票并符合付款条款7个工作日内向</w:t>
      </w:r>
      <w:r>
        <w:rPr>
          <w:rFonts w:hint="eastAsia" w:ascii="宋体" w:hAnsi="宋体"/>
          <w:b/>
          <w:bCs/>
          <w:color w:val="auto"/>
          <w:sz w:val="22"/>
          <w:szCs w:val="22"/>
          <w:highlight w:val="none"/>
          <w:lang w:val="en-US" w:eastAsia="zh-CN"/>
        </w:rPr>
        <w:t>成交供应商</w:t>
      </w:r>
      <w:r>
        <w:rPr>
          <w:rFonts w:hint="eastAsia" w:ascii="宋体" w:hAnsi="宋体"/>
          <w:b/>
          <w:bCs/>
          <w:color w:val="auto"/>
          <w:sz w:val="22"/>
          <w:szCs w:val="22"/>
          <w:highlight w:val="none"/>
        </w:rPr>
        <w:t>支付合同价款的20%。（财政资金到位后支付）</w:t>
      </w:r>
    </w:p>
    <w:p w14:paraId="440D79F3">
      <w:pPr>
        <w:snapToGrid w:val="0"/>
        <w:spacing w:line="460" w:lineRule="exact"/>
        <w:ind w:firstLine="440" w:firstLineChars="200"/>
        <w:rPr>
          <w:rFonts w:hint="eastAsia" w:ascii="宋体" w:hAnsi="宋体"/>
          <w:color w:val="auto"/>
          <w:sz w:val="22"/>
          <w:szCs w:val="22"/>
          <w:highlight w:val="none"/>
        </w:rPr>
      </w:pPr>
      <w:r>
        <w:rPr>
          <w:rFonts w:hint="eastAsia" w:ascii="宋体" w:hAnsi="宋体"/>
          <w:color w:val="auto"/>
          <w:sz w:val="22"/>
          <w:szCs w:val="22"/>
          <w:highlight w:val="none"/>
          <w:lang w:val="en-US" w:eastAsia="zh-CN"/>
        </w:rPr>
        <w:t>七</w:t>
      </w:r>
      <w:r>
        <w:rPr>
          <w:rFonts w:ascii="宋体" w:hAnsi="宋体"/>
          <w:color w:val="auto"/>
          <w:sz w:val="22"/>
          <w:szCs w:val="22"/>
          <w:highlight w:val="none"/>
        </w:rPr>
        <w:t>、安全要求</w:t>
      </w:r>
    </w:p>
    <w:p w14:paraId="7A1E70F0">
      <w:pPr>
        <w:snapToGrid w:val="0"/>
        <w:spacing w:line="460" w:lineRule="exact"/>
        <w:ind w:firstLine="440" w:firstLineChars="200"/>
        <w:rPr>
          <w:rFonts w:hint="eastAsia" w:ascii="宋体" w:hAnsi="宋体"/>
          <w:color w:val="auto"/>
          <w:sz w:val="22"/>
          <w:szCs w:val="22"/>
          <w:highlight w:val="none"/>
        </w:rPr>
      </w:pPr>
      <w:r>
        <w:rPr>
          <w:rFonts w:hint="eastAsia" w:ascii="宋体" w:hAnsi="宋体"/>
          <w:color w:val="auto"/>
          <w:sz w:val="22"/>
          <w:szCs w:val="22"/>
          <w:highlight w:val="none"/>
        </w:rPr>
        <w:t>本项目需要达到信息安全等级保护二级要求。在项目验收前，采购人组织第三方机构对系统进行信息安全等级保护二级测评，所需费用由成交供应商承担，包含在本次投标总价内。</w:t>
      </w:r>
    </w:p>
    <w:p w14:paraId="6363B578">
      <w:pPr>
        <w:snapToGrid w:val="0"/>
        <w:spacing w:line="46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lang w:val="en-US" w:eastAsia="zh-CN"/>
        </w:rPr>
        <w:t>八</w:t>
      </w:r>
      <w:r>
        <w:rPr>
          <w:rFonts w:hint="eastAsia" w:ascii="宋体" w:hAnsi="宋体"/>
          <w:color w:val="auto"/>
          <w:sz w:val="22"/>
          <w:szCs w:val="22"/>
          <w:highlight w:val="none"/>
        </w:rPr>
        <w:t>、其他要求</w:t>
      </w:r>
    </w:p>
    <w:p w14:paraId="45280F00">
      <w:pPr>
        <w:snapToGrid w:val="0"/>
        <w:spacing w:line="460" w:lineRule="exact"/>
        <w:ind w:firstLine="440" w:firstLineChars="200"/>
        <w:rPr>
          <w:rFonts w:hint="eastAsia" w:ascii="宋体" w:hAnsi="宋体"/>
          <w:color w:val="auto"/>
          <w:sz w:val="22"/>
          <w:szCs w:val="22"/>
          <w:highlight w:val="none"/>
        </w:rPr>
      </w:pPr>
      <w:r>
        <w:rPr>
          <w:rFonts w:hint="eastAsia" w:ascii="宋体" w:hAnsi="宋体"/>
          <w:color w:val="auto"/>
          <w:sz w:val="22"/>
          <w:szCs w:val="22"/>
          <w:highlight w:val="none"/>
        </w:rPr>
        <w:t>1、成交供应商在未取得采购人的同意下不得将项目转包给第三方，经同意后转包后的网络安全责任人仍为成交供应商。</w:t>
      </w:r>
    </w:p>
    <w:p w14:paraId="6DEAEBE2">
      <w:pPr>
        <w:snapToGrid w:val="0"/>
        <w:spacing w:line="460" w:lineRule="exact"/>
        <w:ind w:firstLine="440" w:firstLineChars="200"/>
        <w:rPr>
          <w:rFonts w:hint="eastAsia" w:ascii="宋体" w:hAnsi="宋体"/>
          <w:color w:val="auto"/>
          <w:sz w:val="22"/>
          <w:szCs w:val="22"/>
          <w:highlight w:val="none"/>
        </w:rPr>
      </w:pPr>
      <w:r>
        <w:rPr>
          <w:rFonts w:hint="eastAsia" w:ascii="宋体" w:hAnsi="宋体"/>
          <w:color w:val="auto"/>
          <w:sz w:val="22"/>
          <w:szCs w:val="22"/>
          <w:highlight w:val="none"/>
        </w:rPr>
        <w:t>2、项目建设和运维中产生和收集的文档、代码、数据等项目相关的数据资料所有权属属于采购人，交付时应当全部交付给采购人保存，成交供应商在未经过委托部门同意，不得访问、修改、披露、利用、转让、销毁被承包方文档资料和数据，确保文档和数据的保密性、完整性、可用性，以及业务连续性、可移植性。</w:t>
      </w:r>
    </w:p>
    <w:p w14:paraId="0B059C48">
      <w:pPr>
        <w:snapToGrid w:val="0"/>
        <w:spacing w:line="460" w:lineRule="exact"/>
        <w:ind w:firstLine="440" w:firstLineChars="200"/>
        <w:rPr>
          <w:rFonts w:hint="eastAsia" w:ascii="宋体" w:hAnsi="宋体"/>
          <w:color w:val="auto"/>
          <w:sz w:val="22"/>
          <w:szCs w:val="22"/>
          <w:highlight w:val="none"/>
        </w:rPr>
      </w:pPr>
      <w:r>
        <w:rPr>
          <w:rFonts w:hint="eastAsia" w:ascii="宋体" w:hAnsi="宋体"/>
          <w:color w:val="auto"/>
          <w:sz w:val="22"/>
          <w:szCs w:val="22"/>
          <w:highlight w:val="none"/>
        </w:rPr>
        <w:t>3、成交供应商应具备网络安全处理能力，提供文档资料和数据的安全的相关措施，定期提交网络安全报告。</w:t>
      </w:r>
    </w:p>
    <w:p w14:paraId="755DC6EA">
      <w:pPr>
        <w:snapToGrid w:val="0"/>
        <w:spacing w:line="460" w:lineRule="exact"/>
        <w:ind w:firstLine="440" w:firstLineChars="200"/>
        <w:rPr>
          <w:rFonts w:hint="eastAsia" w:ascii="宋体" w:hAnsi="宋体"/>
          <w:color w:val="auto"/>
          <w:sz w:val="22"/>
          <w:szCs w:val="22"/>
          <w:highlight w:val="none"/>
        </w:rPr>
      </w:pPr>
      <w:r>
        <w:rPr>
          <w:rFonts w:hint="eastAsia" w:ascii="宋体" w:hAnsi="宋体"/>
          <w:color w:val="auto"/>
          <w:sz w:val="22"/>
          <w:szCs w:val="22"/>
          <w:highlight w:val="none"/>
        </w:rPr>
        <w:t>4、成交供应商应协助采购人配合</w:t>
      </w:r>
      <w:r>
        <w:rPr>
          <w:rFonts w:hint="eastAsia" w:ascii="宋体" w:hAnsi="宋体"/>
          <w:color w:val="auto"/>
          <w:sz w:val="22"/>
          <w:szCs w:val="22"/>
          <w:highlight w:val="none"/>
          <w:lang w:val="en-US" w:eastAsia="zh-CN"/>
        </w:rPr>
        <w:t>区（市）</w:t>
      </w:r>
      <w:r>
        <w:rPr>
          <w:rFonts w:hint="eastAsia" w:ascii="宋体" w:hAnsi="宋体"/>
          <w:color w:val="auto"/>
          <w:sz w:val="22"/>
          <w:szCs w:val="22"/>
          <w:highlight w:val="none"/>
        </w:rPr>
        <w:t>大数据中心做好日志建设等相关工作。</w:t>
      </w:r>
    </w:p>
    <w:p w14:paraId="41C41A56">
      <w:pPr>
        <w:rPr>
          <w:rStyle w:val="638"/>
          <w:rFonts w:hint="eastAsia" w:ascii="宋体" w:hAnsi="宋体" w:eastAsia="宋体" w:cs="宋体"/>
          <w:color w:val="auto"/>
          <w:highlight w:val="none"/>
        </w:rPr>
        <w:sectPr>
          <w:headerReference r:id="rId4" w:type="first"/>
          <w:footerReference r:id="rId6" w:type="first"/>
          <w:headerReference r:id="rId3" w:type="default"/>
          <w:footerReference r:id="rId5" w:type="default"/>
          <w:pgSz w:w="11906" w:h="16838"/>
          <w:pgMar w:top="1174" w:right="1418" w:bottom="1151" w:left="1418" w:header="851" w:footer="992" w:gutter="0"/>
          <w:cols w:space="720" w:num="1"/>
          <w:titlePg/>
          <w:docGrid w:linePitch="312" w:charSpace="0"/>
        </w:sectPr>
      </w:pPr>
      <w:r>
        <w:rPr>
          <w:rFonts w:hint="eastAsia" w:ascii="宋体" w:hAnsi="宋体" w:eastAsia="宋体" w:cs="宋体"/>
          <w:color w:val="auto"/>
          <w:sz w:val="22"/>
          <w:szCs w:val="22"/>
          <w:highlight w:val="none"/>
        </w:rPr>
        <w:br w:type="page"/>
      </w:r>
    </w:p>
    <w:bookmarkEnd w:id="90"/>
    <w:bookmarkEnd w:id="91"/>
    <w:p w14:paraId="13A02964">
      <w:pPr>
        <w:adjustRightInd/>
        <w:spacing w:line="360" w:lineRule="auto"/>
        <w:jc w:val="center"/>
        <w:outlineLvl w:val="0"/>
        <w:rPr>
          <w:rFonts w:hint="eastAsia" w:ascii="宋体" w:hAnsi="宋体" w:eastAsia="宋体" w:cs="宋体"/>
          <w:b/>
          <w:color w:val="auto"/>
          <w:sz w:val="36"/>
          <w:szCs w:val="36"/>
          <w:highlight w:val="none"/>
        </w:rPr>
      </w:pPr>
      <w:bookmarkStart w:id="92" w:name="_Toc29368"/>
      <w:r>
        <w:rPr>
          <w:rFonts w:hint="eastAsia" w:ascii="宋体" w:hAnsi="宋体" w:eastAsia="宋体" w:cs="宋体"/>
          <w:b/>
          <w:color w:val="auto"/>
          <w:sz w:val="36"/>
          <w:szCs w:val="36"/>
          <w:highlight w:val="none"/>
        </w:rPr>
        <w:t xml:space="preserve">第五部分  </w:t>
      </w:r>
      <w:bookmarkEnd w:id="87"/>
      <w:bookmarkEnd w:id="88"/>
      <w:bookmarkStart w:id="93" w:name="第四部分"/>
      <w:r>
        <w:rPr>
          <w:rFonts w:hint="eastAsia" w:ascii="宋体" w:hAnsi="宋体" w:eastAsia="宋体" w:cs="宋体"/>
          <w:b/>
          <w:color w:val="auto"/>
          <w:sz w:val="36"/>
          <w:szCs w:val="36"/>
          <w:highlight w:val="none"/>
        </w:rPr>
        <w:t>评审方法及评审标准</w:t>
      </w:r>
      <w:bookmarkEnd w:id="92"/>
    </w:p>
    <w:p w14:paraId="406FCC57">
      <w:pPr>
        <w:pStyle w:val="431"/>
        <w:spacing w:before="0"/>
        <w:ind w:firstLine="643"/>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评审方法前附表</w:t>
      </w:r>
    </w:p>
    <w:tbl>
      <w:tblPr>
        <w:tblStyle w:val="60"/>
        <w:tblW w:w="0" w:type="auto"/>
        <w:tblInd w:w="-5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44"/>
      </w:tblGrid>
      <w:tr w14:paraId="1B82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9" w:hRule="atLeast"/>
        </w:trPr>
        <w:tc>
          <w:tcPr>
            <w:tcW w:w="10344" w:type="dxa"/>
            <w:noWrap w:val="0"/>
            <w:vAlign w:val="center"/>
          </w:tcPr>
          <w:p w14:paraId="3C96704F">
            <w:pPr>
              <w:snapToGrid w:val="0"/>
              <w:spacing w:line="360" w:lineRule="auto"/>
              <w:ind w:firstLine="440" w:firstLineChars="20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本项目采用综合评分法：</w:t>
            </w:r>
          </w:p>
          <w:p w14:paraId="7473A17F">
            <w:pPr>
              <w:snapToGrid w:val="0"/>
              <w:spacing w:line="360" w:lineRule="auto"/>
              <w:ind w:firstLine="440" w:firstLineChars="20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将对各</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的</w:t>
            </w:r>
            <w:r>
              <w:rPr>
                <w:rFonts w:hint="eastAsia" w:ascii="宋体" w:hAnsi="宋体" w:eastAsia="宋体" w:cs="宋体"/>
                <w:color w:val="auto"/>
                <w:sz w:val="22"/>
                <w:szCs w:val="22"/>
                <w:highlight w:val="none"/>
                <w:lang w:val="en-US" w:eastAsia="zh-CN"/>
              </w:rPr>
              <w:t>报价文件</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en-US" w:eastAsia="zh-CN"/>
              </w:rPr>
              <w:t>商务技术文件</w:t>
            </w:r>
            <w:r>
              <w:rPr>
                <w:rFonts w:hint="eastAsia" w:ascii="宋体" w:hAnsi="宋体" w:eastAsia="宋体" w:cs="宋体"/>
                <w:color w:val="auto"/>
                <w:sz w:val="22"/>
                <w:szCs w:val="22"/>
                <w:highlight w:val="none"/>
              </w:rPr>
              <w:t>等进行综合评审，</w:t>
            </w: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各成员应当独立对每个有效</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的</w:t>
            </w:r>
            <w:r>
              <w:rPr>
                <w:rFonts w:hint="eastAsia" w:ascii="宋体" w:hAnsi="宋体" w:eastAsia="宋体" w:cs="宋体"/>
                <w:color w:val="auto"/>
                <w:sz w:val="22"/>
                <w:szCs w:val="22"/>
                <w:highlight w:val="none"/>
                <w:lang w:eastAsia="zh-CN"/>
              </w:rPr>
              <w:t>磋商响应文件</w:t>
            </w:r>
            <w:r>
              <w:rPr>
                <w:rFonts w:hint="eastAsia" w:ascii="宋体" w:hAnsi="宋体" w:eastAsia="宋体" w:cs="宋体"/>
                <w:color w:val="auto"/>
                <w:sz w:val="22"/>
                <w:szCs w:val="22"/>
                <w:highlight w:val="none"/>
              </w:rPr>
              <w:t>进行评价、打分。经统计，得出各</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 xml:space="preserve">的最终评审分,按最终评审分由高到低顺序排列。 </w:t>
            </w:r>
          </w:p>
          <w:p w14:paraId="17C871B0">
            <w:pPr>
              <w:snapToGrid w:val="0"/>
              <w:spacing w:line="360" w:lineRule="auto"/>
              <w:ind w:firstLine="440" w:firstLineChars="20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各供应商的综合得分为：</w:t>
            </w:r>
            <w:r>
              <w:rPr>
                <w:rFonts w:hint="eastAsia" w:ascii="宋体" w:hAnsi="宋体" w:eastAsia="宋体" w:cs="宋体"/>
                <w:color w:val="auto"/>
                <w:sz w:val="22"/>
                <w:szCs w:val="22"/>
                <w:highlight w:val="none"/>
                <w:lang w:eastAsia="zh-CN"/>
              </w:rPr>
              <w:t>最终报价</w:t>
            </w:r>
            <w:r>
              <w:rPr>
                <w:rFonts w:hint="eastAsia" w:ascii="宋体" w:hAnsi="宋体" w:eastAsia="宋体" w:cs="宋体"/>
                <w:color w:val="auto"/>
                <w:sz w:val="22"/>
                <w:szCs w:val="22"/>
                <w:highlight w:val="none"/>
              </w:rPr>
              <w:t>得分+商务技术得分之和，总和为100分，其中：其中商务技术</w:t>
            </w:r>
            <w:r>
              <w:rPr>
                <w:rFonts w:hint="eastAsia" w:ascii="宋体" w:hAnsi="宋体" w:eastAsia="宋体" w:cs="宋体"/>
                <w:color w:val="auto"/>
                <w:sz w:val="22"/>
                <w:szCs w:val="22"/>
                <w:highlight w:val="none"/>
                <w:lang w:eastAsia="zh-CN"/>
              </w:rPr>
              <w:t>分</w:t>
            </w:r>
            <w:r>
              <w:rPr>
                <w:rFonts w:hint="eastAsia" w:ascii="宋体" w:hAnsi="宋体" w:eastAsia="宋体" w:cs="宋体"/>
                <w:color w:val="auto"/>
                <w:sz w:val="22"/>
                <w:szCs w:val="22"/>
                <w:highlight w:val="none"/>
                <w:lang w:val="en-US" w:eastAsia="zh-CN"/>
              </w:rPr>
              <w:t>80</w:t>
            </w:r>
            <w:r>
              <w:rPr>
                <w:rFonts w:hint="eastAsia" w:ascii="宋体" w:hAnsi="宋体" w:eastAsia="宋体" w:cs="宋体"/>
                <w:color w:val="auto"/>
                <w:sz w:val="22"/>
                <w:szCs w:val="22"/>
                <w:highlight w:val="none"/>
              </w:rPr>
              <w:t>分（商务技术权值</w:t>
            </w:r>
            <w:r>
              <w:rPr>
                <w:rFonts w:hint="eastAsia" w:ascii="宋体" w:hAnsi="宋体" w:eastAsia="宋体" w:cs="宋体"/>
                <w:color w:val="auto"/>
                <w:sz w:val="22"/>
                <w:szCs w:val="22"/>
                <w:highlight w:val="none"/>
                <w:lang w:val="en-US" w:eastAsia="zh-CN"/>
              </w:rPr>
              <w:t>80</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最终报价分</w:t>
            </w: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lang w:val="en-US" w:eastAsia="zh-CN"/>
              </w:rPr>
              <w:t>20</w:t>
            </w:r>
            <w:r>
              <w:rPr>
                <w:rFonts w:hint="eastAsia" w:ascii="宋体" w:hAnsi="宋体" w:eastAsia="宋体" w:cs="宋体"/>
                <w:color w:val="auto"/>
                <w:sz w:val="22"/>
                <w:szCs w:val="22"/>
                <w:highlight w:val="none"/>
              </w:rPr>
              <w:t xml:space="preserve">分（价格权值 </w:t>
            </w:r>
            <w:r>
              <w:rPr>
                <w:rFonts w:hint="eastAsia" w:ascii="宋体" w:hAnsi="宋体" w:eastAsia="宋体" w:cs="宋体"/>
                <w:color w:val="auto"/>
                <w:sz w:val="22"/>
                <w:szCs w:val="22"/>
                <w:highlight w:val="none"/>
                <w:lang w:val="en-US" w:eastAsia="zh-CN"/>
              </w:rPr>
              <w:t>20</w:t>
            </w:r>
            <w:r>
              <w:rPr>
                <w:rFonts w:hint="eastAsia" w:ascii="宋体" w:hAnsi="宋体" w:eastAsia="宋体" w:cs="宋体"/>
                <w:color w:val="auto"/>
                <w:sz w:val="22"/>
                <w:szCs w:val="22"/>
                <w:highlight w:val="none"/>
              </w:rPr>
              <w:t xml:space="preserve"> %）。</w:t>
            </w:r>
          </w:p>
          <w:p w14:paraId="25C36A70">
            <w:pPr>
              <w:snapToGrid w:val="0"/>
              <w:spacing w:line="360" w:lineRule="auto"/>
              <w:ind w:firstLine="440" w:firstLineChars="20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各</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的商务技术得分为：</w:t>
            </w: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各成员评分的算术平均值。各</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的</w:t>
            </w:r>
            <w:r>
              <w:rPr>
                <w:rFonts w:hint="eastAsia" w:ascii="宋体" w:hAnsi="宋体" w:eastAsia="宋体" w:cs="宋体"/>
                <w:color w:val="auto"/>
                <w:sz w:val="22"/>
                <w:szCs w:val="22"/>
                <w:highlight w:val="none"/>
                <w:lang w:val="en-US" w:eastAsia="zh-CN"/>
              </w:rPr>
              <w:t>报价</w:t>
            </w:r>
            <w:r>
              <w:rPr>
                <w:rFonts w:hint="eastAsia" w:ascii="宋体" w:hAnsi="宋体" w:eastAsia="宋体" w:cs="宋体"/>
                <w:color w:val="auto"/>
                <w:sz w:val="22"/>
                <w:szCs w:val="22"/>
                <w:highlight w:val="none"/>
              </w:rPr>
              <w:t>得分按价格评分公式计算，</w:t>
            </w: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审核。根据上述</w:t>
            </w:r>
            <w:r>
              <w:rPr>
                <w:rFonts w:hint="eastAsia" w:ascii="宋体" w:hAnsi="宋体" w:eastAsia="宋体" w:cs="宋体"/>
                <w:color w:val="auto"/>
                <w:sz w:val="22"/>
                <w:szCs w:val="22"/>
                <w:highlight w:val="none"/>
                <w:lang w:val="en-US" w:eastAsia="zh-CN"/>
              </w:rPr>
              <w:t>评审</w:t>
            </w:r>
            <w:r>
              <w:rPr>
                <w:rFonts w:hint="eastAsia" w:ascii="宋体" w:hAnsi="宋体" w:eastAsia="宋体" w:cs="宋体"/>
                <w:color w:val="auto"/>
                <w:sz w:val="22"/>
                <w:szCs w:val="22"/>
                <w:highlight w:val="none"/>
              </w:rPr>
              <w:t>原则，分值安排如下：</w:t>
            </w:r>
          </w:p>
          <w:p w14:paraId="22A3AAE4">
            <w:pPr>
              <w:pStyle w:val="3"/>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（1）商务技术部分（80分）</w:t>
            </w:r>
          </w:p>
          <w:tbl>
            <w:tblPr>
              <w:tblStyle w:val="60"/>
              <w:tblW w:w="4975" w:type="pct"/>
              <w:tblInd w:w="0" w:type="dxa"/>
              <w:tblLayout w:type="fixed"/>
              <w:tblCellMar>
                <w:top w:w="0" w:type="dxa"/>
                <w:left w:w="108" w:type="dxa"/>
                <w:bottom w:w="0" w:type="dxa"/>
                <w:right w:w="108" w:type="dxa"/>
              </w:tblCellMar>
            </w:tblPr>
            <w:tblGrid>
              <w:gridCol w:w="927"/>
              <w:gridCol w:w="1514"/>
              <w:gridCol w:w="1484"/>
              <w:gridCol w:w="6152"/>
            </w:tblGrid>
            <w:tr w14:paraId="1D8BF252">
              <w:tblPrEx>
                <w:tblCellMar>
                  <w:top w:w="0" w:type="dxa"/>
                  <w:left w:w="108" w:type="dxa"/>
                  <w:bottom w:w="0" w:type="dxa"/>
                  <w:right w:w="108" w:type="dxa"/>
                </w:tblCellMar>
              </w:tblPrEx>
              <w:trPr>
                <w:trHeight w:val="270" w:hRule="atLeast"/>
              </w:trPr>
              <w:tc>
                <w:tcPr>
                  <w:tcW w:w="459" w:type="pct"/>
                  <w:tcBorders>
                    <w:top w:val="single" w:color="000000" w:sz="8" w:space="0"/>
                    <w:left w:val="single" w:color="000000" w:sz="8" w:space="0"/>
                    <w:bottom w:val="single" w:color="000000" w:sz="8" w:space="0"/>
                    <w:right w:val="single" w:color="000000" w:sz="8" w:space="0"/>
                  </w:tcBorders>
                  <w:shd w:val="clear" w:color="auto" w:fill="FFFFFF"/>
                  <w:vAlign w:val="center"/>
                </w:tcPr>
                <w:p w14:paraId="2800D889">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序号</w:t>
                  </w:r>
                </w:p>
              </w:tc>
              <w:tc>
                <w:tcPr>
                  <w:tcW w:w="751" w:type="pct"/>
                  <w:tcBorders>
                    <w:top w:val="single" w:color="000000" w:sz="8" w:space="0"/>
                    <w:left w:val="nil"/>
                    <w:bottom w:val="single" w:color="000000" w:sz="8" w:space="0"/>
                    <w:right w:val="single" w:color="000000" w:sz="8" w:space="0"/>
                  </w:tcBorders>
                  <w:shd w:val="clear" w:color="auto" w:fill="FFFFFF"/>
                  <w:vAlign w:val="center"/>
                </w:tcPr>
                <w:p w14:paraId="437FD629">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评分项目</w:t>
                  </w:r>
                </w:p>
              </w:tc>
              <w:tc>
                <w:tcPr>
                  <w:tcW w:w="736" w:type="pct"/>
                  <w:tcBorders>
                    <w:top w:val="single" w:color="000000" w:sz="8" w:space="0"/>
                    <w:left w:val="nil"/>
                    <w:bottom w:val="single" w:color="000000" w:sz="8" w:space="0"/>
                    <w:right w:val="single" w:color="000000" w:sz="8" w:space="0"/>
                  </w:tcBorders>
                  <w:shd w:val="clear" w:color="auto" w:fill="FFFFFF"/>
                  <w:vAlign w:val="center"/>
                </w:tcPr>
                <w:p w14:paraId="1A47CD4C">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分值标准</w:t>
                  </w:r>
                </w:p>
              </w:tc>
              <w:tc>
                <w:tcPr>
                  <w:tcW w:w="3052" w:type="pct"/>
                  <w:tcBorders>
                    <w:top w:val="single" w:color="000000" w:sz="8" w:space="0"/>
                    <w:left w:val="nil"/>
                    <w:bottom w:val="nil"/>
                    <w:right w:val="single" w:color="000000" w:sz="8" w:space="0"/>
                  </w:tcBorders>
                  <w:shd w:val="clear" w:color="auto" w:fill="FFFFFF"/>
                  <w:vAlign w:val="center"/>
                </w:tcPr>
                <w:p w14:paraId="4F9B8D63">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分值</w:t>
                  </w:r>
                </w:p>
              </w:tc>
            </w:tr>
            <w:tr w14:paraId="6B98F4D5">
              <w:tblPrEx>
                <w:tblCellMar>
                  <w:top w:w="0" w:type="dxa"/>
                  <w:left w:w="108" w:type="dxa"/>
                  <w:bottom w:w="0" w:type="dxa"/>
                  <w:right w:w="108" w:type="dxa"/>
                </w:tblCellMar>
              </w:tblPrEx>
              <w:trPr>
                <w:trHeight w:val="2246" w:hRule="atLeast"/>
              </w:trPr>
              <w:tc>
                <w:tcPr>
                  <w:tcW w:w="459" w:type="pct"/>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1CDC0816">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1</w:t>
                  </w:r>
                </w:p>
              </w:tc>
              <w:tc>
                <w:tcPr>
                  <w:tcW w:w="751" w:type="pct"/>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402EF4BB">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供应商资信实力</w:t>
                  </w:r>
                </w:p>
              </w:tc>
              <w:tc>
                <w:tcPr>
                  <w:tcW w:w="736" w:type="pct"/>
                  <w:vMerge w:val="restart"/>
                  <w:tcBorders>
                    <w:top w:val="single" w:color="000000" w:sz="8" w:space="0"/>
                    <w:left w:val="single" w:color="000000" w:sz="8" w:space="0"/>
                    <w:bottom w:val="single" w:color="000000" w:sz="8" w:space="0"/>
                    <w:right w:val="nil"/>
                  </w:tcBorders>
                  <w:shd w:val="clear" w:color="auto" w:fill="FFFFFF"/>
                  <w:vAlign w:val="center"/>
                </w:tcPr>
                <w:p w14:paraId="646F815F">
                  <w:pPr>
                    <w:widowControl/>
                    <w:jc w:val="center"/>
                    <w:textAlignment w:val="center"/>
                    <w:rPr>
                      <w:rFonts w:hint="eastAsia" w:ascii="新宋体" w:hAnsi="新宋体" w:eastAsia="新宋体" w:cs="新宋体"/>
                      <w:color w:val="auto"/>
                      <w:szCs w:val="21"/>
                      <w:highlight w:val="none"/>
                      <w:lang w:eastAsia="zh-CN"/>
                    </w:rPr>
                  </w:pPr>
                  <w:r>
                    <w:rPr>
                      <w:rFonts w:hint="eastAsia" w:ascii="新宋体" w:hAnsi="新宋体" w:eastAsia="新宋体" w:cs="新宋体"/>
                      <w:color w:val="auto"/>
                      <w:kern w:val="0"/>
                      <w:szCs w:val="21"/>
                      <w:highlight w:val="none"/>
                      <w:lang w:val="en-US" w:eastAsia="zh-CN" w:bidi="ar"/>
                    </w:rPr>
                    <w:t>9</w:t>
                  </w:r>
                </w:p>
              </w:tc>
              <w:tc>
                <w:tcPr>
                  <w:tcW w:w="3052" w:type="pct"/>
                  <w:tcBorders>
                    <w:top w:val="single" w:color="000000" w:sz="8" w:space="0"/>
                    <w:left w:val="single" w:color="000000" w:sz="8" w:space="0"/>
                    <w:bottom w:val="single" w:color="000000" w:sz="8" w:space="0"/>
                    <w:right w:val="single" w:color="000000" w:sz="8" w:space="0"/>
                  </w:tcBorders>
                  <w:shd w:val="clear" w:color="auto" w:fill="FFFFFF"/>
                  <w:vAlign w:val="center"/>
                </w:tcPr>
                <w:p w14:paraId="318924FF">
                  <w:pPr>
                    <w:widowControl/>
                    <w:numPr>
                      <w:ilvl w:val="0"/>
                      <w:numId w:val="5"/>
                    </w:numPr>
                    <w:textAlignment w:val="center"/>
                    <w:rPr>
                      <w:rFonts w:hint="default" w:eastAsia="仿宋_GB2312"/>
                      <w:color w:val="auto"/>
                      <w:highlight w:val="none"/>
                      <w:lang w:val="en-US" w:eastAsia="zh-CN"/>
                    </w:rPr>
                  </w:pPr>
                  <w:r>
                    <w:rPr>
                      <w:rFonts w:hint="eastAsia" w:ascii="新宋体" w:hAnsi="新宋体" w:eastAsia="新宋体" w:cs="新宋体"/>
                      <w:color w:val="auto"/>
                      <w:kern w:val="0"/>
                      <w:szCs w:val="21"/>
                      <w:highlight w:val="none"/>
                      <w:lang w:bidi="ar"/>
                    </w:rPr>
                    <w:t>根据投标供应商在行业中的</w:t>
                  </w:r>
                  <w:r>
                    <w:rPr>
                      <w:rFonts w:hint="eastAsia" w:ascii="新宋体" w:hAnsi="新宋体" w:eastAsia="新宋体" w:cs="新宋体"/>
                      <w:color w:val="auto"/>
                      <w:kern w:val="0"/>
                      <w:szCs w:val="21"/>
                      <w:highlight w:val="none"/>
                      <w:lang w:val="en-US" w:eastAsia="zh-CN" w:bidi="ar"/>
                    </w:rPr>
                    <w:t>服务能力、提供的相关</w:t>
                  </w:r>
                  <w:r>
                    <w:rPr>
                      <w:rFonts w:hint="eastAsia" w:ascii="新宋体" w:hAnsi="新宋体" w:eastAsia="新宋体" w:cs="新宋体"/>
                      <w:color w:val="auto"/>
                      <w:kern w:val="0"/>
                      <w:szCs w:val="21"/>
                      <w:highlight w:val="none"/>
                      <w:lang w:bidi="ar"/>
                    </w:rPr>
                    <w:t>荣誉</w:t>
                  </w:r>
                  <w:r>
                    <w:rPr>
                      <w:rFonts w:hint="eastAsia" w:ascii="新宋体" w:hAnsi="新宋体" w:eastAsia="新宋体" w:cs="新宋体"/>
                      <w:color w:val="auto"/>
                      <w:kern w:val="0"/>
                      <w:szCs w:val="21"/>
                      <w:highlight w:val="none"/>
                      <w:lang w:val="en-US" w:eastAsia="zh-CN" w:bidi="ar"/>
                    </w:rPr>
                    <w:t>等情况对其</w:t>
                  </w:r>
                  <w:r>
                    <w:rPr>
                      <w:rFonts w:hint="eastAsia" w:ascii="新宋体" w:hAnsi="新宋体" w:eastAsia="新宋体" w:cs="新宋体"/>
                      <w:color w:val="auto"/>
                      <w:kern w:val="0"/>
                      <w:szCs w:val="21"/>
                      <w:highlight w:val="none"/>
                      <w:lang w:bidi="ar"/>
                    </w:rPr>
                    <w:t>履约能力</w:t>
                  </w:r>
                  <w:r>
                    <w:rPr>
                      <w:rFonts w:hint="eastAsia" w:ascii="新宋体" w:hAnsi="新宋体" w:eastAsia="新宋体" w:cs="新宋体"/>
                      <w:color w:val="auto"/>
                      <w:kern w:val="0"/>
                      <w:szCs w:val="21"/>
                      <w:highlight w:val="none"/>
                      <w:lang w:val="en-US" w:eastAsia="zh-CN" w:bidi="ar"/>
                    </w:rPr>
                    <w:t>进行</w:t>
                  </w:r>
                  <w:r>
                    <w:rPr>
                      <w:rFonts w:hint="eastAsia" w:ascii="新宋体" w:hAnsi="新宋体" w:eastAsia="新宋体" w:cs="新宋体"/>
                      <w:color w:val="auto"/>
                      <w:kern w:val="0"/>
                      <w:szCs w:val="21"/>
                      <w:highlight w:val="none"/>
                      <w:lang w:bidi="ar"/>
                    </w:rPr>
                    <w:t>综合打分。（0-</w:t>
                  </w:r>
                  <w:r>
                    <w:rPr>
                      <w:rFonts w:hint="eastAsia" w:ascii="新宋体" w:hAnsi="新宋体" w:eastAsia="新宋体" w:cs="新宋体"/>
                      <w:color w:val="auto"/>
                      <w:kern w:val="0"/>
                      <w:szCs w:val="21"/>
                      <w:highlight w:val="none"/>
                      <w:lang w:val="en-US" w:eastAsia="zh-CN" w:bidi="ar"/>
                    </w:rPr>
                    <w:t>5</w:t>
                  </w:r>
                  <w:r>
                    <w:rPr>
                      <w:rFonts w:hint="eastAsia" w:ascii="新宋体" w:hAnsi="新宋体" w:eastAsia="新宋体" w:cs="新宋体"/>
                      <w:color w:val="auto"/>
                      <w:kern w:val="0"/>
                      <w:szCs w:val="21"/>
                      <w:highlight w:val="none"/>
                      <w:lang w:bidi="ar"/>
                    </w:rPr>
                    <w:t>分）</w:t>
                  </w:r>
                </w:p>
                <w:p w14:paraId="4B844A3B">
                  <w:pPr>
                    <w:spacing w:line="380" w:lineRule="exact"/>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综合服务能力强、获得</w:t>
                  </w:r>
                  <w:r>
                    <w:rPr>
                      <w:rFonts w:hint="eastAsia" w:ascii="新宋体" w:hAnsi="新宋体" w:eastAsia="新宋体" w:cs="新宋体"/>
                      <w:color w:val="auto"/>
                      <w:kern w:val="0"/>
                      <w:szCs w:val="21"/>
                      <w:highlight w:val="none"/>
                      <w:lang w:val="en-US" w:eastAsia="zh-CN" w:bidi="ar"/>
                    </w:rPr>
                    <w:t>相关</w:t>
                  </w:r>
                  <w:r>
                    <w:rPr>
                      <w:rFonts w:hint="eastAsia" w:ascii="宋体" w:hAnsi="宋体" w:eastAsia="宋体" w:cs="宋体"/>
                      <w:color w:val="auto"/>
                      <w:sz w:val="21"/>
                      <w:szCs w:val="21"/>
                      <w:highlight w:val="none"/>
                      <w:lang w:val="en-US" w:eastAsia="zh-CN"/>
                    </w:rPr>
                    <w:t>荣誉多级别高、履约能力强的得5分；</w:t>
                  </w:r>
                </w:p>
                <w:p w14:paraId="2E724DC6">
                  <w:pPr>
                    <w:spacing w:line="380" w:lineRule="exact"/>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综合服务能力一般、获得</w:t>
                  </w:r>
                  <w:r>
                    <w:rPr>
                      <w:rFonts w:hint="eastAsia" w:ascii="新宋体" w:hAnsi="新宋体" w:eastAsia="新宋体" w:cs="新宋体"/>
                      <w:color w:val="auto"/>
                      <w:kern w:val="0"/>
                      <w:szCs w:val="21"/>
                      <w:highlight w:val="none"/>
                      <w:lang w:val="en-US" w:eastAsia="zh-CN" w:bidi="ar"/>
                    </w:rPr>
                    <w:t>相关</w:t>
                  </w:r>
                  <w:r>
                    <w:rPr>
                      <w:rFonts w:hint="eastAsia" w:ascii="宋体" w:hAnsi="宋体" w:eastAsia="宋体" w:cs="宋体"/>
                      <w:color w:val="auto"/>
                      <w:sz w:val="21"/>
                      <w:szCs w:val="21"/>
                      <w:highlight w:val="none"/>
                      <w:lang w:val="en-US" w:eastAsia="zh-CN"/>
                    </w:rPr>
                    <w:t>荣誉级数量、级别一般、履约能力有所欠缺的得3分；</w:t>
                  </w:r>
                </w:p>
                <w:p w14:paraId="1C804817">
                  <w:pPr>
                    <w:spacing w:line="380" w:lineRule="exact"/>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综合服务能力较弱、获得</w:t>
                  </w:r>
                  <w:r>
                    <w:rPr>
                      <w:rFonts w:hint="eastAsia" w:ascii="新宋体" w:hAnsi="新宋体" w:eastAsia="新宋体" w:cs="新宋体"/>
                      <w:color w:val="auto"/>
                      <w:kern w:val="0"/>
                      <w:szCs w:val="21"/>
                      <w:highlight w:val="none"/>
                      <w:lang w:val="en-US" w:eastAsia="zh-CN" w:bidi="ar"/>
                    </w:rPr>
                    <w:t>相关</w:t>
                  </w:r>
                  <w:r>
                    <w:rPr>
                      <w:rFonts w:hint="eastAsia" w:ascii="宋体" w:hAnsi="宋体" w:eastAsia="宋体" w:cs="宋体"/>
                      <w:color w:val="auto"/>
                      <w:sz w:val="21"/>
                      <w:szCs w:val="21"/>
                      <w:highlight w:val="none"/>
                      <w:lang w:val="en-US" w:eastAsia="zh-CN"/>
                    </w:rPr>
                    <w:t>荣誉数量少或级别较低、履约能力较差得1分；</w:t>
                  </w:r>
                </w:p>
                <w:p w14:paraId="7EB0B60C">
                  <w:pPr>
                    <w:pStyle w:val="27"/>
                    <w:ind w:left="0" w:leftChars="0" w:firstLine="0" w:firstLineChars="0"/>
                    <w:rPr>
                      <w:rFonts w:hint="default"/>
                      <w:color w:val="auto"/>
                      <w:highlight w:val="none"/>
                      <w:lang w:val="en-US" w:eastAsia="zh-CN"/>
                    </w:rPr>
                  </w:pPr>
                  <w:r>
                    <w:rPr>
                      <w:rFonts w:hint="eastAsia" w:ascii="宋体" w:hAnsi="宋体" w:eastAsia="宋体" w:cs="宋体"/>
                      <w:color w:val="auto"/>
                      <w:sz w:val="21"/>
                      <w:szCs w:val="21"/>
                      <w:highlight w:val="none"/>
                      <w:lang w:val="en-US" w:eastAsia="zh-CN"/>
                    </w:rPr>
                    <w:t>未体现相关内容或内容严重欠缺不得分。</w:t>
                  </w:r>
                </w:p>
              </w:tc>
            </w:tr>
            <w:tr w14:paraId="37CA791C">
              <w:tblPrEx>
                <w:tblCellMar>
                  <w:top w:w="0" w:type="dxa"/>
                  <w:left w:w="108" w:type="dxa"/>
                  <w:bottom w:w="0" w:type="dxa"/>
                  <w:right w:w="108" w:type="dxa"/>
                </w:tblCellMar>
              </w:tblPrEx>
              <w:trPr>
                <w:trHeight w:val="910" w:hRule="atLeast"/>
              </w:trPr>
              <w:tc>
                <w:tcPr>
                  <w:tcW w:w="459" w:type="pct"/>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5F577FA">
                  <w:pPr>
                    <w:jc w:val="center"/>
                    <w:rPr>
                      <w:rFonts w:ascii="新宋体" w:hAnsi="新宋体" w:eastAsia="新宋体" w:cs="新宋体"/>
                      <w:color w:val="auto"/>
                      <w:szCs w:val="21"/>
                      <w:highlight w:val="none"/>
                    </w:rPr>
                  </w:pPr>
                </w:p>
              </w:tc>
              <w:tc>
                <w:tcPr>
                  <w:tcW w:w="751" w:type="pct"/>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508A18B">
                  <w:pPr>
                    <w:jc w:val="center"/>
                    <w:rPr>
                      <w:rFonts w:ascii="新宋体" w:hAnsi="新宋体" w:eastAsia="新宋体" w:cs="新宋体"/>
                      <w:color w:val="auto"/>
                      <w:szCs w:val="21"/>
                      <w:highlight w:val="none"/>
                    </w:rPr>
                  </w:pPr>
                </w:p>
              </w:tc>
              <w:tc>
                <w:tcPr>
                  <w:tcW w:w="736" w:type="pct"/>
                  <w:vMerge w:val="continue"/>
                  <w:tcBorders>
                    <w:top w:val="single" w:color="000000" w:sz="8" w:space="0"/>
                    <w:left w:val="single" w:color="000000" w:sz="8" w:space="0"/>
                    <w:bottom w:val="single" w:color="000000" w:sz="8" w:space="0"/>
                    <w:right w:val="nil"/>
                  </w:tcBorders>
                  <w:shd w:val="clear" w:color="auto" w:fill="FFFFFF"/>
                  <w:vAlign w:val="center"/>
                </w:tcPr>
                <w:p w14:paraId="0729FE4F">
                  <w:pPr>
                    <w:jc w:val="center"/>
                    <w:rPr>
                      <w:rFonts w:ascii="新宋体" w:hAnsi="新宋体" w:eastAsia="新宋体" w:cs="新宋体"/>
                      <w:color w:val="auto"/>
                      <w:szCs w:val="21"/>
                      <w:highlight w:val="none"/>
                    </w:rPr>
                  </w:pPr>
                </w:p>
              </w:tc>
              <w:tc>
                <w:tcPr>
                  <w:tcW w:w="3052" w:type="pct"/>
                  <w:tcBorders>
                    <w:top w:val="nil"/>
                    <w:left w:val="single" w:color="000000" w:sz="8" w:space="0"/>
                    <w:bottom w:val="single" w:color="000000" w:sz="8" w:space="0"/>
                    <w:right w:val="single" w:color="000000" w:sz="8" w:space="0"/>
                  </w:tcBorders>
                  <w:shd w:val="clear" w:color="auto" w:fill="auto"/>
                  <w:vAlign w:val="center"/>
                </w:tcPr>
                <w:p w14:paraId="72CBF241">
                  <w:pPr>
                    <w:widowControl/>
                    <w:textAlignment w:val="center"/>
                    <w:rPr>
                      <w:rFonts w:hint="eastAsia" w:ascii="新宋体" w:hAnsi="新宋体" w:eastAsia="新宋体" w:cs="新宋体"/>
                      <w:color w:val="auto"/>
                      <w:kern w:val="0"/>
                      <w:szCs w:val="21"/>
                      <w:highlight w:val="none"/>
                      <w:lang w:bidi="ar"/>
                    </w:rPr>
                  </w:pPr>
                  <w:r>
                    <w:rPr>
                      <w:rFonts w:hint="eastAsia" w:ascii="新宋体" w:hAnsi="新宋体" w:eastAsia="新宋体" w:cs="新宋体"/>
                      <w:color w:val="auto"/>
                      <w:kern w:val="0"/>
                      <w:szCs w:val="21"/>
                      <w:highlight w:val="none"/>
                      <w:lang w:bidi="ar"/>
                    </w:rPr>
                    <w:t>2、供应商具有有效期内的质量管理体系认证证书、信息安全管理体系认证证书、信息技术服务管理体系证书、ITSS信息技术服务标准符合性证书的每项得1分，最高得</w:t>
                  </w:r>
                  <w:r>
                    <w:rPr>
                      <w:rFonts w:hint="eastAsia" w:ascii="新宋体" w:hAnsi="新宋体" w:eastAsia="新宋体" w:cs="新宋体"/>
                      <w:color w:val="auto"/>
                      <w:kern w:val="0"/>
                      <w:szCs w:val="21"/>
                      <w:highlight w:val="none"/>
                      <w:lang w:val="en-US" w:eastAsia="zh-CN" w:bidi="ar"/>
                    </w:rPr>
                    <w:t>4</w:t>
                  </w:r>
                  <w:r>
                    <w:rPr>
                      <w:rFonts w:hint="eastAsia" w:ascii="新宋体" w:hAnsi="新宋体" w:eastAsia="新宋体" w:cs="新宋体"/>
                      <w:color w:val="auto"/>
                      <w:kern w:val="0"/>
                      <w:szCs w:val="21"/>
                      <w:highlight w:val="none"/>
                      <w:lang w:bidi="ar"/>
                    </w:rPr>
                    <w:t>分。</w:t>
                  </w:r>
                </w:p>
                <w:p w14:paraId="710DC1A3">
                  <w:pPr>
                    <w:widowControl/>
                    <w:textAlignment w:val="center"/>
                    <w:rPr>
                      <w:rFonts w:hint="eastAsia" w:ascii="新宋体" w:hAnsi="新宋体" w:eastAsia="新宋体" w:cs="新宋体"/>
                      <w:color w:val="auto"/>
                      <w:kern w:val="0"/>
                      <w:szCs w:val="21"/>
                      <w:highlight w:val="none"/>
                      <w:lang w:bidi="ar"/>
                    </w:rPr>
                  </w:pPr>
                  <w:r>
                    <w:rPr>
                      <w:rFonts w:hint="eastAsia" w:ascii="新宋体" w:hAnsi="新宋体" w:eastAsia="新宋体" w:cs="新宋体"/>
                      <w:color w:val="auto"/>
                      <w:kern w:val="0"/>
                      <w:szCs w:val="21"/>
                      <w:highlight w:val="none"/>
                      <w:lang w:bidi="ar"/>
                    </w:rPr>
                    <w:t>注：需提供有效</w:t>
                  </w:r>
                  <w:r>
                    <w:rPr>
                      <w:rFonts w:hint="eastAsia" w:ascii="新宋体" w:hAnsi="新宋体" w:eastAsia="新宋体" w:cs="新宋体"/>
                      <w:color w:val="auto"/>
                      <w:kern w:val="0"/>
                      <w:szCs w:val="21"/>
                      <w:highlight w:val="none"/>
                      <w:lang w:val="en-US" w:eastAsia="zh-CN" w:bidi="ar"/>
                    </w:rPr>
                    <w:t>期内的</w:t>
                  </w:r>
                  <w:r>
                    <w:rPr>
                      <w:rFonts w:hint="eastAsia" w:ascii="新宋体" w:hAnsi="新宋体" w:eastAsia="新宋体" w:cs="新宋体"/>
                      <w:color w:val="auto"/>
                      <w:kern w:val="0"/>
                      <w:szCs w:val="21"/>
                      <w:highlight w:val="none"/>
                      <w:lang w:bidi="ar"/>
                    </w:rPr>
                    <w:t>认证证书扫描件,</w:t>
                  </w:r>
                  <w:r>
                    <w:rPr>
                      <w:rFonts w:hint="eastAsia" w:ascii="新宋体" w:hAnsi="新宋体" w:eastAsia="新宋体" w:cs="新宋体"/>
                      <w:color w:val="auto"/>
                      <w:kern w:val="0"/>
                      <w:szCs w:val="21"/>
                      <w:highlight w:val="none"/>
                      <w:lang w:val="en-US" w:eastAsia="zh-CN" w:bidi="ar"/>
                    </w:rPr>
                    <w:t>并加盖公章，</w:t>
                  </w:r>
                  <w:r>
                    <w:rPr>
                      <w:rFonts w:hint="eastAsia" w:ascii="新宋体" w:hAnsi="新宋体" w:eastAsia="新宋体" w:cs="新宋体"/>
                      <w:color w:val="auto"/>
                      <w:kern w:val="0"/>
                      <w:szCs w:val="21"/>
                      <w:highlight w:val="none"/>
                      <w:lang w:bidi="ar"/>
                    </w:rPr>
                    <w:t>否则不得分。</w:t>
                  </w:r>
                </w:p>
              </w:tc>
            </w:tr>
            <w:tr w14:paraId="09852276">
              <w:tblPrEx>
                <w:tblCellMar>
                  <w:top w:w="0" w:type="dxa"/>
                  <w:left w:w="108" w:type="dxa"/>
                  <w:bottom w:w="0" w:type="dxa"/>
                  <w:right w:w="108" w:type="dxa"/>
                </w:tblCellMar>
              </w:tblPrEx>
              <w:trPr>
                <w:trHeight w:val="903" w:hRule="atLeast"/>
              </w:trPr>
              <w:tc>
                <w:tcPr>
                  <w:tcW w:w="459" w:type="pct"/>
                  <w:tcBorders>
                    <w:top w:val="nil"/>
                    <w:left w:val="single" w:color="000000" w:sz="8" w:space="0"/>
                    <w:bottom w:val="single" w:color="000000" w:sz="8" w:space="0"/>
                    <w:right w:val="single" w:color="000000" w:sz="8" w:space="0"/>
                  </w:tcBorders>
                  <w:shd w:val="clear" w:color="auto" w:fill="auto"/>
                  <w:vAlign w:val="center"/>
                </w:tcPr>
                <w:p w14:paraId="6D94FA6A">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2</w:t>
                  </w:r>
                </w:p>
              </w:tc>
              <w:tc>
                <w:tcPr>
                  <w:tcW w:w="751" w:type="pct"/>
                  <w:tcBorders>
                    <w:top w:val="nil"/>
                    <w:left w:val="nil"/>
                    <w:bottom w:val="single" w:color="000000" w:sz="8" w:space="0"/>
                    <w:right w:val="single" w:color="000000" w:sz="8" w:space="0"/>
                  </w:tcBorders>
                  <w:shd w:val="clear" w:color="auto" w:fill="auto"/>
                  <w:vAlign w:val="center"/>
                </w:tcPr>
                <w:p w14:paraId="0757AD25">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供应商业绩</w:t>
                  </w:r>
                </w:p>
              </w:tc>
              <w:tc>
                <w:tcPr>
                  <w:tcW w:w="736" w:type="pct"/>
                  <w:tcBorders>
                    <w:top w:val="nil"/>
                    <w:left w:val="nil"/>
                    <w:bottom w:val="single" w:color="000000" w:sz="8" w:space="0"/>
                    <w:right w:val="single" w:color="000000" w:sz="8" w:space="0"/>
                  </w:tcBorders>
                  <w:shd w:val="clear" w:color="auto" w:fill="auto"/>
                  <w:vAlign w:val="center"/>
                </w:tcPr>
                <w:p w14:paraId="499A2900">
                  <w:pPr>
                    <w:widowControl/>
                    <w:jc w:val="center"/>
                    <w:textAlignment w:val="center"/>
                    <w:rPr>
                      <w:rFonts w:hint="eastAsia" w:ascii="新宋体" w:hAnsi="新宋体" w:eastAsia="新宋体" w:cs="新宋体"/>
                      <w:color w:val="auto"/>
                      <w:szCs w:val="21"/>
                      <w:highlight w:val="none"/>
                      <w:lang w:eastAsia="zh-CN"/>
                    </w:rPr>
                  </w:pPr>
                  <w:r>
                    <w:rPr>
                      <w:rFonts w:hint="eastAsia" w:ascii="新宋体" w:hAnsi="新宋体" w:eastAsia="新宋体" w:cs="新宋体"/>
                      <w:color w:val="auto"/>
                      <w:kern w:val="0"/>
                      <w:szCs w:val="21"/>
                      <w:highlight w:val="none"/>
                      <w:lang w:val="en-US" w:eastAsia="zh-CN" w:bidi="ar"/>
                    </w:rPr>
                    <w:t>2</w:t>
                  </w:r>
                </w:p>
              </w:tc>
              <w:tc>
                <w:tcPr>
                  <w:tcW w:w="3052" w:type="pct"/>
                  <w:tcBorders>
                    <w:top w:val="nil"/>
                    <w:left w:val="nil"/>
                    <w:bottom w:val="single" w:color="000000" w:sz="8" w:space="0"/>
                    <w:right w:val="single" w:color="000000" w:sz="8" w:space="0"/>
                  </w:tcBorders>
                  <w:shd w:val="clear" w:color="auto" w:fill="auto"/>
                  <w:vAlign w:val="center"/>
                </w:tcPr>
                <w:p w14:paraId="452ED715">
                  <w:pPr>
                    <w:widowControl/>
                    <w:textAlignment w:val="center"/>
                    <w:rPr>
                      <w:rFonts w:hint="eastAsia" w:ascii="新宋体" w:hAnsi="新宋体" w:eastAsia="新宋体" w:cs="新宋体"/>
                      <w:color w:val="auto"/>
                      <w:kern w:val="0"/>
                      <w:szCs w:val="21"/>
                      <w:highlight w:val="none"/>
                      <w:lang w:bidi="ar"/>
                    </w:rPr>
                  </w:pPr>
                  <w:r>
                    <w:rPr>
                      <w:rFonts w:hint="eastAsia" w:ascii="新宋体" w:hAnsi="新宋体" w:eastAsia="新宋体" w:cs="新宋体"/>
                      <w:color w:val="auto"/>
                      <w:kern w:val="0"/>
                      <w:szCs w:val="21"/>
                      <w:highlight w:val="none"/>
                      <w:lang w:bidi="ar"/>
                    </w:rPr>
                    <w:t>供应商提供2020年1月1日以来同类项目业绩，</w:t>
                  </w:r>
                  <w:r>
                    <w:rPr>
                      <w:rFonts w:hint="eastAsia" w:ascii="新宋体" w:hAnsi="新宋体" w:eastAsia="新宋体" w:cs="新宋体"/>
                      <w:color w:val="auto"/>
                      <w:kern w:val="0"/>
                      <w:szCs w:val="21"/>
                      <w:highlight w:val="none"/>
                      <w:lang w:bidi="ar"/>
                    </w:rPr>
                    <w:t>1个得</w:t>
                  </w:r>
                  <w:r>
                    <w:rPr>
                      <w:rFonts w:hint="eastAsia" w:ascii="新宋体" w:hAnsi="新宋体" w:eastAsia="新宋体" w:cs="新宋体"/>
                      <w:color w:val="auto"/>
                      <w:kern w:val="0"/>
                      <w:szCs w:val="21"/>
                      <w:highlight w:val="none"/>
                      <w:lang w:val="en-US" w:eastAsia="zh-CN" w:bidi="ar"/>
                    </w:rPr>
                    <w:t>1</w:t>
                  </w:r>
                  <w:r>
                    <w:rPr>
                      <w:rFonts w:hint="eastAsia" w:ascii="新宋体" w:hAnsi="新宋体" w:eastAsia="新宋体" w:cs="新宋体"/>
                      <w:color w:val="auto"/>
                      <w:kern w:val="0"/>
                      <w:szCs w:val="21"/>
                      <w:highlight w:val="none"/>
                      <w:lang w:bidi="ar"/>
                    </w:rPr>
                    <w:t>分，本项最高</w:t>
                  </w:r>
                  <w:r>
                    <w:rPr>
                      <w:rFonts w:hint="eastAsia" w:ascii="新宋体" w:hAnsi="新宋体" w:eastAsia="新宋体" w:cs="新宋体"/>
                      <w:color w:val="auto"/>
                      <w:kern w:val="0"/>
                      <w:szCs w:val="21"/>
                      <w:highlight w:val="none"/>
                      <w:lang w:val="en-US" w:eastAsia="zh-CN" w:bidi="ar"/>
                    </w:rPr>
                    <w:t>2</w:t>
                  </w:r>
                  <w:r>
                    <w:rPr>
                      <w:rFonts w:hint="eastAsia" w:ascii="新宋体" w:hAnsi="新宋体" w:eastAsia="新宋体" w:cs="新宋体"/>
                      <w:color w:val="auto"/>
                      <w:kern w:val="0"/>
                      <w:szCs w:val="21"/>
                      <w:highlight w:val="none"/>
                      <w:lang w:bidi="ar"/>
                    </w:rPr>
                    <w:t>分。</w:t>
                  </w:r>
                </w:p>
                <w:p w14:paraId="3A23C68F">
                  <w:pPr>
                    <w:widowControl/>
                    <w:textAlignment w:val="center"/>
                    <w:rPr>
                      <w:rFonts w:hint="eastAsia" w:ascii="新宋体" w:hAnsi="新宋体" w:eastAsia="新宋体" w:cs="新宋体"/>
                      <w:color w:val="auto"/>
                      <w:kern w:val="0"/>
                      <w:szCs w:val="21"/>
                      <w:highlight w:val="none"/>
                      <w:lang w:bidi="ar"/>
                    </w:rPr>
                  </w:pPr>
                  <w:r>
                    <w:rPr>
                      <w:rFonts w:hint="eastAsia" w:ascii="新宋体" w:hAnsi="新宋体" w:eastAsia="新宋体" w:cs="新宋体"/>
                      <w:color w:val="auto"/>
                      <w:kern w:val="0"/>
                      <w:szCs w:val="21"/>
                      <w:highlight w:val="none"/>
                      <w:lang w:bidi="ar"/>
                    </w:rPr>
                    <w:t>（提供合同扫描件，业绩认定时间以合同签订时间为准。）</w:t>
                  </w:r>
                </w:p>
              </w:tc>
            </w:tr>
            <w:tr w14:paraId="636BAB26">
              <w:tblPrEx>
                <w:tblCellMar>
                  <w:top w:w="0" w:type="dxa"/>
                  <w:left w:w="108" w:type="dxa"/>
                  <w:bottom w:w="0" w:type="dxa"/>
                  <w:right w:w="108" w:type="dxa"/>
                </w:tblCellMar>
              </w:tblPrEx>
              <w:trPr>
                <w:trHeight w:val="3030" w:hRule="atLeast"/>
              </w:trPr>
              <w:tc>
                <w:tcPr>
                  <w:tcW w:w="459" w:type="pct"/>
                  <w:tcBorders>
                    <w:top w:val="nil"/>
                    <w:left w:val="single" w:color="000000" w:sz="8" w:space="0"/>
                    <w:bottom w:val="single" w:color="000000" w:sz="8" w:space="0"/>
                    <w:right w:val="single" w:color="000000" w:sz="8" w:space="0"/>
                  </w:tcBorders>
                  <w:shd w:val="clear" w:color="auto" w:fill="auto"/>
                  <w:vAlign w:val="center"/>
                </w:tcPr>
                <w:p w14:paraId="5387B96B">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3</w:t>
                  </w:r>
                </w:p>
              </w:tc>
              <w:tc>
                <w:tcPr>
                  <w:tcW w:w="751" w:type="pct"/>
                  <w:tcBorders>
                    <w:top w:val="nil"/>
                    <w:left w:val="nil"/>
                    <w:bottom w:val="single" w:color="000000" w:sz="8" w:space="0"/>
                    <w:right w:val="single" w:color="000000" w:sz="8" w:space="0"/>
                  </w:tcBorders>
                  <w:shd w:val="clear" w:color="auto" w:fill="auto"/>
                  <w:vAlign w:val="center"/>
                </w:tcPr>
                <w:p w14:paraId="18E132B0">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技术服务能力</w:t>
                  </w:r>
                </w:p>
              </w:tc>
              <w:tc>
                <w:tcPr>
                  <w:tcW w:w="736" w:type="pct"/>
                  <w:tcBorders>
                    <w:top w:val="nil"/>
                    <w:left w:val="nil"/>
                    <w:bottom w:val="single" w:color="000000" w:sz="8" w:space="0"/>
                    <w:right w:val="single" w:color="000000" w:sz="8" w:space="0"/>
                  </w:tcBorders>
                  <w:shd w:val="clear" w:color="auto" w:fill="auto"/>
                  <w:vAlign w:val="center"/>
                </w:tcPr>
                <w:p w14:paraId="1262443C">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9</w:t>
                  </w:r>
                </w:p>
              </w:tc>
              <w:tc>
                <w:tcPr>
                  <w:tcW w:w="3052"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55CED00">
                  <w:pPr>
                    <w:widowControl/>
                    <w:textAlignment w:val="center"/>
                    <w:rPr>
                      <w:rFonts w:hint="eastAsia" w:ascii="新宋体" w:hAnsi="新宋体" w:eastAsia="新宋体" w:cs="新宋体"/>
                      <w:color w:val="auto"/>
                      <w:kern w:val="0"/>
                      <w:szCs w:val="21"/>
                      <w:highlight w:val="none"/>
                      <w:lang w:bidi="ar"/>
                    </w:rPr>
                  </w:pPr>
                  <w:r>
                    <w:rPr>
                      <w:rFonts w:hint="eastAsia" w:ascii="新宋体" w:hAnsi="新宋体" w:eastAsia="新宋体" w:cs="新宋体"/>
                      <w:color w:val="auto"/>
                      <w:kern w:val="0"/>
                      <w:szCs w:val="21"/>
                      <w:highlight w:val="none"/>
                      <w:lang w:val="en-US" w:eastAsia="zh-CN" w:bidi="ar"/>
                    </w:rPr>
                    <w:t>（1</w:t>
                  </w:r>
                  <w:r>
                    <w:rPr>
                      <w:rFonts w:hint="eastAsia" w:ascii="新宋体" w:hAnsi="新宋体" w:eastAsia="新宋体" w:cs="新宋体"/>
                      <w:color w:val="auto"/>
                      <w:kern w:val="0"/>
                      <w:szCs w:val="21"/>
                      <w:highlight w:val="none"/>
                      <w:lang w:eastAsia="zh-CN" w:bidi="ar"/>
                    </w:rPr>
                    <w:t>）</w:t>
                  </w:r>
                  <w:r>
                    <w:rPr>
                      <w:rFonts w:hint="eastAsia" w:ascii="新宋体" w:hAnsi="新宋体" w:eastAsia="新宋体" w:cs="新宋体"/>
                      <w:color w:val="auto"/>
                      <w:kern w:val="0"/>
                      <w:szCs w:val="21"/>
                      <w:highlight w:val="none"/>
                      <w:lang w:bidi="ar"/>
                    </w:rPr>
                    <w:t>项目负责人具有全国计算机软件资格考试通过的信息系统项目管理师、数据库工程师以及Oracle认证数据库专家（OCP)证书, 具备两个证书以上的得4分，具备一个证书得2分。</w:t>
                  </w:r>
                </w:p>
                <w:p w14:paraId="6111A4FF">
                  <w:pPr>
                    <w:widowControl/>
                    <w:textAlignment w:val="center"/>
                    <w:rPr>
                      <w:rFonts w:hint="eastAsia" w:ascii="新宋体" w:hAnsi="新宋体" w:eastAsia="新宋体" w:cs="新宋体"/>
                      <w:color w:val="auto"/>
                      <w:kern w:val="0"/>
                      <w:szCs w:val="21"/>
                      <w:highlight w:val="none"/>
                      <w:lang w:bidi="ar"/>
                    </w:rPr>
                  </w:pPr>
                  <w:r>
                    <w:rPr>
                      <w:rFonts w:hint="eastAsia" w:ascii="新宋体" w:hAnsi="新宋体" w:eastAsia="新宋体" w:cs="新宋体"/>
                      <w:color w:val="auto"/>
                      <w:kern w:val="0"/>
                      <w:szCs w:val="21"/>
                      <w:highlight w:val="none"/>
                      <w:lang w:bidi="ar"/>
                    </w:rPr>
                    <w:t>（2）项目技术负责人具有全国软考系统架构设计师、软件设计师，具备两个证书得2分，一个证书得1分。</w:t>
                  </w:r>
                  <w:r>
                    <w:rPr>
                      <w:rFonts w:hint="eastAsia" w:ascii="新宋体" w:hAnsi="新宋体" w:eastAsia="新宋体" w:cs="新宋体"/>
                      <w:color w:val="auto"/>
                      <w:kern w:val="0"/>
                      <w:szCs w:val="21"/>
                      <w:highlight w:val="none"/>
                      <w:lang w:bidi="ar"/>
                    </w:rPr>
                    <w:br w:type="textWrapping"/>
                  </w:r>
                  <w:r>
                    <w:rPr>
                      <w:rFonts w:hint="eastAsia" w:ascii="新宋体" w:hAnsi="新宋体" w:eastAsia="新宋体" w:cs="新宋体"/>
                      <w:color w:val="auto"/>
                      <w:kern w:val="0"/>
                      <w:szCs w:val="21"/>
                      <w:highlight w:val="none"/>
                      <w:lang w:bidi="ar"/>
                    </w:rPr>
                    <w:t>（3）技术团队中，成员具有系统分析师、系统集成项目管理师、软件设计师等，每提供一个得1分，满分3分。</w:t>
                  </w:r>
                </w:p>
                <w:p w14:paraId="5EE07169">
                  <w:pPr>
                    <w:widowControl/>
                    <w:textAlignment w:val="center"/>
                    <w:rPr>
                      <w:rFonts w:hint="eastAsia" w:ascii="新宋体" w:hAnsi="新宋体" w:eastAsia="新宋体" w:cs="新宋体"/>
                      <w:color w:val="auto"/>
                      <w:kern w:val="0"/>
                      <w:szCs w:val="21"/>
                      <w:highlight w:val="none"/>
                      <w:lang w:bidi="ar"/>
                    </w:rPr>
                  </w:pPr>
                  <w:r>
                    <w:rPr>
                      <w:rFonts w:hint="eastAsia" w:ascii="新宋体" w:hAnsi="新宋体" w:eastAsia="新宋体" w:cs="新宋体"/>
                      <w:color w:val="auto"/>
                      <w:kern w:val="0"/>
                      <w:szCs w:val="21"/>
                      <w:highlight w:val="none"/>
                      <w:lang w:bidi="ar"/>
                    </w:rPr>
                    <w:t>注：须提供人员证书复印件及</w:t>
                  </w:r>
                  <w:r>
                    <w:rPr>
                      <w:rFonts w:hint="eastAsia" w:ascii="新宋体" w:hAnsi="新宋体" w:eastAsia="新宋体" w:cs="新宋体"/>
                      <w:color w:val="auto"/>
                      <w:kern w:val="0"/>
                      <w:szCs w:val="21"/>
                      <w:highlight w:val="none"/>
                      <w:lang w:val="en-US" w:eastAsia="zh-CN" w:bidi="ar"/>
                    </w:rPr>
                    <w:t>在</w:t>
                  </w:r>
                  <w:r>
                    <w:rPr>
                      <w:rFonts w:hint="eastAsia" w:ascii="新宋体" w:hAnsi="新宋体" w:eastAsia="新宋体" w:cs="新宋体"/>
                      <w:color w:val="auto"/>
                      <w:kern w:val="0"/>
                      <w:szCs w:val="21"/>
                      <w:highlight w:val="none"/>
                      <w:lang w:bidi="ar"/>
                    </w:rPr>
                    <w:t>本单位近3个月内</w:t>
                  </w:r>
                  <w:r>
                    <w:rPr>
                      <w:rFonts w:hint="eastAsia" w:ascii="新宋体" w:hAnsi="新宋体" w:eastAsia="新宋体" w:cs="新宋体"/>
                      <w:color w:val="auto"/>
                      <w:kern w:val="0"/>
                      <w:szCs w:val="21"/>
                      <w:highlight w:val="none"/>
                      <w:lang w:val="en-US" w:eastAsia="zh-CN" w:bidi="ar"/>
                    </w:rPr>
                    <w:t>任意</w:t>
                  </w:r>
                  <w:r>
                    <w:rPr>
                      <w:rFonts w:hint="eastAsia" w:ascii="新宋体" w:hAnsi="新宋体" w:eastAsia="新宋体" w:cs="新宋体"/>
                      <w:color w:val="auto"/>
                      <w:kern w:val="0"/>
                      <w:szCs w:val="21"/>
                      <w:highlight w:val="none"/>
                      <w:lang w:bidi="ar"/>
                    </w:rPr>
                    <w:t>一个月的社保证明，否则不得分。</w:t>
                  </w:r>
                </w:p>
              </w:tc>
            </w:tr>
            <w:tr w14:paraId="0A85651B">
              <w:tblPrEx>
                <w:tblCellMar>
                  <w:top w:w="0" w:type="dxa"/>
                  <w:left w:w="108" w:type="dxa"/>
                  <w:bottom w:w="0" w:type="dxa"/>
                  <w:right w:w="108" w:type="dxa"/>
                </w:tblCellMar>
              </w:tblPrEx>
              <w:trPr>
                <w:trHeight w:val="2592" w:hRule="atLeast"/>
              </w:trPr>
              <w:tc>
                <w:tcPr>
                  <w:tcW w:w="45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491C120">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4</w:t>
                  </w:r>
                </w:p>
              </w:tc>
              <w:tc>
                <w:tcPr>
                  <w:tcW w:w="751" w:type="pct"/>
                  <w:tcBorders>
                    <w:top w:val="single" w:color="000000" w:sz="8" w:space="0"/>
                    <w:left w:val="nil"/>
                    <w:bottom w:val="single" w:color="000000" w:sz="8" w:space="0"/>
                    <w:right w:val="single" w:color="000000" w:sz="8" w:space="0"/>
                  </w:tcBorders>
                  <w:shd w:val="clear" w:color="auto" w:fill="auto"/>
                  <w:vAlign w:val="center"/>
                </w:tcPr>
                <w:p w14:paraId="56AAA6D0">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针对本项目提出的详细项目技术方案</w:t>
                  </w:r>
                </w:p>
              </w:tc>
              <w:tc>
                <w:tcPr>
                  <w:tcW w:w="736" w:type="pct"/>
                  <w:tcBorders>
                    <w:top w:val="single" w:color="000000" w:sz="8" w:space="0"/>
                    <w:left w:val="nil"/>
                    <w:bottom w:val="single" w:color="000000" w:sz="8" w:space="0"/>
                    <w:right w:val="single" w:color="000000" w:sz="8" w:space="0"/>
                  </w:tcBorders>
                  <w:shd w:val="clear" w:color="auto" w:fill="auto"/>
                  <w:vAlign w:val="center"/>
                </w:tcPr>
                <w:p w14:paraId="6BCE709F">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20</w:t>
                  </w:r>
                </w:p>
              </w:tc>
              <w:tc>
                <w:tcPr>
                  <w:tcW w:w="3052" w:type="pct"/>
                  <w:tcBorders>
                    <w:top w:val="single" w:color="000000" w:sz="8" w:space="0"/>
                    <w:left w:val="single" w:color="000000" w:sz="8" w:space="0"/>
                    <w:bottom w:val="single" w:color="auto" w:sz="4" w:space="0"/>
                    <w:right w:val="single" w:color="000000" w:sz="8" w:space="0"/>
                  </w:tcBorders>
                  <w:shd w:val="clear" w:color="auto" w:fill="auto"/>
                  <w:vAlign w:val="center"/>
                </w:tcPr>
                <w:p w14:paraId="183975A8">
                  <w:pPr>
                    <w:widowControl/>
                    <w:numPr>
                      <w:ilvl w:val="0"/>
                      <w:numId w:val="6"/>
                    </w:numPr>
                    <w:textAlignment w:val="center"/>
                    <w:rPr>
                      <w:rFonts w:hint="eastAsia" w:cs="Arial" w:asciiTheme="majorEastAsia" w:hAnsiTheme="majorEastAsia" w:eastAsiaTheme="majorEastAsia"/>
                      <w:color w:val="auto"/>
                      <w:sz w:val="22"/>
                      <w:szCs w:val="22"/>
                      <w:highlight w:val="none"/>
                    </w:rPr>
                  </w:pPr>
                  <w:r>
                    <w:rPr>
                      <w:rFonts w:hint="eastAsia" w:cs="Arial" w:asciiTheme="majorEastAsia" w:hAnsiTheme="majorEastAsia" w:eastAsiaTheme="majorEastAsia"/>
                      <w:color w:val="auto"/>
                      <w:sz w:val="22"/>
                      <w:szCs w:val="22"/>
                      <w:highlight w:val="none"/>
                    </w:rPr>
                    <w:t>对本次项目的政策背景、需求分析、系统功能、设计原则、总体架构理解是否准确、合理、综合评价。（0-4分）；</w:t>
                  </w:r>
                </w:p>
                <w:p w14:paraId="77F1C596">
                  <w:pPr>
                    <w:widowControl/>
                    <w:numPr>
                      <w:ilvl w:val="0"/>
                      <w:numId w:val="6"/>
                    </w:numPr>
                    <w:ind w:left="0" w:leftChars="0" w:firstLine="0" w:firstLineChars="0"/>
                    <w:textAlignment w:val="center"/>
                    <w:rPr>
                      <w:color w:val="auto"/>
                      <w:highlight w:val="none"/>
                    </w:rPr>
                  </w:pPr>
                  <w:r>
                    <w:rPr>
                      <w:rFonts w:hint="eastAsia" w:cs="Arial" w:asciiTheme="majorEastAsia" w:hAnsiTheme="majorEastAsia" w:eastAsiaTheme="majorEastAsia"/>
                      <w:color w:val="auto"/>
                      <w:sz w:val="22"/>
                      <w:szCs w:val="22"/>
                      <w:highlight w:val="none"/>
                    </w:rPr>
                    <w:t>基于对本项目的充分了解，对溯源任务数据源管理模块中信访数据管理、警情数据管理、执法数据管理、案件类数据管理、风险类数据管理等功能进行综合评价（0-4分）；</w:t>
                  </w:r>
                </w:p>
                <w:p w14:paraId="69C375A7">
                  <w:pPr>
                    <w:widowControl/>
                    <w:numPr>
                      <w:ilvl w:val="0"/>
                      <w:numId w:val="6"/>
                    </w:numPr>
                    <w:ind w:left="0" w:leftChars="0" w:firstLine="0" w:firstLineChars="0"/>
                    <w:textAlignment w:val="center"/>
                    <w:rPr>
                      <w:rFonts w:hint="eastAsia" w:cs="Arial" w:asciiTheme="majorEastAsia" w:hAnsiTheme="majorEastAsia" w:eastAsiaTheme="majorEastAsia"/>
                      <w:color w:val="auto"/>
                      <w:sz w:val="22"/>
                      <w:szCs w:val="22"/>
                      <w:highlight w:val="none"/>
                    </w:rPr>
                  </w:pPr>
                  <w:r>
                    <w:rPr>
                      <w:rFonts w:hint="eastAsia" w:cs="Arial" w:asciiTheme="majorEastAsia" w:hAnsiTheme="majorEastAsia" w:eastAsiaTheme="majorEastAsia"/>
                      <w:color w:val="auto"/>
                      <w:sz w:val="22"/>
                      <w:szCs w:val="22"/>
                      <w:highlight w:val="none"/>
                    </w:rPr>
                    <w:t>基于对本项目的充分了解，对溯源任务全流程模块中溯源任务管理、溯源任务流转、溯源任务报告管理、追责人员管理、机制等功能进行综合评价（0-4分）；</w:t>
                  </w:r>
                  <w:r>
                    <w:rPr>
                      <w:rFonts w:hint="eastAsia" w:cs="Arial" w:asciiTheme="majorEastAsia" w:hAnsiTheme="majorEastAsia" w:eastAsiaTheme="majorEastAsia"/>
                      <w:color w:val="auto"/>
                      <w:sz w:val="22"/>
                      <w:szCs w:val="22"/>
                      <w:highlight w:val="none"/>
                    </w:rPr>
                    <w:br w:type="textWrapping"/>
                  </w:r>
                  <w:r>
                    <w:rPr>
                      <w:rFonts w:cs="Arial" w:asciiTheme="majorEastAsia" w:hAnsiTheme="majorEastAsia" w:eastAsiaTheme="majorEastAsia"/>
                      <w:color w:val="auto"/>
                      <w:sz w:val="22"/>
                      <w:szCs w:val="22"/>
                      <w:highlight w:val="none"/>
                    </w:rPr>
                    <w:t>4</w:t>
                  </w:r>
                  <w:r>
                    <w:rPr>
                      <w:rFonts w:hint="eastAsia" w:cs="Arial" w:asciiTheme="majorEastAsia" w:hAnsiTheme="majorEastAsia" w:eastAsiaTheme="majorEastAsia"/>
                      <w:color w:val="auto"/>
                      <w:sz w:val="22"/>
                      <w:szCs w:val="22"/>
                      <w:highlight w:val="none"/>
                    </w:rPr>
                    <w:t>、项目具备全市部署基础能力设计全面完整（0-4分）；</w:t>
                  </w:r>
                  <w:r>
                    <w:rPr>
                      <w:rFonts w:hint="eastAsia" w:cs="Arial" w:asciiTheme="majorEastAsia" w:hAnsiTheme="majorEastAsia" w:eastAsiaTheme="majorEastAsia"/>
                      <w:color w:val="auto"/>
                      <w:sz w:val="22"/>
                      <w:szCs w:val="22"/>
                      <w:highlight w:val="none"/>
                    </w:rPr>
                    <w:br w:type="textWrapping"/>
                  </w:r>
                  <w:r>
                    <w:rPr>
                      <w:rFonts w:cs="Arial" w:asciiTheme="majorEastAsia" w:hAnsiTheme="majorEastAsia" w:eastAsiaTheme="majorEastAsia"/>
                      <w:color w:val="auto"/>
                      <w:sz w:val="22"/>
                      <w:szCs w:val="22"/>
                      <w:highlight w:val="none"/>
                    </w:rPr>
                    <w:t>5</w:t>
                  </w:r>
                  <w:r>
                    <w:rPr>
                      <w:rFonts w:hint="eastAsia" w:cs="Arial" w:asciiTheme="majorEastAsia" w:hAnsiTheme="majorEastAsia" w:eastAsiaTheme="majorEastAsia"/>
                      <w:color w:val="auto"/>
                      <w:sz w:val="22"/>
                      <w:szCs w:val="22"/>
                      <w:highlight w:val="none"/>
                    </w:rPr>
                    <w:t>、对数据分析设计全面完整，需包含的溯源任务数据源、溯源任务、相关部门、相关人员等模块进行综合评价；（0-4分）；</w:t>
                  </w:r>
                </w:p>
                <w:p w14:paraId="194198C4">
                  <w:pPr>
                    <w:pStyle w:val="71"/>
                    <w:numPr>
                      <w:ilvl w:val="0"/>
                      <w:numId w:val="0"/>
                    </w:numPr>
                    <w:rPr>
                      <w:rFonts w:hint="default" w:ascii="新宋体" w:hAnsi="新宋体" w:eastAsia="新宋体" w:cs="新宋体"/>
                      <w:color w:val="auto"/>
                      <w:kern w:val="0"/>
                      <w:sz w:val="22"/>
                      <w:szCs w:val="22"/>
                      <w:highlight w:val="none"/>
                      <w:lang w:val="en-US" w:eastAsia="zh-CN"/>
                    </w:rPr>
                  </w:pPr>
                  <w:r>
                    <w:rPr>
                      <w:rFonts w:hint="eastAsia" w:ascii="新宋体" w:hAnsi="新宋体" w:eastAsia="新宋体" w:cs="新宋体"/>
                      <w:color w:val="auto"/>
                      <w:kern w:val="0"/>
                      <w:sz w:val="22"/>
                      <w:szCs w:val="22"/>
                      <w:highlight w:val="none"/>
                      <w:lang w:val="en-US" w:eastAsia="zh-CN"/>
                    </w:rPr>
                    <w:t>以上1-5项技术方案均按如下标准进行评定：</w:t>
                  </w:r>
                </w:p>
                <w:p w14:paraId="5B4216BF">
                  <w:pPr>
                    <w:pStyle w:val="71"/>
                    <w:numPr>
                      <w:ilvl w:val="0"/>
                      <w:numId w:val="0"/>
                    </w:num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供应商对</w:t>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"https://www.zcygov.cn/proj-procurement/project-result-detail/6182f7a41ae2b154" \t "https://www.zcygov.cn/bid-inviting/purchaseFileMake/_blank"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平台系统</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t>架构功能及运行</w:t>
                  </w:r>
                  <w:r>
                    <w:rPr>
                      <w:rFonts w:hint="eastAsia" w:ascii="新宋体" w:hAnsi="新宋体" w:eastAsia="新宋体" w:cs="新宋体"/>
                      <w:color w:val="auto"/>
                      <w:kern w:val="0"/>
                      <w:sz w:val="22"/>
                      <w:szCs w:val="22"/>
                      <w:highlight w:val="none"/>
                    </w:rPr>
                    <w:t>现状了解全面、深入详细、准确到位，</w:t>
                  </w:r>
                  <w:r>
                    <w:rPr>
                      <w:rFonts w:hint="eastAsia" w:ascii="新宋体" w:hAnsi="新宋体" w:eastAsia="新宋体" w:cs="新宋体"/>
                      <w:color w:val="auto"/>
                      <w:kern w:val="0"/>
                      <w:sz w:val="22"/>
                      <w:szCs w:val="22"/>
                      <w:highlight w:val="none"/>
                      <w:lang w:val="en-US" w:eastAsia="zh-CN"/>
                    </w:rPr>
                    <w:t>制定的技术方案</w:t>
                  </w:r>
                  <w:r>
                    <w:rPr>
                      <w:rFonts w:hint="eastAsia" w:ascii="新宋体" w:hAnsi="新宋体" w:eastAsia="新宋体" w:cs="新宋体"/>
                      <w:color w:val="auto"/>
                      <w:kern w:val="0"/>
                      <w:sz w:val="22"/>
                      <w:szCs w:val="22"/>
                      <w:highlight w:val="none"/>
                    </w:rPr>
                    <w:t>有利于项目实施的得</w:t>
                  </w:r>
                  <w:r>
                    <w:rPr>
                      <w:rFonts w:hint="eastAsia" w:ascii="新宋体" w:hAnsi="新宋体" w:eastAsia="新宋体" w:cs="新宋体"/>
                      <w:color w:val="auto"/>
                      <w:kern w:val="0"/>
                      <w:sz w:val="22"/>
                      <w:szCs w:val="22"/>
                      <w:highlight w:val="none"/>
                      <w:lang w:val="en-US" w:eastAsia="zh-CN"/>
                    </w:rPr>
                    <w:t>4</w:t>
                  </w:r>
                  <w:r>
                    <w:rPr>
                      <w:rFonts w:hint="eastAsia" w:ascii="新宋体" w:hAnsi="新宋体" w:eastAsia="新宋体" w:cs="新宋体"/>
                      <w:color w:val="auto"/>
                      <w:kern w:val="0"/>
                      <w:sz w:val="22"/>
                      <w:szCs w:val="22"/>
                      <w:highlight w:val="none"/>
                    </w:rPr>
                    <w:t>分；</w:t>
                  </w:r>
                </w:p>
                <w:p w14:paraId="76A54866">
                  <w:pPr>
                    <w:pStyle w:val="71"/>
                    <w:numPr>
                      <w:ilvl w:val="0"/>
                      <w:numId w:val="0"/>
                    </w:num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对</w:t>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"https://www.zcygov.cn/proj-procurement/project-result-detail/6182f7a41ae2b154" \t "https://www.zcygov.cn/bid-inviting/purchaseFileMake/_blank"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平台系统</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t>架构功能及运行</w:t>
                  </w:r>
                  <w:r>
                    <w:rPr>
                      <w:rFonts w:hint="eastAsia" w:ascii="新宋体" w:hAnsi="新宋体" w:eastAsia="新宋体" w:cs="新宋体"/>
                      <w:color w:val="auto"/>
                      <w:kern w:val="0"/>
                      <w:sz w:val="22"/>
                      <w:szCs w:val="22"/>
                      <w:highlight w:val="none"/>
                    </w:rPr>
                    <w:t>现状了解大致完整，但</w:t>
                  </w:r>
                  <w:r>
                    <w:rPr>
                      <w:rFonts w:hint="eastAsia" w:ascii="新宋体" w:hAnsi="新宋体" w:eastAsia="新宋体" w:cs="新宋体"/>
                      <w:color w:val="auto"/>
                      <w:kern w:val="0"/>
                      <w:sz w:val="22"/>
                      <w:szCs w:val="22"/>
                      <w:highlight w:val="none"/>
                      <w:lang w:val="en-US" w:eastAsia="zh-CN"/>
                    </w:rPr>
                    <w:t>制定的技术方案有所欠缺</w:t>
                  </w:r>
                  <w:r>
                    <w:rPr>
                      <w:rFonts w:hint="eastAsia" w:ascii="新宋体" w:hAnsi="新宋体" w:eastAsia="新宋体" w:cs="新宋体"/>
                      <w:color w:val="auto"/>
                      <w:kern w:val="0"/>
                      <w:sz w:val="22"/>
                      <w:szCs w:val="22"/>
                      <w:highlight w:val="none"/>
                    </w:rPr>
                    <w:t>的得3分；</w:t>
                  </w:r>
                </w:p>
                <w:p w14:paraId="0DF900A2">
                  <w:pPr>
                    <w:pStyle w:val="71"/>
                    <w:numPr>
                      <w:ilvl w:val="0"/>
                      <w:numId w:val="0"/>
                    </w:num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对</w:t>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"https://www.zcygov.cn/proj-procurement/project-result-detail/6182f7a41ae2b154" \t "https://www.zcygov.cn/bid-inviting/purchaseFileMake/_blank"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平台系统</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t>架构功能及运行</w:t>
                  </w:r>
                  <w:r>
                    <w:rPr>
                      <w:rFonts w:hint="eastAsia" w:ascii="新宋体" w:hAnsi="新宋体" w:eastAsia="新宋体" w:cs="新宋体"/>
                      <w:color w:val="auto"/>
                      <w:kern w:val="0"/>
                      <w:sz w:val="22"/>
                      <w:szCs w:val="22"/>
                      <w:highlight w:val="none"/>
                    </w:rPr>
                    <w:t>现状的了解较</w:t>
                  </w:r>
                  <w:r>
                    <w:rPr>
                      <w:rFonts w:hint="eastAsia" w:ascii="新宋体" w:hAnsi="新宋体" w:eastAsia="新宋体" w:cs="新宋体"/>
                      <w:color w:val="auto"/>
                      <w:kern w:val="0"/>
                      <w:sz w:val="22"/>
                      <w:szCs w:val="22"/>
                      <w:highlight w:val="none"/>
                      <w:lang w:val="en-US" w:eastAsia="zh-CN"/>
                    </w:rPr>
                    <w:t>低，制定的制定的技术方案较不利于项目实施</w:t>
                  </w:r>
                  <w:r>
                    <w:rPr>
                      <w:rFonts w:hint="eastAsia" w:ascii="新宋体" w:hAnsi="新宋体" w:eastAsia="新宋体" w:cs="新宋体"/>
                      <w:color w:val="auto"/>
                      <w:kern w:val="0"/>
                      <w:sz w:val="22"/>
                      <w:szCs w:val="22"/>
                      <w:highlight w:val="none"/>
                    </w:rPr>
                    <w:t>的得</w:t>
                  </w:r>
                  <w:r>
                    <w:rPr>
                      <w:rFonts w:hint="eastAsia" w:ascii="新宋体" w:hAnsi="新宋体" w:eastAsia="新宋体" w:cs="新宋体"/>
                      <w:color w:val="auto"/>
                      <w:kern w:val="0"/>
                      <w:sz w:val="22"/>
                      <w:szCs w:val="22"/>
                      <w:highlight w:val="none"/>
                      <w:lang w:val="en-US" w:eastAsia="zh-CN"/>
                    </w:rPr>
                    <w:t>2</w:t>
                  </w:r>
                  <w:r>
                    <w:rPr>
                      <w:rFonts w:hint="eastAsia" w:ascii="新宋体" w:hAnsi="新宋体" w:eastAsia="新宋体" w:cs="新宋体"/>
                      <w:color w:val="auto"/>
                      <w:kern w:val="0"/>
                      <w:sz w:val="22"/>
                      <w:szCs w:val="22"/>
                      <w:highlight w:val="none"/>
                    </w:rPr>
                    <w:t>分；</w:t>
                  </w:r>
                </w:p>
                <w:p w14:paraId="3FC39FDC">
                  <w:pPr>
                    <w:pStyle w:val="71"/>
                    <w:numPr>
                      <w:ilvl w:val="0"/>
                      <w:numId w:val="0"/>
                    </w:numPr>
                    <w:rPr>
                      <w:color w:val="auto"/>
                      <w:highlight w:val="none"/>
                    </w:rPr>
                  </w:pPr>
                  <w:r>
                    <w:rPr>
                      <w:rFonts w:hint="eastAsia" w:ascii="新宋体" w:hAnsi="新宋体" w:eastAsia="新宋体" w:cs="新宋体"/>
                      <w:color w:val="auto"/>
                      <w:kern w:val="0"/>
                      <w:sz w:val="22"/>
                      <w:szCs w:val="22"/>
                      <w:highlight w:val="none"/>
                    </w:rPr>
                    <w:t>未提供</w:t>
                  </w:r>
                  <w:r>
                    <w:rPr>
                      <w:rFonts w:hint="eastAsia" w:ascii="新宋体" w:hAnsi="新宋体" w:eastAsia="新宋体" w:cs="新宋体"/>
                      <w:color w:val="auto"/>
                      <w:kern w:val="0"/>
                      <w:sz w:val="22"/>
                      <w:szCs w:val="22"/>
                      <w:highlight w:val="none"/>
                      <w:lang w:val="en-US" w:eastAsia="zh-CN"/>
                    </w:rPr>
                    <w:t>技术方案</w:t>
                  </w:r>
                  <w:r>
                    <w:rPr>
                      <w:rFonts w:hint="eastAsia" w:ascii="新宋体" w:hAnsi="新宋体" w:eastAsia="新宋体" w:cs="新宋体"/>
                      <w:color w:val="auto"/>
                      <w:kern w:val="0"/>
                      <w:sz w:val="22"/>
                      <w:szCs w:val="22"/>
                      <w:highlight w:val="none"/>
                    </w:rPr>
                    <w:t>不得分</w:t>
                  </w:r>
                  <w:r>
                    <w:rPr>
                      <w:rFonts w:hint="eastAsia" w:ascii="新宋体" w:hAnsi="新宋体" w:eastAsia="新宋体" w:cs="新宋体"/>
                      <w:color w:val="auto"/>
                      <w:kern w:val="0"/>
                      <w:sz w:val="22"/>
                      <w:szCs w:val="22"/>
                      <w:highlight w:val="none"/>
                      <w:lang w:val="en-US" w:eastAsia="zh-CN"/>
                    </w:rPr>
                    <w:t>0</w:t>
                  </w:r>
                  <w:r>
                    <w:rPr>
                      <w:rFonts w:hint="eastAsia" w:ascii="新宋体" w:hAnsi="新宋体" w:eastAsia="新宋体" w:cs="新宋体"/>
                      <w:color w:val="auto"/>
                      <w:kern w:val="0"/>
                      <w:sz w:val="22"/>
                      <w:szCs w:val="22"/>
                      <w:highlight w:val="none"/>
                    </w:rPr>
                    <w:t>分。</w:t>
                  </w:r>
                </w:p>
              </w:tc>
            </w:tr>
            <w:tr w14:paraId="69FB3DDD">
              <w:tblPrEx>
                <w:tblCellMar>
                  <w:top w:w="0" w:type="dxa"/>
                  <w:left w:w="108" w:type="dxa"/>
                  <w:bottom w:w="0" w:type="dxa"/>
                  <w:right w:w="108" w:type="dxa"/>
                </w:tblCellMar>
              </w:tblPrEx>
              <w:trPr>
                <w:trHeight w:val="1927" w:hRule="atLeast"/>
              </w:trPr>
              <w:tc>
                <w:tcPr>
                  <w:tcW w:w="459" w:type="pct"/>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3A8483B1">
                  <w:pPr>
                    <w:jc w:val="center"/>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5</w:t>
                  </w:r>
                </w:p>
              </w:tc>
              <w:tc>
                <w:tcPr>
                  <w:tcW w:w="751" w:type="pct"/>
                  <w:vMerge w:val="restart"/>
                  <w:tcBorders>
                    <w:top w:val="single" w:color="000000" w:sz="8" w:space="0"/>
                    <w:left w:val="nil"/>
                    <w:bottom w:val="single" w:color="000000" w:sz="8" w:space="0"/>
                    <w:right w:val="single" w:color="000000" w:sz="8" w:space="0"/>
                  </w:tcBorders>
                  <w:shd w:val="clear" w:color="auto" w:fill="auto"/>
                  <w:vAlign w:val="center"/>
                </w:tcPr>
                <w:p w14:paraId="08BCF0B3">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系统演示</w:t>
                  </w:r>
                </w:p>
              </w:tc>
              <w:tc>
                <w:tcPr>
                  <w:tcW w:w="736" w:type="pct"/>
                  <w:vMerge w:val="restart"/>
                  <w:tcBorders>
                    <w:top w:val="nil"/>
                    <w:left w:val="nil"/>
                    <w:bottom w:val="single" w:color="000000" w:sz="8" w:space="0"/>
                    <w:right w:val="single" w:color="auto" w:sz="4" w:space="0"/>
                  </w:tcBorders>
                  <w:shd w:val="clear" w:color="auto" w:fill="auto"/>
                  <w:vAlign w:val="center"/>
                </w:tcPr>
                <w:p w14:paraId="536ABCDF">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20</w:t>
                  </w:r>
                </w:p>
              </w:tc>
              <w:tc>
                <w:tcPr>
                  <w:tcW w:w="3052" w:type="pct"/>
                  <w:tcBorders>
                    <w:top w:val="single" w:color="auto" w:sz="4" w:space="0"/>
                    <w:left w:val="single" w:color="auto" w:sz="4" w:space="0"/>
                    <w:bottom w:val="single" w:color="auto" w:sz="4" w:space="0"/>
                    <w:right w:val="single" w:color="auto" w:sz="4" w:space="0"/>
                  </w:tcBorders>
                  <w:shd w:val="clear" w:color="auto" w:fill="auto"/>
                  <w:vAlign w:val="center"/>
                </w:tcPr>
                <w:p w14:paraId="50BF55DB">
                  <w:pPr>
                    <w:spacing w:line="260" w:lineRule="exact"/>
                    <w:rPr>
                      <w:rFonts w:cs="Arial" w:asciiTheme="majorEastAsia" w:hAnsiTheme="majorEastAsia" w:eastAsiaTheme="majorEastAsia"/>
                      <w:color w:val="auto"/>
                      <w:sz w:val="22"/>
                      <w:szCs w:val="22"/>
                      <w:highlight w:val="none"/>
                    </w:rPr>
                  </w:pPr>
                  <w:r>
                    <w:rPr>
                      <w:rFonts w:hint="eastAsia" w:cs="Arial" w:asciiTheme="majorEastAsia" w:hAnsiTheme="majorEastAsia" w:eastAsiaTheme="majorEastAsia"/>
                      <w:color w:val="auto"/>
                      <w:sz w:val="22"/>
                      <w:szCs w:val="22"/>
                      <w:highlight w:val="none"/>
                    </w:rPr>
                    <w:t>演示要求：</w:t>
                  </w:r>
                </w:p>
                <w:p w14:paraId="36E3A24E">
                  <w:pPr>
                    <w:widowControl/>
                    <w:textAlignment w:val="center"/>
                    <w:rPr>
                      <w:rFonts w:cs="Arial" w:asciiTheme="majorEastAsia" w:hAnsiTheme="majorEastAsia" w:eastAsiaTheme="majorEastAsia"/>
                      <w:color w:val="auto"/>
                      <w:sz w:val="22"/>
                      <w:szCs w:val="22"/>
                      <w:highlight w:val="none"/>
                    </w:rPr>
                  </w:pPr>
                  <w:r>
                    <w:rPr>
                      <w:rFonts w:hint="eastAsia" w:cs="Arial" w:asciiTheme="majorEastAsia" w:hAnsiTheme="majorEastAsia" w:eastAsiaTheme="majorEastAsia"/>
                      <w:color w:val="auto"/>
                      <w:sz w:val="22"/>
                      <w:szCs w:val="22"/>
                      <w:highlight w:val="none"/>
                    </w:rPr>
                    <w:t>演示要求：投标人提供相应功能演示，需采用录屏形式或实操系统演示，其他方式进行演示无效，根据演示内容实现程度和效果进行打分。具体演示内容如下：</w:t>
                  </w:r>
                </w:p>
                <w:p w14:paraId="58113500">
                  <w:pPr>
                    <w:widowControl/>
                    <w:textAlignment w:val="center"/>
                    <w:rPr>
                      <w:rFonts w:cs="Arial" w:asciiTheme="majorEastAsia" w:hAnsiTheme="majorEastAsia" w:eastAsiaTheme="majorEastAsia"/>
                      <w:color w:val="auto"/>
                      <w:sz w:val="22"/>
                      <w:szCs w:val="22"/>
                      <w:highlight w:val="none"/>
                    </w:rPr>
                  </w:pPr>
                  <w:r>
                    <w:rPr>
                      <w:rFonts w:hint="eastAsia" w:cs="Arial" w:asciiTheme="majorEastAsia" w:hAnsiTheme="majorEastAsia" w:eastAsiaTheme="majorEastAsia"/>
                      <w:color w:val="auto"/>
                      <w:sz w:val="22"/>
                      <w:szCs w:val="22"/>
                      <w:highlight w:val="none"/>
                    </w:rPr>
                    <w:t>（未能进行演示者，本项不得分；演示时间需控制在15分钟之内，采用录屏形式的需拷贝至U盘中随投标文件一同递交，无法打开的视频文件按未提交处理）</w:t>
                  </w:r>
                </w:p>
                <w:p w14:paraId="40DC998B">
                  <w:pPr>
                    <w:widowControl/>
                    <w:textAlignment w:val="center"/>
                    <w:rPr>
                      <w:rFonts w:ascii="新宋体" w:hAnsi="新宋体" w:eastAsia="新宋体" w:cs="新宋体"/>
                      <w:color w:val="auto"/>
                      <w:szCs w:val="21"/>
                      <w:highlight w:val="none"/>
                    </w:rPr>
                  </w:pPr>
                </w:p>
              </w:tc>
            </w:tr>
            <w:tr w14:paraId="75B75F73">
              <w:tblPrEx>
                <w:tblCellMar>
                  <w:top w:w="0" w:type="dxa"/>
                  <w:left w:w="108" w:type="dxa"/>
                  <w:bottom w:w="0" w:type="dxa"/>
                  <w:right w:w="108" w:type="dxa"/>
                </w:tblCellMar>
              </w:tblPrEx>
              <w:trPr>
                <w:trHeight w:val="2862" w:hRule="atLeast"/>
              </w:trPr>
              <w:tc>
                <w:tcPr>
                  <w:tcW w:w="459"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6681355A">
                  <w:pPr>
                    <w:jc w:val="center"/>
                    <w:rPr>
                      <w:rFonts w:ascii="新宋体" w:hAnsi="新宋体" w:eastAsia="新宋体" w:cs="新宋体"/>
                      <w:color w:val="auto"/>
                      <w:szCs w:val="21"/>
                      <w:highlight w:val="none"/>
                    </w:rPr>
                  </w:pPr>
                </w:p>
              </w:tc>
              <w:tc>
                <w:tcPr>
                  <w:tcW w:w="751" w:type="pct"/>
                  <w:vMerge w:val="continue"/>
                  <w:tcBorders>
                    <w:top w:val="single" w:color="000000" w:sz="8" w:space="0"/>
                    <w:left w:val="nil"/>
                    <w:bottom w:val="single" w:color="000000" w:sz="8" w:space="0"/>
                    <w:right w:val="single" w:color="000000" w:sz="8" w:space="0"/>
                  </w:tcBorders>
                  <w:shd w:val="clear" w:color="auto" w:fill="auto"/>
                  <w:vAlign w:val="center"/>
                </w:tcPr>
                <w:p w14:paraId="05E8B762">
                  <w:pPr>
                    <w:jc w:val="center"/>
                    <w:rPr>
                      <w:rFonts w:ascii="新宋体" w:hAnsi="新宋体" w:eastAsia="新宋体" w:cs="新宋体"/>
                      <w:color w:val="auto"/>
                      <w:szCs w:val="21"/>
                      <w:highlight w:val="none"/>
                    </w:rPr>
                  </w:pPr>
                </w:p>
              </w:tc>
              <w:tc>
                <w:tcPr>
                  <w:tcW w:w="736" w:type="pct"/>
                  <w:vMerge w:val="continue"/>
                  <w:tcBorders>
                    <w:top w:val="nil"/>
                    <w:left w:val="nil"/>
                    <w:bottom w:val="single" w:color="000000" w:sz="8" w:space="0"/>
                    <w:right w:val="single" w:color="auto" w:sz="4" w:space="0"/>
                  </w:tcBorders>
                  <w:shd w:val="clear" w:color="auto" w:fill="auto"/>
                  <w:vAlign w:val="center"/>
                </w:tcPr>
                <w:p w14:paraId="4BCFDD7A">
                  <w:pPr>
                    <w:jc w:val="center"/>
                    <w:rPr>
                      <w:rFonts w:ascii="新宋体" w:hAnsi="新宋体" w:eastAsia="新宋体" w:cs="新宋体"/>
                      <w:color w:val="auto"/>
                      <w:szCs w:val="21"/>
                      <w:highlight w:val="none"/>
                    </w:rPr>
                  </w:pPr>
                </w:p>
              </w:tc>
              <w:tc>
                <w:tcPr>
                  <w:tcW w:w="3052" w:type="pct"/>
                  <w:tcBorders>
                    <w:top w:val="single" w:color="auto" w:sz="4" w:space="0"/>
                    <w:left w:val="single" w:color="auto" w:sz="4" w:space="0"/>
                    <w:bottom w:val="single" w:color="auto" w:sz="4" w:space="0"/>
                    <w:right w:val="single" w:color="auto" w:sz="4" w:space="0"/>
                  </w:tcBorders>
                  <w:shd w:val="clear" w:color="auto" w:fill="auto"/>
                  <w:vAlign w:val="center"/>
                </w:tcPr>
                <w:p w14:paraId="435BD0E7">
                  <w:pPr>
                    <w:pStyle w:val="97"/>
                    <w:numPr>
                      <w:ilvl w:val="0"/>
                      <w:numId w:val="0"/>
                    </w:numPr>
                    <w:spacing w:line="260" w:lineRule="exact"/>
                    <w:jc w:val="left"/>
                    <w:rPr>
                      <w:rFonts w:cs="Arial" w:asciiTheme="majorEastAsia" w:hAnsiTheme="majorEastAsia" w:eastAsiaTheme="majorEastAsia"/>
                      <w:color w:val="auto"/>
                      <w:sz w:val="22"/>
                      <w:szCs w:val="22"/>
                      <w:highlight w:val="none"/>
                    </w:rPr>
                  </w:pPr>
                  <w:r>
                    <w:rPr>
                      <w:rFonts w:hint="eastAsia" w:cs="Arial" w:asciiTheme="majorEastAsia" w:hAnsiTheme="majorEastAsia" w:eastAsiaTheme="majorEastAsia"/>
                      <w:color w:val="auto"/>
                      <w:sz w:val="22"/>
                      <w:szCs w:val="22"/>
                      <w:highlight w:val="none"/>
                      <w:lang w:val="en-US" w:eastAsia="zh-CN"/>
                    </w:rPr>
                    <w:t>1、</w:t>
                  </w:r>
                  <w:r>
                    <w:rPr>
                      <w:rFonts w:hint="eastAsia" w:cs="Arial" w:asciiTheme="majorEastAsia" w:hAnsiTheme="majorEastAsia" w:eastAsiaTheme="majorEastAsia"/>
                      <w:color w:val="auto"/>
                      <w:sz w:val="22"/>
                      <w:szCs w:val="22"/>
                      <w:highlight w:val="none"/>
                    </w:rPr>
                    <w:t>演示溯源数据源管理模块，展示内容包含七类数据管理等功能（0</w:t>
                  </w:r>
                  <w:r>
                    <w:rPr>
                      <w:rFonts w:cs="Arial" w:asciiTheme="majorEastAsia" w:hAnsiTheme="majorEastAsia" w:eastAsiaTheme="majorEastAsia"/>
                      <w:color w:val="auto"/>
                      <w:sz w:val="22"/>
                      <w:szCs w:val="22"/>
                      <w:highlight w:val="none"/>
                    </w:rPr>
                    <w:t>-</w:t>
                  </w:r>
                  <w:r>
                    <w:rPr>
                      <w:rFonts w:hint="eastAsia" w:cs="Arial" w:asciiTheme="majorEastAsia" w:hAnsiTheme="majorEastAsia" w:eastAsiaTheme="majorEastAsia"/>
                      <w:color w:val="auto"/>
                      <w:sz w:val="22"/>
                      <w:szCs w:val="22"/>
                      <w:highlight w:val="none"/>
                    </w:rPr>
                    <w:t>4）；</w:t>
                  </w:r>
                </w:p>
                <w:p w14:paraId="3469FC98">
                  <w:pPr>
                    <w:pStyle w:val="97"/>
                    <w:numPr>
                      <w:ilvl w:val="0"/>
                      <w:numId w:val="0"/>
                    </w:numPr>
                    <w:spacing w:line="260" w:lineRule="exact"/>
                    <w:jc w:val="left"/>
                    <w:rPr>
                      <w:rFonts w:cs="Arial" w:asciiTheme="majorEastAsia" w:hAnsiTheme="majorEastAsia" w:eastAsiaTheme="majorEastAsia"/>
                      <w:color w:val="auto"/>
                      <w:sz w:val="22"/>
                      <w:szCs w:val="22"/>
                      <w:highlight w:val="none"/>
                    </w:rPr>
                  </w:pPr>
                  <w:r>
                    <w:rPr>
                      <w:rFonts w:hint="eastAsia" w:cs="Arial" w:asciiTheme="majorEastAsia" w:hAnsiTheme="majorEastAsia" w:eastAsiaTheme="majorEastAsia"/>
                      <w:color w:val="auto"/>
                      <w:sz w:val="22"/>
                      <w:szCs w:val="22"/>
                      <w:highlight w:val="none"/>
                      <w:lang w:val="en-US" w:eastAsia="zh-CN"/>
                    </w:rPr>
                    <w:t>2、</w:t>
                  </w:r>
                  <w:r>
                    <w:rPr>
                      <w:rFonts w:hint="eastAsia" w:cs="Arial" w:asciiTheme="majorEastAsia" w:hAnsiTheme="majorEastAsia" w:eastAsiaTheme="majorEastAsia"/>
                      <w:color w:val="auto"/>
                      <w:sz w:val="22"/>
                      <w:szCs w:val="22"/>
                      <w:highlight w:val="none"/>
                    </w:rPr>
                    <w:t>演示溯源任务管理模块，展示内容包含溯源任务列表、追责人员列表、溯源任务操作、追责人员提交、机制管理等功能（0</w:t>
                  </w:r>
                  <w:r>
                    <w:rPr>
                      <w:rFonts w:cs="Arial" w:asciiTheme="majorEastAsia" w:hAnsiTheme="majorEastAsia" w:eastAsiaTheme="majorEastAsia"/>
                      <w:color w:val="auto"/>
                      <w:sz w:val="22"/>
                      <w:szCs w:val="22"/>
                      <w:highlight w:val="none"/>
                    </w:rPr>
                    <w:t>-</w:t>
                  </w:r>
                  <w:r>
                    <w:rPr>
                      <w:rFonts w:hint="eastAsia" w:cs="Arial" w:asciiTheme="majorEastAsia" w:hAnsiTheme="majorEastAsia" w:eastAsiaTheme="majorEastAsia"/>
                      <w:color w:val="auto"/>
                      <w:sz w:val="22"/>
                      <w:szCs w:val="22"/>
                      <w:highlight w:val="none"/>
                    </w:rPr>
                    <w:t>4）；</w:t>
                  </w:r>
                </w:p>
                <w:p w14:paraId="610C226B">
                  <w:pPr>
                    <w:pStyle w:val="97"/>
                    <w:numPr>
                      <w:ilvl w:val="0"/>
                      <w:numId w:val="0"/>
                    </w:numPr>
                    <w:spacing w:line="260" w:lineRule="exact"/>
                    <w:jc w:val="left"/>
                    <w:rPr>
                      <w:rFonts w:cs="Arial" w:asciiTheme="majorEastAsia" w:hAnsiTheme="majorEastAsia" w:eastAsiaTheme="majorEastAsia"/>
                      <w:color w:val="auto"/>
                      <w:sz w:val="22"/>
                      <w:szCs w:val="22"/>
                      <w:highlight w:val="none"/>
                    </w:rPr>
                  </w:pPr>
                  <w:r>
                    <w:rPr>
                      <w:rFonts w:hint="eastAsia" w:cs="Arial" w:asciiTheme="majorEastAsia" w:hAnsiTheme="majorEastAsia" w:eastAsiaTheme="majorEastAsia"/>
                      <w:color w:val="auto"/>
                      <w:sz w:val="22"/>
                      <w:szCs w:val="22"/>
                      <w:highlight w:val="none"/>
                      <w:lang w:val="en-US" w:eastAsia="zh-CN"/>
                    </w:rPr>
                    <w:t>3、</w:t>
                  </w:r>
                  <w:r>
                    <w:rPr>
                      <w:rFonts w:hint="eastAsia" w:cs="Arial" w:asciiTheme="majorEastAsia" w:hAnsiTheme="majorEastAsia" w:eastAsiaTheme="majorEastAsia"/>
                      <w:color w:val="auto"/>
                      <w:sz w:val="22"/>
                      <w:szCs w:val="22"/>
                      <w:highlight w:val="none"/>
                    </w:rPr>
                    <w:t>演示溯源档案管理模块，展示内容包含溯源档案列表、溯源任务统计、溯源报告档案管理等功能（0</w:t>
                  </w:r>
                  <w:r>
                    <w:rPr>
                      <w:rFonts w:cs="Arial" w:asciiTheme="majorEastAsia" w:hAnsiTheme="majorEastAsia" w:eastAsiaTheme="majorEastAsia"/>
                      <w:color w:val="auto"/>
                      <w:sz w:val="22"/>
                      <w:szCs w:val="22"/>
                      <w:highlight w:val="none"/>
                    </w:rPr>
                    <w:t>-</w:t>
                  </w:r>
                  <w:r>
                    <w:rPr>
                      <w:rFonts w:hint="eastAsia" w:cs="Arial" w:asciiTheme="majorEastAsia" w:hAnsiTheme="majorEastAsia" w:eastAsiaTheme="majorEastAsia"/>
                      <w:color w:val="auto"/>
                      <w:sz w:val="22"/>
                      <w:szCs w:val="22"/>
                      <w:highlight w:val="none"/>
                    </w:rPr>
                    <w:t>4）；</w:t>
                  </w:r>
                </w:p>
                <w:p w14:paraId="59373C4F">
                  <w:pPr>
                    <w:pStyle w:val="97"/>
                    <w:numPr>
                      <w:ilvl w:val="0"/>
                      <w:numId w:val="0"/>
                    </w:numPr>
                    <w:spacing w:line="260" w:lineRule="exact"/>
                    <w:jc w:val="left"/>
                    <w:rPr>
                      <w:rFonts w:cs="Arial" w:asciiTheme="majorEastAsia" w:hAnsiTheme="majorEastAsia" w:eastAsiaTheme="majorEastAsia"/>
                      <w:color w:val="auto"/>
                      <w:sz w:val="22"/>
                      <w:szCs w:val="22"/>
                      <w:highlight w:val="none"/>
                    </w:rPr>
                  </w:pPr>
                  <w:r>
                    <w:rPr>
                      <w:rFonts w:hint="eastAsia" w:cs="Arial" w:asciiTheme="majorEastAsia" w:hAnsiTheme="majorEastAsia" w:eastAsiaTheme="majorEastAsia"/>
                      <w:color w:val="auto"/>
                      <w:sz w:val="22"/>
                      <w:szCs w:val="22"/>
                      <w:highlight w:val="none"/>
                      <w:lang w:val="en-US" w:eastAsia="zh-CN"/>
                    </w:rPr>
                    <w:t>4、</w:t>
                  </w:r>
                  <w:r>
                    <w:rPr>
                      <w:rFonts w:hint="eastAsia" w:cs="Arial" w:asciiTheme="majorEastAsia" w:hAnsiTheme="majorEastAsia" w:eastAsiaTheme="majorEastAsia"/>
                      <w:color w:val="auto"/>
                      <w:sz w:val="22"/>
                      <w:szCs w:val="22"/>
                      <w:highlight w:val="none"/>
                    </w:rPr>
                    <w:t>演示基础配置模块，展示内容包含标签管理、小类审定级别设置、用户管理、部门管理、执法扣分历史数据管理等功能（0</w:t>
                  </w:r>
                  <w:r>
                    <w:rPr>
                      <w:rFonts w:cs="Arial" w:asciiTheme="majorEastAsia" w:hAnsiTheme="majorEastAsia" w:eastAsiaTheme="majorEastAsia"/>
                      <w:color w:val="auto"/>
                      <w:sz w:val="22"/>
                      <w:szCs w:val="22"/>
                      <w:highlight w:val="none"/>
                    </w:rPr>
                    <w:t>-</w:t>
                  </w:r>
                  <w:r>
                    <w:rPr>
                      <w:rFonts w:hint="eastAsia" w:cs="Arial" w:asciiTheme="majorEastAsia" w:hAnsiTheme="majorEastAsia" w:eastAsiaTheme="majorEastAsia"/>
                      <w:color w:val="auto"/>
                      <w:sz w:val="22"/>
                      <w:szCs w:val="22"/>
                      <w:highlight w:val="none"/>
                    </w:rPr>
                    <w:t>4）；</w:t>
                  </w:r>
                </w:p>
                <w:p w14:paraId="007077FA">
                  <w:pPr>
                    <w:pStyle w:val="97"/>
                    <w:widowControl/>
                    <w:numPr>
                      <w:ilvl w:val="0"/>
                      <w:numId w:val="0"/>
                    </w:numPr>
                    <w:jc w:val="left"/>
                    <w:textAlignment w:val="center"/>
                    <w:rPr>
                      <w:rFonts w:ascii="新宋体" w:hAnsi="新宋体" w:eastAsia="新宋体" w:cs="新宋体"/>
                      <w:color w:val="auto"/>
                      <w:szCs w:val="21"/>
                      <w:highlight w:val="none"/>
                    </w:rPr>
                  </w:pPr>
                  <w:r>
                    <w:rPr>
                      <w:rFonts w:hint="eastAsia" w:cs="Arial" w:asciiTheme="majorEastAsia" w:hAnsiTheme="majorEastAsia" w:eastAsiaTheme="majorEastAsia"/>
                      <w:color w:val="auto"/>
                      <w:sz w:val="22"/>
                      <w:szCs w:val="22"/>
                      <w:highlight w:val="none"/>
                      <w:lang w:val="en-US" w:eastAsia="zh-CN"/>
                    </w:rPr>
                    <w:t>5、</w:t>
                  </w:r>
                  <w:r>
                    <w:rPr>
                      <w:rFonts w:hint="eastAsia" w:cs="Arial" w:asciiTheme="majorEastAsia" w:hAnsiTheme="majorEastAsia" w:eastAsiaTheme="majorEastAsia"/>
                      <w:color w:val="auto"/>
                      <w:sz w:val="22"/>
                      <w:szCs w:val="22"/>
                      <w:highlight w:val="none"/>
                    </w:rPr>
                    <w:t>演示数据分析模块，展示分析模块的各维度数据（0</w:t>
                  </w:r>
                  <w:r>
                    <w:rPr>
                      <w:rFonts w:cs="Arial" w:asciiTheme="majorEastAsia" w:hAnsiTheme="majorEastAsia" w:eastAsiaTheme="majorEastAsia"/>
                      <w:color w:val="auto"/>
                      <w:sz w:val="22"/>
                      <w:szCs w:val="22"/>
                      <w:highlight w:val="none"/>
                    </w:rPr>
                    <w:t>-</w:t>
                  </w:r>
                  <w:r>
                    <w:rPr>
                      <w:rFonts w:hint="eastAsia" w:cs="Arial" w:asciiTheme="majorEastAsia" w:hAnsiTheme="majorEastAsia" w:eastAsiaTheme="majorEastAsia"/>
                      <w:color w:val="auto"/>
                      <w:sz w:val="22"/>
                      <w:szCs w:val="22"/>
                      <w:highlight w:val="none"/>
                    </w:rPr>
                    <w:t>4）；</w:t>
                  </w:r>
                </w:p>
                <w:p w14:paraId="3CC5DF6A">
                  <w:pPr>
                    <w:pStyle w:val="71"/>
                    <w:numPr>
                      <w:ilvl w:val="0"/>
                      <w:numId w:val="0"/>
                    </w:numPr>
                    <w:rPr>
                      <w:rFonts w:hint="default" w:ascii="新宋体" w:hAnsi="新宋体" w:eastAsia="新宋体" w:cs="新宋体"/>
                      <w:color w:val="auto"/>
                      <w:kern w:val="0"/>
                      <w:sz w:val="22"/>
                      <w:szCs w:val="22"/>
                      <w:highlight w:val="none"/>
                      <w:lang w:val="en-US" w:eastAsia="zh-CN"/>
                    </w:rPr>
                  </w:pPr>
                  <w:r>
                    <w:rPr>
                      <w:rFonts w:hint="eastAsia" w:ascii="新宋体" w:hAnsi="新宋体" w:eastAsia="新宋体" w:cs="新宋体"/>
                      <w:color w:val="auto"/>
                      <w:kern w:val="0"/>
                      <w:sz w:val="22"/>
                      <w:szCs w:val="22"/>
                      <w:highlight w:val="none"/>
                      <w:lang w:val="en-US" w:eastAsia="zh-CN"/>
                    </w:rPr>
                    <w:t>以上1-5项系统演示均按如下标准进行评定：</w:t>
                  </w:r>
                </w:p>
                <w:p w14:paraId="5EA93271">
                  <w:pPr>
                    <w:pStyle w:val="71"/>
                    <w:numPr>
                      <w:ilvl w:val="0"/>
                      <w:numId w:val="0"/>
                    </w:num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供应商对</w:t>
                  </w:r>
                  <w:r>
                    <w:rPr>
                      <w:rFonts w:hint="eastAsia" w:ascii="新宋体" w:hAnsi="新宋体" w:eastAsia="新宋体" w:cs="新宋体"/>
                      <w:color w:val="auto"/>
                      <w:sz w:val="22"/>
                      <w:szCs w:val="22"/>
                      <w:highlight w:val="none"/>
                      <w:lang w:val="en-US" w:eastAsia="zh-CN"/>
                    </w:rPr>
                    <w:t>模块</w:t>
                  </w:r>
                  <w:r>
                    <w:rPr>
                      <w:rFonts w:hint="eastAsia" w:ascii="新宋体" w:hAnsi="新宋体" w:eastAsia="新宋体" w:cs="新宋体"/>
                      <w:color w:val="auto"/>
                      <w:sz w:val="22"/>
                      <w:szCs w:val="22"/>
                      <w:highlight w:val="none"/>
                    </w:rPr>
                    <w:t>功能</w:t>
                  </w:r>
                  <w:r>
                    <w:rPr>
                      <w:rFonts w:hint="eastAsia" w:ascii="新宋体" w:hAnsi="新宋体" w:eastAsia="新宋体" w:cs="新宋体"/>
                      <w:color w:val="auto"/>
                      <w:sz w:val="22"/>
                      <w:szCs w:val="22"/>
                      <w:highlight w:val="none"/>
                      <w:lang w:val="en-US" w:eastAsia="zh-CN"/>
                    </w:rPr>
                    <w:t>演示</w:t>
                  </w:r>
                  <w:r>
                    <w:rPr>
                      <w:rFonts w:hint="eastAsia" w:ascii="新宋体" w:hAnsi="新宋体" w:eastAsia="新宋体" w:cs="新宋体"/>
                      <w:color w:val="auto"/>
                      <w:sz w:val="22"/>
                      <w:szCs w:val="22"/>
                      <w:highlight w:val="none"/>
                    </w:rPr>
                    <w:t>及</w:t>
                  </w:r>
                  <w:r>
                    <w:rPr>
                      <w:rFonts w:hint="eastAsia" w:ascii="新宋体" w:hAnsi="新宋体" w:eastAsia="新宋体" w:cs="新宋体"/>
                      <w:color w:val="auto"/>
                      <w:sz w:val="22"/>
                      <w:szCs w:val="22"/>
                      <w:highlight w:val="none"/>
                      <w:lang w:val="en-US" w:eastAsia="zh-CN"/>
                    </w:rPr>
                    <w:t>展示</w:t>
                  </w:r>
                  <w:r>
                    <w:rPr>
                      <w:rFonts w:hint="eastAsia" w:ascii="新宋体" w:hAnsi="新宋体" w:eastAsia="新宋体" w:cs="新宋体"/>
                      <w:color w:val="auto"/>
                      <w:kern w:val="0"/>
                      <w:sz w:val="22"/>
                      <w:szCs w:val="22"/>
                      <w:highlight w:val="none"/>
                    </w:rPr>
                    <w:t>全面、深入详细、准确到位得</w:t>
                  </w:r>
                  <w:r>
                    <w:rPr>
                      <w:rFonts w:hint="eastAsia" w:ascii="新宋体" w:hAnsi="新宋体" w:eastAsia="新宋体" w:cs="新宋体"/>
                      <w:color w:val="auto"/>
                      <w:kern w:val="0"/>
                      <w:sz w:val="22"/>
                      <w:szCs w:val="22"/>
                      <w:highlight w:val="none"/>
                      <w:lang w:val="en-US" w:eastAsia="zh-CN"/>
                    </w:rPr>
                    <w:t>4</w:t>
                  </w:r>
                  <w:r>
                    <w:rPr>
                      <w:rFonts w:hint="eastAsia" w:ascii="新宋体" w:hAnsi="新宋体" w:eastAsia="新宋体" w:cs="新宋体"/>
                      <w:color w:val="auto"/>
                      <w:kern w:val="0"/>
                      <w:sz w:val="22"/>
                      <w:szCs w:val="22"/>
                      <w:highlight w:val="none"/>
                    </w:rPr>
                    <w:t>分；</w:t>
                  </w:r>
                </w:p>
                <w:p w14:paraId="06257F51">
                  <w:pPr>
                    <w:pStyle w:val="71"/>
                    <w:numPr>
                      <w:ilvl w:val="0"/>
                      <w:numId w:val="0"/>
                    </w:num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供应商对</w:t>
                  </w:r>
                  <w:r>
                    <w:rPr>
                      <w:rFonts w:hint="eastAsia" w:ascii="新宋体" w:hAnsi="新宋体" w:eastAsia="新宋体" w:cs="新宋体"/>
                      <w:color w:val="auto"/>
                      <w:sz w:val="22"/>
                      <w:szCs w:val="22"/>
                      <w:highlight w:val="none"/>
                      <w:lang w:val="en-US" w:eastAsia="zh-CN"/>
                    </w:rPr>
                    <w:t>模块</w:t>
                  </w:r>
                  <w:r>
                    <w:rPr>
                      <w:rFonts w:hint="eastAsia" w:ascii="新宋体" w:hAnsi="新宋体" w:eastAsia="新宋体" w:cs="新宋体"/>
                      <w:color w:val="auto"/>
                      <w:sz w:val="22"/>
                      <w:szCs w:val="22"/>
                      <w:highlight w:val="none"/>
                    </w:rPr>
                    <w:t>功能</w:t>
                  </w:r>
                  <w:r>
                    <w:rPr>
                      <w:rFonts w:hint="eastAsia" w:ascii="新宋体" w:hAnsi="新宋体" w:eastAsia="新宋体" w:cs="新宋体"/>
                      <w:color w:val="auto"/>
                      <w:sz w:val="22"/>
                      <w:szCs w:val="22"/>
                      <w:highlight w:val="none"/>
                      <w:lang w:val="en-US" w:eastAsia="zh-CN"/>
                    </w:rPr>
                    <w:t>演示</w:t>
                  </w:r>
                  <w:r>
                    <w:rPr>
                      <w:rFonts w:hint="eastAsia" w:ascii="新宋体" w:hAnsi="新宋体" w:eastAsia="新宋体" w:cs="新宋体"/>
                      <w:color w:val="auto"/>
                      <w:sz w:val="22"/>
                      <w:szCs w:val="22"/>
                      <w:highlight w:val="none"/>
                    </w:rPr>
                    <w:t>及</w:t>
                  </w:r>
                  <w:r>
                    <w:rPr>
                      <w:rFonts w:hint="eastAsia" w:ascii="新宋体" w:hAnsi="新宋体" w:eastAsia="新宋体" w:cs="新宋体"/>
                      <w:color w:val="auto"/>
                      <w:sz w:val="22"/>
                      <w:szCs w:val="22"/>
                      <w:highlight w:val="none"/>
                      <w:lang w:val="en-US" w:eastAsia="zh-CN"/>
                    </w:rPr>
                    <w:t>展示较为</w:t>
                  </w:r>
                  <w:r>
                    <w:rPr>
                      <w:rFonts w:hint="eastAsia" w:ascii="新宋体" w:hAnsi="新宋体" w:eastAsia="新宋体" w:cs="新宋体"/>
                      <w:color w:val="auto"/>
                      <w:kern w:val="0"/>
                      <w:sz w:val="22"/>
                      <w:szCs w:val="22"/>
                      <w:highlight w:val="none"/>
                    </w:rPr>
                    <w:t>全面</w:t>
                  </w:r>
                  <w:r>
                    <w:rPr>
                      <w:rFonts w:hint="eastAsia" w:ascii="新宋体" w:hAnsi="新宋体" w:eastAsia="新宋体" w:cs="新宋体"/>
                      <w:color w:val="auto"/>
                      <w:kern w:val="0"/>
                      <w:sz w:val="22"/>
                      <w:szCs w:val="22"/>
                      <w:highlight w:val="none"/>
                      <w:lang w:eastAsia="zh-CN"/>
                    </w:rPr>
                    <w:t>，</w:t>
                  </w:r>
                  <w:r>
                    <w:rPr>
                      <w:rFonts w:hint="eastAsia" w:ascii="新宋体" w:hAnsi="新宋体" w:eastAsia="新宋体" w:cs="新宋体"/>
                      <w:color w:val="auto"/>
                      <w:kern w:val="0"/>
                      <w:sz w:val="22"/>
                      <w:szCs w:val="22"/>
                      <w:highlight w:val="none"/>
                      <w:lang w:val="en-US" w:eastAsia="zh-CN"/>
                    </w:rPr>
                    <w:t>深入程度及</w:t>
                  </w:r>
                  <w:r>
                    <w:rPr>
                      <w:rFonts w:hint="eastAsia" w:ascii="新宋体" w:hAnsi="新宋体" w:eastAsia="新宋体" w:cs="新宋体"/>
                      <w:color w:val="auto"/>
                      <w:kern w:val="0"/>
                      <w:sz w:val="22"/>
                      <w:szCs w:val="22"/>
                      <w:highlight w:val="none"/>
                    </w:rPr>
                    <w:t>准确</w:t>
                  </w:r>
                  <w:r>
                    <w:rPr>
                      <w:rFonts w:hint="eastAsia" w:ascii="新宋体" w:hAnsi="新宋体" w:eastAsia="新宋体" w:cs="新宋体"/>
                      <w:color w:val="auto"/>
                      <w:kern w:val="0"/>
                      <w:sz w:val="22"/>
                      <w:szCs w:val="22"/>
                      <w:highlight w:val="none"/>
                      <w:lang w:val="en-US" w:eastAsia="zh-CN"/>
                    </w:rPr>
                    <w:t>有所欠缺</w:t>
                  </w:r>
                  <w:r>
                    <w:rPr>
                      <w:rFonts w:hint="eastAsia" w:ascii="新宋体" w:hAnsi="新宋体" w:eastAsia="新宋体" w:cs="新宋体"/>
                      <w:color w:val="auto"/>
                      <w:kern w:val="0"/>
                      <w:sz w:val="22"/>
                      <w:szCs w:val="22"/>
                      <w:highlight w:val="none"/>
                    </w:rPr>
                    <w:t>得</w:t>
                  </w:r>
                  <w:r>
                    <w:rPr>
                      <w:rFonts w:hint="eastAsia" w:ascii="新宋体" w:hAnsi="新宋体" w:eastAsia="新宋体" w:cs="新宋体"/>
                      <w:color w:val="auto"/>
                      <w:kern w:val="0"/>
                      <w:sz w:val="22"/>
                      <w:szCs w:val="22"/>
                      <w:highlight w:val="none"/>
                      <w:lang w:val="en-US" w:eastAsia="zh-CN"/>
                    </w:rPr>
                    <w:t>3</w:t>
                  </w:r>
                  <w:r>
                    <w:rPr>
                      <w:rFonts w:hint="eastAsia" w:ascii="新宋体" w:hAnsi="新宋体" w:eastAsia="新宋体" w:cs="新宋体"/>
                      <w:color w:val="auto"/>
                      <w:kern w:val="0"/>
                      <w:sz w:val="22"/>
                      <w:szCs w:val="22"/>
                      <w:highlight w:val="none"/>
                    </w:rPr>
                    <w:t>分；</w:t>
                  </w:r>
                </w:p>
                <w:p w14:paraId="597A08B5">
                  <w:pPr>
                    <w:pStyle w:val="71"/>
                    <w:numPr>
                      <w:ilvl w:val="0"/>
                      <w:numId w:val="0"/>
                    </w:numPr>
                    <w:rPr>
                      <w:rFonts w:hint="eastAsia"/>
                      <w:color w:val="auto"/>
                      <w:highlight w:val="none"/>
                    </w:rPr>
                  </w:pPr>
                  <w:r>
                    <w:rPr>
                      <w:rFonts w:hint="eastAsia" w:ascii="新宋体" w:hAnsi="新宋体" w:eastAsia="新宋体" w:cs="新宋体"/>
                      <w:color w:val="auto"/>
                      <w:kern w:val="0"/>
                      <w:sz w:val="22"/>
                      <w:szCs w:val="22"/>
                      <w:highlight w:val="none"/>
                    </w:rPr>
                    <w:t>供应商对</w:t>
                  </w:r>
                  <w:r>
                    <w:rPr>
                      <w:rFonts w:hint="eastAsia" w:ascii="新宋体" w:hAnsi="新宋体" w:eastAsia="新宋体" w:cs="新宋体"/>
                      <w:color w:val="auto"/>
                      <w:sz w:val="22"/>
                      <w:szCs w:val="22"/>
                      <w:highlight w:val="none"/>
                      <w:lang w:val="en-US" w:eastAsia="zh-CN"/>
                    </w:rPr>
                    <w:t>模块</w:t>
                  </w:r>
                  <w:r>
                    <w:rPr>
                      <w:rFonts w:hint="eastAsia" w:ascii="新宋体" w:hAnsi="新宋体" w:eastAsia="新宋体" w:cs="新宋体"/>
                      <w:color w:val="auto"/>
                      <w:sz w:val="22"/>
                      <w:szCs w:val="22"/>
                      <w:highlight w:val="none"/>
                    </w:rPr>
                    <w:t>功能</w:t>
                  </w:r>
                  <w:r>
                    <w:rPr>
                      <w:rFonts w:hint="eastAsia" w:ascii="新宋体" w:hAnsi="新宋体" w:eastAsia="新宋体" w:cs="新宋体"/>
                      <w:color w:val="auto"/>
                      <w:sz w:val="22"/>
                      <w:szCs w:val="22"/>
                      <w:highlight w:val="none"/>
                      <w:lang w:val="en-US" w:eastAsia="zh-CN"/>
                    </w:rPr>
                    <w:t>演示</w:t>
                  </w:r>
                  <w:r>
                    <w:rPr>
                      <w:rFonts w:hint="eastAsia" w:ascii="新宋体" w:hAnsi="新宋体" w:eastAsia="新宋体" w:cs="新宋体"/>
                      <w:color w:val="auto"/>
                      <w:sz w:val="22"/>
                      <w:szCs w:val="22"/>
                      <w:highlight w:val="none"/>
                    </w:rPr>
                    <w:t>及</w:t>
                  </w:r>
                  <w:r>
                    <w:rPr>
                      <w:rFonts w:hint="eastAsia" w:ascii="新宋体" w:hAnsi="新宋体" w:eastAsia="新宋体" w:cs="新宋体"/>
                      <w:color w:val="auto"/>
                      <w:sz w:val="22"/>
                      <w:szCs w:val="22"/>
                      <w:highlight w:val="none"/>
                      <w:lang w:val="en-US" w:eastAsia="zh-CN"/>
                    </w:rPr>
                    <w:t>展示不齐全</w:t>
                  </w:r>
                  <w:r>
                    <w:rPr>
                      <w:rFonts w:hint="eastAsia" w:ascii="新宋体" w:hAnsi="新宋体" w:eastAsia="新宋体" w:cs="新宋体"/>
                      <w:color w:val="auto"/>
                      <w:kern w:val="0"/>
                      <w:sz w:val="22"/>
                      <w:szCs w:val="22"/>
                      <w:highlight w:val="none"/>
                      <w:lang w:eastAsia="zh-CN"/>
                    </w:rPr>
                    <w:t>，</w:t>
                  </w:r>
                  <w:r>
                    <w:rPr>
                      <w:rFonts w:hint="eastAsia" w:ascii="新宋体" w:hAnsi="新宋体" w:eastAsia="新宋体" w:cs="新宋体"/>
                      <w:color w:val="auto"/>
                      <w:kern w:val="0"/>
                      <w:sz w:val="22"/>
                      <w:szCs w:val="22"/>
                      <w:highlight w:val="none"/>
                      <w:lang w:val="en-US" w:eastAsia="zh-CN"/>
                    </w:rPr>
                    <w:t>深入程度及</w:t>
                  </w:r>
                  <w:r>
                    <w:rPr>
                      <w:rFonts w:hint="eastAsia" w:ascii="新宋体" w:hAnsi="新宋体" w:eastAsia="新宋体" w:cs="新宋体"/>
                      <w:color w:val="auto"/>
                      <w:kern w:val="0"/>
                      <w:sz w:val="22"/>
                      <w:szCs w:val="22"/>
                      <w:highlight w:val="none"/>
                    </w:rPr>
                    <w:t>准确</w:t>
                  </w:r>
                  <w:r>
                    <w:rPr>
                      <w:rFonts w:hint="eastAsia" w:ascii="新宋体" w:hAnsi="新宋体" w:eastAsia="新宋体" w:cs="新宋体"/>
                      <w:color w:val="auto"/>
                      <w:kern w:val="0"/>
                      <w:sz w:val="22"/>
                      <w:szCs w:val="22"/>
                      <w:highlight w:val="none"/>
                      <w:lang w:val="en-US" w:eastAsia="zh-CN"/>
                    </w:rPr>
                    <w:t>较低</w:t>
                  </w:r>
                  <w:r>
                    <w:rPr>
                      <w:rFonts w:hint="eastAsia" w:ascii="新宋体" w:hAnsi="新宋体" w:eastAsia="新宋体" w:cs="新宋体"/>
                      <w:color w:val="auto"/>
                      <w:kern w:val="0"/>
                      <w:sz w:val="22"/>
                      <w:szCs w:val="22"/>
                      <w:highlight w:val="none"/>
                    </w:rPr>
                    <w:t>得</w:t>
                  </w:r>
                  <w:r>
                    <w:rPr>
                      <w:rFonts w:hint="eastAsia" w:ascii="新宋体" w:hAnsi="新宋体" w:eastAsia="新宋体" w:cs="新宋体"/>
                      <w:color w:val="auto"/>
                      <w:kern w:val="0"/>
                      <w:sz w:val="22"/>
                      <w:szCs w:val="22"/>
                      <w:highlight w:val="none"/>
                      <w:lang w:val="en-US" w:eastAsia="zh-CN"/>
                    </w:rPr>
                    <w:t>2</w:t>
                  </w:r>
                  <w:r>
                    <w:rPr>
                      <w:rFonts w:hint="eastAsia" w:ascii="新宋体" w:hAnsi="新宋体" w:eastAsia="新宋体" w:cs="新宋体"/>
                      <w:color w:val="auto"/>
                      <w:kern w:val="0"/>
                      <w:sz w:val="22"/>
                      <w:szCs w:val="22"/>
                      <w:highlight w:val="none"/>
                    </w:rPr>
                    <w:t>分；</w:t>
                  </w:r>
                </w:p>
                <w:p w14:paraId="3152CF7F">
                  <w:pPr>
                    <w:pStyle w:val="97"/>
                    <w:widowControl/>
                    <w:numPr>
                      <w:ilvl w:val="0"/>
                      <w:numId w:val="0"/>
                    </w:numPr>
                    <w:jc w:val="left"/>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 w:val="22"/>
                      <w:szCs w:val="22"/>
                      <w:highlight w:val="none"/>
                    </w:rPr>
                    <w:t>未提供</w:t>
                  </w:r>
                  <w:r>
                    <w:rPr>
                      <w:rFonts w:hint="eastAsia" w:ascii="新宋体" w:hAnsi="新宋体" w:eastAsia="新宋体" w:cs="新宋体"/>
                      <w:color w:val="auto"/>
                      <w:kern w:val="0"/>
                      <w:sz w:val="22"/>
                      <w:szCs w:val="22"/>
                      <w:highlight w:val="none"/>
                      <w:lang w:val="en-US" w:eastAsia="zh-CN"/>
                    </w:rPr>
                    <w:t>技术方案</w:t>
                  </w:r>
                  <w:r>
                    <w:rPr>
                      <w:rFonts w:hint="eastAsia" w:ascii="新宋体" w:hAnsi="新宋体" w:eastAsia="新宋体" w:cs="新宋体"/>
                      <w:color w:val="auto"/>
                      <w:kern w:val="0"/>
                      <w:sz w:val="22"/>
                      <w:szCs w:val="22"/>
                      <w:highlight w:val="none"/>
                    </w:rPr>
                    <w:t>不得分。</w:t>
                  </w:r>
                </w:p>
              </w:tc>
            </w:tr>
            <w:tr w14:paraId="591EA3C4">
              <w:tblPrEx>
                <w:tblCellMar>
                  <w:top w:w="0" w:type="dxa"/>
                  <w:left w:w="108" w:type="dxa"/>
                  <w:bottom w:w="0" w:type="dxa"/>
                  <w:right w:w="108" w:type="dxa"/>
                </w:tblCellMar>
              </w:tblPrEx>
              <w:trPr>
                <w:trHeight w:val="171" w:hRule="atLeast"/>
              </w:trPr>
              <w:tc>
                <w:tcPr>
                  <w:tcW w:w="45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1CFD5F5">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6</w:t>
                  </w:r>
                </w:p>
              </w:tc>
              <w:tc>
                <w:tcPr>
                  <w:tcW w:w="751" w:type="pct"/>
                  <w:tcBorders>
                    <w:top w:val="single" w:color="000000" w:sz="8" w:space="0"/>
                    <w:left w:val="nil"/>
                    <w:bottom w:val="single" w:color="000000" w:sz="8" w:space="0"/>
                    <w:right w:val="single" w:color="000000" w:sz="8" w:space="0"/>
                  </w:tcBorders>
                  <w:shd w:val="clear" w:color="auto" w:fill="auto"/>
                  <w:vAlign w:val="center"/>
                </w:tcPr>
                <w:p w14:paraId="3D4FE5A1">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项目实施方案</w:t>
                  </w:r>
                </w:p>
              </w:tc>
              <w:tc>
                <w:tcPr>
                  <w:tcW w:w="736" w:type="pct"/>
                  <w:tcBorders>
                    <w:top w:val="nil"/>
                    <w:left w:val="nil"/>
                    <w:bottom w:val="single" w:color="000000" w:sz="8" w:space="0"/>
                    <w:right w:val="single" w:color="000000" w:sz="8" w:space="0"/>
                  </w:tcBorders>
                  <w:shd w:val="clear" w:color="auto" w:fill="auto"/>
                  <w:vAlign w:val="center"/>
                </w:tcPr>
                <w:p w14:paraId="3D293239">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10</w:t>
                  </w:r>
                </w:p>
              </w:tc>
              <w:tc>
                <w:tcPr>
                  <w:tcW w:w="3052" w:type="pct"/>
                  <w:tcBorders>
                    <w:top w:val="single" w:color="auto" w:sz="4" w:space="0"/>
                    <w:left w:val="nil"/>
                    <w:bottom w:val="single" w:color="000000" w:sz="8" w:space="0"/>
                    <w:right w:val="single" w:color="000000" w:sz="8" w:space="0"/>
                  </w:tcBorders>
                  <w:shd w:val="clear" w:color="auto" w:fill="auto"/>
                  <w:vAlign w:val="center"/>
                </w:tcPr>
                <w:p w14:paraId="1E26D930">
                  <w:pPr>
                    <w:snapToGrid w:val="0"/>
                    <w:spacing w:line="288" w:lineRule="auto"/>
                    <w:jc w:val="left"/>
                    <w:rPr>
                      <w:rFonts w:hint="eastAsia" w:ascii="宋体" w:hAnsi="宋体" w:eastAsia="宋体" w:cs="宋体"/>
                      <w:color w:val="auto"/>
                      <w:kern w:val="0"/>
                      <w:sz w:val="22"/>
                      <w:szCs w:val="22"/>
                      <w:highlight w:val="none"/>
                      <w:lang w:val="zh-CN"/>
                    </w:rPr>
                  </w:pPr>
                  <w:r>
                    <w:rPr>
                      <w:rFonts w:hint="eastAsia" w:ascii="宋体" w:hAnsi="宋体" w:eastAsia="宋体" w:cs="宋体"/>
                      <w:color w:val="auto"/>
                      <w:kern w:val="0"/>
                      <w:sz w:val="22"/>
                      <w:szCs w:val="22"/>
                      <w:highlight w:val="none"/>
                    </w:rPr>
                    <w:t>方案的总体设计和描述是否先进、合理、完整、可行；对项目需求的理解情况；响应文件方案的科学性、先进性、完整性、可靠性、成熟性，以及方案配置的合理性等方面与项目对应需求的满足程度，</w:t>
                  </w:r>
                  <w:r>
                    <w:rPr>
                      <w:rFonts w:hint="eastAsia" w:ascii="宋体" w:hAnsi="宋体" w:eastAsia="宋体" w:cs="宋体"/>
                      <w:color w:val="auto"/>
                      <w:kern w:val="0"/>
                      <w:sz w:val="22"/>
                      <w:szCs w:val="22"/>
                      <w:highlight w:val="none"/>
                      <w:lang w:val="zh-CN"/>
                    </w:rPr>
                    <w:t>由磋商小组综合打分。</w:t>
                  </w:r>
                </w:p>
                <w:p w14:paraId="5E863ABB">
                  <w:pPr>
                    <w:snapToGrid w:val="0"/>
                    <w:spacing w:line="288" w:lineRule="auto"/>
                    <w:jc w:val="left"/>
                    <w:rPr>
                      <w:rFonts w:ascii="宋体" w:hAnsi="宋体" w:eastAsia="宋体" w:cs="宋体"/>
                      <w:color w:val="auto"/>
                      <w:sz w:val="22"/>
                      <w:szCs w:val="22"/>
                      <w:highlight w:val="none"/>
                    </w:rPr>
                  </w:pPr>
                  <w:r>
                    <w:rPr>
                      <w:rFonts w:hint="eastAsia" w:ascii="宋体" w:hAnsi="宋体" w:cs="宋体"/>
                      <w:color w:val="auto"/>
                      <w:kern w:val="0"/>
                      <w:highlight w:val="none"/>
                    </w:rPr>
                    <w:t>项目组织实施方案</w:t>
                  </w:r>
                  <w:r>
                    <w:rPr>
                      <w:rFonts w:hint="eastAsia" w:ascii="新宋体" w:hAnsi="新宋体" w:eastAsia="新宋体" w:cs="新宋体"/>
                      <w:color w:val="auto"/>
                      <w:sz w:val="22"/>
                      <w:szCs w:val="22"/>
                      <w:highlight w:val="none"/>
                    </w:rPr>
                    <w:t>内容完整具体、合理可行，针对性强，能较好满足项目运营运维服务组织实施</w:t>
                  </w:r>
                  <w:r>
                    <w:rPr>
                      <w:rFonts w:hint="eastAsia" w:ascii="新宋体" w:hAnsi="新宋体" w:eastAsia="新宋体"/>
                      <w:color w:val="auto"/>
                      <w:sz w:val="22"/>
                      <w:szCs w:val="22"/>
                      <w:highlight w:val="none"/>
                    </w:rPr>
                    <w:t>能力需求</w:t>
                  </w:r>
                  <w:r>
                    <w:rPr>
                      <w:rFonts w:hint="eastAsia" w:ascii="新宋体" w:hAnsi="新宋体" w:eastAsia="新宋体" w:cs="新宋体"/>
                      <w:color w:val="auto"/>
                      <w:sz w:val="22"/>
                      <w:szCs w:val="22"/>
                      <w:highlight w:val="none"/>
                    </w:rPr>
                    <w:t>的得</w:t>
                  </w:r>
                  <w:r>
                    <w:rPr>
                      <w:rFonts w:hint="eastAsia" w:ascii="新宋体" w:hAnsi="新宋体" w:eastAsia="新宋体" w:cs="新宋体"/>
                      <w:color w:val="auto"/>
                      <w:sz w:val="22"/>
                      <w:szCs w:val="22"/>
                      <w:highlight w:val="none"/>
                      <w:lang w:val="en-US" w:eastAsia="zh-CN"/>
                    </w:rPr>
                    <w:t>10</w:t>
                  </w:r>
                  <w:r>
                    <w:rPr>
                      <w:rFonts w:hint="eastAsia" w:ascii="新宋体" w:hAnsi="新宋体" w:eastAsia="新宋体" w:cs="新宋体"/>
                      <w:color w:val="auto"/>
                      <w:sz w:val="22"/>
                      <w:szCs w:val="22"/>
                      <w:highlight w:val="none"/>
                    </w:rPr>
                    <w:t>分；方案基本完整可行，针对性较强，能基本满足项目运营运维服务组织实施</w:t>
                  </w:r>
                  <w:r>
                    <w:rPr>
                      <w:rFonts w:hint="eastAsia" w:ascii="新宋体" w:hAnsi="新宋体" w:eastAsia="新宋体"/>
                      <w:color w:val="auto"/>
                      <w:sz w:val="22"/>
                      <w:szCs w:val="22"/>
                      <w:highlight w:val="none"/>
                    </w:rPr>
                    <w:t>能力需求</w:t>
                  </w:r>
                  <w:r>
                    <w:rPr>
                      <w:rFonts w:hint="eastAsia" w:ascii="新宋体" w:hAnsi="新宋体" w:eastAsia="新宋体" w:cs="新宋体"/>
                      <w:color w:val="auto"/>
                      <w:sz w:val="22"/>
                      <w:szCs w:val="22"/>
                      <w:highlight w:val="none"/>
                    </w:rPr>
                    <w:t>的得</w:t>
                  </w:r>
                  <w:r>
                    <w:rPr>
                      <w:rFonts w:hint="eastAsia" w:ascii="新宋体" w:hAnsi="新宋体" w:eastAsia="新宋体" w:cs="新宋体"/>
                      <w:color w:val="auto"/>
                      <w:sz w:val="22"/>
                      <w:szCs w:val="22"/>
                      <w:highlight w:val="none"/>
                      <w:lang w:val="en-US" w:eastAsia="zh-CN"/>
                    </w:rPr>
                    <w:t>7</w:t>
                  </w:r>
                  <w:r>
                    <w:rPr>
                      <w:rFonts w:hint="eastAsia" w:ascii="新宋体" w:hAnsi="新宋体" w:eastAsia="新宋体" w:cs="新宋体"/>
                      <w:color w:val="auto"/>
                      <w:sz w:val="22"/>
                      <w:szCs w:val="22"/>
                      <w:highlight w:val="none"/>
                    </w:rPr>
                    <w:t>分；方案内容简单</w:t>
                  </w:r>
                  <w:r>
                    <w:rPr>
                      <w:rFonts w:hint="eastAsia" w:ascii="新宋体" w:hAnsi="新宋体" w:eastAsia="新宋体" w:cs="新宋体"/>
                      <w:snapToGrid w:val="0"/>
                      <w:color w:val="auto"/>
                      <w:kern w:val="0"/>
                      <w:sz w:val="22"/>
                      <w:szCs w:val="22"/>
                      <w:highlight w:val="none"/>
                    </w:rPr>
                    <w:t>、不够全面，针对性不强，存在明显缺陷遗漏的</w:t>
                  </w:r>
                  <w:r>
                    <w:rPr>
                      <w:rFonts w:hint="eastAsia" w:ascii="新宋体" w:hAnsi="新宋体" w:eastAsia="新宋体" w:cs="新宋体"/>
                      <w:color w:val="auto"/>
                      <w:sz w:val="22"/>
                      <w:szCs w:val="22"/>
                      <w:highlight w:val="none"/>
                    </w:rPr>
                    <w:t>得</w:t>
                  </w:r>
                  <w:r>
                    <w:rPr>
                      <w:rFonts w:hint="eastAsia" w:ascii="新宋体" w:hAnsi="新宋体" w:eastAsia="新宋体" w:cs="新宋体"/>
                      <w:color w:val="auto"/>
                      <w:sz w:val="22"/>
                      <w:szCs w:val="22"/>
                      <w:highlight w:val="none"/>
                      <w:lang w:val="en-US" w:eastAsia="zh-CN"/>
                    </w:rPr>
                    <w:t>4</w:t>
                  </w:r>
                  <w:r>
                    <w:rPr>
                      <w:rFonts w:hint="eastAsia" w:ascii="新宋体" w:hAnsi="新宋体" w:eastAsia="新宋体" w:cs="新宋体"/>
                      <w:color w:val="auto"/>
                      <w:sz w:val="22"/>
                      <w:szCs w:val="22"/>
                      <w:highlight w:val="none"/>
                    </w:rPr>
                    <w:t>分，未提供不得分。</w:t>
                  </w:r>
                </w:p>
              </w:tc>
            </w:tr>
            <w:tr w14:paraId="6C3E83D8">
              <w:tblPrEx>
                <w:tblCellMar>
                  <w:top w:w="0" w:type="dxa"/>
                  <w:left w:w="108" w:type="dxa"/>
                  <w:bottom w:w="0" w:type="dxa"/>
                  <w:right w:w="108" w:type="dxa"/>
                </w:tblCellMar>
              </w:tblPrEx>
              <w:trPr>
                <w:trHeight w:val="822" w:hRule="atLeast"/>
              </w:trPr>
              <w:tc>
                <w:tcPr>
                  <w:tcW w:w="459" w:type="pct"/>
                  <w:tcBorders>
                    <w:top w:val="nil"/>
                    <w:left w:val="single" w:color="000000" w:sz="8" w:space="0"/>
                    <w:bottom w:val="single" w:color="000000" w:sz="8" w:space="0"/>
                    <w:right w:val="single" w:color="000000" w:sz="8" w:space="0"/>
                  </w:tcBorders>
                  <w:shd w:val="clear" w:color="auto" w:fill="auto"/>
                  <w:vAlign w:val="center"/>
                </w:tcPr>
                <w:p w14:paraId="057D814F">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7</w:t>
                  </w:r>
                </w:p>
              </w:tc>
              <w:tc>
                <w:tcPr>
                  <w:tcW w:w="751" w:type="pct"/>
                  <w:tcBorders>
                    <w:top w:val="nil"/>
                    <w:left w:val="nil"/>
                    <w:bottom w:val="single" w:color="000000" w:sz="8" w:space="0"/>
                    <w:right w:val="single" w:color="000000" w:sz="8" w:space="0"/>
                  </w:tcBorders>
                  <w:shd w:val="clear" w:color="auto" w:fill="auto"/>
                  <w:vAlign w:val="center"/>
                </w:tcPr>
                <w:p w14:paraId="3AD66BBF">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技术培训</w:t>
                  </w:r>
                </w:p>
              </w:tc>
              <w:tc>
                <w:tcPr>
                  <w:tcW w:w="736" w:type="pct"/>
                  <w:tcBorders>
                    <w:top w:val="nil"/>
                    <w:left w:val="nil"/>
                    <w:bottom w:val="single" w:color="000000" w:sz="8" w:space="0"/>
                    <w:right w:val="single" w:color="000000" w:sz="8" w:space="0"/>
                  </w:tcBorders>
                  <w:shd w:val="clear" w:color="auto" w:fill="auto"/>
                  <w:vAlign w:val="center"/>
                </w:tcPr>
                <w:p w14:paraId="4EF05321">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5</w:t>
                  </w:r>
                </w:p>
              </w:tc>
              <w:tc>
                <w:tcPr>
                  <w:tcW w:w="3052" w:type="pct"/>
                  <w:tcBorders>
                    <w:top w:val="nil"/>
                    <w:left w:val="nil"/>
                    <w:bottom w:val="single" w:color="000000" w:sz="8" w:space="0"/>
                    <w:right w:val="single" w:color="000000" w:sz="8" w:space="0"/>
                  </w:tcBorders>
                  <w:shd w:val="clear" w:color="auto" w:fill="auto"/>
                  <w:vAlign w:val="center"/>
                </w:tcPr>
                <w:p w14:paraId="249272C7">
                  <w:pPr>
                    <w:widowControl/>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培训计划内容（除采购需求规定以外内容）合理、详细，培训范围广，可实施有针对性。</w:t>
                  </w:r>
                </w:p>
                <w:p w14:paraId="74B20389">
                  <w:pPr>
                    <w:widowControl/>
                    <w:textAlignment w:val="center"/>
                    <w:rPr>
                      <w:rFonts w:ascii="宋体" w:hAnsi="宋体" w:eastAsia="宋体" w:cs="宋体"/>
                      <w:color w:val="auto"/>
                      <w:sz w:val="22"/>
                      <w:szCs w:val="22"/>
                      <w:highlight w:val="none"/>
                    </w:rPr>
                  </w:pPr>
                  <w:r>
                    <w:rPr>
                      <w:rFonts w:hint="eastAsia" w:ascii="宋体" w:hAnsi="宋体" w:eastAsia="宋体" w:cs="宋体"/>
                      <w:color w:val="auto"/>
                      <w:sz w:val="22"/>
                      <w:szCs w:val="22"/>
                      <w:highlight w:val="none"/>
                    </w:rPr>
                    <w:t>培训计划</w:t>
                  </w:r>
                  <w:r>
                    <w:rPr>
                      <w:rFonts w:hint="eastAsia" w:ascii="新宋体" w:hAnsi="新宋体" w:eastAsia="新宋体" w:cs="新宋体"/>
                      <w:color w:val="auto"/>
                      <w:sz w:val="22"/>
                      <w:szCs w:val="22"/>
                      <w:highlight w:val="none"/>
                    </w:rPr>
                    <w:t>方案内容完整具体、合理可行，针对性强，能优质高效满足项目服务保障需求的得</w:t>
                  </w:r>
                  <w:r>
                    <w:rPr>
                      <w:rFonts w:hint="eastAsia" w:ascii="新宋体" w:hAnsi="新宋体" w:eastAsia="新宋体" w:cs="新宋体"/>
                      <w:color w:val="auto"/>
                      <w:sz w:val="22"/>
                      <w:szCs w:val="22"/>
                      <w:highlight w:val="none"/>
                      <w:lang w:val="en-US" w:eastAsia="zh-CN"/>
                    </w:rPr>
                    <w:t>5</w:t>
                  </w:r>
                  <w:r>
                    <w:rPr>
                      <w:rFonts w:hint="eastAsia" w:ascii="新宋体" w:hAnsi="新宋体" w:eastAsia="新宋体" w:cs="新宋体"/>
                      <w:color w:val="auto"/>
                      <w:sz w:val="22"/>
                      <w:szCs w:val="22"/>
                      <w:highlight w:val="none"/>
                    </w:rPr>
                    <w:t>分；</w:t>
                  </w:r>
                  <w:r>
                    <w:rPr>
                      <w:rFonts w:hint="eastAsia" w:ascii="宋体" w:hAnsi="宋体" w:eastAsia="宋体" w:cs="宋体"/>
                      <w:color w:val="auto"/>
                      <w:sz w:val="22"/>
                      <w:szCs w:val="22"/>
                      <w:highlight w:val="none"/>
                    </w:rPr>
                    <w:t>培训计划</w:t>
                  </w:r>
                  <w:r>
                    <w:rPr>
                      <w:rFonts w:hint="eastAsia" w:ascii="新宋体" w:hAnsi="新宋体" w:eastAsia="新宋体" w:cs="新宋体"/>
                      <w:color w:val="auto"/>
                      <w:sz w:val="22"/>
                      <w:szCs w:val="22"/>
                      <w:highlight w:val="none"/>
                    </w:rPr>
                    <w:t>方案基本完整可行，针对性较强，能较好满足项目服务保障需求的得</w:t>
                  </w: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分；</w:t>
                  </w:r>
                  <w:r>
                    <w:rPr>
                      <w:rFonts w:hint="eastAsia" w:ascii="宋体" w:hAnsi="宋体" w:eastAsia="宋体" w:cs="宋体"/>
                      <w:color w:val="auto"/>
                      <w:sz w:val="22"/>
                      <w:szCs w:val="22"/>
                      <w:highlight w:val="none"/>
                    </w:rPr>
                    <w:t>培训计划</w:t>
                  </w:r>
                  <w:r>
                    <w:rPr>
                      <w:rFonts w:hint="eastAsia" w:ascii="新宋体" w:hAnsi="新宋体" w:eastAsia="新宋体" w:cs="新宋体"/>
                      <w:color w:val="auto"/>
                      <w:sz w:val="22"/>
                      <w:szCs w:val="22"/>
                      <w:highlight w:val="none"/>
                    </w:rPr>
                    <w:t>方案内容简单</w:t>
                  </w:r>
                  <w:r>
                    <w:rPr>
                      <w:rFonts w:hint="eastAsia" w:ascii="新宋体" w:hAnsi="新宋体" w:eastAsia="新宋体" w:cs="新宋体"/>
                      <w:snapToGrid w:val="0"/>
                      <w:color w:val="auto"/>
                      <w:kern w:val="0"/>
                      <w:sz w:val="22"/>
                      <w:szCs w:val="22"/>
                      <w:highlight w:val="none"/>
                    </w:rPr>
                    <w:t>、不够全面，针对性不强，存在明显缺陷遗漏的</w:t>
                  </w:r>
                  <w:r>
                    <w:rPr>
                      <w:rFonts w:hint="eastAsia" w:ascii="新宋体" w:hAnsi="新宋体" w:eastAsia="新宋体" w:cs="新宋体"/>
                      <w:color w:val="auto"/>
                      <w:sz w:val="22"/>
                      <w:szCs w:val="22"/>
                      <w:highlight w:val="none"/>
                    </w:rPr>
                    <w:t>得1分，未提供不得分。</w:t>
                  </w:r>
                </w:p>
              </w:tc>
            </w:tr>
            <w:tr w14:paraId="7FA488F6">
              <w:tblPrEx>
                <w:tblCellMar>
                  <w:top w:w="0" w:type="dxa"/>
                  <w:left w:w="108" w:type="dxa"/>
                  <w:bottom w:w="0" w:type="dxa"/>
                  <w:right w:w="108" w:type="dxa"/>
                </w:tblCellMar>
              </w:tblPrEx>
              <w:trPr>
                <w:trHeight w:val="1110" w:hRule="atLeast"/>
              </w:trPr>
              <w:tc>
                <w:tcPr>
                  <w:tcW w:w="459" w:type="pct"/>
                  <w:tcBorders>
                    <w:top w:val="nil"/>
                    <w:left w:val="single" w:color="000000" w:sz="8" w:space="0"/>
                    <w:bottom w:val="single" w:color="000000" w:sz="8" w:space="0"/>
                    <w:right w:val="single" w:color="000000" w:sz="8" w:space="0"/>
                  </w:tcBorders>
                  <w:shd w:val="clear" w:color="auto" w:fill="auto"/>
                  <w:vAlign w:val="center"/>
                </w:tcPr>
                <w:p w14:paraId="3554F705">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8</w:t>
                  </w:r>
                </w:p>
              </w:tc>
              <w:tc>
                <w:tcPr>
                  <w:tcW w:w="751" w:type="pct"/>
                  <w:tcBorders>
                    <w:top w:val="nil"/>
                    <w:left w:val="nil"/>
                    <w:bottom w:val="single" w:color="000000" w:sz="8" w:space="0"/>
                    <w:right w:val="single" w:color="000000" w:sz="8" w:space="0"/>
                  </w:tcBorders>
                  <w:shd w:val="clear" w:color="auto" w:fill="auto"/>
                  <w:vAlign w:val="center"/>
                </w:tcPr>
                <w:p w14:paraId="179556E8">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售后服务</w:t>
                  </w:r>
                </w:p>
              </w:tc>
              <w:tc>
                <w:tcPr>
                  <w:tcW w:w="736" w:type="pct"/>
                  <w:tcBorders>
                    <w:top w:val="nil"/>
                    <w:left w:val="nil"/>
                    <w:bottom w:val="single" w:color="000000" w:sz="8" w:space="0"/>
                    <w:right w:val="single" w:color="000000" w:sz="8" w:space="0"/>
                  </w:tcBorders>
                  <w:shd w:val="clear" w:color="auto" w:fill="auto"/>
                  <w:vAlign w:val="center"/>
                </w:tcPr>
                <w:p w14:paraId="5733BED2">
                  <w:pPr>
                    <w:widowControl/>
                    <w:jc w:val="center"/>
                    <w:textAlignment w:val="center"/>
                    <w:rPr>
                      <w:rFonts w:ascii="新宋体" w:hAnsi="新宋体" w:eastAsia="新宋体" w:cs="新宋体"/>
                      <w:color w:val="auto"/>
                      <w:szCs w:val="21"/>
                      <w:highlight w:val="none"/>
                    </w:rPr>
                  </w:pPr>
                  <w:r>
                    <w:rPr>
                      <w:rFonts w:hint="eastAsia" w:ascii="新宋体" w:hAnsi="新宋体" w:eastAsia="新宋体" w:cs="新宋体"/>
                      <w:color w:val="auto"/>
                      <w:kern w:val="0"/>
                      <w:szCs w:val="21"/>
                      <w:highlight w:val="none"/>
                      <w:lang w:bidi="ar"/>
                    </w:rPr>
                    <w:t>5</w:t>
                  </w:r>
                </w:p>
              </w:tc>
              <w:tc>
                <w:tcPr>
                  <w:tcW w:w="3052" w:type="pct"/>
                  <w:tcBorders>
                    <w:top w:val="nil"/>
                    <w:left w:val="nil"/>
                    <w:bottom w:val="single" w:color="000000" w:sz="8" w:space="0"/>
                    <w:right w:val="single" w:color="000000" w:sz="8" w:space="0"/>
                  </w:tcBorders>
                  <w:shd w:val="clear" w:color="auto" w:fill="auto"/>
                  <w:vAlign w:val="center"/>
                </w:tcPr>
                <w:p w14:paraId="7B473DC2">
                  <w:pPr>
                    <w:snapToGrid w:val="0"/>
                    <w:spacing w:line="288" w:lineRule="auto"/>
                    <w:jc w:val="left"/>
                    <w:rPr>
                      <w:rFonts w:hint="eastAsia" w:ascii="宋体" w:hAnsi="宋体" w:eastAsia="宋体" w:cs="宋体"/>
                      <w:color w:val="auto"/>
                      <w:kern w:val="0"/>
                      <w:sz w:val="22"/>
                      <w:szCs w:val="22"/>
                      <w:highlight w:val="none"/>
                      <w:lang w:eastAsia="zh-CN"/>
                    </w:rPr>
                  </w:pPr>
                  <w:r>
                    <w:rPr>
                      <w:rFonts w:hint="eastAsia" w:ascii="宋体" w:hAnsi="宋体" w:eastAsia="宋体" w:cs="宋体"/>
                      <w:color w:val="auto"/>
                      <w:kern w:val="0"/>
                      <w:sz w:val="22"/>
                      <w:szCs w:val="22"/>
                      <w:highlight w:val="none"/>
                    </w:rPr>
                    <w:t>售后服务方案、售后服务承诺的可行性以及服务承诺落实的保障措施，免费服务期内外的技术支持和维护能力情况和保障措施（除采购需求规定以外内容）进行综合评定</w:t>
                  </w:r>
                  <w:r>
                    <w:rPr>
                      <w:rFonts w:hint="eastAsia" w:ascii="宋体" w:hAnsi="宋体" w:cs="宋体"/>
                      <w:color w:val="auto"/>
                      <w:kern w:val="0"/>
                      <w:sz w:val="22"/>
                      <w:szCs w:val="22"/>
                      <w:highlight w:val="none"/>
                      <w:lang w:eastAsia="zh-CN"/>
                    </w:rPr>
                    <w:t>。</w:t>
                  </w:r>
                </w:p>
                <w:p w14:paraId="36484A18">
                  <w:pPr>
                    <w:widowControl/>
                    <w:textAlignment w:val="center"/>
                    <w:rPr>
                      <w:rFonts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售后</w:t>
                  </w:r>
                  <w:r>
                    <w:rPr>
                      <w:rFonts w:hint="eastAsia" w:ascii="新宋体" w:hAnsi="新宋体" w:eastAsia="新宋体" w:cs="新宋体"/>
                      <w:color w:val="auto"/>
                      <w:sz w:val="22"/>
                      <w:szCs w:val="22"/>
                      <w:highlight w:val="none"/>
                    </w:rPr>
                    <w:t>服务保障方案内容完整具体、合理可行，针对性强，能优质高效满足项目服务保障需求的得</w:t>
                  </w:r>
                  <w:r>
                    <w:rPr>
                      <w:rFonts w:hint="eastAsia" w:ascii="新宋体" w:hAnsi="新宋体" w:eastAsia="新宋体" w:cs="新宋体"/>
                      <w:color w:val="auto"/>
                      <w:sz w:val="22"/>
                      <w:szCs w:val="22"/>
                      <w:highlight w:val="none"/>
                      <w:lang w:val="en-US" w:eastAsia="zh-CN"/>
                    </w:rPr>
                    <w:t>5</w:t>
                  </w:r>
                  <w:r>
                    <w:rPr>
                      <w:rFonts w:hint="eastAsia" w:ascii="新宋体" w:hAnsi="新宋体" w:eastAsia="新宋体" w:cs="新宋体"/>
                      <w:color w:val="auto"/>
                      <w:sz w:val="22"/>
                      <w:szCs w:val="22"/>
                      <w:highlight w:val="none"/>
                    </w:rPr>
                    <w:t>分；方案基本完整可行，针对性较强，能较好满足项目服务保障需求的得</w:t>
                  </w: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分；方案内容简单</w:t>
                  </w:r>
                  <w:r>
                    <w:rPr>
                      <w:rFonts w:hint="eastAsia" w:ascii="新宋体" w:hAnsi="新宋体" w:eastAsia="新宋体" w:cs="新宋体"/>
                      <w:snapToGrid w:val="0"/>
                      <w:color w:val="auto"/>
                      <w:kern w:val="0"/>
                      <w:sz w:val="22"/>
                      <w:szCs w:val="22"/>
                      <w:highlight w:val="none"/>
                    </w:rPr>
                    <w:t>、不够全面，针对性不强，存在明显缺陷遗漏的</w:t>
                  </w:r>
                  <w:r>
                    <w:rPr>
                      <w:rFonts w:hint="eastAsia" w:ascii="新宋体" w:hAnsi="新宋体" w:eastAsia="新宋体" w:cs="新宋体"/>
                      <w:color w:val="auto"/>
                      <w:sz w:val="22"/>
                      <w:szCs w:val="22"/>
                      <w:highlight w:val="none"/>
                    </w:rPr>
                    <w:t>得1分，未提供不得分。</w:t>
                  </w:r>
                </w:p>
              </w:tc>
            </w:tr>
          </w:tbl>
          <w:p w14:paraId="6A6F0D42">
            <w:pPr>
              <w:widowControl/>
              <w:adjustRightInd/>
              <w:jc w:val="left"/>
              <w:rPr>
                <w:rFonts w:hint="eastAsia" w:ascii="宋体" w:hAnsi="宋体" w:eastAsia="宋体" w:cs="宋体"/>
                <w:color w:val="auto"/>
                <w:sz w:val="22"/>
                <w:szCs w:val="22"/>
                <w:highlight w:val="none"/>
                <w:lang w:eastAsia="zh-CN"/>
              </w:rPr>
            </w:pPr>
          </w:p>
          <w:p w14:paraId="165AFC3A">
            <w:pPr>
              <w:widowControl/>
              <w:adjustRightInd/>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（二）最终报价</w:t>
            </w:r>
            <w:r>
              <w:rPr>
                <w:rFonts w:hint="eastAsia" w:ascii="宋体" w:hAnsi="宋体" w:eastAsia="宋体" w:cs="宋体"/>
                <w:color w:val="auto"/>
                <w:sz w:val="22"/>
                <w:szCs w:val="22"/>
                <w:highlight w:val="none"/>
              </w:rPr>
              <w:t>分（</w:t>
            </w:r>
            <w:r>
              <w:rPr>
                <w:rFonts w:hint="eastAsia" w:ascii="宋体" w:hAnsi="宋体" w:eastAsia="宋体" w:cs="宋体"/>
                <w:color w:val="auto"/>
                <w:sz w:val="22"/>
                <w:szCs w:val="22"/>
                <w:highlight w:val="none"/>
                <w:lang w:val="en-US" w:eastAsia="zh-CN"/>
              </w:rPr>
              <w:t>20</w:t>
            </w:r>
            <w:r>
              <w:rPr>
                <w:rFonts w:hint="eastAsia" w:ascii="宋体" w:hAnsi="宋体" w:eastAsia="宋体" w:cs="宋体"/>
                <w:color w:val="auto"/>
                <w:sz w:val="22"/>
                <w:szCs w:val="22"/>
                <w:highlight w:val="none"/>
              </w:rPr>
              <w:t>分）</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61"/>
              <w:gridCol w:w="7677"/>
            </w:tblGrid>
            <w:tr w14:paraId="68A9A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161" w:type="dxa"/>
                  <w:tcBorders>
                    <w:top w:val="single" w:color="auto" w:sz="4" w:space="0"/>
                    <w:left w:val="single" w:color="auto" w:sz="4" w:space="0"/>
                    <w:bottom w:val="single" w:color="auto" w:sz="4" w:space="0"/>
                    <w:right w:val="single" w:color="auto" w:sz="4" w:space="0"/>
                  </w:tcBorders>
                  <w:noWrap w:val="0"/>
                  <w:vAlign w:val="center"/>
                </w:tcPr>
                <w:p w14:paraId="2EA5EBA0">
                  <w:pPr>
                    <w:widowControl/>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价格权值</w:t>
                  </w:r>
                </w:p>
              </w:tc>
              <w:tc>
                <w:tcPr>
                  <w:tcW w:w="7677" w:type="dxa"/>
                  <w:tcBorders>
                    <w:top w:val="single" w:color="auto" w:sz="4" w:space="0"/>
                    <w:left w:val="single" w:color="auto" w:sz="4" w:space="0"/>
                    <w:bottom w:val="single" w:color="auto" w:sz="4" w:space="0"/>
                    <w:right w:val="single" w:color="auto" w:sz="4" w:space="0"/>
                  </w:tcBorders>
                  <w:noWrap w:val="0"/>
                  <w:vAlign w:val="center"/>
                </w:tcPr>
                <w:p w14:paraId="2DEF1365">
                  <w:pPr>
                    <w:widowControl/>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计算方法</w:t>
                  </w:r>
                </w:p>
              </w:tc>
            </w:tr>
            <w:tr w14:paraId="371AD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jc w:val="center"/>
              </w:trPr>
              <w:tc>
                <w:tcPr>
                  <w:tcW w:w="2161" w:type="dxa"/>
                  <w:tcBorders>
                    <w:top w:val="single" w:color="auto" w:sz="4" w:space="0"/>
                    <w:left w:val="single" w:color="auto" w:sz="4" w:space="0"/>
                    <w:bottom w:val="single" w:color="auto" w:sz="4" w:space="0"/>
                    <w:right w:val="single" w:color="auto" w:sz="4" w:space="0"/>
                  </w:tcBorders>
                  <w:noWrap w:val="0"/>
                  <w:vAlign w:val="center"/>
                </w:tcPr>
                <w:p w14:paraId="40316EA5">
                  <w:pPr>
                    <w:widowControl/>
                    <w:spacing w:line="360" w:lineRule="auto"/>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最终报价得分</w:t>
                  </w:r>
                </w:p>
              </w:tc>
              <w:tc>
                <w:tcPr>
                  <w:tcW w:w="7677" w:type="dxa"/>
                  <w:tcBorders>
                    <w:top w:val="single" w:color="auto" w:sz="4" w:space="0"/>
                    <w:left w:val="single" w:color="auto" w:sz="4" w:space="0"/>
                    <w:bottom w:val="single" w:color="auto" w:sz="4" w:space="0"/>
                    <w:right w:val="single" w:color="auto" w:sz="4" w:space="0"/>
                  </w:tcBorders>
                  <w:noWrap w:val="0"/>
                  <w:vAlign w:val="center"/>
                </w:tcPr>
                <w:p w14:paraId="7EF0D528">
                  <w:pPr>
                    <w:spacing w:line="420" w:lineRule="exact"/>
                    <w:rPr>
                      <w:rFonts w:ascii="新宋体" w:hAnsi="新宋体" w:eastAsia="新宋体"/>
                      <w:color w:val="auto"/>
                      <w:sz w:val="22"/>
                      <w:szCs w:val="22"/>
                      <w:highlight w:val="none"/>
                    </w:rPr>
                  </w:pPr>
                  <w:r>
                    <w:rPr>
                      <w:rFonts w:hint="eastAsia" w:ascii="新宋体" w:hAnsi="新宋体" w:eastAsia="新宋体"/>
                      <w:color w:val="auto"/>
                      <w:sz w:val="22"/>
                      <w:szCs w:val="22"/>
                      <w:highlight w:val="none"/>
                    </w:rPr>
                    <w:t>（1）满足招标文件要求且投标价格最低的投标报价为评标基准价。</w:t>
                  </w:r>
                </w:p>
                <w:p w14:paraId="3505F3D1">
                  <w:pPr>
                    <w:spacing w:line="420" w:lineRule="exact"/>
                    <w:rPr>
                      <w:rFonts w:ascii="新宋体" w:hAnsi="新宋体" w:eastAsia="新宋体"/>
                      <w:color w:val="auto"/>
                      <w:sz w:val="22"/>
                      <w:szCs w:val="22"/>
                      <w:highlight w:val="none"/>
                    </w:rPr>
                  </w:pPr>
                  <w:r>
                    <w:rPr>
                      <w:rFonts w:hint="eastAsia" w:ascii="新宋体" w:hAnsi="新宋体" w:eastAsia="新宋体"/>
                      <w:color w:val="auto"/>
                      <w:sz w:val="22"/>
                      <w:szCs w:val="22"/>
                      <w:highlight w:val="none"/>
                    </w:rPr>
                    <w:t>（2）投标供应商的投标报价等于评标基准价时其价格分为满分；</w:t>
                  </w:r>
                </w:p>
                <w:p w14:paraId="0D278518">
                  <w:pPr>
                    <w:spacing w:line="420" w:lineRule="exact"/>
                    <w:rPr>
                      <w:rFonts w:ascii="新宋体" w:hAnsi="新宋体" w:eastAsia="新宋体"/>
                      <w:color w:val="auto"/>
                      <w:sz w:val="22"/>
                      <w:szCs w:val="22"/>
                      <w:highlight w:val="none"/>
                    </w:rPr>
                  </w:pPr>
                  <w:r>
                    <w:rPr>
                      <w:rFonts w:hint="eastAsia" w:ascii="新宋体" w:hAnsi="新宋体" w:eastAsia="新宋体"/>
                      <w:color w:val="auto"/>
                      <w:sz w:val="22"/>
                      <w:szCs w:val="22"/>
                      <w:highlight w:val="none"/>
                    </w:rPr>
                    <w:t>（3）其他投标供应商的价格分按以下公式计算：</w:t>
                  </w:r>
                </w:p>
                <w:p w14:paraId="2B9DCE36">
                  <w:pPr>
                    <w:spacing w:line="460" w:lineRule="exact"/>
                    <w:ind w:left="538" w:leftChars="256"/>
                    <w:rPr>
                      <w:rFonts w:hint="eastAsia" w:ascii="宋体" w:hAnsi="宋体" w:eastAsia="宋体" w:cs="宋体"/>
                      <w:color w:val="auto"/>
                      <w:sz w:val="22"/>
                      <w:szCs w:val="22"/>
                      <w:highlight w:val="none"/>
                    </w:rPr>
                  </w:pPr>
                  <w:r>
                    <w:rPr>
                      <w:rFonts w:hint="eastAsia" w:ascii="新宋体" w:hAnsi="新宋体" w:eastAsia="新宋体"/>
                      <w:color w:val="auto"/>
                      <w:sz w:val="22"/>
                      <w:szCs w:val="22"/>
                      <w:highlight w:val="none"/>
                    </w:rPr>
                    <w:t>价格分=（评标基准价/投标供应商投标价）×</w:t>
                  </w:r>
                  <w:r>
                    <w:rPr>
                      <w:rFonts w:hint="eastAsia" w:ascii="新宋体" w:hAnsi="新宋体" w:eastAsia="新宋体"/>
                      <w:color w:val="auto"/>
                      <w:sz w:val="22"/>
                      <w:szCs w:val="22"/>
                      <w:highlight w:val="none"/>
                      <w:lang w:val="en-US" w:eastAsia="zh-CN"/>
                    </w:rPr>
                    <w:t>20</w:t>
                  </w:r>
                  <w:r>
                    <w:rPr>
                      <w:rFonts w:hint="eastAsia" w:ascii="新宋体" w:hAnsi="新宋体" w:eastAsia="新宋体"/>
                      <w:color w:val="auto"/>
                      <w:sz w:val="22"/>
                      <w:szCs w:val="22"/>
                      <w:highlight w:val="none"/>
                    </w:rPr>
                    <w:t>（四舍五入，保留小数点后2位）</w:t>
                  </w:r>
                </w:p>
              </w:tc>
            </w:tr>
            <w:tr w14:paraId="1A946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2161" w:type="dxa"/>
                  <w:tcBorders>
                    <w:top w:val="single" w:color="auto" w:sz="4" w:space="0"/>
                    <w:left w:val="single" w:color="auto" w:sz="4" w:space="0"/>
                    <w:bottom w:val="single" w:color="auto" w:sz="4" w:space="0"/>
                    <w:right w:val="single" w:color="auto" w:sz="4" w:space="0"/>
                  </w:tcBorders>
                  <w:noWrap w:val="0"/>
                  <w:vAlign w:val="center"/>
                </w:tcPr>
                <w:p w14:paraId="28F70B7C">
                  <w:pPr>
                    <w:widowControl/>
                    <w:spacing w:line="360" w:lineRule="auto"/>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落实政府采购政策需进行的价格扣除</w:t>
                  </w:r>
                </w:p>
              </w:tc>
              <w:tc>
                <w:tcPr>
                  <w:tcW w:w="7677" w:type="dxa"/>
                  <w:tcBorders>
                    <w:top w:val="single" w:color="auto" w:sz="4" w:space="0"/>
                    <w:left w:val="single" w:color="auto" w:sz="4" w:space="0"/>
                    <w:bottom w:val="single" w:color="auto" w:sz="4" w:space="0"/>
                    <w:right w:val="single" w:color="auto" w:sz="4" w:space="0"/>
                  </w:tcBorders>
                  <w:noWrap w:val="0"/>
                  <w:vAlign w:val="center"/>
                </w:tcPr>
                <w:p w14:paraId="04F34D54">
                  <w:pPr>
                    <w:spacing w:line="460" w:lineRule="exact"/>
                    <w:ind w:firstLine="541" w:firstLineChars="245"/>
                    <w:rPr>
                      <w:rFonts w:hint="eastAsia" w:ascii="宋体" w:hAnsi="宋体" w:eastAsia="宋体" w:cs="宋体"/>
                      <w:color w:val="auto"/>
                      <w:sz w:val="22"/>
                      <w:szCs w:val="22"/>
                      <w:highlight w:val="none"/>
                      <w:lang w:val="en-US" w:eastAsia="zh-CN"/>
                    </w:rPr>
                  </w:pPr>
                  <w:r>
                    <w:rPr>
                      <w:rFonts w:hint="eastAsia" w:ascii="宋体" w:hAnsi="宋体" w:eastAsia="宋体" w:cs="宋体"/>
                      <w:b/>
                      <w:color w:val="auto"/>
                      <w:sz w:val="22"/>
                      <w:szCs w:val="22"/>
                      <w:highlight w:val="none"/>
                    </w:rPr>
                    <w:t>本项目为预留份额项目，专门面向中小企业采购，</w:t>
                  </w:r>
                  <w:r>
                    <w:rPr>
                      <w:rFonts w:hint="eastAsia" w:ascii="宋体" w:hAnsi="宋体" w:eastAsia="宋体" w:cs="宋体"/>
                      <w:b/>
                      <w:bCs/>
                      <w:color w:val="auto"/>
                      <w:kern w:val="0"/>
                      <w:sz w:val="22"/>
                      <w:szCs w:val="22"/>
                      <w:highlight w:val="none"/>
                    </w:rPr>
                    <w:t>不再执行价格评审优惠的扶持政策。</w:t>
                  </w:r>
                </w:p>
              </w:tc>
            </w:tr>
          </w:tbl>
          <w:p w14:paraId="3FCF56D1">
            <w:pPr>
              <w:pStyle w:val="4"/>
              <w:numPr>
                <w:ilvl w:val="0"/>
                <w:numId w:val="0"/>
              </w:numPr>
              <w:ind w:leftChars="0"/>
              <w:rPr>
                <w:rFonts w:hint="eastAsia" w:ascii="宋体" w:hAnsi="宋体" w:eastAsia="宋体" w:cs="宋体"/>
                <w:color w:val="auto"/>
                <w:sz w:val="22"/>
                <w:szCs w:val="22"/>
                <w:highlight w:val="none"/>
              </w:rPr>
            </w:pPr>
          </w:p>
        </w:tc>
      </w:tr>
    </w:tbl>
    <w:p w14:paraId="1E36AE2A">
      <w:pPr>
        <w:adjustRightInd/>
        <w:spacing w:line="360" w:lineRule="auto"/>
        <w:ind w:firstLine="482" w:firstLineChars="200"/>
        <w:rPr>
          <w:rFonts w:hint="eastAsia" w:ascii="宋体" w:hAnsi="宋体" w:eastAsia="宋体" w:cs="宋体"/>
          <w:b/>
          <w:color w:val="auto"/>
          <w:kern w:val="0"/>
          <w:sz w:val="24"/>
          <w:highlight w:val="none"/>
        </w:rPr>
      </w:pPr>
    </w:p>
    <w:p w14:paraId="0103797E">
      <w:pPr>
        <w:rPr>
          <w:rFonts w:hint="eastAsia" w:ascii="宋体" w:hAnsi="宋体" w:eastAsia="宋体" w:cs="宋体"/>
          <w:b/>
          <w:color w:val="auto"/>
          <w:sz w:val="32"/>
          <w:highlight w:val="none"/>
        </w:rPr>
      </w:pPr>
      <w:r>
        <w:rPr>
          <w:rFonts w:hint="eastAsia" w:ascii="宋体" w:hAnsi="宋体" w:eastAsia="宋体" w:cs="宋体"/>
          <w:b/>
          <w:color w:val="auto"/>
          <w:sz w:val="32"/>
          <w:highlight w:val="none"/>
        </w:rPr>
        <w:br w:type="page"/>
      </w:r>
    </w:p>
    <w:p w14:paraId="2BED1154">
      <w:pPr>
        <w:pStyle w:val="431"/>
        <w:spacing w:before="0"/>
        <w:ind w:firstLine="643"/>
        <w:jc w:val="center"/>
        <w:rPr>
          <w:rFonts w:hint="eastAsia" w:ascii="宋体" w:hAnsi="宋体" w:eastAsia="宋体" w:cs="宋体"/>
          <w:b/>
          <w:color w:val="auto"/>
          <w:highlight w:val="none"/>
        </w:rPr>
      </w:pPr>
      <w:r>
        <w:rPr>
          <w:rFonts w:hint="eastAsia" w:ascii="宋体" w:hAnsi="宋体" w:eastAsia="宋体" w:cs="宋体"/>
          <w:b/>
          <w:color w:val="auto"/>
          <w:sz w:val="32"/>
          <w:highlight w:val="none"/>
        </w:rPr>
        <w:t>一、评审方法</w:t>
      </w:r>
    </w:p>
    <w:p w14:paraId="6415B964">
      <w:pPr>
        <w:adjustRightInd/>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1.综合评分法。</w:t>
      </w:r>
      <w:r>
        <w:rPr>
          <w:rFonts w:hint="eastAsia" w:ascii="宋体" w:hAnsi="宋体" w:eastAsia="宋体" w:cs="宋体"/>
          <w:color w:val="auto"/>
          <w:kern w:val="0"/>
          <w:sz w:val="24"/>
          <w:highlight w:val="none"/>
        </w:rPr>
        <w:t>综合评分法，是指响应文件满足磋商文件全部实质性要求，且按照评审因素的量化指标评审得分最高的供应商为成交候选人的评审方法。</w:t>
      </w:r>
    </w:p>
    <w:p w14:paraId="2F3C9600">
      <w:pPr>
        <w:adjustRightInd/>
        <w:spacing w:line="360" w:lineRule="auto"/>
        <w:rPr>
          <w:rFonts w:hint="eastAsia" w:ascii="宋体" w:hAnsi="宋体" w:eastAsia="宋体" w:cs="宋体"/>
          <w:color w:val="auto"/>
          <w:kern w:val="0"/>
          <w:sz w:val="24"/>
          <w:highlight w:val="none"/>
        </w:rPr>
      </w:pPr>
    </w:p>
    <w:p w14:paraId="2D0C97DE">
      <w:pPr>
        <w:snapToGrid w:val="0"/>
        <w:spacing w:line="360" w:lineRule="auto"/>
        <w:ind w:left="120" w:leftChars="57" w:firstLine="42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28"/>
          <w:szCs w:val="28"/>
          <w:highlight w:val="none"/>
        </w:rPr>
        <w:t xml:space="preserve">   </w:t>
      </w:r>
      <w:r>
        <w:rPr>
          <w:rFonts w:hint="eastAsia" w:ascii="宋体" w:hAnsi="宋体" w:eastAsia="宋体" w:cs="宋体"/>
          <w:b/>
          <w:color w:val="auto"/>
          <w:sz w:val="32"/>
          <w:highlight w:val="none"/>
        </w:rPr>
        <w:t>二、磋商小组的组成</w:t>
      </w:r>
    </w:p>
    <w:p w14:paraId="15E9E38F">
      <w:pPr>
        <w:pStyle w:val="431"/>
        <w:spacing w:before="0"/>
        <w:ind w:firstLine="0" w:firstLineChars="0"/>
        <w:rPr>
          <w:rFonts w:hint="eastAsia" w:ascii="宋体" w:hAnsi="宋体" w:eastAsia="宋体" w:cs="宋体"/>
          <w:b/>
          <w:color w:val="auto"/>
          <w:kern w:val="0"/>
          <w:highlight w:val="none"/>
        </w:rPr>
      </w:pPr>
      <w:r>
        <w:rPr>
          <w:rFonts w:hint="eastAsia" w:ascii="宋体" w:hAnsi="宋体" w:eastAsia="宋体" w:cs="宋体"/>
          <w:b/>
          <w:color w:val="auto"/>
          <w:kern w:val="0"/>
          <w:highlight w:val="none"/>
        </w:rPr>
        <w:t>1.磋商小组的组成。</w:t>
      </w:r>
    </w:p>
    <w:p w14:paraId="7955DB47">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磋商小组由采购人代表和评审专家共3人以上单数组成，其中评审专家人数不得少于磋商小组成员总数的2/3。采购人代表不得以评审专家身份参加本部门或本单位采购项目的评审。采购机构人员不得参加本机构代理的采购项目的评审。</w:t>
      </w:r>
    </w:p>
    <w:p w14:paraId="2142B9AB">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65100F60">
      <w:pPr>
        <w:snapToGrid w:val="0"/>
        <w:spacing w:line="360" w:lineRule="auto"/>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2.磋商小组的组成人员的回避。</w:t>
      </w:r>
    </w:p>
    <w:p w14:paraId="6B292E50">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在政府采购活动中，磋商小组的组成人员与供应商有下列利害关系之一的，应当回避：</w:t>
      </w:r>
    </w:p>
    <w:p w14:paraId="0DF9376F">
      <w:pPr>
        <w:pStyle w:val="431"/>
        <w:spacing w:before="0"/>
        <w:ind w:firstLine="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　　2.1参加采购活动前3年内与供应商存在劳动关系；</w:t>
      </w:r>
    </w:p>
    <w:p w14:paraId="6A9F2A8F">
      <w:pPr>
        <w:pStyle w:val="431"/>
        <w:spacing w:before="0"/>
        <w:ind w:firstLine="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　　2.2参加采购活动前3年内担任供应商的董事、监事；</w:t>
      </w:r>
    </w:p>
    <w:p w14:paraId="6716B70F">
      <w:pPr>
        <w:pStyle w:val="431"/>
        <w:spacing w:before="0"/>
        <w:ind w:firstLine="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　　2.3参加采购活动前3年内是供应商的控股股东或者实际控制人；</w:t>
      </w:r>
    </w:p>
    <w:p w14:paraId="56080922">
      <w:pPr>
        <w:pStyle w:val="431"/>
        <w:spacing w:before="0"/>
        <w:ind w:firstLine="48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2.4与供应商的法定代表人或者负责人有夫妻、直系血亲、三代以内旁系血亲或者近姻亲关系；</w:t>
      </w:r>
    </w:p>
    <w:p w14:paraId="36949E47">
      <w:pPr>
        <w:pStyle w:val="431"/>
        <w:spacing w:before="0"/>
        <w:ind w:firstLine="48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2.5与供应商有其他可能影响政府采购活动公平、公正进行的关系。</w:t>
      </w:r>
    </w:p>
    <w:p w14:paraId="59B0A12D">
      <w:pPr>
        <w:snapToGrid w:val="0"/>
        <w:spacing w:line="360" w:lineRule="auto"/>
        <w:ind w:left="120" w:leftChars="57" w:firstLine="482" w:firstLineChars="150"/>
        <w:jc w:val="center"/>
        <w:rPr>
          <w:rFonts w:hint="eastAsia" w:ascii="宋体" w:hAnsi="宋体" w:eastAsia="宋体" w:cs="宋体"/>
          <w:b/>
          <w:color w:val="auto"/>
          <w:sz w:val="32"/>
          <w:highlight w:val="none"/>
        </w:rPr>
      </w:pPr>
    </w:p>
    <w:p w14:paraId="708A3636">
      <w:pPr>
        <w:snapToGrid w:val="0"/>
        <w:spacing w:line="360" w:lineRule="auto"/>
        <w:ind w:left="120" w:leftChars="57" w:firstLine="482" w:firstLineChars="15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highlight w:val="none"/>
        </w:rPr>
        <w:t>三、磋商小组的职责</w:t>
      </w:r>
    </w:p>
    <w:p w14:paraId="7900E158">
      <w:pPr>
        <w:pStyle w:val="431"/>
        <w:spacing w:before="0"/>
        <w:ind w:firstLine="0" w:firstLineChars="0"/>
        <w:rPr>
          <w:rFonts w:hint="eastAsia" w:ascii="宋体" w:hAnsi="宋体" w:eastAsia="宋体" w:cs="宋体"/>
          <w:b/>
          <w:color w:val="auto"/>
          <w:kern w:val="0"/>
          <w:szCs w:val="24"/>
          <w:highlight w:val="none"/>
        </w:rPr>
      </w:pPr>
      <w:r>
        <w:rPr>
          <w:rFonts w:hint="eastAsia" w:ascii="宋体" w:hAnsi="宋体" w:eastAsia="宋体" w:cs="宋体"/>
          <w:b/>
          <w:color w:val="auto"/>
          <w:kern w:val="0"/>
          <w:szCs w:val="24"/>
          <w:highlight w:val="none"/>
        </w:rPr>
        <w:t>1.磋商小组负责具体评审事务，并独立履行下列职责：</w:t>
      </w:r>
    </w:p>
    <w:p w14:paraId="1C490C2A">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1.1</w:t>
      </w:r>
      <w:r>
        <w:rPr>
          <w:rFonts w:hint="eastAsia" w:ascii="宋体" w:hAnsi="宋体" w:eastAsia="宋体" w:cs="宋体"/>
          <w:color w:val="auto"/>
          <w:szCs w:val="24"/>
          <w:highlight w:val="none"/>
        </w:rPr>
        <w:t>对供应商的资格进行审查；</w:t>
      </w:r>
      <w:r>
        <w:rPr>
          <w:rFonts w:hint="eastAsia" w:ascii="宋体" w:hAnsi="宋体" w:eastAsia="宋体" w:cs="宋体"/>
          <w:color w:val="auto"/>
          <w:highlight w:val="none"/>
        </w:rPr>
        <w:t>对响应文件的有效性、完整性和响应程度进行审查；</w:t>
      </w:r>
    </w:p>
    <w:p w14:paraId="03989A00">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1.2审查、评价响应文件是否符合磋商文件的商务、技术等实质性要求；</w:t>
      </w:r>
    </w:p>
    <w:p w14:paraId="4D58E358">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1.3要求供应商对响应文件有关事项作出澄清、说明或者更正；</w:t>
      </w:r>
    </w:p>
    <w:p w14:paraId="267C931A">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1.4磋商小组集中与单一供应商分别进行磋商；</w:t>
      </w:r>
    </w:p>
    <w:p w14:paraId="6AB5353B">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1.5确定磋商文件的变动情况，并确定提交最后报价的供应商；</w:t>
      </w:r>
    </w:p>
    <w:p w14:paraId="2AE869A5">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1.6根据磋商文件确定的评审办法及评审标准对提交最后报价的供应商的响应文件和最后报价采用综合评分法进行综合评分；</w:t>
      </w:r>
    </w:p>
    <w:p w14:paraId="7A4B49E0">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1.7编制评审报告，确定成交候选人名单，以及根据采购人委托直接确定成交人；</w:t>
      </w:r>
    </w:p>
    <w:p w14:paraId="0990569A">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1.8向采购人、采购机构或者有关部门报告评审中发现的违法行为；</w:t>
      </w:r>
    </w:p>
    <w:p w14:paraId="1C4B9CD6">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1.9法律、法规、规章、磋商文件等规定的其它事项。</w:t>
      </w:r>
    </w:p>
    <w:p w14:paraId="1039285C">
      <w:pPr>
        <w:pStyle w:val="431"/>
        <w:spacing w:before="0"/>
        <w:ind w:firstLine="0" w:firstLineChars="0"/>
        <w:rPr>
          <w:rFonts w:hint="eastAsia" w:ascii="宋体" w:hAnsi="宋体" w:eastAsia="宋体" w:cs="宋体"/>
          <w:b/>
          <w:color w:val="auto"/>
          <w:kern w:val="0"/>
          <w:szCs w:val="24"/>
          <w:highlight w:val="none"/>
        </w:rPr>
      </w:pPr>
      <w:r>
        <w:rPr>
          <w:rFonts w:hint="eastAsia" w:ascii="宋体" w:hAnsi="宋体" w:eastAsia="宋体" w:cs="宋体"/>
          <w:b/>
          <w:color w:val="auto"/>
          <w:kern w:val="0"/>
          <w:szCs w:val="24"/>
          <w:highlight w:val="none"/>
        </w:rPr>
        <w:t>2.磋商小组及其成员不得有下列行为：</w:t>
      </w:r>
    </w:p>
    <w:p w14:paraId="47023842">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2.1确定参与本项目至评审结束前私自接触供应商；</w:t>
      </w:r>
    </w:p>
    <w:p w14:paraId="1262195A">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2.2接受供应商提出的“超出响应文件的范围或者改变响应文件的实质性内容”的澄清、说明或者更正； </w:t>
      </w:r>
    </w:p>
    <w:p w14:paraId="08B4A7DD">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2.3违反评审纪律发表倾向性意见或者征询采购人的倾向性意见；</w:t>
      </w:r>
    </w:p>
    <w:p w14:paraId="10AD29F9">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2.4对需要专业判断的主观评审因素协商评分；</w:t>
      </w:r>
    </w:p>
    <w:p w14:paraId="74B32BA3">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2.5在评审过程中擅离职守，影响评审程序正常进行的；</w:t>
      </w:r>
    </w:p>
    <w:p w14:paraId="5C513C3B">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2.6记录、复制或者带走任何评审资料；</w:t>
      </w:r>
    </w:p>
    <w:p w14:paraId="52FA1AFC">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2.7其他不遵守评审纪律的行为。</w:t>
      </w:r>
    </w:p>
    <w:p w14:paraId="06174257">
      <w:pPr>
        <w:pStyle w:val="4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磋商小组成员有2.1-2.5行为之一的，其评审意见无效，并不得获取评审劳务报酬和报销异地评审差旅费。</w:t>
      </w:r>
    </w:p>
    <w:p w14:paraId="79FAD8C7">
      <w:pPr>
        <w:pStyle w:val="431"/>
        <w:spacing w:before="0"/>
        <w:ind w:firstLine="0" w:firstLineChars="0"/>
        <w:rPr>
          <w:rFonts w:hint="eastAsia" w:ascii="宋体" w:hAnsi="宋体" w:eastAsia="宋体" w:cs="宋体"/>
          <w:b/>
          <w:color w:val="auto"/>
          <w:highlight w:val="none"/>
        </w:rPr>
      </w:pPr>
    </w:p>
    <w:p w14:paraId="4EBCC820">
      <w:pPr>
        <w:pStyle w:val="431"/>
        <w:spacing w:before="0"/>
        <w:ind w:firstLine="0" w:firstLineChars="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四、评审程序</w:t>
      </w:r>
    </w:p>
    <w:p w14:paraId="544B3C11">
      <w:pPr>
        <w:pStyle w:val="431"/>
        <w:spacing w:before="0"/>
        <w:ind w:firstLine="472" w:firstLineChars="196"/>
        <w:rPr>
          <w:rFonts w:hint="eastAsia" w:ascii="宋体" w:hAnsi="宋体" w:eastAsia="宋体" w:cs="宋体"/>
          <w:b/>
          <w:color w:val="auto"/>
          <w:highlight w:val="none"/>
        </w:rPr>
      </w:pPr>
      <w:r>
        <w:rPr>
          <w:rFonts w:hint="eastAsia" w:ascii="宋体" w:hAnsi="宋体" w:eastAsia="宋体" w:cs="宋体"/>
          <w:b/>
          <w:color w:val="auto"/>
          <w:highlight w:val="none"/>
        </w:rPr>
        <w:t>详见磋商文件“第二部分 竞争性磋商流程”。</w:t>
      </w:r>
    </w:p>
    <w:p w14:paraId="16850CA4">
      <w:pPr>
        <w:pStyle w:val="431"/>
        <w:spacing w:before="0"/>
        <w:ind w:firstLine="0" w:firstLineChars="0"/>
        <w:rPr>
          <w:rFonts w:hint="eastAsia" w:ascii="宋体" w:hAnsi="宋体" w:eastAsia="宋体" w:cs="宋体"/>
          <w:b/>
          <w:color w:val="auto"/>
          <w:highlight w:val="none"/>
        </w:rPr>
      </w:pPr>
    </w:p>
    <w:p w14:paraId="1710EBAF">
      <w:pPr>
        <w:pStyle w:val="431"/>
        <w:spacing w:before="0"/>
        <w:ind w:firstLine="0" w:firstLineChars="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五、评审须知</w:t>
      </w:r>
    </w:p>
    <w:p w14:paraId="3E83E23F">
      <w:pPr>
        <w:pStyle w:val="431"/>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 响应文件的澄清</w:t>
      </w:r>
    </w:p>
    <w:p w14:paraId="54A67261">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30110F1E">
      <w:pPr>
        <w:pStyle w:val="431"/>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highlight w:val="none"/>
        </w:rPr>
        <w:t>2.最后报价的修正原则</w:t>
      </w:r>
    </w:p>
    <w:p w14:paraId="52905749">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磋商小组对响应文件的最后报价进行审核，对发现计算、书写等错误的，按以下原则进行修正：</w:t>
      </w:r>
    </w:p>
    <w:p w14:paraId="6EDFDED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2.1《最后报价一览表》内容与响应文件中响应内容不一致的，以《最后报价一览表》为准;</w:t>
      </w:r>
    </w:p>
    <w:p w14:paraId="7FCF55E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2.2大写金额和小写金额不一致的，以大写金额为准;</w:t>
      </w:r>
    </w:p>
    <w:p w14:paraId="688F4C1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2.3单价金额小数点或者百分比有明显错位的，以《最后报价一览表》的总价为准，并修改单价;</w:t>
      </w:r>
    </w:p>
    <w:p w14:paraId="1EA1E0C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2.4总价金额与按单价汇总金额不一致的，以单价金额计算结果为准。</w:t>
      </w:r>
    </w:p>
    <w:p w14:paraId="053716B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2.5同时出现两种以上不一致的，按照前款规定的顺序修正。</w:t>
      </w:r>
    </w:p>
    <w:p w14:paraId="7D899BF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2.6以修正后的总价作为最后报价。</w:t>
      </w:r>
    </w:p>
    <w:p w14:paraId="651D00C5">
      <w:pPr>
        <w:spacing w:line="360" w:lineRule="auto"/>
        <w:rPr>
          <w:rFonts w:hint="eastAsia" w:ascii="宋体" w:hAnsi="宋体" w:eastAsia="宋体" w:cs="宋体"/>
          <w:b/>
          <w:bCs/>
          <w:color w:val="auto"/>
          <w:sz w:val="24"/>
          <w:highlight w:val="none"/>
        </w:rPr>
      </w:pPr>
      <w:r>
        <w:rPr>
          <w:rFonts w:hint="eastAsia" w:ascii="宋体" w:hAnsi="宋体" w:eastAsia="宋体" w:cs="宋体"/>
          <w:bCs/>
          <w:color w:val="auto"/>
          <w:sz w:val="24"/>
          <w:highlight w:val="none"/>
        </w:rPr>
        <w:t>▲</w:t>
      </w:r>
      <w:r>
        <w:rPr>
          <w:rFonts w:hint="eastAsia" w:ascii="宋体" w:hAnsi="宋体" w:eastAsia="宋体" w:cs="宋体"/>
          <w:b/>
          <w:bCs/>
          <w:color w:val="auto"/>
          <w:sz w:val="24"/>
          <w:highlight w:val="none"/>
        </w:rPr>
        <w:t>供应商对根据修正原则修正后的最后报价不确认的，响应无效。</w:t>
      </w:r>
    </w:p>
    <w:p w14:paraId="6638DE2B">
      <w:pPr>
        <w:pStyle w:val="431"/>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highlight w:val="none"/>
        </w:rPr>
        <w:t>3.</w:t>
      </w:r>
      <w:r>
        <w:rPr>
          <w:rFonts w:hint="eastAsia" w:ascii="宋体" w:hAnsi="宋体" w:eastAsia="宋体" w:cs="宋体"/>
          <w:b/>
          <w:color w:val="auto"/>
          <w:spacing w:val="20"/>
          <w:highlight w:val="none"/>
        </w:rPr>
        <w:t>响应无效</w:t>
      </w:r>
    </w:p>
    <w:p w14:paraId="397BC7B4">
      <w:pPr>
        <w:pStyle w:val="24"/>
        <w:spacing w:line="360" w:lineRule="auto"/>
        <w:ind w:firstLine="600" w:firstLineChars="25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有下列情况之一的，响应无效：</w:t>
      </w:r>
    </w:p>
    <w:p w14:paraId="0D61384B">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highlight w:val="none"/>
        </w:rPr>
        <w:t>3.1</w:t>
      </w:r>
      <w:r>
        <w:rPr>
          <w:rFonts w:hint="eastAsia" w:ascii="宋体" w:hAnsi="宋体" w:eastAsia="宋体" w:cs="宋体"/>
          <w:color w:val="auto"/>
          <w:sz w:val="24"/>
          <w:szCs w:val="21"/>
          <w:highlight w:val="none"/>
        </w:rPr>
        <w:t>单位负责人为同一人或者存在直接控股、管理关系的不同供应商参加同一合同项下的政府采购活动的（均无效）；</w:t>
      </w:r>
    </w:p>
    <w:p w14:paraId="334D06F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3.2为采购项目提供整体设计、规范编制或者项目管理、监理、检测等服务的供应商再参加该采购项目的其他采购活动的； </w:t>
      </w:r>
    </w:p>
    <w:p w14:paraId="200D274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3.3供应商不具备磋商文件中规定的资格要求的（供应商未提供有效的资格证明文件的，视为供应商不具备磋商文件中规定的资格要求）；</w:t>
      </w:r>
    </w:p>
    <w:p w14:paraId="5184153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3.4如以联合体形式参加政府采购活动的，联合协议不符合磋商文件规定的联合协议要求的；</w:t>
      </w:r>
    </w:p>
    <w:p w14:paraId="0866DA7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3.5响应文件未按磋商文件的澄清、修改的内容编制，又不符合实质性要求的；</w:t>
      </w:r>
    </w:p>
    <w:p w14:paraId="3A33D75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3.6响应文件组成漏项，内容不全或内容字迹模糊辨认不清的；</w:t>
      </w:r>
    </w:p>
    <w:p w14:paraId="78D869F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3.7响应文件中法人授权书所载内容与本项目内容有异的；</w:t>
      </w:r>
    </w:p>
    <w:p w14:paraId="5FED7DC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3.8响应文件未按照磋商文件要求签署、盖章的；</w:t>
      </w:r>
    </w:p>
    <w:p w14:paraId="4026FCA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3.9响应文件含有采购人不能接受的附加条件的；</w:t>
      </w:r>
    </w:p>
    <w:p w14:paraId="6D1357F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3.10响应文件中承诺的响应有效期少于磋商文件中载明的响应有效期的；</w:t>
      </w:r>
    </w:p>
    <w:p w14:paraId="57422C1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3.11供应商所投内容不符合磋商文件中实质性要求的；</w:t>
      </w:r>
    </w:p>
    <w:p w14:paraId="67A3D3C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3.12所提交的《最后报价一览表》中出现不是唯一的、有选择性的报价的;</w:t>
      </w:r>
    </w:p>
    <w:p w14:paraId="7DFC9EE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3.13最后报价高于本项目采购预算或者最高限价的;</w:t>
      </w:r>
    </w:p>
    <w:p w14:paraId="55D2871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3.14最后报价明显低于其他供应商的最后报价，有可能影响产品质量或者不能诚信履约的，未能按要求提供书面说明或者提交相关证明材料，不能证明其报价合理性的;</w:t>
      </w:r>
    </w:p>
    <w:p w14:paraId="049C051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3.15《最后报价一览表》填写不完整或字迹不能辨认或有漏项的；</w:t>
      </w:r>
    </w:p>
    <w:p w14:paraId="4A702B6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3.16供应商对根据修正原则修正后的最后报价不确认的；</w:t>
      </w:r>
    </w:p>
    <w:p w14:paraId="2D37952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3.17供应商提供虚假材料响应的（包括但不限于以下情节）；</w:t>
      </w:r>
    </w:p>
    <w:p w14:paraId="7A5ED15F">
      <w:pPr>
        <w:pStyle w:val="97"/>
        <w:numPr>
          <w:ilvl w:val="0"/>
          <w:numId w:val="7"/>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使用伪造、变造的许可证件；</w:t>
      </w:r>
    </w:p>
    <w:p w14:paraId="3819BB5E">
      <w:pPr>
        <w:pStyle w:val="97"/>
        <w:numPr>
          <w:ilvl w:val="0"/>
          <w:numId w:val="7"/>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提供虚假的财务状况或者业绩；</w:t>
      </w:r>
    </w:p>
    <w:p w14:paraId="1773C988">
      <w:pPr>
        <w:pStyle w:val="97"/>
        <w:numPr>
          <w:ilvl w:val="0"/>
          <w:numId w:val="7"/>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提供虚假的项目负责人或者主要技术人员简历、劳动关系证明；</w:t>
      </w:r>
    </w:p>
    <w:p w14:paraId="4830315D">
      <w:pPr>
        <w:pStyle w:val="97"/>
        <w:numPr>
          <w:ilvl w:val="0"/>
          <w:numId w:val="7"/>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提供虚假的信用状况；</w:t>
      </w:r>
    </w:p>
    <w:p w14:paraId="44A5B6AC">
      <w:pPr>
        <w:pStyle w:val="97"/>
        <w:numPr>
          <w:ilvl w:val="0"/>
          <w:numId w:val="7"/>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其他弄虚作假的行为。</w:t>
      </w:r>
    </w:p>
    <w:p w14:paraId="06D5F1A5">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3.18供应商有恶意串通、妨碍其他供应商的竞争行为、损害采购人或者其他供应商的合法权益情形的。</w:t>
      </w:r>
    </w:p>
    <w:p w14:paraId="387C60DB">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有下列情形之一的，属于或视为恶意串通，其响应无效：</w:t>
      </w:r>
    </w:p>
    <w:p w14:paraId="55BF65DE">
      <w:pPr>
        <w:pStyle w:val="97"/>
        <w:numPr>
          <w:ilvl w:val="0"/>
          <w:numId w:val="8"/>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供应商直接或者间接从采购人或者采购机构处获得其他供应商的相关情况并修改其响应文件；</w:t>
      </w:r>
    </w:p>
    <w:p w14:paraId="1896E321">
      <w:pPr>
        <w:pStyle w:val="97"/>
        <w:numPr>
          <w:ilvl w:val="0"/>
          <w:numId w:val="8"/>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供应商按照采购人或者采购机构的授意撤换、修改</w:t>
      </w:r>
      <w:r>
        <w:rPr>
          <w:rFonts w:hint="eastAsia" w:ascii="宋体" w:hAnsi="宋体" w:eastAsia="宋体" w:cs="宋体"/>
          <w:color w:val="auto"/>
          <w:highlight w:val="none"/>
          <w:lang w:eastAsia="zh-CN"/>
        </w:rPr>
        <w:t>磋商响应文件</w:t>
      </w:r>
      <w:r>
        <w:rPr>
          <w:rFonts w:hint="eastAsia" w:ascii="宋体" w:hAnsi="宋体" w:eastAsia="宋体" w:cs="宋体"/>
          <w:color w:val="auto"/>
          <w:highlight w:val="none"/>
        </w:rPr>
        <w:t>或者响应文件；</w:t>
      </w:r>
    </w:p>
    <w:p w14:paraId="24B9AB18">
      <w:pPr>
        <w:pStyle w:val="97"/>
        <w:numPr>
          <w:ilvl w:val="0"/>
          <w:numId w:val="8"/>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供应商之间协商报价、技术方案等</w:t>
      </w:r>
      <w:r>
        <w:rPr>
          <w:rFonts w:hint="eastAsia" w:ascii="宋体" w:hAnsi="宋体" w:eastAsia="宋体" w:cs="宋体"/>
          <w:color w:val="auto"/>
          <w:highlight w:val="none"/>
          <w:lang w:eastAsia="zh-CN"/>
        </w:rPr>
        <w:t>磋商响应文件</w:t>
      </w:r>
      <w:r>
        <w:rPr>
          <w:rFonts w:hint="eastAsia" w:ascii="宋体" w:hAnsi="宋体" w:eastAsia="宋体" w:cs="宋体"/>
          <w:color w:val="auto"/>
          <w:highlight w:val="none"/>
        </w:rPr>
        <w:t>或者响应文件的实质性内容；</w:t>
      </w:r>
    </w:p>
    <w:p w14:paraId="3ABC3525">
      <w:pPr>
        <w:pStyle w:val="97"/>
        <w:numPr>
          <w:ilvl w:val="0"/>
          <w:numId w:val="8"/>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属于同一集团、协会、商会等组织成员的供应商按照该组织要求协同参加政府采购活动；</w:t>
      </w:r>
    </w:p>
    <w:p w14:paraId="6CB748E7">
      <w:pPr>
        <w:pStyle w:val="97"/>
        <w:numPr>
          <w:ilvl w:val="0"/>
          <w:numId w:val="8"/>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供应商之间事先约定由某一特定供应商中标、成交；</w:t>
      </w:r>
    </w:p>
    <w:p w14:paraId="4616E066">
      <w:pPr>
        <w:pStyle w:val="97"/>
        <w:numPr>
          <w:ilvl w:val="0"/>
          <w:numId w:val="8"/>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供应商之间商定部分供应商放弃参加政府采购活动或者放弃中标、成交；</w:t>
      </w:r>
    </w:p>
    <w:p w14:paraId="2C29037C">
      <w:pPr>
        <w:pStyle w:val="97"/>
        <w:numPr>
          <w:ilvl w:val="0"/>
          <w:numId w:val="8"/>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供应商与采购人或者采购机构之间、供应商相互之间，为谋求特定供应商中标、成交或者排斥其他供应商的其他串通行为。</w:t>
      </w:r>
    </w:p>
    <w:p w14:paraId="3F481320">
      <w:pPr>
        <w:pStyle w:val="97"/>
        <w:numPr>
          <w:ilvl w:val="0"/>
          <w:numId w:val="8"/>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不同供应商的响应文件由同一单位或者个人编制；</w:t>
      </w:r>
    </w:p>
    <w:p w14:paraId="395A79C6">
      <w:pPr>
        <w:pStyle w:val="97"/>
        <w:numPr>
          <w:ilvl w:val="0"/>
          <w:numId w:val="8"/>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不同供应商委托同一单位或者个人办理响应事宜；</w:t>
      </w:r>
    </w:p>
    <w:p w14:paraId="28D7B573">
      <w:pPr>
        <w:pStyle w:val="97"/>
        <w:numPr>
          <w:ilvl w:val="0"/>
          <w:numId w:val="8"/>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不同供应商的响应文件载明的项目管理成员或者联系人员为同一人；</w:t>
      </w:r>
    </w:p>
    <w:p w14:paraId="275AEA07">
      <w:pPr>
        <w:pStyle w:val="97"/>
        <w:numPr>
          <w:ilvl w:val="0"/>
          <w:numId w:val="8"/>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不同供应商的响应文件异常一致或者最后报价呈规律性差异；</w:t>
      </w:r>
    </w:p>
    <w:p w14:paraId="034561A7">
      <w:pPr>
        <w:pStyle w:val="97"/>
        <w:numPr>
          <w:ilvl w:val="0"/>
          <w:numId w:val="8"/>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不同供应商的响应文件相互混装。</w:t>
      </w:r>
    </w:p>
    <w:p w14:paraId="093DDBA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3.19供应商仅提交备份响应文件，没有在电子交易平台传输提交响应文件的，响应无效；</w:t>
      </w:r>
    </w:p>
    <w:p w14:paraId="2BDCC35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3.20法律、法规、规章（适用本市的）及省级以上规范性文件（适用本市的）规定的其他无效情形。</w:t>
      </w:r>
    </w:p>
    <w:p w14:paraId="1FA526CA">
      <w:pPr>
        <w:pStyle w:val="431"/>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4. 重新开展采购活动</w:t>
      </w:r>
    </w:p>
    <w:p w14:paraId="0DD94C40">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出现下列情形之一的，采购机构应当终止竞争性磋商采购活动，通过电子交易平台发布项目终止公告并说明原因，重新开展采购活动：</w:t>
      </w:r>
    </w:p>
    <w:p w14:paraId="4D1C40A3">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（1）因情况变化，不再符合规定的竞争性磋商采购方式适用情形的；</w:t>
      </w:r>
    </w:p>
    <w:p w14:paraId="2BA54521">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（2）出现影响采购公正的违法、违规行为的；</w:t>
      </w:r>
    </w:p>
    <w:p w14:paraId="0D52470F">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（3）在采购过程中符合要求的供应商或者最后报价未超过采购预算的供应商不足3家的（有特殊规定的从其规定）。</w:t>
      </w:r>
    </w:p>
    <w:p w14:paraId="119B6C83">
      <w:pPr>
        <w:pStyle w:val="431"/>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5. 终止采购活动</w:t>
      </w:r>
    </w:p>
    <w:p w14:paraId="191887A1">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在采购活动中因重大变故，采购任务取消的，采购机构将终止采购活动，通过电子交易平台通知所有参加采购活动的供应商，并将项目实施情况和采购任务取消原因报送本级财政部门。</w:t>
      </w:r>
    </w:p>
    <w:p w14:paraId="304A2AEA">
      <w:pPr>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6. 采购机构有权对磋商小组各成员的评分情况和评审意见进行合理性和合规性审查</w:t>
      </w:r>
      <w:r>
        <w:rPr>
          <w:rFonts w:hint="eastAsia" w:ascii="宋体" w:hAnsi="宋体" w:eastAsia="宋体" w:cs="宋体"/>
          <w:color w:val="auto"/>
          <w:sz w:val="24"/>
          <w:highlight w:val="none"/>
        </w:rPr>
        <w:t>，如发现磋商小组成员的评审意见带有明显倾向性，或不按规定程序和标准评审、计分的，磋商小组成员应进行书面澄清和说明；磋商小组成员拒不接受采购机构审查的，采购机构将向同级政府采购监督管理部门报告并予以处理。</w:t>
      </w:r>
    </w:p>
    <w:p w14:paraId="4699E807">
      <w:pPr>
        <w:pStyle w:val="431"/>
        <w:spacing w:before="0"/>
        <w:ind w:firstLine="0" w:firstLineChars="0"/>
        <w:rPr>
          <w:rFonts w:hint="eastAsia" w:ascii="宋体" w:hAnsi="宋体" w:eastAsia="宋体" w:cs="宋体"/>
          <w:b/>
          <w:color w:val="auto"/>
          <w:highlight w:val="none"/>
        </w:rPr>
      </w:pPr>
    </w:p>
    <w:p w14:paraId="082908B1">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六、评审过程的保密与录像</w:t>
      </w:r>
    </w:p>
    <w:p w14:paraId="4FCCE5E8">
      <w:pPr>
        <w:widowControl/>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1.保密。</w:t>
      </w:r>
      <w:r>
        <w:rPr>
          <w:rFonts w:hint="eastAsia" w:ascii="宋体" w:hAnsi="宋体" w:eastAsia="宋体" w:cs="宋体"/>
          <w:color w:val="auto"/>
          <w:sz w:val="24"/>
          <w:highlight w:val="none"/>
        </w:rPr>
        <w:t>评审活动在严格保密的情况下进行。评审过程中凡是与采购响应文件评审和比较、成交人推荐等评审有关的情况，以及涉及国家秘密和商业秘密等信息，磋商小组成员、采购人和采购机构工作人员、相关监督人员等与评审有关的人员应当予以保密。</w:t>
      </w:r>
    </w:p>
    <w:p w14:paraId="1066DC2F">
      <w:pPr>
        <w:widowControl/>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2.录音录像。</w:t>
      </w:r>
      <w:r>
        <w:rPr>
          <w:rFonts w:hint="eastAsia" w:ascii="宋体" w:hAnsi="宋体" w:eastAsia="宋体" w:cs="宋体"/>
          <w:color w:val="auto"/>
          <w:sz w:val="24"/>
          <w:highlight w:val="none"/>
        </w:rPr>
        <w:t>采购机构对评审工作现场进行全过程录音录像，录音录像资料作为采购项目文件随其他文件一并存档。</w:t>
      </w:r>
    </w:p>
    <w:p w14:paraId="50642236">
      <w:pPr>
        <w:widowControl/>
        <w:adjustRightInd/>
        <w:jc w:val="left"/>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14:paraId="4FAE37CB">
      <w:pPr>
        <w:spacing w:line="360" w:lineRule="auto"/>
        <w:jc w:val="center"/>
        <w:outlineLvl w:val="0"/>
        <w:rPr>
          <w:rFonts w:hint="eastAsia" w:ascii="宋体" w:hAnsi="宋体" w:eastAsia="宋体" w:cs="宋体"/>
          <w:b/>
          <w:color w:val="auto"/>
          <w:sz w:val="36"/>
          <w:szCs w:val="36"/>
          <w:highlight w:val="none"/>
        </w:rPr>
      </w:pPr>
      <w:bookmarkStart w:id="94" w:name="_Toc14737"/>
      <w:r>
        <w:rPr>
          <w:rFonts w:hint="eastAsia" w:ascii="宋体" w:hAnsi="宋体" w:eastAsia="宋体" w:cs="宋体"/>
          <w:b/>
          <w:color w:val="auto"/>
          <w:sz w:val="36"/>
          <w:szCs w:val="36"/>
          <w:highlight w:val="none"/>
        </w:rPr>
        <w:t>第六部分</w:t>
      </w:r>
      <w:bookmarkEnd w:id="93"/>
      <w:r>
        <w:rPr>
          <w:rFonts w:hint="eastAsia" w:ascii="宋体" w:hAnsi="宋体" w:eastAsia="宋体" w:cs="宋体"/>
          <w:b/>
          <w:color w:val="auto"/>
          <w:sz w:val="36"/>
          <w:szCs w:val="36"/>
          <w:highlight w:val="none"/>
        </w:rPr>
        <w:t xml:space="preserve">  拟签订的合同文本</w:t>
      </w:r>
      <w:bookmarkEnd w:id="94"/>
    </w:p>
    <w:p w14:paraId="2199AC95">
      <w:pPr>
        <w:spacing w:line="360" w:lineRule="auto"/>
        <w:rPr>
          <w:rFonts w:asciiTheme="minorEastAsia" w:hAnsiTheme="minorEastAsia" w:eastAsiaTheme="minorEastAsia"/>
          <w:color w:val="auto"/>
          <w:sz w:val="24"/>
          <w:highlight w:val="none"/>
        </w:rPr>
      </w:pPr>
      <w:bookmarkStart w:id="95" w:name="_Toc18579"/>
    </w:p>
    <w:p w14:paraId="19AADA64">
      <w:pPr>
        <w:spacing w:line="360" w:lineRule="auto"/>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合同编号：</w:t>
      </w:r>
      <w:r>
        <w:rPr>
          <w:rFonts w:hint="eastAsia" w:asciiTheme="minorEastAsia" w:hAnsiTheme="minorEastAsia" w:eastAsiaTheme="minorEastAsia"/>
          <w:color w:val="auto"/>
          <w:sz w:val="24"/>
          <w:highlight w:val="none"/>
          <w:u w:val="single"/>
        </w:rPr>
        <w:t xml:space="preserve">           </w:t>
      </w:r>
    </w:p>
    <w:p w14:paraId="7BC6A281">
      <w:pPr>
        <w:spacing w:line="360" w:lineRule="auto"/>
        <w:rPr>
          <w:rFonts w:asciiTheme="minorEastAsia" w:hAnsiTheme="minorEastAsia" w:eastAsiaTheme="minorEastAsia"/>
          <w:color w:val="auto"/>
          <w:sz w:val="24"/>
          <w:highlight w:val="none"/>
          <w:u w:val="single"/>
        </w:rPr>
      </w:pPr>
    </w:p>
    <w:p w14:paraId="52B11237">
      <w:pPr>
        <w:pStyle w:val="315"/>
        <w:ind w:firstLine="1084" w:firstLineChars="300"/>
        <w:jc w:val="left"/>
        <w:rPr>
          <w:rFonts w:hint="eastAsia" w:cs="仿宋_GB2312" w:asciiTheme="minorEastAsia" w:hAnsiTheme="minorEastAsia" w:eastAsiaTheme="minorEastAsia"/>
          <w:b/>
          <w:color w:val="auto"/>
          <w:sz w:val="36"/>
          <w:szCs w:val="36"/>
          <w:highlight w:val="none"/>
          <w:lang w:val="en-US" w:eastAsia="zh-CN"/>
        </w:rPr>
      </w:pPr>
      <w:r>
        <w:rPr>
          <w:rFonts w:hint="eastAsia" w:cs="仿宋_GB2312" w:asciiTheme="minorEastAsia" w:hAnsiTheme="minorEastAsia" w:eastAsiaTheme="minorEastAsia"/>
          <w:b/>
          <w:color w:val="auto"/>
          <w:sz w:val="36"/>
          <w:szCs w:val="36"/>
          <w:highlight w:val="none"/>
        </w:rPr>
        <w:t>政府采购合同书</w:t>
      </w:r>
      <w:r>
        <w:rPr>
          <w:rFonts w:hint="eastAsia" w:cs="仿宋_GB2312" w:asciiTheme="minorEastAsia" w:hAnsiTheme="minorEastAsia" w:eastAsiaTheme="minorEastAsia"/>
          <w:b/>
          <w:color w:val="auto"/>
          <w:sz w:val="36"/>
          <w:szCs w:val="36"/>
          <w:highlight w:val="none"/>
          <w:lang w:eastAsia="zh-CN"/>
        </w:rPr>
        <w:t>参考范本</w:t>
      </w:r>
    </w:p>
    <w:p w14:paraId="7E5A2758">
      <w:pPr>
        <w:pStyle w:val="315"/>
        <w:rPr>
          <w:rFonts w:asciiTheme="minorEastAsia" w:hAnsiTheme="minorEastAsia" w:eastAsiaTheme="minorEastAsia"/>
          <w:color w:val="auto"/>
          <w:szCs w:val="24"/>
          <w:highlight w:val="none"/>
        </w:rPr>
      </w:pPr>
    </w:p>
    <w:p w14:paraId="48D7EBF7">
      <w:pPr>
        <w:pStyle w:val="315"/>
        <w:rPr>
          <w:rFonts w:asciiTheme="minorEastAsia" w:hAnsiTheme="minorEastAsia" w:eastAsiaTheme="minorEastAsia"/>
          <w:color w:val="auto"/>
          <w:szCs w:val="24"/>
          <w:highlight w:val="none"/>
        </w:rPr>
      </w:pPr>
    </w:p>
    <w:p w14:paraId="75B996E2">
      <w:pPr>
        <w:spacing w:before="120" w:line="360" w:lineRule="auto"/>
        <w:rPr>
          <w:rFonts w:asciiTheme="minorEastAsia" w:hAnsiTheme="minorEastAsia" w:eastAsiaTheme="minorEastAsia"/>
          <w:color w:val="auto"/>
          <w:sz w:val="24"/>
          <w:highlight w:val="none"/>
        </w:rPr>
      </w:pPr>
    </w:p>
    <w:p w14:paraId="7DB72C0F">
      <w:pPr>
        <w:spacing w:before="120" w:line="360" w:lineRule="auto"/>
        <w:ind w:left="96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项目名称：</w:t>
      </w:r>
      <w:r>
        <w:rPr>
          <w:rFonts w:hint="eastAsia" w:asciiTheme="minorEastAsia" w:hAnsiTheme="minorEastAsia" w:eastAsiaTheme="minorEastAsia"/>
          <w:color w:val="auto"/>
          <w:sz w:val="24"/>
          <w:highlight w:val="none"/>
          <w:u w:val="single"/>
        </w:rPr>
        <w:t xml:space="preserve">                                   </w:t>
      </w:r>
    </w:p>
    <w:p w14:paraId="2EAB9530">
      <w:pPr>
        <w:pStyle w:val="618"/>
        <w:spacing w:before="120"/>
        <w:rPr>
          <w:rFonts w:asciiTheme="minorEastAsia" w:hAnsiTheme="minorEastAsia" w:eastAsiaTheme="minorEastAsia"/>
          <w:color w:val="auto"/>
          <w:szCs w:val="24"/>
          <w:highlight w:val="none"/>
        </w:rPr>
      </w:pPr>
    </w:p>
    <w:p w14:paraId="6618EB22">
      <w:pPr>
        <w:spacing w:line="360" w:lineRule="auto"/>
        <w:rPr>
          <w:rFonts w:asciiTheme="minorEastAsia" w:hAnsiTheme="minorEastAsia" w:eastAsiaTheme="minorEastAsia"/>
          <w:color w:val="auto"/>
          <w:sz w:val="24"/>
          <w:highlight w:val="none"/>
        </w:rPr>
      </w:pPr>
    </w:p>
    <w:p w14:paraId="4980E3DA">
      <w:pPr>
        <w:spacing w:before="120" w:line="360" w:lineRule="auto"/>
        <w:ind w:left="96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甲方：</w:t>
      </w:r>
      <w:r>
        <w:rPr>
          <w:rFonts w:hint="eastAsia" w:asciiTheme="minorEastAsia" w:hAnsiTheme="minorEastAsia" w:eastAsiaTheme="minorEastAsia"/>
          <w:color w:val="auto"/>
          <w:sz w:val="24"/>
          <w:highlight w:val="none"/>
          <w:u w:val="single"/>
        </w:rPr>
        <w:t xml:space="preserve">                                       </w:t>
      </w:r>
    </w:p>
    <w:p w14:paraId="7B6DE651">
      <w:pPr>
        <w:spacing w:before="120" w:line="360" w:lineRule="auto"/>
        <w:rPr>
          <w:rFonts w:asciiTheme="minorEastAsia" w:hAnsiTheme="minorEastAsia" w:eastAsiaTheme="minorEastAsia"/>
          <w:color w:val="auto"/>
          <w:sz w:val="24"/>
          <w:highlight w:val="none"/>
        </w:rPr>
      </w:pPr>
    </w:p>
    <w:p w14:paraId="54EEC2E9">
      <w:pPr>
        <w:spacing w:before="120" w:line="360" w:lineRule="auto"/>
        <w:ind w:left="96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乙方：</w:t>
      </w:r>
      <w:r>
        <w:rPr>
          <w:rFonts w:hint="eastAsia" w:asciiTheme="minorEastAsia" w:hAnsiTheme="minorEastAsia" w:eastAsiaTheme="minorEastAsia"/>
          <w:color w:val="auto"/>
          <w:sz w:val="24"/>
          <w:highlight w:val="none"/>
          <w:u w:val="single"/>
        </w:rPr>
        <w:t xml:space="preserve">                                       </w:t>
      </w:r>
    </w:p>
    <w:p w14:paraId="498A9855">
      <w:pPr>
        <w:spacing w:before="120" w:line="360" w:lineRule="auto"/>
        <w:rPr>
          <w:rFonts w:asciiTheme="minorEastAsia" w:hAnsiTheme="minorEastAsia" w:eastAsiaTheme="minorEastAsia"/>
          <w:color w:val="auto"/>
          <w:sz w:val="24"/>
          <w:highlight w:val="none"/>
        </w:rPr>
      </w:pPr>
    </w:p>
    <w:p w14:paraId="71C8B6AB">
      <w:pPr>
        <w:spacing w:before="120" w:line="360" w:lineRule="auto"/>
        <w:ind w:firstLine="960" w:firstLineChars="40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签订地：</w:t>
      </w:r>
      <w:r>
        <w:rPr>
          <w:rFonts w:hint="eastAsia" w:asciiTheme="minorEastAsia" w:hAnsiTheme="minorEastAsia" w:eastAsiaTheme="minorEastAsia"/>
          <w:color w:val="auto"/>
          <w:sz w:val="24"/>
          <w:highlight w:val="none"/>
          <w:u w:val="single"/>
        </w:rPr>
        <w:t xml:space="preserve">                                     </w:t>
      </w:r>
    </w:p>
    <w:p w14:paraId="122B4243">
      <w:pPr>
        <w:spacing w:before="120" w:line="360" w:lineRule="auto"/>
        <w:rPr>
          <w:rFonts w:asciiTheme="minorEastAsia" w:hAnsiTheme="minorEastAsia" w:eastAsiaTheme="minorEastAsia"/>
          <w:color w:val="auto"/>
          <w:sz w:val="24"/>
          <w:highlight w:val="none"/>
        </w:rPr>
      </w:pPr>
    </w:p>
    <w:p w14:paraId="6A390942">
      <w:pPr>
        <w:spacing w:before="120" w:line="360" w:lineRule="auto"/>
        <w:ind w:firstLine="960" w:firstLineChars="40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签订日期：</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年</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月</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日</w:t>
      </w:r>
    </w:p>
    <w:p w14:paraId="1AD84651">
      <w:pPr>
        <w:widowControl/>
        <w:adjustRightInd/>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br w:type="page"/>
      </w:r>
    </w:p>
    <w:p w14:paraId="7DDB8698">
      <w:pPr>
        <w:rPr>
          <w:rFonts w:ascii="宋体" w:hAnsi="宋体" w:cs="宋体"/>
          <w:b/>
          <w:color w:val="auto"/>
          <w:sz w:val="24"/>
          <w:highlight w:val="none"/>
        </w:rPr>
      </w:pPr>
    </w:p>
    <w:p w14:paraId="4FA7F28A">
      <w:pPr>
        <w:spacing w:line="460" w:lineRule="exact"/>
        <w:ind w:left="218" w:leftChars="104" w:firstLine="220" w:firstLineChars="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zh-CN"/>
        </w:rPr>
        <w:t>根据《中华人民共和国</w:t>
      </w:r>
      <w:r>
        <w:rPr>
          <w:rFonts w:hint="eastAsia" w:ascii="新宋体" w:hAnsi="新宋体" w:eastAsia="新宋体" w:cs="新宋体"/>
          <w:color w:val="auto"/>
          <w:sz w:val="22"/>
          <w:szCs w:val="22"/>
          <w:highlight w:val="none"/>
        </w:rPr>
        <w:t>民典</w:t>
      </w:r>
      <w:r>
        <w:rPr>
          <w:rFonts w:hint="eastAsia" w:ascii="新宋体" w:hAnsi="新宋体" w:eastAsia="新宋体" w:cs="新宋体"/>
          <w:color w:val="auto"/>
          <w:sz w:val="22"/>
          <w:szCs w:val="22"/>
          <w:highlight w:val="none"/>
          <w:lang w:val="zh-CN"/>
        </w:rPr>
        <w:t>法》的有关规定及</w:t>
      </w:r>
      <w:r>
        <w:rPr>
          <w:rFonts w:hint="eastAsia" w:ascii="新宋体" w:hAnsi="新宋体" w:eastAsia="新宋体" w:cs="新宋体"/>
          <w:color w:val="auto"/>
          <w:sz w:val="22"/>
          <w:szCs w:val="22"/>
          <w:highlight w:val="none"/>
          <w:lang w:val="en-US" w:eastAsia="zh-CN"/>
        </w:rPr>
        <w:t>招标</w:t>
      </w:r>
      <w:r>
        <w:rPr>
          <w:rFonts w:hint="eastAsia" w:ascii="新宋体" w:hAnsi="新宋体" w:eastAsia="新宋体" w:cs="新宋体"/>
          <w:color w:val="auto"/>
          <w:sz w:val="22"/>
          <w:szCs w:val="22"/>
          <w:highlight w:val="none"/>
          <w:lang w:val="zh-CN"/>
        </w:rPr>
        <w:t>结果，经平等协商，特就甲方委托乙方进行</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8"/>
          <w:highlight w:val="none"/>
          <w:u w:val="single"/>
        </w:rPr>
        <w:t xml:space="preserve">                      </w:t>
      </w:r>
      <w:r>
        <w:rPr>
          <w:rFonts w:hint="eastAsia" w:ascii="新宋体" w:hAnsi="新宋体" w:eastAsia="新宋体" w:cs="新宋体"/>
          <w:color w:val="auto"/>
          <w:sz w:val="28"/>
          <w:highlight w:val="none"/>
        </w:rPr>
        <w:t>________________</w:t>
      </w:r>
      <w:r>
        <w:rPr>
          <w:rFonts w:hint="eastAsia" w:ascii="新宋体" w:hAnsi="新宋体" w:eastAsia="新宋体" w:cs="新宋体"/>
          <w:color w:val="auto"/>
          <w:sz w:val="22"/>
          <w:szCs w:val="22"/>
          <w:highlight w:val="none"/>
          <w:lang w:val="zh-CN"/>
        </w:rPr>
        <w:t>项目的开发事宜，签订以下合同主要条款：</w:t>
      </w:r>
    </w:p>
    <w:p w14:paraId="3E9000A5">
      <w:pPr>
        <w:spacing w:line="460" w:lineRule="exact"/>
        <w:rPr>
          <w:rFonts w:hint="eastAsia" w:ascii="新宋体" w:hAnsi="新宋体" w:eastAsia="新宋体" w:cs="新宋体"/>
          <w:b/>
          <w:bCs/>
          <w:color w:val="auto"/>
          <w:sz w:val="22"/>
          <w:szCs w:val="22"/>
          <w:highlight w:val="none"/>
        </w:rPr>
      </w:pPr>
      <w:bookmarkStart w:id="96" w:name="bookmark3"/>
      <w:r>
        <w:rPr>
          <w:rFonts w:hint="eastAsia" w:ascii="新宋体" w:hAnsi="新宋体" w:eastAsia="新宋体" w:cs="新宋体"/>
          <w:b/>
          <w:bCs/>
          <w:color w:val="auto"/>
          <w:sz w:val="22"/>
          <w:szCs w:val="22"/>
          <w:highlight w:val="none"/>
          <w:lang w:val="zh-CN"/>
        </w:rPr>
        <w:t>第一条</w:t>
      </w:r>
      <w:r>
        <w:rPr>
          <w:rFonts w:hint="eastAsia" w:ascii="新宋体" w:hAnsi="新宋体" w:eastAsia="新宋体" w:cs="新宋体"/>
          <w:b/>
          <w:bCs/>
          <w:color w:val="auto"/>
          <w:sz w:val="22"/>
          <w:szCs w:val="22"/>
          <w:highlight w:val="none"/>
        </w:rPr>
        <w:t xml:space="preserve">  </w:t>
      </w:r>
      <w:r>
        <w:rPr>
          <w:rFonts w:hint="eastAsia" w:ascii="新宋体" w:hAnsi="新宋体" w:eastAsia="新宋体" w:cs="新宋体"/>
          <w:b/>
          <w:bCs/>
          <w:color w:val="auto"/>
          <w:sz w:val="22"/>
          <w:szCs w:val="22"/>
          <w:highlight w:val="none"/>
          <w:lang w:val="zh-CN"/>
        </w:rPr>
        <w:t>定义</w:t>
      </w:r>
      <w:bookmarkEnd w:id="96"/>
    </w:p>
    <w:p w14:paraId="2EE66A39">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1.1项目</w:t>
      </w:r>
      <w:r>
        <w:rPr>
          <w:rFonts w:hint="eastAsia" w:ascii="新宋体" w:hAnsi="新宋体" w:eastAsia="新宋体" w:cs="新宋体"/>
          <w:color w:val="auto"/>
          <w:sz w:val="22"/>
          <w:szCs w:val="22"/>
          <w:highlight w:val="none"/>
          <w:lang w:val="zh-CN"/>
        </w:rPr>
        <w:t>是指甲方委托乙方按照本合同约定进行开发的</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u w:val="none"/>
        </w:rPr>
        <w:t>项目</w:t>
      </w:r>
      <w:r>
        <w:rPr>
          <w:rFonts w:hint="eastAsia" w:ascii="新宋体" w:hAnsi="新宋体" w:eastAsia="新宋体" w:cs="新宋体"/>
          <w:color w:val="auto"/>
          <w:sz w:val="22"/>
          <w:szCs w:val="22"/>
          <w:highlight w:val="none"/>
          <w:lang w:val="zh-CN"/>
        </w:rPr>
        <w:t>。</w:t>
      </w:r>
    </w:p>
    <w:p w14:paraId="2E6A3826">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1.2开发软件</w:t>
      </w:r>
      <w:r>
        <w:rPr>
          <w:rFonts w:hint="eastAsia" w:ascii="新宋体" w:hAnsi="新宋体" w:eastAsia="新宋体" w:cs="新宋体"/>
          <w:color w:val="auto"/>
          <w:sz w:val="22"/>
          <w:szCs w:val="22"/>
          <w:highlight w:val="none"/>
          <w:lang w:val="zh-CN"/>
        </w:rPr>
        <w:t>是指乙方根据本合同规定向甲方提供的满足甲方需求的计算机程序及其有关文档。</w:t>
      </w:r>
    </w:p>
    <w:p w14:paraId="38D9DAF4">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1.3文档</w:t>
      </w:r>
      <w:r>
        <w:rPr>
          <w:rFonts w:hint="eastAsia" w:ascii="新宋体" w:hAnsi="新宋体" w:eastAsia="新宋体" w:cs="新宋体"/>
          <w:color w:val="auto"/>
          <w:sz w:val="22"/>
          <w:szCs w:val="22"/>
          <w:highlight w:val="none"/>
          <w:lang w:val="zh-CN"/>
        </w:rPr>
        <w:t>指用来描述程序的内容、组成、设计、功能规格、开发情况、测试结果及使用方法的文字资料和图表等。</w:t>
      </w:r>
    </w:p>
    <w:p w14:paraId="5007D9E6">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1.4资料</w:t>
      </w:r>
      <w:r>
        <w:rPr>
          <w:rFonts w:hint="eastAsia" w:ascii="新宋体" w:hAnsi="新宋体" w:eastAsia="新宋体" w:cs="新宋体"/>
          <w:color w:val="auto"/>
          <w:sz w:val="22"/>
          <w:szCs w:val="22"/>
          <w:highlight w:val="none"/>
          <w:lang w:val="zh-CN"/>
        </w:rPr>
        <w:t>是指与开发软件相关的软件、工作记录及工程文档。</w:t>
      </w:r>
    </w:p>
    <w:p w14:paraId="06D2358A">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1.5知识产权</w:t>
      </w:r>
      <w:r>
        <w:rPr>
          <w:rFonts w:hint="eastAsia" w:ascii="新宋体" w:hAnsi="新宋体" w:eastAsia="新宋体" w:cs="新宋体"/>
          <w:color w:val="auto"/>
          <w:sz w:val="22"/>
          <w:szCs w:val="22"/>
          <w:highlight w:val="none"/>
          <w:lang w:val="zh-CN"/>
        </w:rPr>
        <w:t>指本合同涉及的所有著作权、商标权、专利权和其它智力成果的专有的权利和利益。</w:t>
      </w:r>
    </w:p>
    <w:p w14:paraId="73AB98CC">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1.6需求变更</w:t>
      </w:r>
      <w:r>
        <w:rPr>
          <w:rFonts w:hint="eastAsia" w:ascii="新宋体" w:hAnsi="新宋体" w:eastAsia="新宋体" w:cs="新宋体"/>
          <w:color w:val="auto"/>
          <w:sz w:val="22"/>
          <w:szCs w:val="22"/>
          <w:highlight w:val="none"/>
          <w:lang w:val="zh-CN"/>
        </w:rPr>
        <w:t>是指经双方商定后对开发软件或资料所做的需求修改。</w:t>
      </w:r>
    </w:p>
    <w:p w14:paraId="1A8410B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1.7商业秘密</w:t>
      </w:r>
      <w:r>
        <w:rPr>
          <w:rFonts w:hint="eastAsia" w:ascii="新宋体" w:hAnsi="新宋体" w:eastAsia="新宋体" w:cs="新宋体"/>
          <w:color w:val="auto"/>
          <w:sz w:val="22"/>
          <w:szCs w:val="22"/>
          <w:highlight w:val="none"/>
          <w:lang w:val="zh-CN"/>
        </w:rPr>
        <w:t>指甲、乙方各自所拥有的，不为公众所知的管理信息、方式方法、 顾客名单、商业数据、产品信息、销售渠道、技术诀窍、源代码、计算机 文档等，或由甲、乙方在履行本合同过程中明确指明为商业秘密的、法律 所认可的任何信息。</w:t>
      </w:r>
    </w:p>
    <w:p w14:paraId="0C6A1499">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1.8测试</w:t>
      </w:r>
      <w:r>
        <w:rPr>
          <w:rFonts w:hint="eastAsia" w:ascii="新宋体" w:hAnsi="新宋体" w:eastAsia="新宋体" w:cs="新宋体"/>
          <w:color w:val="auto"/>
          <w:sz w:val="22"/>
          <w:szCs w:val="22"/>
          <w:highlight w:val="none"/>
          <w:lang w:val="zh-CN"/>
        </w:rPr>
        <w:t>是指根据本合同各方约定的方法和标准，对乙方所完成开发成果的全部或部分功能及运行状态所做的检测。</w:t>
      </w:r>
    </w:p>
    <w:p w14:paraId="21DF1FD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1.9上线</w:t>
      </w:r>
      <w:r>
        <w:rPr>
          <w:rFonts w:hint="eastAsia" w:ascii="新宋体" w:hAnsi="新宋体" w:eastAsia="新宋体" w:cs="新宋体"/>
          <w:color w:val="auto"/>
          <w:sz w:val="22"/>
          <w:szCs w:val="22"/>
          <w:highlight w:val="none"/>
          <w:lang w:val="zh-CN"/>
        </w:rPr>
        <w:t>是指乙方开发的应用软件在甲方的工作环境中正式运行或被甲方用于业务办理。</w:t>
      </w:r>
    </w:p>
    <w:p w14:paraId="1007CB21">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1.10工作日</w:t>
      </w:r>
      <w:r>
        <w:rPr>
          <w:rFonts w:hint="eastAsia" w:ascii="新宋体" w:hAnsi="新宋体" w:eastAsia="新宋体" w:cs="新宋体"/>
          <w:color w:val="auto"/>
          <w:sz w:val="22"/>
          <w:szCs w:val="22"/>
          <w:highlight w:val="none"/>
          <w:lang w:val="zh-CN"/>
        </w:rPr>
        <w:t>指国家所规定的节假日之外的所有工作日。</w:t>
      </w:r>
    </w:p>
    <w:p w14:paraId="78443D97">
      <w:pPr>
        <w:spacing w:line="460" w:lineRule="exact"/>
        <w:rPr>
          <w:rFonts w:hint="eastAsia" w:ascii="新宋体" w:hAnsi="新宋体" w:eastAsia="新宋体" w:cs="新宋体"/>
          <w:b/>
          <w:bCs/>
          <w:color w:val="auto"/>
          <w:sz w:val="22"/>
          <w:szCs w:val="22"/>
          <w:highlight w:val="none"/>
        </w:rPr>
      </w:pPr>
      <w:bookmarkStart w:id="97" w:name="bookmark4"/>
      <w:r>
        <w:rPr>
          <w:rFonts w:hint="eastAsia" w:ascii="新宋体" w:hAnsi="新宋体" w:eastAsia="新宋体" w:cs="新宋体"/>
          <w:b/>
          <w:bCs/>
          <w:color w:val="auto"/>
          <w:sz w:val="22"/>
          <w:szCs w:val="22"/>
          <w:highlight w:val="none"/>
          <w:lang w:val="zh-CN"/>
        </w:rPr>
        <w:t>第二条</w:t>
      </w:r>
      <w:r>
        <w:rPr>
          <w:rFonts w:hint="eastAsia" w:ascii="新宋体" w:hAnsi="新宋体" w:eastAsia="新宋体" w:cs="新宋体"/>
          <w:b/>
          <w:bCs/>
          <w:color w:val="auto"/>
          <w:sz w:val="22"/>
          <w:szCs w:val="22"/>
          <w:highlight w:val="none"/>
        </w:rPr>
        <w:t xml:space="preserve">  </w:t>
      </w:r>
      <w:r>
        <w:rPr>
          <w:rFonts w:hint="eastAsia" w:ascii="新宋体" w:hAnsi="新宋体" w:eastAsia="新宋体" w:cs="新宋体"/>
          <w:b/>
          <w:bCs/>
          <w:color w:val="auto"/>
          <w:sz w:val="22"/>
          <w:szCs w:val="22"/>
          <w:highlight w:val="none"/>
          <w:lang w:val="zh-CN"/>
        </w:rPr>
        <w:t>项目的内容和要求</w:t>
      </w:r>
      <w:bookmarkEnd w:id="97"/>
    </w:p>
    <w:p w14:paraId="47D9CFF5">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2.1</w:t>
      </w:r>
      <w:r>
        <w:rPr>
          <w:rFonts w:hint="eastAsia" w:ascii="新宋体" w:hAnsi="新宋体" w:eastAsia="新宋体" w:cs="新宋体"/>
          <w:color w:val="auto"/>
          <w:sz w:val="22"/>
          <w:szCs w:val="22"/>
          <w:highlight w:val="none"/>
          <w:lang w:val="zh-CN"/>
        </w:rPr>
        <w:t>甲方委托乙方根据本合同规定的条款和条件开发</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lang w:val="zh-CN"/>
        </w:rPr>
        <w:t>项目软件，乙方接受甲方的委托为甲方提供开发。</w:t>
      </w:r>
    </w:p>
    <w:p w14:paraId="2DA6EB3A">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2.2</w:t>
      </w:r>
      <w:r>
        <w:rPr>
          <w:rFonts w:hint="eastAsia" w:ascii="新宋体" w:hAnsi="新宋体" w:eastAsia="新宋体" w:cs="新宋体"/>
          <w:color w:val="auto"/>
          <w:sz w:val="22"/>
          <w:szCs w:val="22"/>
          <w:highlight w:val="none"/>
          <w:lang w:val="zh-CN"/>
        </w:rPr>
        <w:t>软件使用期限：甲方可永久使用该软件产品。</w:t>
      </w:r>
    </w:p>
    <w:p w14:paraId="2730141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2.3</w:t>
      </w:r>
      <w:r>
        <w:rPr>
          <w:rFonts w:hint="eastAsia" w:ascii="新宋体" w:hAnsi="新宋体" w:eastAsia="新宋体" w:cs="新宋体"/>
          <w:color w:val="auto"/>
          <w:sz w:val="22"/>
          <w:szCs w:val="22"/>
          <w:highlight w:val="none"/>
          <w:lang w:val="zh-CN"/>
        </w:rPr>
        <w:t>软件开发内容：乙方应根据本项目采购文件的要求制作出的《工作范围说明书》（附件一）的规定，与甲方共同对业务需求进行识别，并和业务、技术部门进行确认，最终形成《需求确认书》，并在需求确定后双方签署《需求评审报告》（附件二），作为软件开发依据，乙方开发软件应达到的技术指标和参数达到本合同所附《工作范围说明书》（附件一）技术要求。</w:t>
      </w:r>
    </w:p>
    <w:p w14:paraId="688617B2">
      <w:pPr>
        <w:spacing w:line="460" w:lineRule="exact"/>
        <w:rPr>
          <w:rFonts w:hint="eastAsia" w:ascii="新宋体" w:hAnsi="新宋体" w:eastAsia="新宋体" w:cs="新宋体"/>
          <w:b/>
          <w:bCs/>
          <w:color w:val="auto"/>
          <w:sz w:val="22"/>
          <w:szCs w:val="22"/>
          <w:highlight w:val="none"/>
          <w:lang w:val="zh-CN"/>
        </w:rPr>
      </w:pPr>
      <w:bookmarkStart w:id="98" w:name="bookmark5"/>
      <w:r>
        <w:rPr>
          <w:rFonts w:hint="eastAsia" w:ascii="新宋体" w:hAnsi="新宋体" w:eastAsia="新宋体" w:cs="新宋体"/>
          <w:b/>
          <w:bCs/>
          <w:color w:val="auto"/>
          <w:sz w:val="22"/>
          <w:szCs w:val="22"/>
          <w:highlight w:val="none"/>
          <w:lang w:val="zh-CN"/>
        </w:rPr>
        <w:t>第三条</w:t>
      </w:r>
      <w:r>
        <w:rPr>
          <w:rFonts w:hint="eastAsia" w:ascii="新宋体" w:hAnsi="新宋体" w:eastAsia="新宋体" w:cs="新宋体"/>
          <w:b/>
          <w:bCs/>
          <w:color w:val="auto"/>
          <w:sz w:val="22"/>
          <w:szCs w:val="22"/>
          <w:highlight w:val="none"/>
        </w:rPr>
        <w:t xml:space="preserve">  </w:t>
      </w:r>
      <w:r>
        <w:rPr>
          <w:rFonts w:hint="eastAsia" w:ascii="新宋体" w:hAnsi="新宋体" w:eastAsia="新宋体" w:cs="新宋体"/>
          <w:b/>
          <w:bCs/>
          <w:color w:val="auto"/>
          <w:sz w:val="22"/>
          <w:szCs w:val="22"/>
          <w:highlight w:val="none"/>
          <w:lang w:val="zh-CN"/>
        </w:rPr>
        <w:t>项目的开发工作</w:t>
      </w:r>
      <w:bookmarkEnd w:id="98"/>
    </w:p>
    <w:p w14:paraId="18AB02C0">
      <w:pPr>
        <w:spacing w:line="460" w:lineRule="exact"/>
        <w:rPr>
          <w:rFonts w:hint="eastAsia" w:ascii="Times New Roman" w:hAnsi="Times New Roman" w:eastAsia="宋体" w:cs="Times New Roman"/>
          <w:color w:val="auto"/>
          <w:spacing w:val="1"/>
          <w:sz w:val="22"/>
          <w:szCs w:val="22"/>
          <w:highlight w:val="none"/>
        </w:rPr>
      </w:pPr>
      <w:r>
        <w:rPr>
          <w:rFonts w:hint="eastAsia" w:ascii="Times New Roman" w:hAnsi="Times New Roman" w:eastAsia="宋体" w:cs="Times New Roman"/>
          <w:color w:val="auto"/>
          <w:spacing w:val="1"/>
          <w:sz w:val="22"/>
          <w:szCs w:val="22"/>
          <w:highlight w:val="none"/>
        </w:rPr>
        <w:t>3.1</w:t>
      </w:r>
      <w:bookmarkStart w:id="99" w:name="bookmark6"/>
      <w:r>
        <w:rPr>
          <w:rFonts w:hint="eastAsia" w:ascii="Times New Roman" w:hAnsi="Times New Roman" w:eastAsia="宋体" w:cs="Times New Roman"/>
          <w:color w:val="auto"/>
          <w:spacing w:val="1"/>
          <w:sz w:val="22"/>
          <w:szCs w:val="22"/>
          <w:highlight w:val="none"/>
        </w:rPr>
        <w:t>4、▲项目完工期：合同签订后30日内完成项目建设并初验，</w:t>
      </w:r>
      <w:r>
        <w:rPr>
          <w:rFonts w:hint="eastAsia" w:ascii="Times New Roman" w:hAnsi="Times New Roman" w:eastAsia="宋体" w:cs="Times New Roman"/>
          <w:color w:val="auto"/>
          <w:spacing w:val="1"/>
          <w:sz w:val="22"/>
          <w:szCs w:val="22"/>
          <w:highlight w:val="none"/>
          <w:lang w:val="en-US" w:eastAsia="zh-CN"/>
        </w:rPr>
        <w:t>通过</w:t>
      </w:r>
      <w:r>
        <w:rPr>
          <w:rFonts w:hint="eastAsia" w:ascii="Times New Roman" w:hAnsi="Times New Roman" w:eastAsia="宋体" w:cs="Times New Roman"/>
          <w:color w:val="auto"/>
          <w:spacing w:val="1"/>
          <w:sz w:val="22"/>
          <w:szCs w:val="22"/>
          <w:highlight w:val="none"/>
        </w:rPr>
        <w:t>初验后进入试运行阶段，试运行时长三个月</w:t>
      </w:r>
      <w:r>
        <w:rPr>
          <w:rFonts w:hint="eastAsia" w:ascii="Times New Roman" w:hAnsi="Times New Roman" w:eastAsia="宋体" w:cs="Times New Roman"/>
          <w:color w:val="auto"/>
          <w:spacing w:val="1"/>
          <w:sz w:val="22"/>
          <w:szCs w:val="22"/>
          <w:highlight w:val="none"/>
          <w:lang w:eastAsia="zh-CN"/>
        </w:rPr>
        <w:t>。</w:t>
      </w:r>
      <w:r>
        <w:rPr>
          <w:rFonts w:hint="eastAsia" w:ascii="Times New Roman" w:hAnsi="Times New Roman" w:eastAsia="宋体" w:cs="Times New Roman"/>
          <w:color w:val="auto"/>
          <w:spacing w:val="1"/>
          <w:sz w:val="22"/>
          <w:szCs w:val="22"/>
          <w:highlight w:val="none"/>
        </w:rPr>
        <w:t>试运行完成后进行终验</w:t>
      </w:r>
      <w:r>
        <w:rPr>
          <w:rFonts w:hint="eastAsia" w:ascii="Times New Roman" w:hAnsi="Times New Roman" w:eastAsia="宋体" w:cs="Times New Roman"/>
          <w:color w:val="auto"/>
          <w:spacing w:val="1"/>
          <w:sz w:val="22"/>
          <w:szCs w:val="22"/>
          <w:highlight w:val="none"/>
          <w:lang w:eastAsia="zh-CN"/>
        </w:rPr>
        <w:t>，</w:t>
      </w:r>
      <w:r>
        <w:rPr>
          <w:rFonts w:hint="eastAsia" w:ascii="Times New Roman" w:hAnsi="Times New Roman" w:eastAsia="宋体" w:cs="Times New Roman"/>
          <w:color w:val="auto"/>
          <w:spacing w:val="1"/>
          <w:sz w:val="22"/>
          <w:szCs w:val="22"/>
          <w:highlight w:val="none"/>
        </w:rPr>
        <w:t>终验后维护期三年。</w:t>
      </w:r>
    </w:p>
    <w:p w14:paraId="78D55B77">
      <w:pPr>
        <w:spacing w:line="44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项目实施过程中，系统开发所需的软硬件环境由乙方提供，乙方有关人员的所有费用由乙方承担。</w:t>
      </w:r>
    </w:p>
    <w:p w14:paraId="6D163D8D">
      <w:pPr>
        <w:spacing w:line="44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乙方负责应用软件与系统软件和第三方软件的集成、安装和调试等费用。</w:t>
      </w:r>
    </w:p>
    <w:p w14:paraId="53DBE528">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lang w:val="zh-CN"/>
        </w:rPr>
        <w:t>第四条</w:t>
      </w:r>
      <w:r>
        <w:rPr>
          <w:rFonts w:hint="eastAsia" w:ascii="新宋体" w:hAnsi="新宋体" w:eastAsia="新宋体" w:cs="新宋体"/>
          <w:b/>
          <w:bCs/>
          <w:color w:val="auto"/>
          <w:sz w:val="22"/>
          <w:szCs w:val="22"/>
          <w:highlight w:val="none"/>
        </w:rPr>
        <w:t xml:space="preserve">  </w:t>
      </w:r>
      <w:r>
        <w:rPr>
          <w:rFonts w:hint="eastAsia" w:ascii="新宋体" w:hAnsi="新宋体" w:eastAsia="新宋体" w:cs="新宋体"/>
          <w:b/>
          <w:bCs/>
          <w:color w:val="auto"/>
          <w:sz w:val="22"/>
          <w:szCs w:val="22"/>
          <w:highlight w:val="none"/>
          <w:lang w:val="zh-CN"/>
        </w:rPr>
        <w:t>项目的测试和验收</w:t>
      </w:r>
      <w:bookmarkEnd w:id="99"/>
    </w:p>
    <w:p w14:paraId="75DCA6EE">
      <w:pPr>
        <w:spacing w:line="460" w:lineRule="exact"/>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4.1项目部署阶段，乙方</w:t>
      </w:r>
      <w:r>
        <w:rPr>
          <w:rFonts w:hint="eastAsia" w:ascii="新宋体" w:hAnsi="新宋体" w:eastAsia="新宋体" w:cs="新宋体"/>
          <w:color w:val="auto"/>
          <w:sz w:val="22"/>
          <w:szCs w:val="22"/>
          <w:highlight w:val="none"/>
          <w:lang w:val="zh-CN"/>
        </w:rPr>
        <w:t>编制测试手册。</w:t>
      </w:r>
    </w:p>
    <w:p w14:paraId="7977D58A">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4.2</w:t>
      </w:r>
      <w:r>
        <w:rPr>
          <w:rFonts w:hint="eastAsia" w:ascii="新宋体" w:hAnsi="新宋体" w:eastAsia="新宋体" w:cs="新宋体"/>
          <w:color w:val="auto"/>
          <w:sz w:val="22"/>
          <w:szCs w:val="22"/>
          <w:highlight w:val="none"/>
          <w:lang w:val="zh-CN"/>
        </w:rPr>
        <w:t>乙方应协助甲方根据《需求确认书》的内容对项目进行系统测试，测试验收。成立验收小组，由甲方、乙方及项目监理方人员组成，对项目建设进行验收。验收时，由乙方草拟并经甲方审定验收方案，经验收小组确认后，由验收小组负责验收。</w:t>
      </w:r>
    </w:p>
    <w:p w14:paraId="31B21B94">
      <w:pPr>
        <w:spacing w:line="460" w:lineRule="exac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rPr>
        <w:t>4.</w:t>
      </w:r>
      <w:r>
        <w:rPr>
          <w:rFonts w:ascii="新宋体" w:hAnsi="新宋体" w:eastAsia="新宋体" w:cs="新宋体"/>
          <w:color w:val="auto"/>
          <w:sz w:val="22"/>
          <w:szCs w:val="22"/>
          <w:highlight w:val="none"/>
        </w:rPr>
        <w:t>3</w:t>
      </w:r>
      <w:r>
        <w:rPr>
          <w:rFonts w:hint="eastAsia" w:ascii="新宋体" w:hAnsi="新宋体" w:eastAsia="新宋体" w:cs="新宋体"/>
          <w:color w:val="auto"/>
          <w:sz w:val="22"/>
          <w:szCs w:val="22"/>
          <w:highlight w:val="none"/>
          <w:lang w:val="zh-CN"/>
        </w:rPr>
        <w:t>验收测试的评定：系统测试完成后，验收小组签署《测试验收报告》（附件四），验收合格后,代表系统已满足需求，达到上线条件。</w:t>
      </w:r>
    </w:p>
    <w:p w14:paraId="33602681">
      <w:pPr>
        <w:spacing w:line="460" w:lineRule="exac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rPr>
        <w:t>4.</w:t>
      </w:r>
      <w:r>
        <w:rPr>
          <w:rFonts w:ascii="新宋体" w:hAnsi="新宋体" w:eastAsia="新宋体" w:cs="新宋体"/>
          <w:color w:val="auto"/>
          <w:sz w:val="22"/>
          <w:szCs w:val="22"/>
          <w:highlight w:val="none"/>
        </w:rPr>
        <w:t>4</w:t>
      </w:r>
      <w:r>
        <w:rPr>
          <w:rFonts w:hint="eastAsia" w:ascii="新宋体" w:hAnsi="新宋体" w:eastAsia="新宋体" w:cs="新宋体"/>
          <w:color w:val="auto"/>
          <w:sz w:val="22"/>
          <w:szCs w:val="22"/>
          <w:highlight w:val="none"/>
          <w:lang w:val="zh-CN"/>
        </w:rPr>
        <w:t>验收合格后，甲乙双方共同签署《实施项目阶段验收报告》（附件五）。 验收不合格的，乙方应及时更改，直至验收合格。如果甲方在乙方提出验 收申请后的10个工作日内无正当理由不安排验收，则视为验收合格。</w:t>
      </w:r>
    </w:p>
    <w:p w14:paraId="75538268">
      <w:pPr>
        <w:spacing w:line="460" w:lineRule="exact"/>
        <w:rPr>
          <w:rFonts w:hint="eastAsia" w:ascii="新宋体" w:hAnsi="新宋体" w:eastAsia="新宋体" w:cs="新宋体"/>
          <w:b/>
          <w:bCs/>
          <w:color w:val="auto"/>
          <w:sz w:val="22"/>
          <w:szCs w:val="22"/>
          <w:highlight w:val="none"/>
        </w:rPr>
      </w:pPr>
      <w:bookmarkStart w:id="100" w:name="bookmark7"/>
      <w:r>
        <w:rPr>
          <w:rFonts w:hint="eastAsia" w:ascii="新宋体" w:hAnsi="新宋体" w:eastAsia="新宋体" w:cs="新宋体"/>
          <w:b/>
          <w:bCs/>
          <w:color w:val="auto"/>
          <w:sz w:val="22"/>
          <w:szCs w:val="22"/>
          <w:highlight w:val="none"/>
          <w:lang w:val="zh-CN"/>
        </w:rPr>
        <w:t>第五条</w:t>
      </w:r>
      <w:r>
        <w:rPr>
          <w:rFonts w:hint="eastAsia" w:ascii="新宋体" w:hAnsi="新宋体" w:eastAsia="新宋体" w:cs="新宋体"/>
          <w:b/>
          <w:bCs/>
          <w:color w:val="auto"/>
          <w:sz w:val="22"/>
          <w:szCs w:val="22"/>
          <w:highlight w:val="none"/>
        </w:rPr>
        <w:t xml:space="preserve">  </w:t>
      </w:r>
      <w:r>
        <w:rPr>
          <w:rFonts w:hint="eastAsia" w:ascii="新宋体" w:hAnsi="新宋体" w:eastAsia="新宋体" w:cs="新宋体"/>
          <w:b/>
          <w:bCs/>
          <w:color w:val="auto"/>
          <w:sz w:val="22"/>
          <w:szCs w:val="22"/>
          <w:highlight w:val="none"/>
          <w:lang w:val="zh-CN"/>
        </w:rPr>
        <w:t>项目交付</w:t>
      </w:r>
      <w:bookmarkEnd w:id="100"/>
    </w:p>
    <w:p w14:paraId="34B0C974">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5.1</w:t>
      </w:r>
      <w:r>
        <w:rPr>
          <w:rFonts w:hint="eastAsia" w:ascii="新宋体" w:hAnsi="新宋体" w:eastAsia="新宋体" w:cs="新宋体"/>
          <w:color w:val="auto"/>
          <w:sz w:val="22"/>
          <w:szCs w:val="22"/>
          <w:highlight w:val="none"/>
          <w:lang w:val="zh-CN"/>
        </w:rPr>
        <w:t>开发软件交付内容：技术设计方案、工作总结报告、软件使用说明书等，提供服务器端系统安装光盘，同时部署在电子政务云上；交付对象为甲方或甲方指定的机构或个人。</w:t>
      </w:r>
    </w:p>
    <w:p w14:paraId="7CCC904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5.2</w:t>
      </w:r>
      <w:r>
        <w:rPr>
          <w:rFonts w:hint="eastAsia" w:ascii="新宋体" w:hAnsi="新宋体" w:eastAsia="新宋体" w:cs="新宋体"/>
          <w:color w:val="auto"/>
          <w:sz w:val="22"/>
          <w:szCs w:val="22"/>
          <w:highlight w:val="none"/>
          <w:lang w:val="zh-CN"/>
        </w:rPr>
        <w:t>开发软件交付的完成：乙方按照本合同的约定向甲方交付并安装开发软件，软件安装调试符合约定的，甲方向乙方出具书面收讫证明之后，乙方的开发软件交付义务完成。甲方出具的收讫证明上记载的日期为开发软件交付日。</w:t>
      </w:r>
    </w:p>
    <w:p w14:paraId="22ACC19D">
      <w:pPr>
        <w:spacing w:line="460" w:lineRule="exact"/>
        <w:rPr>
          <w:rFonts w:hint="eastAsia" w:ascii="新宋体" w:hAnsi="新宋体" w:eastAsia="新宋体" w:cs="新宋体"/>
          <w:b/>
          <w:bCs/>
          <w:color w:val="auto"/>
          <w:sz w:val="22"/>
          <w:szCs w:val="22"/>
          <w:highlight w:val="none"/>
        </w:rPr>
      </w:pPr>
      <w:bookmarkStart w:id="101" w:name="bookmark8"/>
      <w:r>
        <w:rPr>
          <w:rFonts w:hint="eastAsia" w:ascii="新宋体" w:hAnsi="新宋体" w:eastAsia="新宋体" w:cs="新宋体"/>
          <w:b/>
          <w:bCs/>
          <w:color w:val="auto"/>
          <w:sz w:val="22"/>
          <w:szCs w:val="22"/>
          <w:highlight w:val="none"/>
          <w:lang w:val="zh-CN"/>
        </w:rPr>
        <w:t>第六条</w:t>
      </w:r>
      <w:r>
        <w:rPr>
          <w:rFonts w:hint="eastAsia" w:ascii="新宋体" w:hAnsi="新宋体" w:eastAsia="新宋体" w:cs="新宋体"/>
          <w:b/>
          <w:bCs/>
          <w:color w:val="auto"/>
          <w:sz w:val="22"/>
          <w:szCs w:val="22"/>
          <w:highlight w:val="none"/>
        </w:rPr>
        <w:t xml:space="preserve">  </w:t>
      </w:r>
      <w:r>
        <w:rPr>
          <w:rFonts w:hint="eastAsia" w:ascii="新宋体" w:hAnsi="新宋体" w:eastAsia="新宋体" w:cs="新宋体"/>
          <w:b/>
          <w:bCs/>
          <w:color w:val="auto"/>
          <w:sz w:val="22"/>
          <w:szCs w:val="22"/>
          <w:highlight w:val="none"/>
          <w:lang w:val="zh-CN"/>
        </w:rPr>
        <w:t>甲方义务</w:t>
      </w:r>
      <w:bookmarkEnd w:id="101"/>
    </w:p>
    <w:p w14:paraId="7453964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6.1</w:t>
      </w:r>
      <w:r>
        <w:rPr>
          <w:rFonts w:hint="eastAsia" w:ascii="新宋体" w:hAnsi="新宋体" w:eastAsia="新宋体" w:cs="新宋体"/>
          <w:color w:val="auto"/>
          <w:sz w:val="22"/>
          <w:szCs w:val="22"/>
          <w:highlight w:val="none"/>
          <w:lang w:val="zh-CN"/>
        </w:rPr>
        <w:t>甲方负责向乙方提供项目开发所必</w:t>
      </w:r>
      <w:r>
        <w:rPr>
          <w:rFonts w:hint="eastAsia" w:ascii="新宋体" w:hAnsi="新宋体" w:eastAsia="新宋体" w:cs="新宋体"/>
          <w:color w:val="auto"/>
          <w:sz w:val="22"/>
          <w:szCs w:val="22"/>
          <w:highlight w:val="none"/>
        </w:rPr>
        <w:t>需</w:t>
      </w:r>
      <w:r>
        <w:rPr>
          <w:rFonts w:hint="eastAsia" w:ascii="新宋体" w:hAnsi="新宋体" w:eastAsia="新宋体" w:cs="新宋体"/>
          <w:color w:val="auto"/>
          <w:sz w:val="22"/>
          <w:szCs w:val="22"/>
          <w:highlight w:val="none"/>
          <w:lang w:val="zh-CN"/>
        </w:rPr>
        <w:t>的办公场地、机房内硬件设备以及相关资料。</w:t>
      </w:r>
    </w:p>
    <w:p w14:paraId="5A650C92">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6.2</w:t>
      </w:r>
      <w:r>
        <w:rPr>
          <w:rFonts w:hint="eastAsia" w:ascii="新宋体" w:hAnsi="新宋体" w:eastAsia="新宋体" w:cs="新宋体"/>
          <w:color w:val="auto"/>
          <w:sz w:val="22"/>
          <w:szCs w:val="22"/>
          <w:highlight w:val="none"/>
          <w:lang w:val="zh-CN"/>
        </w:rPr>
        <w:t>甲方应向乙方提供乙方开发软件必需的、适宜的工作环境。</w:t>
      </w:r>
    </w:p>
    <w:p w14:paraId="19EBAB2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6.3</w:t>
      </w:r>
      <w:r>
        <w:rPr>
          <w:rFonts w:hint="eastAsia" w:ascii="新宋体" w:hAnsi="新宋体" w:eastAsia="新宋体" w:cs="新宋体"/>
          <w:color w:val="auto"/>
          <w:sz w:val="22"/>
          <w:szCs w:val="22"/>
          <w:highlight w:val="none"/>
          <w:lang w:val="zh-CN"/>
        </w:rPr>
        <w:t>甲方成立项目组，与乙方共同完成合同规定的工作，并指派一名项目负责人负责现场处理项目实施过程中发生的各种问题，如果在合同履行过程中发生人员变更，必须提前通知乙方。</w:t>
      </w:r>
    </w:p>
    <w:p w14:paraId="7FED181E">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6.4</w:t>
      </w:r>
      <w:r>
        <w:rPr>
          <w:rFonts w:hint="eastAsia" w:ascii="新宋体" w:hAnsi="新宋体" w:eastAsia="新宋体" w:cs="新宋体"/>
          <w:color w:val="auto"/>
          <w:sz w:val="22"/>
          <w:szCs w:val="22"/>
          <w:highlight w:val="none"/>
          <w:lang w:val="zh-CN"/>
        </w:rPr>
        <w:t>由于甲方未履行本合同义务而造成项目工作拖延的，乙方有权将工作时间表做相应调整。</w:t>
      </w:r>
    </w:p>
    <w:p w14:paraId="3F531911">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6.5</w:t>
      </w:r>
      <w:r>
        <w:rPr>
          <w:rFonts w:hint="eastAsia" w:ascii="新宋体" w:hAnsi="新宋体" w:eastAsia="新宋体" w:cs="新宋体"/>
          <w:color w:val="auto"/>
          <w:sz w:val="22"/>
          <w:szCs w:val="22"/>
          <w:highlight w:val="none"/>
          <w:lang w:val="zh-CN"/>
        </w:rPr>
        <w:t>甲方应与乙方共同对开发软件进行联调测试、用户验收测试及系统压力测试，使系统进入试运行阶段至验收完成。</w:t>
      </w:r>
    </w:p>
    <w:p w14:paraId="5C4FF297">
      <w:pPr>
        <w:spacing w:line="460" w:lineRule="exact"/>
        <w:rPr>
          <w:rFonts w:hint="eastAsia" w:ascii="新宋体" w:hAnsi="新宋体" w:eastAsia="新宋体" w:cs="新宋体"/>
          <w:b/>
          <w:bCs/>
          <w:color w:val="auto"/>
          <w:sz w:val="22"/>
          <w:szCs w:val="22"/>
          <w:highlight w:val="none"/>
        </w:rPr>
      </w:pPr>
      <w:bookmarkStart w:id="102" w:name="bookmark9"/>
      <w:r>
        <w:rPr>
          <w:rFonts w:hint="eastAsia" w:ascii="新宋体" w:hAnsi="新宋体" w:eastAsia="新宋体" w:cs="新宋体"/>
          <w:b/>
          <w:bCs/>
          <w:color w:val="auto"/>
          <w:sz w:val="22"/>
          <w:szCs w:val="22"/>
          <w:highlight w:val="none"/>
          <w:lang w:val="zh-CN"/>
        </w:rPr>
        <w:t>第七条</w:t>
      </w:r>
      <w:r>
        <w:rPr>
          <w:rFonts w:hint="eastAsia" w:ascii="新宋体" w:hAnsi="新宋体" w:eastAsia="新宋体" w:cs="新宋体"/>
          <w:b/>
          <w:bCs/>
          <w:color w:val="auto"/>
          <w:sz w:val="22"/>
          <w:szCs w:val="22"/>
          <w:highlight w:val="none"/>
        </w:rPr>
        <w:t xml:space="preserve">  </w:t>
      </w:r>
      <w:r>
        <w:rPr>
          <w:rFonts w:hint="eastAsia" w:ascii="新宋体" w:hAnsi="新宋体" w:eastAsia="新宋体" w:cs="新宋体"/>
          <w:b/>
          <w:bCs/>
          <w:color w:val="auto"/>
          <w:sz w:val="22"/>
          <w:szCs w:val="22"/>
          <w:highlight w:val="none"/>
          <w:lang w:val="zh-CN"/>
        </w:rPr>
        <w:t>乙方义务</w:t>
      </w:r>
      <w:bookmarkEnd w:id="102"/>
    </w:p>
    <w:p w14:paraId="01B2B49A">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7.1</w:t>
      </w:r>
      <w:r>
        <w:rPr>
          <w:rFonts w:hint="eastAsia" w:ascii="新宋体" w:hAnsi="新宋体" w:eastAsia="新宋体" w:cs="新宋体"/>
          <w:color w:val="auto"/>
          <w:sz w:val="22"/>
          <w:szCs w:val="22"/>
          <w:highlight w:val="none"/>
          <w:lang w:val="zh-CN"/>
        </w:rPr>
        <w:t>乙方应按照本合同所附《工作范围说明书》（附件一）的要求，如期完成和交付开发软件， 并向甲方提供开发软件相应的文档资料。</w:t>
      </w:r>
    </w:p>
    <w:p w14:paraId="560A2E4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7.2</w:t>
      </w:r>
      <w:r>
        <w:rPr>
          <w:rFonts w:hint="eastAsia" w:ascii="新宋体" w:hAnsi="新宋体" w:eastAsia="新宋体" w:cs="新宋体"/>
          <w:color w:val="auto"/>
          <w:sz w:val="22"/>
          <w:szCs w:val="22"/>
          <w:highlight w:val="none"/>
          <w:lang w:val="zh-CN"/>
        </w:rPr>
        <w:t>乙方严格按照软件工程建设的有关规范组织实施，并对项目建设阶段提出具体时间安排。</w:t>
      </w:r>
    </w:p>
    <w:p w14:paraId="31AC157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7.3</w:t>
      </w:r>
      <w:r>
        <w:rPr>
          <w:rFonts w:hint="eastAsia" w:ascii="新宋体" w:hAnsi="新宋体" w:eastAsia="新宋体" w:cs="新宋体"/>
          <w:color w:val="auto"/>
          <w:sz w:val="22"/>
          <w:szCs w:val="22"/>
          <w:highlight w:val="none"/>
          <w:lang w:val="zh-CN"/>
        </w:rPr>
        <w:t>在系统开发阶段、试运行阶段、免费维护期内，乙方负责与开发系统运行有关的技术问题处理。</w:t>
      </w:r>
    </w:p>
    <w:p w14:paraId="48531821">
      <w:pPr>
        <w:spacing w:line="460" w:lineRule="exac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rPr>
        <w:t>7.4</w:t>
      </w:r>
      <w:r>
        <w:rPr>
          <w:rFonts w:hint="eastAsia" w:ascii="新宋体" w:hAnsi="新宋体" w:eastAsia="新宋体" w:cs="新宋体"/>
          <w:color w:val="auto"/>
          <w:sz w:val="22"/>
          <w:szCs w:val="22"/>
          <w:highlight w:val="none"/>
          <w:lang w:val="zh-CN"/>
        </w:rPr>
        <w:t>乙方应选派强有力的项目建设队伍，负责完成合同规定的工作；如果在合同履行过程中发生项目负责人及项目组主要成员的变更，必须提前取得甲方同意。如果因项目负责人及项目组主要成员更替造成项目时间延误，乙方应向甲方作出相应的赔偿。</w:t>
      </w:r>
    </w:p>
    <w:p w14:paraId="18C154AE">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7.5</w:t>
      </w:r>
      <w:r>
        <w:rPr>
          <w:rFonts w:hint="eastAsia" w:ascii="新宋体" w:hAnsi="新宋体" w:eastAsia="新宋体" w:cs="新宋体"/>
          <w:color w:val="auto"/>
          <w:sz w:val="22"/>
          <w:szCs w:val="22"/>
          <w:highlight w:val="none"/>
          <w:lang w:val="zh-CN"/>
        </w:rPr>
        <w:t>乙方负责制定切实可行的项目实施方案，明确任务和各方职责，并按阶段考核检查。</w:t>
      </w:r>
    </w:p>
    <w:p w14:paraId="41DC1B14">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7.6</w:t>
      </w:r>
      <w:r>
        <w:rPr>
          <w:rFonts w:hint="eastAsia" w:ascii="新宋体" w:hAnsi="新宋体" w:eastAsia="新宋体" w:cs="新宋体"/>
          <w:color w:val="auto"/>
          <w:sz w:val="22"/>
          <w:szCs w:val="22"/>
          <w:highlight w:val="none"/>
          <w:lang w:val="zh-CN"/>
        </w:rPr>
        <w:t>乙方应提供系统测试验证方案，严格测试和验证系统功能和技术指标。</w:t>
      </w:r>
    </w:p>
    <w:p w14:paraId="55A38DD9">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7.7</w:t>
      </w:r>
      <w:r>
        <w:rPr>
          <w:rFonts w:hint="eastAsia" w:ascii="新宋体" w:hAnsi="新宋体" w:eastAsia="新宋体" w:cs="新宋体"/>
          <w:color w:val="auto"/>
          <w:sz w:val="22"/>
          <w:szCs w:val="22"/>
          <w:highlight w:val="none"/>
          <w:lang w:val="zh-CN"/>
        </w:rPr>
        <w:t>乙方在开发过程中应及时整理和制定各类技术文档资料、编写培训教材，并提供免费技术培训，包括乙方掌握应用系统的技术细节。</w:t>
      </w:r>
    </w:p>
    <w:p w14:paraId="2D881652">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7.8</w:t>
      </w:r>
      <w:r>
        <w:rPr>
          <w:rFonts w:hint="eastAsia" w:ascii="新宋体" w:hAnsi="新宋体" w:eastAsia="新宋体" w:cs="新宋体"/>
          <w:color w:val="auto"/>
          <w:sz w:val="22"/>
          <w:szCs w:val="22"/>
          <w:highlight w:val="none"/>
          <w:lang w:val="zh-CN"/>
        </w:rPr>
        <w:t>乙方应按照本协议约定的标准和规格，以及项目管理体系的相关要求，以专业、熟练的方式提供服务并交付相关交付成果；</w:t>
      </w:r>
    </w:p>
    <w:p w14:paraId="18AD3E57">
      <w:pPr>
        <w:spacing w:line="460" w:lineRule="exac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rPr>
        <w:t>7.9</w:t>
      </w:r>
      <w:r>
        <w:rPr>
          <w:rFonts w:hint="eastAsia" w:ascii="新宋体" w:hAnsi="新宋体" w:eastAsia="新宋体" w:cs="新宋体"/>
          <w:color w:val="auto"/>
          <w:sz w:val="22"/>
          <w:szCs w:val="22"/>
          <w:highlight w:val="none"/>
          <w:lang w:val="zh-CN"/>
        </w:rPr>
        <w:t xml:space="preserve">乙方遵循公司全面的技术支持服务体系，向甲方提供全面技术支持服务。 </w:t>
      </w:r>
    </w:p>
    <w:p w14:paraId="7831C7B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7.10</w:t>
      </w:r>
      <w:r>
        <w:rPr>
          <w:rFonts w:hint="eastAsia" w:ascii="新宋体" w:hAnsi="新宋体" w:eastAsia="新宋体" w:cs="新宋体"/>
          <w:color w:val="auto"/>
          <w:sz w:val="22"/>
          <w:szCs w:val="22"/>
          <w:highlight w:val="none"/>
          <w:lang w:val="zh-CN"/>
        </w:rPr>
        <w:t>如出现政策、环境变化或不可抗力等触发合同变更或终止的因素，乙方应当配合甲方过渡期间的安排，共同保障甲方业务开展的连续性和稳定性。如需终止合同的，乙方应当配合甲方做好信息、资料及相关设施的交接处 置等过渡期间的工作安排。</w:t>
      </w:r>
    </w:p>
    <w:p w14:paraId="413E7979">
      <w:pPr>
        <w:spacing w:line="460" w:lineRule="exac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rPr>
        <w:t>7.12</w:t>
      </w:r>
      <w:r>
        <w:rPr>
          <w:rFonts w:hint="eastAsia" w:ascii="新宋体" w:hAnsi="新宋体" w:eastAsia="新宋体" w:cs="新宋体"/>
          <w:color w:val="auto"/>
          <w:sz w:val="22"/>
          <w:szCs w:val="22"/>
          <w:highlight w:val="none"/>
          <w:lang w:val="zh-CN"/>
        </w:rPr>
        <w:t>未经甲方书面同意，乙方不得将本合同约定的服务分包给第三方，禁止转包和变相转包。</w:t>
      </w:r>
    </w:p>
    <w:p w14:paraId="218710B5">
      <w:pPr>
        <w:spacing w:line="460" w:lineRule="exact"/>
        <w:rPr>
          <w:rFonts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rPr>
        <w:t>7.13</w:t>
      </w:r>
      <w:r>
        <w:rPr>
          <w:rFonts w:hint="eastAsia" w:ascii="新宋体" w:hAnsi="新宋体" w:eastAsia="新宋体" w:cs="新宋体"/>
          <w:color w:val="auto"/>
          <w:sz w:val="22"/>
          <w:szCs w:val="22"/>
          <w:highlight w:val="none"/>
          <w:lang w:val="zh-CN"/>
        </w:rPr>
        <w:t>为保障项目的顺利实施，防范项目风险，避免因沟通不畅等原因引起项目执行问题，乙方应定期向甲方项目负责人及相关领导对项目执行状况、问题、风险进行汇报。</w:t>
      </w:r>
    </w:p>
    <w:p w14:paraId="366C170F">
      <w:pPr>
        <w:spacing w:line="460" w:lineRule="exac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lang w:val="zh-CN"/>
        </w:rPr>
        <w:t>7</w:t>
      </w:r>
      <w:r>
        <w:rPr>
          <w:rFonts w:ascii="新宋体" w:hAnsi="新宋体" w:eastAsia="新宋体" w:cs="新宋体"/>
          <w:color w:val="auto"/>
          <w:sz w:val="22"/>
          <w:szCs w:val="22"/>
          <w:highlight w:val="none"/>
          <w:lang w:val="zh-CN"/>
        </w:rPr>
        <w:t>.14</w:t>
      </w:r>
      <w:r>
        <w:rPr>
          <w:rFonts w:hint="eastAsia" w:ascii="新宋体" w:hAnsi="新宋体" w:eastAsia="新宋体" w:cs="新宋体"/>
          <w:color w:val="auto"/>
          <w:sz w:val="22"/>
          <w:szCs w:val="22"/>
          <w:highlight w:val="none"/>
          <w:lang w:val="zh-CN"/>
        </w:rPr>
        <w:t>乙方应于验收通过后3个月内提供软件开发</w:t>
      </w:r>
      <w:r>
        <w:rPr>
          <w:rFonts w:hint="eastAsia" w:ascii="新宋体" w:hAnsi="新宋体" w:eastAsia="新宋体" w:cs="新宋体"/>
          <w:color w:val="auto"/>
          <w:sz w:val="22"/>
          <w:szCs w:val="22"/>
          <w:highlight w:val="none"/>
        </w:rPr>
        <w:t>业务代码</w:t>
      </w:r>
      <w:r>
        <w:rPr>
          <w:rFonts w:hint="eastAsia" w:ascii="新宋体" w:hAnsi="新宋体" w:eastAsia="新宋体" w:cs="新宋体"/>
          <w:color w:val="auto"/>
          <w:sz w:val="22"/>
          <w:szCs w:val="22"/>
          <w:highlight w:val="none"/>
          <w:lang w:val="zh-CN"/>
        </w:rPr>
        <w:t>。</w:t>
      </w:r>
    </w:p>
    <w:p w14:paraId="404AE98F">
      <w:pPr>
        <w:spacing w:line="460" w:lineRule="exact"/>
        <w:rPr>
          <w:rFonts w:hint="eastAsia" w:ascii="新宋体" w:hAnsi="新宋体" w:eastAsia="新宋体" w:cs="新宋体"/>
          <w:b/>
          <w:bCs/>
          <w:color w:val="auto"/>
          <w:sz w:val="22"/>
          <w:szCs w:val="22"/>
          <w:highlight w:val="none"/>
        </w:rPr>
      </w:pPr>
      <w:bookmarkStart w:id="103" w:name="bookmark10"/>
      <w:r>
        <w:rPr>
          <w:rFonts w:hint="eastAsia" w:ascii="新宋体" w:hAnsi="新宋体" w:eastAsia="新宋体" w:cs="新宋体"/>
          <w:b/>
          <w:bCs/>
          <w:color w:val="auto"/>
          <w:sz w:val="22"/>
          <w:szCs w:val="22"/>
          <w:highlight w:val="none"/>
          <w:lang w:val="zh-CN"/>
        </w:rPr>
        <w:t>第八条</w:t>
      </w:r>
      <w:r>
        <w:rPr>
          <w:rFonts w:hint="eastAsia" w:ascii="新宋体" w:hAnsi="新宋体" w:eastAsia="新宋体" w:cs="新宋体"/>
          <w:b/>
          <w:bCs/>
          <w:color w:val="auto"/>
          <w:sz w:val="22"/>
          <w:szCs w:val="22"/>
          <w:highlight w:val="none"/>
        </w:rPr>
        <w:t xml:space="preserve">  </w:t>
      </w:r>
      <w:r>
        <w:rPr>
          <w:rFonts w:hint="eastAsia" w:ascii="新宋体" w:hAnsi="新宋体" w:eastAsia="新宋体" w:cs="新宋体"/>
          <w:b/>
          <w:bCs/>
          <w:color w:val="auto"/>
          <w:sz w:val="22"/>
          <w:szCs w:val="22"/>
          <w:highlight w:val="none"/>
          <w:lang w:val="zh-CN"/>
        </w:rPr>
        <w:t>合同金额和支付</w:t>
      </w:r>
      <w:bookmarkEnd w:id="103"/>
    </w:p>
    <w:p w14:paraId="62BE138B">
      <w:pPr>
        <w:pStyle w:val="642"/>
        <w:spacing w:line="440" w:lineRule="exact"/>
        <w:ind w:firstLine="44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8.1合同金额：本合同总金额为人民币</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元整（¥</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元）。</w:t>
      </w:r>
    </w:p>
    <w:p w14:paraId="7BB8F30E">
      <w:pPr>
        <w:numPr>
          <w:ilvl w:val="0"/>
          <w:numId w:val="0"/>
        </w:numPr>
        <w:tabs>
          <w:tab w:val="left" w:pos="965"/>
          <w:tab w:val="left" w:pos="1025"/>
        </w:tabs>
        <w:adjustRightInd w:val="0"/>
        <w:spacing w:line="450" w:lineRule="atLeast"/>
        <w:ind w:firstLine="440" w:firstLineChars="200"/>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lang w:val="zh-CN"/>
        </w:rPr>
        <w:t>上述合同金额包含设计、税金、安装调试、第三方软件测评、验收（含第三方验收）、</w:t>
      </w:r>
      <w:r>
        <w:rPr>
          <w:rFonts w:hint="eastAsia" w:ascii="新宋体" w:hAnsi="新宋体" w:eastAsia="新宋体" w:cs="新宋体"/>
          <w:bCs/>
          <w:color w:val="auto"/>
          <w:kern w:val="0"/>
          <w:sz w:val="22"/>
          <w:szCs w:val="22"/>
          <w:highlight w:val="none"/>
          <w:lang w:val="zh-CN"/>
        </w:rPr>
        <w:t>技术服务、售后服务</w:t>
      </w:r>
      <w:r>
        <w:rPr>
          <w:rFonts w:hint="eastAsia" w:ascii="新宋体" w:hAnsi="新宋体" w:eastAsia="新宋体" w:cs="新宋体"/>
          <w:color w:val="auto"/>
          <w:sz w:val="22"/>
          <w:szCs w:val="22"/>
          <w:highlight w:val="none"/>
          <w:lang w:val="zh-CN"/>
        </w:rPr>
        <w:t>、项目</w:t>
      </w:r>
      <w:r>
        <w:rPr>
          <w:rFonts w:hint="eastAsia" w:ascii="宋体" w:hAnsi="宋体" w:eastAsia="宋体" w:cs="宋体"/>
          <w:color w:val="auto"/>
          <w:kern w:val="0"/>
          <w:sz w:val="22"/>
          <w:szCs w:val="22"/>
          <w:highlight w:val="none"/>
          <w:lang w:val="en-US" w:eastAsia="zh-CN" w:bidi="ar"/>
        </w:rPr>
        <w:t>二</w:t>
      </w:r>
      <w:r>
        <w:rPr>
          <w:rFonts w:hint="eastAsia" w:ascii="宋体" w:hAnsi="宋体" w:eastAsia="宋体" w:cs="宋体"/>
          <w:color w:val="auto"/>
          <w:kern w:val="0"/>
          <w:sz w:val="22"/>
          <w:szCs w:val="22"/>
          <w:highlight w:val="none"/>
          <w:lang w:bidi="ar"/>
        </w:rPr>
        <w:t>级</w:t>
      </w:r>
      <w:r>
        <w:rPr>
          <w:rFonts w:hint="eastAsia" w:ascii="宋体" w:hAnsi="宋体" w:eastAsia="宋体" w:cs="宋体"/>
          <w:color w:val="auto"/>
          <w:kern w:val="0"/>
          <w:sz w:val="22"/>
          <w:szCs w:val="22"/>
          <w:highlight w:val="none"/>
          <w:lang w:val="en-US" w:eastAsia="zh-CN" w:bidi="ar"/>
        </w:rPr>
        <w:t>或者以上等级</w:t>
      </w:r>
      <w:r>
        <w:rPr>
          <w:rFonts w:hint="eastAsia" w:ascii="宋体" w:hAnsi="宋体" w:eastAsia="宋体" w:cs="宋体"/>
          <w:color w:val="auto"/>
          <w:kern w:val="0"/>
          <w:sz w:val="22"/>
          <w:szCs w:val="22"/>
          <w:highlight w:val="none"/>
          <w:lang w:bidi="ar"/>
        </w:rPr>
        <w:t>等保</w:t>
      </w:r>
      <w:r>
        <w:rPr>
          <w:rFonts w:hint="eastAsia" w:ascii="宋体" w:hAnsi="宋体" w:eastAsia="宋体" w:cs="宋体"/>
          <w:color w:val="auto"/>
          <w:kern w:val="0"/>
          <w:sz w:val="22"/>
          <w:szCs w:val="22"/>
          <w:highlight w:val="none"/>
          <w:lang w:val="en-US" w:eastAsia="zh-CN" w:bidi="ar"/>
        </w:rPr>
        <w:t>费</w:t>
      </w:r>
      <w:r>
        <w:rPr>
          <w:rFonts w:hint="eastAsia" w:ascii="新宋体" w:hAnsi="新宋体" w:eastAsia="新宋体" w:cs="新宋体"/>
          <w:color w:val="auto"/>
          <w:sz w:val="22"/>
          <w:szCs w:val="22"/>
          <w:highlight w:val="none"/>
          <w:lang w:val="zh-CN"/>
        </w:rPr>
        <w:t>、</w:t>
      </w:r>
      <w:r>
        <w:rPr>
          <w:rFonts w:hint="eastAsia" w:ascii="宋体" w:hAnsi="宋体" w:cs="Verdana"/>
          <w:color w:val="auto"/>
          <w:sz w:val="22"/>
          <w:szCs w:val="22"/>
          <w:highlight w:val="none"/>
        </w:rPr>
        <w:t>服务及培训费</w:t>
      </w:r>
      <w:r>
        <w:rPr>
          <w:rFonts w:hint="eastAsia" w:ascii="新宋体" w:hAnsi="新宋体" w:eastAsia="新宋体" w:cs="新宋体"/>
          <w:bCs/>
          <w:color w:val="auto"/>
          <w:kern w:val="0"/>
          <w:sz w:val="22"/>
          <w:szCs w:val="22"/>
          <w:highlight w:val="none"/>
          <w:lang w:val="zh-CN"/>
        </w:rPr>
        <w:t>、</w:t>
      </w:r>
      <w:r>
        <w:rPr>
          <w:rFonts w:hint="eastAsia" w:ascii="新宋体" w:hAnsi="新宋体" w:eastAsia="新宋体" w:cs="新宋体"/>
          <w:color w:val="auto"/>
          <w:sz w:val="22"/>
          <w:szCs w:val="22"/>
          <w:highlight w:val="none"/>
          <w:lang w:val="zh-CN"/>
        </w:rPr>
        <w:t>采购代理服务费</w:t>
      </w:r>
      <w:r>
        <w:rPr>
          <w:rFonts w:hint="eastAsia" w:ascii="新宋体" w:hAnsi="新宋体" w:eastAsia="新宋体" w:cs="新宋体"/>
          <w:bCs/>
          <w:color w:val="auto"/>
          <w:kern w:val="0"/>
          <w:sz w:val="22"/>
          <w:szCs w:val="22"/>
          <w:highlight w:val="none"/>
          <w:lang w:val="zh-CN"/>
        </w:rPr>
        <w:t>、</w:t>
      </w:r>
      <w:r>
        <w:rPr>
          <w:rFonts w:hint="eastAsia" w:ascii="宋体" w:hAnsi="宋体" w:eastAsia="宋体" w:cs="Times New Roman"/>
          <w:color w:val="auto"/>
          <w:sz w:val="22"/>
          <w:highlight w:val="none"/>
          <w:lang w:val="en-US" w:eastAsia="zh-CN"/>
        </w:rPr>
        <w:t>项目相关一切费用</w:t>
      </w:r>
      <w:r>
        <w:rPr>
          <w:rFonts w:hint="eastAsia" w:ascii="新宋体" w:hAnsi="新宋体" w:eastAsia="新宋体" w:cs="新宋体"/>
          <w:bCs/>
          <w:color w:val="auto"/>
          <w:kern w:val="0"/>
          <w:sz w:val="22"/>
          <w:szCs w:val="22"/>
          <w:highlight w:val="none"/>
          <w:lang w:val="zh-CN"/>
        </w:rPr>
        <w:t>、所有可能涉及的耗材及设备等全部费用</w:t>
      </w:r>
      <w:r>
        <w:rPr>
          <w:rFonts w:hint="eastAsia" w:ascii="新宋体" w:hAnsi="新宋体" w:eastAsia="新宋体" w:cs="新宋体"/>
          <w:color w:val="auto"/>
          <w:sz w:val="22"/>
          <w:szCs w:val="22"/>
          <w:highlight w:val="none"/>
        </w:rPr>
        <w:t>，实行固定费用总包干，</w:t>
      </w:r>
      <w:r>
        <w:rPr>
          <w:rFonts w:hint="eastAsia" w:ascii="新宋体" w:hAnsi="新宋体" w:eastAsia="新宋体" w:cs="新宋体"/>
          <w:color w:val="auto"/>
          <w:sz w:val="22"/>
          <w:szCs w:val="22"/>
          <w:highlight w:val="none"/>
          <w:lang w:val="zh-CN"/>
        </w:rPr>
        <w:t xml:space="preserve">不受市场价格因素影响，乙方在项目实施过程中发生的其它费用，甲方概不承担。 </w:t>
      </w:r>
    </w:p>
    <w:p w14:paraId="1DAA83E6">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8.2</w:t>
      </w:r>
      <w:r>
        <w:rPr>
          <w:rFonts w:hint="eastAsia" w:ascii="新宋体" w:hAnsi="新宋体" w:eastAsia="新宋体" w:cs="新宋体"/>
          <w:color w:val="auto"/>
          <w:sz w:val="22"/>
          <w:szCs w:val="22"/>
          <w:highlight w:val="none"/>
          <w:lang w:val="zh-CN"/>
        </w:rPr>
        <w:t>合同价款的支付条件及支付比例：</w:t>
      </w:r>
    </w:p>
    <w:p w14:paraId="555DA0A9">
      <w:pPr>
        <w:snapToGrid w:val="0"/>
        <w:spacing w:line="460" w:lineRule="exact"/>
        <w:ind w:firstLine="442" w:firstLineChars="200"/>
        <w:rPr>
          <w:rFonts w:hint="eastAsia" w:ascii="宋体" w:hAnsi="宋体"/>
          <w:b/>
          <w:bCs/>
          <w:color w:val="auto"/>
          <w:sz w:val="22"/>
          <w:szCs w:val="22"/>
          <w:highlight w:val="none"/>
        </w:rPr>
      </w:pPr>
      <w:r>
        <w:rPr>
          <w:rFonts w:hint="eastAsia" w:ascii="宋体" w:hAnsi="宋体"/>
          <w:b/>
          <w:bCs/>
          <w:color w:val="auto"/>
          <w:sz w:val="22"/>
          <w:szCs w:val="22"/>
          <w:highlight w:val="none"/>
        </w:rPr>
        <w:t>第1笔付款：合同签订生效后，在甲方收取发票并符合付款条款5个工作日内向乙方支付合同价款的40%作为预付款；（财政资金到位后支付）</w:t>
      </w:r>
    </w:p>
    <w:p w14:paraId="146204D8">
      <w:pPr>
        <w:snapToGrid w:val="0"/>
        <w:spacing w:line="460" w:lineRule="exact"/>
        <w:ind w:firstLine="442" w:firstLineChars="200"/>
        <w:rPr>
          <w:rFonts w:hint="eastAsia" w:ascii="宋体" w:hAnsi="宋体"/>
          <w:b/>
          <w:bCs/>
          <w:color w:val="auto"/>
          <w:sz w:val="22"/>
          <w:szCs w:val="22"/>
          <w:highlight w:val="none"/>
        </w:rPr>
      </w:pPr>
      <w:r>
        <w:rPr>
          <w:rFonts w:hint="eastAsia" w:ascii="宋体" w:hAnsi="宋体"/>
          <w:b/>
          <w:bCs/>
          <w:color w:val="auto"/>
          <w:sz w:val="22"/>
          <w:szCs w:val="22"/>
          <w:highlight w:val="none"/>
        </w:rPr>
        <w:t>第2笔付款：项目完成系统开发，经初验合格交付使用后，在甲方收取发票并符合付款条款5个工作日内向乙方支付合同价款的40%；（财政资金到位后支付）</w:t>
      </w:r>
    </w:p>
    <w:p w14:paraId="7A1180A4">
      <w:pPr>
        <w:snapToGrid w:val="0"/>
        <w:spacing w:line="460" w:lineRule="exact"/>
        <w:ind w:firstLine="442" w:firstLineChars="200"/>
        <w:rPr>
          <w:rFonts w:hint="eastAsia" w:ascii="宋体" w:hAnsi="宋体"/>
          <w:b/>
          <w:bCs/>
          <w:color w:val="auto"/>
          <w:sz w:val="22"/>
          <w:szCs w:val="22"/>
          <w:highlight w:val="none"/>
        </w:rPr>
      </w:pPr>
      <w:r>
        <w:rPr>
          <w:rFonts w:hint="eastAsia" w:ascii="宋体" w:hAnsi="宋体"/>
          <w:b/>
          <w:bCs/>
          <w:color w:val="auto"/>
          <w:sz w:val="22"/>
          <w:szCs w:val="22"/>
          <w:highlight w:val="none"/>
        </w:rPr>
        <w:t>第3笔付款：完成系统上线正常运行后提交全部报告材料，并通过</w:t>
      </w:r>
      <w:r>
        <w:rPr>
          <w:rFonts w:hint="eastAsia" w:ascii="宋体" w:hAnsi="宋体"/>
          <w:b/>
          <w:bCs/>
          <w:color w:val="auto"/>
          <w:sz w:val="22"/>
          <w:szCs w:val="22"/>
          <w:highlight w:val="none"/>
          <w:lang w:val="en-US" w:eastAsia="zh-CN"/>
        </w:rPr>
        <w:t>最终</w:t>
      </w:r>
      <w:r>
        <w:rPr>
          <w:rFonts w:hint="eastAsia" w:ascii="宋体" w:hAnsi="宋体"/>
          <w:b/>
          <w:bCs/>
          <w:color w:val="auto"/>
          <w:sz w:val="22"/>
          <w:szCs w:val="22"/>
          <w:highlight w:val="none"/>
        </w:rPr>
        <w:t>验收</w:t>
      </w:r>
      <w:r>
        <w:rPr>
          <w:rFonts w:hint="eastAsia" w:ascii="宋体" w:hAnsi="宋体"/>
          <w:b/>
          <w:bCs/>
          <w:color w:val="auto"/>
          <w:sz w:val="22"/>
          <w:szCs w:val="22"/>
          <w:highlight w:val="none"/>
        </w:rPr>
        <w:t>，出具项目终验报告后，在甲方收取发票并符合付款条款7个工作日内向乙方支付合同价款的20%。（财政资金到位后支付）</w:t>
      </w:r>
    </w:p>
    <w:p w14:paraId="5D4E7939">
      <w:pPr>
        <w:spacing w:line="460" w:lineRule="exact"/>
        <w:rPr>
          <w:rFonts w:hint="eastAsia" w:ascii="新宋体" w:hAnsi="新宋体" w:eastAsia="新宋体" w:cs="新宋体"/>
          <w:b/>
          <w:bCs/>
          <w:color w:val="auto"/>
          <w:sz w:val="22"/>
          <w:szCs w:val="22"/>
          <w:highlight w:val="none"/>
          <w:lang w:val="zh-CN"/>
        </w:rPr>
      </w:pPr>
      <w:r>
        <w:rPr>
          <w:rFonts w:hint="eastAsia" w:ascii="新宋体" w:hAnsi="新宋体" w:eastAsia="新宋体" w:cs="新宋体"/>
          <w:b/>
          <w:bCs/>
          <w:color w:val="auto"/>
          <w:sz w:val="22"/>
          <w:szCs w:val="22"/>
          <w:highlight w:val="none"/>
          <w:lang w:val="zh-CN"/>
        </w:rPr>
        <w:t>第九条  需求变更</w:t>
      </w:r>
    </w:p>
    <w:p w14:paraId="4E40A0F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9.1</w:t>
      </w:r>
      <w:r>
        <w:rPr>
          <w:rFonts w:hint="eastAsia" w:ascii="新宋体" w:hAnsi="新宋体" w:eastAsia="新宋体" w:cs="新宋体"/>
          <w:color w:val="auto"/>
          <w:sz w:val="22"/>
          <w:szCs w:val="22"/>
          <w:highlight w:val="none"/>
          <w:lang w:val="zh-CN"/>
        </w:rPr>
        <w:t>在项目实施过程中，甲方可根据业务需求调整技术功能、业务功能和修改业务需求。</w:t>
      </w:r>
    </w:p>
    <w:p w14:paraId="61681054">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9.2</w:t>
      </w:r>
      <w:r>
        <w:rPr>
          <w:rFonts w:hint="eastAsia" w:ascii="新宋体" w:hAnsi="新宋体" w:eastAsia="新宋体" w:cs="新宋体"/>
          <w:color w:val="auto"/>
          <w:sz w:val="22"/>
          <w:szCs w:val="22"/>
          <w:highlight w:val="none"/>
          <w:lang w:val="zh-CN"/>
        </w:rPr>
        <w:t>业务需求经双方确认后，双方应评估需求变更的实施对项目日程表和其他合同条款所产生的影响，并签署相应的《变更备忘录》（附件三）。经双方授权代表签字盖章后的《变更备忘录》将作为本合同的有效附件和执行变更的依据。</w:t>
      </w:r>
    </w:p>
    <w:p w14:paraId="12AA0B24">
      <w:pPr>
        <w:numPr>
          <w:ilvl w:val="0"/>
          <w:numId w:val="9"/>
        </w:numPr>
        <w:spacing w:line="460" w:lineRule="exact"/>
        <w:rPr>
          <w:rFonts w:hint="eastAsia" w:ascii="新宋体" w:hAnsi="新宋体" w:eastAsia="新宋体" w:cs="新宋体"/>
          <w:b/>
          <w:bCs/>
          <w:color w:val="auto"/>
          <w:sz w:val="22"/>
          <w:szCs w:val="22"/>
          <w:highlight w:val="none"/>
          <w:lang w:val="zh-CN"/>
        </w:rPr>
      </w:pPr>
      <w:bookmarkStart w:id="104" w:name="bookmark12"/>
      <w:r>
        <w:rPr>
          <w:rFonts w:hint="eastAsia" w:ascii="新宋体" w:hAnsi="新宋体" w:eastAsia="新宋体" w:cs="新宋体"/>
          <w:b/>
          <w:bCs/>
          <w:color w:val="auto"/>
          <w:sz w:val="22"/>
          <w:szCs w:val="22"/>
          <w:highlight w:val="none"/>
        </w:rPr>
        <w:t xml:space="preserve"> </w:t>
      </w:r>
      <w:bookmarkEnd w:id="104"/>
      <w:r>
        <w:rPr>
          <w:rFonts w:hint="eastAsia" w:ascii="新宋体" w:hAnsi="新宋体" w:eastAsia="新宋体" w:cs="新宋体"/>
          <w:b/>
          <w:bCs/>
          <w:color w:val="auto"/>
          <w:sz w:val="22"/>
          <w:szCs w:val="22"/>
          <w:highlight w:val="none"/>
          <w:lang w:val="zh-CN"/>
        </w:rPr>
        <w:t>其他建设要求</w:t>
      </w:r>
    </w:p>
    <w:p w14:paraId="523860FF">
      <w:pPr>
        <w:spacing w:line="460" w:lineRule="exact"/>
        <w:rPr>
          <w:rFonts w:hint="eastAsia"/>
          <w:color w:val="auto"/>
          <w:highlight w:val="none"/>
        </w:rPr>
      </w:pPr>
      <w:r>
        <w:rPr>
          <w:rFonts w:hint="eastAsia" w:ascii="新宋体" w:hAnsi="新宋体" w:eastAsia="新宋体" w:cs="新宋体"/>
          <w:color w:val="auto"/>
          <w:sz w:val="22"/>
          <w:szCs w:val="22"/>
          <w:highlight w:val="none"/>
        </w:rPr>
        <w:t>10</w:t>
      </w:r>
      <w:r>
        <w:rPr>
          <w:rFonts w:hint="eastAsia" w:ascii="新宋体" w:hAnsi="新宋体" w:eastAsia="新宋体" w:cs="新宋体"/>
          <w:color w:val="auto"/>
          <w:sz w:val="22"/>
          <w:szCs w:val="22"/>
          <w:highlight w:val="none"/>
          <w:lang w:val="zh-CN"/>
        </w:rPr>
        <w:t>.1项目培训要求</w:t>
      </w:r>
    </w:p>
    <w:p w14:paraId="1F0DA528">
      <w:pPr>
        <w:spacing w:line="460" w:lineRule="exact"/>
        <w:rPr>
          <w:rFonts w:hint="eastAsia" w:ascii="新宋体" w:hAnsi="新宋体" w:eastAsia="新宋体" w:cs="新宋体"/>
          <w:color w:val="auto"/>
          <w:sz w:val="22"/>
          <w:szCs w:val="22"/>
          <w:highlight w:val="none"/>
          <w:lang w:val="zh-CN"/>
        </w:rPr>
      </w:pPr>
      <w:bookmarkStart w:id="105" w:name="bookmark13"/>
      <w:r>
        <w:rPr>
          <w:rFonts w:hint="eastAsia" w:ascii="新宋体" w:hAnsi="新宋体" w:eastAsia="新宋体" w:cs="新宋体"/>
          <w:color w:val="auto"/>
          <w:sz w:val="22"/>
          <w:szCs w:val="22"/>
          <w:highlight w:val="none"/>
          <w:lang w:val="zh-CN"/>
        </w:rPr>
        <w:t>（1）须向系统各类用户提供操作及维护工作的相关培训，培训应根据实际需求，在整个项目建设和运行过程中灵活安排。提供完整的培训方案。</w:t>
      </w:r>
    </w:p>
    <w:p w14:paraId="29F3775A">
      <w:pPr>
        <w:spacing w:line="460" w:lineRule="exac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lang w:val="zh-CN"/>
        </w:rPr>
        <w:t>（2）向甲方提供系统的操作手册、操作视频等培训材料，定期更新。</w:t>
      </w:r>
    </w:p>
    <w:p w14:paraId="03EFDF95">
      <w:pPr>
        <w:spacing w:line="460" w:lineRule="exac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lang w:val="zh-CN"/>
        </w:rPr>
        <w:t>（3）需要提供多种培训方式，包含线下培训、一对多培训、一对一专场培训，线上直播等培训方式。要求达到用户能够独立操作使用本系统的目标。</w:t>
      </w:r>
    </w:p>
    <w:p w14:paraId="7C9107EF">
      <w:pPr>
        <w:spacing w:line="460" w:lineRule="exac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rPr>
        <w:t>10</w:t>
      </w:r>
      <w:r>
        <w:rPr>
          <w:rFonts w:hint="eastAsia" w:ascii="新宋体" w:hAnsi="新宋体" w:eastAsia="新宋体" w:cs="新宋体"/>
          <w:color w:val="auto"/>
          <w:sz w:val="22"/>
          <w:szCs w:val="22"/>
          <w:highlight w:val="none"/>
          <w:lang w:val="zh-CN"/>
        </w:rPr>
        <w:t>.2售后服务要求</w:t>
      </w:r>
    </w:p>
    <w:p w14:paraId="30BD35F1">
      <w:pPr>
        <w:spacing w:line="460" w:lineRule="exact"/>
        <w:rPr>
          <w:rFonts w:hint="eastAsia" w:ascii="新宋体" w:hAnsi="新宋体" w:eastAsia="新宋体" w:cs="新宋体"/>
          <w:color w:val="auto"/>
          <w:sz w:val="22"/>
          <w:szCs w:val="22"/>
          <w:highlight w:val="none"/>
          <w:u w:val="single"/>
          <w:lang w:val="zh-CN"/>
        </w:rPr>
      </w:pPr>
      <w:r>
        <w:rPr>
          <w:rFonts w:hint="eastAsia" w:ascii="新宋体" w:hAnsi="新宋体" w:eastAsia="新宋体" w:cs="新宋体"/>
          <w:color w:val="auto"/>
          <w:sz w:val="22"/>
          <w:szCs w:val="22"/>
          <w:highlight w:val="none"/>
          <w:lang w:val="zh-CN"/>
        </w:rPr>
        <w:t>（1）</w:t>
      </w:r>
      <w:r>
        <w:rPr>
          <w:rFonts w:hint="eastAsia" w:ascii="宋体" w:hAnsi="宋体" w:cs="Arial"/>
          <w:b/>
          <w:bCs/>
          <w:color w:val="auto"/>
          <w:sz w:val="22"/>
          <w:szCs w:val="22"/>
          <w:highlight w:val="none"/>
          <w:u w:val="single"/>
        </w:rPr>
        <w:t>▲</w:t>
      </w:r>
      <w:r>
        <w:rPr>
          <w:rFonts w:hint="eastAsia" w:ascii="新宋体" w:hAnsi="新宋体" w:eastAsia="新宋体" w:cs="新宋体"/>
          <w:color w:val="auto"/>
          <w:sz w:val="22"/>
          <w:szCs w:val="22"/>
          <w:highlight w:val="none"/>
          <w:u w:val="single"/>
          <w:lang w:val="zh-CN"/>
        </w:rPr>
        <w:t>质保期：从系统验收通过之日起</w:t>
      </w:r>
      <w:r>
        <w:rPr>
          <w:rFonts w:hint="eastAsia" w:ascii="新宋体" w:hAnsi="新宋体" w:eastAsia="新宋体" w:cs="新宋体"/>
          <w:color w:val="auto"/>
          <w:sz w:val="22"/>
          <w:szCs w:val="22"/>
          <w:highlight w:val="none"/>
          <w:u w:val="single"/>
          <w:lang w:val="en-US" w:eastAsia="zh-CN"/>
        </w:rPr>
        <w:t>三</w:t>
      </w:r>
      <w:r>
        <w:rPr>
          <w:rFonts w:hint="eastAsia" w:ascii="新宋体" w:hAnsi="新宋体" w:eastAsia="新宋体" w:cs="新宋体"/>
          <w:color w:val="auto"/>
          <w:sz w:val="22"/>
          <w:szCs w:val="22"/>
          <w:highlight w:val="none"/>
          <w:u w:val="single"/>
          <w:lang w:val="zh-CN"/>
        </w:rPr>
        <w:t>年，</w:t>
      </w:r>
      <w:r>
        <w:rPr>
          <w:rFonts w:hint="eastAsia" w:ascii="新宋体" w:hAnsi="新宋体" w:eastAsia="新宋体" w:cs="新宋体"/>
          <w:color w:val="auto"/>
          <w:sz w:val="22"/>
          <w:szCs w:val="22"/>
          <w:highlight w:val="none"/>
          <w:u w:val="single"/>
          <w:lang w:val="en-US" w:eastAsia="zh-CN"/>
        </w:rPr>
        <w:t>三</w:t>
      </w:r>
      <w:r>
        <w:rPr>
          <w:rFonts w:hint="eastAsia" w:ascii="新宋体" w:hAnsi="新宋体" w:eastAsia="新宋体" w:cs="新宋体"/>
          <w:color w:val="auto"/>
          <w:sz w:val="22"/>
          <w:szCs w:val="22"/>
          <w:highlight w:val="none"/>
          <w:u w:val="single"/>
          <w:lang w:val="zh-CN"/>
        </w:rPr>
        <w:t>年之后</w:t>
      </w:r>
      <w:r>
        <w:rPr>
          <w:rFonts w:hint="eastAsia" w:ascii="新宋体" w:hAnsi="新宋体" w:eastAsia="新宋体" w:cs="新宋体"/>
          <w:color w:val="auto"/>
          <w:sz w:val="22"/>
          <w:szCs w:val="22"/>
          <w:highlight w:val="none"/>
          <w:u w:val="single"/>
          <w:lang w:val="en-US" w:eastAsia="zh-CN"/>
        </w:rPr>
        <w:t>需</w:t>
      </w:r>
      <w:r>
        <w:rPr>
          <w:rFonts w:hint="eastAsia" w:ascii="新宋体" w:hAnsi="新宋体" w:eastAsia="新宋体" w:cs="新宋体"/>
          <w:color w:val="auto"/>
          <w:sz w:val="22"/>
          <w:szCs w:val="22"/>
          <w:highlight w:val="none"/>
          <w:u w:val="single"/>
          <w:lang w:val="zh-CN"/>
        </w:rPr>
        <w:t>提供运维方案（项目运行期都要提供运维支持）。</w:t>
      </w:r>
    </w:p>
    <w:p w14:paraId="4EAEC947">
      <w:pPr>
        <w:spacing w:line="460" w:lineRule="exac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lang w:val="zh-CN"/>
        </w:rPr>
        <w:t>（2）乙方应成立专门的技术支持和售后小组。</w:t>
      </w:r>
    </w:p>
    <w:p w14:paraId="62CAF596">
      <w:pPr>
        <w:spacing w:line="460" w:lineRule="exac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lang w:val="zh-CN"/>
        </w:rPr>
        <w:t>（3）乙方应提供书面的技术服务承诺，明确售后服务的方式、范围、内容及费用。</w:t>
      </w:r>
    </w:p>
    <w:p w14:paraId="7522F09F">
      <w:pPr>
        <w:spacing w:line="460" w:lineRule="exac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lang w:val="zh-CN"/>
        </w:rPr>
        <w:t>（4）质量保证期内提供7×24小时技术支持服务，同时供应商必须建立24小时服务热线，服务电话响应时间在</w:t>
      </w:r>
      <w:r>
        <w:rPr>
          <w:rFonts w:hint="eastAsia" w:ascii="新宋体" w:hAnsi="新宋体" w:eastAsia="新宋体" w:cs="新宋体"/>
          <w:color w:val="auto"/>
          <w:sz w:val="22"/>
          <w:szCs w:val="22"/>
          <w:highlight w:val="none"/>
          <w:lang w:val="en-US" w:eastAsia="zh-CN"/>
        </w:rPr>
        <w:t>2</w:t>
      </w:r>
      <w:r>
        <w:rPr>
          <w:rFonts w:hint="eastAsia" w:ascii="新宋体" w:hAnsi="新宋体" w:eastAsia="新宋体" w:cs="新宋体"/>
          <w:color w:val="auto"/>
          <w:sz w:val="22"/>
          <w:szCs w:val="22"/>
          <w:highlight w:val="none"/>
          <w:lang w:val="zh-CN"/>
        </w:rPr>
        <w:t>小时之内，</w:t>
      </w:r>
      <w:r>
        <w:rPr>
          <w:rFonts w:hint="eastAsia" w:ascii="新宋体" w:hAnsi="新宋体" w:eastAsia="新宋体" w:cs="新宋体"/>
          <w:color w:val="auto"/>
          <w:sz w:val="22"/>
          <w:szCs w:val="22"/>
          <w:highlight w:val="none"/>
          <w:lang w:val="en-US" w:eastAsia="zh-CN"/>
        </w:rPr>
        <w:t>12</w:t>
      </w:r>
      <w:r>
        <w:rPr>
          <w:rFonts w:hint="eastAsia" w:ascii="新宋体" w:hAnsi="新宋体" w:eastAsia="新宋体" w:cs="新宋体"/>
          <w:color w:val="auto"/>
          <w:sz w:val="22"/>
          <w:szCs w:val="22"/>
          <w:highlight w:val="none"/>
          <w:lang w:val="zh-CN"/>
        </w:rPr>
        <w:t>小时内到达现场，重大问题解决时间不能超过一个工作日；</w:t>
      </w:r>
    </w:p>
    <w:p w14:paraId="5E94D7B8">
      <w:pPr>
        <w:spacing w:line="460" w:lineRule="exact"/>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zh-CN"/>
        </w:rPr>
        <w:t>（5）项目通过验收后，对本项目内容需要在维保期间提供技术开发力量支持，确保项目上线后的各种完善和用户体验，对改进的要求和需求第一时间满足。</w:t>
      </w:r>
    </w:p>
    <w:p w14:paraId="4566472E">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lang w:val="zh-CN"/>
        </w:rPr>
        <w:t>第十一条</w:t>
      </w:r>
      <w:r>
        <w:rPr>
          <w:rFonts w:hint="eastAsia" w:ascii="新宋体" w:hAnsi="新宋体" w:eastAsia="新宋体" w:cs="新宋体"/>
          <w:b/>
          <w:bCs/>
          <w:color w:val="auto"/>
          <w:sz w:val="22"/>
          <w:szCs w:val="22"/>
          <w:highlight w:val="none"/>
        </w:rPr>
        <w:t xml:space="preserve">  </w:t>
      </w:r>
      <w:r>
        <w:rPr>
          <w:rFonts w:hint="eastAsia" w:ascii="新宋体" w:hAnsi="新宋体" w:eastAsia="新宋体" w:cs="新宋体"/>
          <w:b/>
          <w:bCs/>
          <w:color w:val="auto"/>
          <w:sz w:val="22"/>
          <w:szCs w:val="22"/>
          <w:highlight w:val="none"/>
          <w:lang w:val="zh-CN"/>
        </w:rPr>
        <w:t>所有权和知识产权</w:t>
      </w:r>
      <w:bookmarkEnd w:id="105"/>
    </w:p>
    <w:p w14:paraId="5180D1C6">
      <w:pPr>
        <w:spacing w:line="440" w:lineRule="exact"/>
        <w:rPr>
          <w:rFonts w:hint="eastAsia" w:ascii="宋体" w:hAnsi="宋体" w:eastAsia="宋体"/>
          <w:color w:val="auto"/>
          <w:sz w:val="22"/>
          <w:szCs w:val="22"/>
          <w:highlight w:val="none"/>
          <w:lang w:eastAsia="zh-CN"/>
        </w:rPr>
      </w:pPr>
      <w:r>
        <w:rPr>
          <w:rFonts w:hint="eastAsia" w:ascii="宋体" w:hAnsi="宋体"/>
          <w:color w:val="auto"/>
          <w:sz w:val="22"/>
          <w:szCs w:val="22"/>
          <w:highlight w:val="none"/>
        </w:rPr>
        <w:t>11.1软件的著作权归甲方所有，软件的所有权归甲方所有。</w:t>
      </w:r>
      <w:r>
        <w:rPr>
          <w:rFonts w:hint="eastAsia" w:ascii="宋体" w:hAnsi="宋体"/>
          <w:color w:val="auto"/>
          <w:sz w:val="22"/>
          <w:szCs w:val="22"/>
          <w:highlight w:val="none"/>
          <w:lang w:eastAsia="zh-CN"/>
        </w:rPr>
        <w:t>如甲方或上级需要，乙方需无条件提供本项目全部的业务代码和技术文档。</w:t>
      </w:r>
    </w:p>
    <w:p w14:paraId="02925A08">
      <w:pPr>
        <w:spacing w:line="460" w:lineRule="exact"/>
        <w:rPr>
          <w:rFonts w:hint="eastAsia" w:ascii="新宋体" w:hAnsi="新宋体" w:eastAsia="新宋体" w:cs="新宋体"/>
          <w:color w:val="auto"/>
          <w:sz w:val="22"/>
          <w:szCs w:val="22"/>
          <w:highlight w:val="none"/>
        </w:rPr>
      </w:pPr>
      <w:r>
        <w:rPr>
          <w:rFonts w:ascii="宋体" w:hAnsi="宋体"/>
          <w:color w:val="auto"/>
          <w:sz w:val="22"/>
          <w:szCs w:val="22"/>
          <w:highlight w:val="none"/>
        </w:rPr>
        <w:t>11.2</w:t>
      </w:r>
      <w:r>
        <w:rPr>
          <w:rFonts w:hint="eastAsia" w:ascii="宋体" w:hAnsi="宋体"/>
          <w:color w:val="auto"/>
          <w:sz w:val="22"/>
          <w:szCs w:val="22"/>
          <w:highlight w:val="none"/>
        </w:rPr>
        <w:t>乙方承诺：本合同规定的软件系统（包括个性化改造及适应性修改部份）是独立、可稳定运行的系统，甲方在使用过程中，不会遭遇知识产权方面的阻碍。</w:t>
      </w:r>
    </w:p>
    <w:p w14:paraId="4C33172E">
      <w:pPr>
        <w:spacing w:line="460" w:lineRule="exact"/>
        <w:rPr>
          <w:rFonts w:hint="eastAsia" w:ascii="新宋体" w:hAnsi="新宋体" w:eastAsia="新宋体" w:cs="新宋体"/>
          <w:b/>
          <w:bCs/>
          <w:color w:val="auto"/>
          <w:sz w:val="22"/>
          <w:szCs w:val="22"/>
          <w:highlight w:val="none"/>
        </w:rPr>
      </w:pPr>
      <w:bookmarkStart w:id="106" w:name="bookmark14"/>
      <w:r>
        <w:rPr>
          <w:rFonts w:hint="eastAsia" w:ascii="新宋体" w:hAnsi="新宋体" w:eastAsia="新宋体" w:cs="新宋体"/>
          <w:b/>
          <w:bCs/>
          <w:color w:val="auto"/>
          <w:sz w:val="22"/>
          <w:szCs w:val="22"/>
          <w:highlight w:val="none"/>
        </w:rPr>
        <w:t>第十二条  保密条款</w:t>
      </w:r>
      <w:bookmarkEnd w:id="106"/>
    </w:p>
    <w:p w14:paraId="5C8FDF20">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12.1</w:t>
      </w:r>
      <w:r>
        <w:rPr>
          <w:rFonts w:hint="eastAsia" w:ascii="新宋体" w:hAnsi="新宋体" w:eastAsia="新宋体" w:cs="新宋体"/>
          <w:color w:val="auto"/>
          <w:sz w:val="22"/>
          <w:szCs w:val="22"/>
          <w:highlight w:val="none"/>
          <w:lang w:val="zh-CN"/>
        </w:rPr>
        <w:t>在本合同履行期限内，任何一方可以获得与本项目相关的对方的商业秘密，对此双方应谨慎地进行披露和接受。</w:t>
      </w:r>
    </w:p>
    <w:p w14:paraId="3BC8C33B">
      <w:pPr>
        <w:spacing w:line="460" w:lineRule="exac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rPr>
        <w:t>12.2</w:t>
      </w:r>
      <w:r>
        <w:rPr>
          <w:rFonts w:hint="eastAsia" w:ascii="新宋体" w:hAnsi="新宋体" w:eastAsia="新宋体" w:cs="新宋体"/>
          <w:color w:val="auto"/>
          <w:sz w:val="22"/>
          <w:szCs w:val="22"/>
          <w:highlight w:val="none"/>
          <w:lang w:val="zh-CN"/>
        </w:rPr>
        <w:t>获取对方商业秘密的一方仅可将该商业秘密用于履行其在本合同项下的义务，且只能由相关的工程技术人员使用。获取对方商业秘密的一方应当釆取适当有效的方式保护所获取的商业秘密，不得未经授权使用、传播或公开商业秘密。除非有对方的书面许可，或该信息已被拥有方认为不再是商业秘密，或已在社会上公开，或法律强制披露，该商业秘密不得对外披露。</w:t>
      </w:r>
    </w:p>
    <w:p w14:paraId="7DD3E55B">
      <w:pPr>
        <w:spacing w:line="460" w:lineRule="exact"/>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12.3乙方对甲方的信息和数据负有保密义务，应当另行与甲方签订保密协议和（驻场开发技术人员）保密承诺书，对有关保密事项和责任做进一步明确。</w:t>
      </w:r>
    </w:p>
    <w:p w14:paraId="3268CB8C">
      <w:pPr>
        <w:spacing w:line="460" w:lineRule="exact"/>
        <w:rPr>
          <w:rFonts w:hint="eastAsia" w:ascii="新宋体" w:hAnsi="新宋体" w:eastAsia="新宋体" w:cs="新宋体"/>
          <w:b/>
          <w:bCs/>
          <w:color w:val="auto"/>
          <w:sz w:val="22"/>
          <w:szCs w:val="22"/>
          <w:highlight w:val="none"/>
        </w:rPr>
      </w:pPr>
      <w:bookmarkStart w:id="107" w:name="bookmark15"/>
      <w:r>
        <w:rPr>
          <w:rFonts w:hint="eastAsia" w:ascii="新宋体" w:hAnsi="新宋体" w:eastAsia="新宋体" w:cs="新宋体"/>
          <w:b/>
          <w:bCs/>
          <w:color w:val="auto"/>
          <w:sz w:val="22"/>
          <w:szCs w:val="22"/>
          <w:highlight w:val="none"/>
        </w:rPr>
        <w:t>第十三条  违约</w:t>
      </w:r>
      <w:bookmarkEnd w:id="107"/>
    </w:p>
    <w:p w14:paraId="02DE83EC">
      <w:pPr>
        <w:spacing w:line="460" w:lineRule="exac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rPr>
        <w:t>13.1</w:t>
      </w:r>
      <w:r>
        <w:rPr>
          <w:rFonts w:hint="eastAsia" w:ascii="新宋体" w:hAnsi="新宋体" w:eastAsia="新宋体" w:cs="新宋体"/>
          <w:color w:val="auto"/>
          <w:sz w:val="22"/>
          <w:szCs w:val="22"/>
          <w:highlight w:val="none"/>
          <w:lang w:val="zh-CN"/>
        </w:rPr>
        <w:t xml:space="preserve">交付违约：若乙方未在本合同规定的期限内或双方书面同意的调整期限内完成开发工作并通过验收，违约金按每迟延一日按合同总价的  </w:t>
      </w:r>
      <w:r>
        <w:rPr>
          <w:rFonts w:hint="eastAsia" w:ascii="新宋体" w:hAnsi="新宋体" w:eastAsia="新宋体" w:cs="新宋体"/>
          <w:color w:val="auto"/>
          <w:sz w:val="22"/>
          <w:szCs w:val="22"/>
          <w:highlight w:val="none"/>
          <w:lang w:val="en-US" w:eastAsia="zh-CN"/>
        </w:rPr>
        <w:t>0.5</w:t>
      </w:r>
      <w:r>
        <w:rPr>
          <w:rFonts w:hint="eastAsia" w:ascii="新宋体" w:hAnsi="新宋体" w:eastAsia="新宋体" w:cs="新宋体"/>
          <w:color w:val="auto"/>
          <w:sz w:val="22"/>
          <w:szCs w:val="22"/>
          <w:highlight w:val="none"/>
          <w:lang w:val="zh-CN"/>
        </w:rPr>
        <w:t xml:space="preserve">   %计算，最高限额为合同总价的  20  %；延期的违约金计算数额达到前述最高限额之日起，甲方有权在要求乙方支付违约金的同时，书面通知乙方解除合同；</w:t>
      </w:r>
    </w:p>
    <w:p w14:paraId="6D2E8FCE">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zh-CN"/>
        </w:rPr>
        <w:t>其它条款违约：</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lang w:val="zh-CN"/>
        </w:rPr>
        <w:t>。</w:t>
      </w:r>
    </w:p>
    <w:p w14:paraId="027C0621">
      <w:pPr>
        <w:spacing w:line="460" w:lineRule="exact"/>
        <w:rPr>
          <w:rFonts w:hint="eastAsia" w:ascii="新宋体" w:hAnsi="新宋体" w:eastAsia="新宋体" w:cs="新宋体"/>
          <w:b/>
          <w:bCs/>
          <w:color w:val="auto"/>
          <w:sz w:val="22"/>
          <w:szCs w:val="22"/>
          <w:highlight w:val="none"/>
        </w:rPr>
      </w:pPr>
      <w:bookmarkStart w:id="108" w:name="bookmark16"/>
      <w:r>
        <w:rPr>
          <w:rFonts w:hint="eastAsia" w:ascii="新宋体" w:hAnsi="新宋体" w:eastAsia="新宋体" w:cs="新宋体"/>
          <w:b/>
          <w:bCs/>
          <w:color w:val="auto"/>
          <w:sz w:val="22"/>
          <w:szCs w:val="22"/>
          <w:highlight w:val="none"/>
          <w:lang w:val="zh-CN"/>
        </w:rPr>
        <w:t>第十四条</w:t>
      </w:r>
      <w:r>
        <w:rPr>
          <w:rFonts w:hint="eastAsia" w:ascii="新宋体" w:hAnsi="新宋体" w:eastAsia="新宋体" w:cs="新宋体"/>
          <w:b/>
          <w:bCs/>
          <w:color w:val="auto"/>
          <w:sz w:val="22"/>
          <w:szCs w:val="22"/>
          <w:highlight w:val="none"/>
        </w:rPr>
        <w:t xml:space="preserve">  </w:t>
      </w:r>
      <w:r>
        <w:rPr>
          <w:rFonts w:hint="eastAsia" w:ascii="新宋体" w:hAnsi="新宋体" w:eastAsia="新宋体" w:cs="新宋体"/>
          <w:b/>
          <w:bCs/>
          <w:color w:val="auto"/>
          <w:sz w:val="22"/>
          <w:szCs w:val="22"/>
          <w:highlight w:val="none"/>
          <w:lang w:val="zh-CN"/>
        </w:rPr>
        <w:t>质量保证和权利保证</w:t>
      </w:r>
      <w:bookmarkEnd w:id="108"/>
    </w:p>
    <w:p w14:paraId="49904344">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14.1</w:t>
      </w:r>
      <w:r>
        <w:rPr>
          <w:rFonts w:hint="eastAsia" w:ascii="新宋体" w:hAnsi="新宋体" w:eastAsia="新宋体" w:cs="新宋体"/>
          <w:color w:val="auto"/>
          <w:sz w:val="22"/>
          <w:szCs w:val="22"/>
          <w:highlight w:val="none"/>
          <w:lang w:val="zh-CN"/>
        </w:rPr>
        <w:t>乙方保证在本合同项下提供给甲方的开发软件符合甲方提前告知的质量体系要求，乙方保证在本合同项下提供给甲方的应用系统和技术文档符合甲方提前告知的规范要求。</w:t>
      </w:r>
    </w:p>
    <w:p w14:paraId="2AC86C94">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14.2</w:t>
      </w:r>
      <w:r>
        <w:rPr>
          <w:rFonts w:hint="eastAsia" w:ascii="新宋体" w:hAnsi="新宋体" w:eastAsia="新宋体" w:cs="新宋体"/>
          <w:color w:val="auto"/>
          <w:sz w:val="22"/>
          <w:szCs w:val="22"/>
          <w:highlight w:val="none"/>
          <w:lang w:val="zh-CN"/>
        </w:rPr>
        <w:t>乙方保证在本合同项下提供给甲方的应用系统具有良好的可维护性。</w:t>
      </w:r>
    </w:p>
    <w:p w14:paraId="119E1EA5">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14.3</w:t>
      </w:r>
      <w:r>
        <w:rPr>
          <w:rFonts w:hint="eastAsia" w:ascii="新宋体" w:hAnsi="新宋体" w:eastAsia="新宋体" w:cs="新宋体"/>
          <w:color w:val="auto"/>
          <w:sz w:val="22"/>
          <w:szCs w:val="22"/>
          <w:highlight w:val="none"/>
          <w:lang w:val="zh-CN"/>
        </w:rPr>
        <w:t>乙方保证提供给甲方的软件及资料不侵犯任何第三方的知识产权，否则乙方应承担甲方因此遭受的所有经济损失，若甲方因此与第三方发生法律纠纷的，乙方应负责处理一切相关事宜并承担所有费用。</w:t>
      </w:r>
    </w:p>
    <w:p w14:paraId="2445742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14.4</w:t>
      </w:r>
      <w:r>
        <w:rPr>
          <w:rFonts w:hint="eastAsia" w:ascii="新宋体" w:hAnsi="新宋体" w:eastAsia="新宋体" w:cs="新宋体"/>
          <w:color w:val="auto"/>
          <w:sz w:val="22"/>
          <w:szCs w:val="22"/>
          <w:highlight w:val="none"/>
          <w:lang w:val="zh-CN"/>
        </w:rPr>
        <w:t>乙方承诺，在项目开发过程中向甲方提供齐备的手册和文档，包括系统维护所需要的技术文档、系统运营所需要的使用手册等。</w:t>
      </w:r>
    </w:p>
    <w:p w14:paraId="15A4EE73">
      <w:pPr>
        <w:spacing w:line="460" w:lineRule="exact"/>
        <w:rPr>
          <w:rFonts w:hint="eastAsia" w:ascii="新宋体" w:hAnsi="新宋体" w:eastAsia="新宋体" w:cs="新宋体"/>
          <w:b/>
          <w:bCs/>
          <w:color w:val="auto"/>
          <w:sz w:val="22"/>
          <w:szCs w:val="22"/>
          <w:highlight w:val="none"/>
        </w:rPr>
      </w:pPr>
      <w:bookmarkStart w:id="109" w:name="bookmark17"/>
      <w:r>
        <w:rPr>
          <w:rFonts w:hint="eastAsia" w:ascii="新宋体" w:hAnsi="新宋体" w:eastAsia="新宋体" w:cs="新宋体"/>
          <w:b/>
          <w:bCs/>
          <w:color w:val="auto"/>
          <w:sz w:val="22"/>
          <w:szCs w:val="22"/>
          <w:highlight w:val="none"/>
          <w:lang w:val="zh-CN"/>
        </w:rPr>
        <w:t>第十五条</w:t>
      </w:r>
      <w:r>
        <w:rPr>
          <w:rFonts w:hint="eastAsia" w:ascii="新宋体" w:hAnsi="新宋体" w:eastAsia="新宋体" w:cs="新宋体"/>
          <w:b/>
          <w:bCs/>
          <w:color w:val="auto"/>
          <w:sz w:val="22"/>
          <w:szCs w:val="22"/>
          <w:highlight w:val="none"/>
        </w:rPr>
        <w:t xml:space="preserve">  </w:t>
      </w:r>
      <w:r>
        <w:rPr>
          <w:rFonts w:hint="eastAsia" w:ascii="新宋体" w:hAnsi="新宋体" w:eastAsia="新宋体" w:cs="新宋体"/>
          <w:b/>
          <w:bCs/>
          <w:color w:val="auto"/>
          <w:sz w:val="22"/>
          <w:szCs w:val="22"/>
          <w:highlight w:val="none"/>
          <w:lang w:val="zh-CN"/>
        </w:rPr>
        <w:t>合同期限和终止</w:t>
      </w:r>
      <w:bookmarkEnd w:id="109"/>
    </w:p>
    <w:p w14:paraId="23099A70">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15.1</w:t>
      </w:r>
      <w:r>
        <w:rPr>
          <w:rFonts w:hint="eastAsia" w:ascii="新宋体" w:hAnsi="新宋体" w:eastAsia="新宋体" w:cs="新宋体"/>
          <w:color w:val="auto"/>
          <w:sz w:val="22"/>
          <w:szCs w:val="22"/>
          <w:highlight w:val="none"/>
          <w:lang w:val="zh-CN"/>
        </w:rPr>
        <w:t>除非有提前终止的事由出现，本合同有效期截至双方全部履行完成本合同项下的义务时终止，即本合同书从双方签字盖章之日起生效，至免费维护期结束之日终止。</w:t>
      </w:r>
    </w:p>
    <w:p w14:paraId="021C4D4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15.2</w:t>
      </w:r>
      <w:r>
        <w:rPr>
          <w:rFonts w:hint="eastAsia" w:ascii="新宋体" w:hAnsi="新宋体" w:eastAsia="新宋体" w:cs="新宋体"/>
          <w:color w:val="auto"/>
          <w:sz w:val="22"/>
          <w:szCs w:val="22"/>
          <w:highlight w:val="none"/>
          <w:lang w:val="zh-CN"/>
        </w:rPr>
        <w:t>本合同一方严重违反其在本合同项下的任何义务，并且未能在对方发出书面通知指明该违约事项后10个工作日内改正的，守约方可以在发出书面通知15个工作日后终止本合同。</w:t>
      </w:r>
    </w:p>
    <w:p w14:paraId="6FABEB1D">
      <w:pPr>
        <w:spacing w:line="460" w:lineRule="exact"/>
        <w:rPr>
          <w:rFonts w:hint="eastAsia" w:ascii="新宋体" w:hAnsi="新宋体" w:eastAsia="新宋体" w:cs="新宋体"/>
          <w:b/>
          <w:bCs/>
          <w:color w:val="auto"/>
          <w:sz w:val="22"/>
          <w:szCs w:val="22"/>
          <w:highlight w:val="none"/>
        </w:rPr>
      </w:pPr>
      <w:bookmarkStart w:id="110" w:name="bookmark18"/>
      <w:r>
        <w:rPr>
          <w:rFonts w:hint="eastAsia" w:ascii="新宋体" w:hAnsi="新宋体" w:eastAsia="新宋体" w:cs="新宋体"/>
          <w:b/>
          <w:bCs/>
          <w:color w:val="auto"/>
          <w:sz w:val="22"/>
          <w:szCs w:val="22"/>
          <w:highlight w:val="none"/>
        </w:rPr>
        <w:t>第十六条  不可抗力</w:t>
      </w:r>
      <w:bookmarkEnd w:id="110"/>
    </w:p>
    <w:p w14:paraId="5F843FC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16.1</w:t>
      </w:r>
      <w:r>
        <w:rPr>
          <w:rFonts w:hint="eastAsia" w:ascii="新宋体" w:hAnsi="新宋体" w:eastAsia="新宋体" w:cs="新宋体"/>
          <w:color w:val="auto"/>
          <w:sz w:val="22"/>
          <w:szCs w:val="22"/>
          <w:highlight w:val="none"/>
          <w:lang w:val="zh-CN"/>
        </w:rPr>
        <w:t>由于地震、台风、水灾、火灾、战争、国家政策和法律变化以及其他不能预见并对其发生和后果不能预防或避免的不可抗力，直接影响本合同的履行或者不能按照合同的约定履行时，遇有上述不可抗力的一方，应以最快方式通知对方，并在不可抗力消失后10个工作日之内，提供上述不可抗力的详细情况及合同不能履行，或者部分不能履行，或者需要延期履行的理由和有效的证明文件。</w:t>
      </w:r>
    </w:p>
    <w:p w14:paraId="0BD01199">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16.2</w:t>
      </w:r>
      <w:r>
        <w:rPr>
          <w:rFonts w:hint="eastAsia" w:ascii="新宋体" w:hAnsi="新宋体" w:eastAsia="新宋体" w:cs="新宋体"/>
          <w:color w:val="auto"/>
          <w:sz w:val="22"/>
          <w:szCs w:val="22"/>
          <w:highlight w:val="none"/>
          <w:lang w:val="zh-CN"/>
        </w:rPr>
        <w:t>如杲不可抗力事件持续存在超过45个工作日，双方应通过友好协商，商定继续履行本合同的方法或者终止本合同。</w:t>
      </w:r>
    </w:p>
    <w:p w14:paraId="74C11B67">
      <w:pPr>
        <w:spacing w:line="460" w:lineRule="exact"/>
        <w:rPr>
          <w:rFonts w:hint="eastAsia" w:ascii="新宋体" w:hAnsi="新宋体" w:eastAsia="新宋体" w:cs="新宋体"/>
          <w:b/>
          <w:bCs/>
          <w:color w:val="auto"/>
          <w:sz w:val="22"/>
          <w:szCs w:val="22"/>
          <w:highlight w:val="none"/>
        </w:rPr>
      </w:pPr>
      <w:bookmarkStart w:id="111" w:name="bookmark19"/>
      <w:r>
        <w:rPr>
          <w:rFonts w:hint="eastAsia" w:ascii="新宋体" w:hAnsi="新宋体" w:eastAsia="新宋体" w:cs="新宋体"/>
          <w:b/>
          <w:bCs/>
          <w:color w:val="auto"/>
          <w:sz w:val="22"/>
          <w:szCs w:val="22"/>
          <w:highlight w:val="none"/>
          <w:lang w:val="zh-CN"/>
        </w:rPr>
        <w:t>第十七条</w:t>
      </w:r>
      <w:r>
        <w:rPr>
          <w:rFonts w:hint="eastAsia" w:ascii="新宋体" w:hAnsi="新宋体" w:eastAsia="新宋体" w:cs="新宋体"/>
          <w:b/>
          <w:bCs/>
          <w:color w:val="auto"/>
          <w:sz w:val="22"/>
          <w:szCs w:val="22"/>
          <w:highlight w:val="none"/>
        </w:rPr>
        <w:t xml:space="preserve">  </w:t>
      </w:r>
      <w:r>
        <w:rPr>
          <w:rFonts w:hint="eastAsia" w:ascii="新宋体" w:hAnsi="新宋体" w:eastAsia="新宋体" w:cs="新宋体"/>
          <w:b/>
          <w:bCs/>
          <w:color w:val="auto"/>
          <w:sz w:val="22"/>
          <w:szCs w:val="22"/>
          <w:highlight w:val="none"/>
          <w:lang w:val="zh-CN"/>
        </w:rPr>
        <w:t>适用法律和争议解决</w:t>
      </w:r>
      <w:bookmarkEnd w:id="111"/>
    </w:p>
    <w:p w14:paraId="7C800AB4">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17.1</w:t>
      </w:r>
      <w:r>
        <w:rPr>
          <w:rFonts w:hint="eastAsia" w:ascii="新宋体" w:hAnsi="新宋体" w:eastAsia="新宋体" w:cs="新宋体"/>
          <w:color w:val="auto"/>
          <w:sz w:val="22"/>
          <w:szCs w:val="22"/>
          <w:highlight w:val="none"/>
          <w:lang w:val="zh-CN"/>
        </w:rPr>
        <w:t>本合同的订立、效力、解释、履行和争议的解决受中华人民共和国法律管辖。</w:t>
      </w:r>
    </w:p>
    <w:p w14:paraId="7322E71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17.2</w:t>
      </w:r>
      <w:r>
        <w:rPr>
          <w:rFonts w:hint="eastAsia" w:ascii="新宋体" w:hAnsi="新宋体" w:eastAsia="新宋体" w:cs="新宋体"/>
          <w:color w:val="auto"/>
          <w:sz w:val="22"/>
          <w:szCs w:val="22"/>
          <w:highlight w:val="none"/>
          <w:lang w:val="zh-CN"/>
        </w:rPr>
        <w:t>有关本合同的任何争议，双方应首先本着相互信任、长期合作的原则，共同协商解决。协商不成，双方同意由温州仲裁委员会进行仲裁。</w:t>
      </w:r>
    </w:p>
    <w:p w14:paraId="5EC93100">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17.3</w:t>
      </w:r>
      <w:r>
        <w:rPr>
          <w:rFonts w:hint="eastAsia" w:ascii="新宋体" w:hAnsi="新宋体" w:eastAsia="新宋体" w:cs="新宋体"/>
          <w:color w:val="auto"/>
          <w:sz w:val="22"/>
          <w:szCs w:val="22"/>
          <w:highlight w:val="none"/>
          <w:lang w:val="zh-CN"/>
        </w:rPr>
        <w:t>除正在提交仲裁或与仲裁有关的部分外，本合同其佘部分应继续履行。</w:t>
      </w:r>
    </w:p>
    <w:p w14:paraId="2167C950">
      <w:pPr>
        <w:spacing w:line="460" w:lineRule="exact"/>
        <w:rPr>
          <w:rFonts w:hint="eastAsia" w:ascii="新宋体" w:hAnsi="新宋体" w:eastAsia="新宋体" w:cs="新宋体"/>
          <w:b/>
          <w:bCs/>
          <w:color w:val="auto"/>
          <w:sz w:val="22"/>
          <w:szCs w:val="22"/>
          <w:highlight w:val="none"/>
        </w:rPr>
      </w:pPr>
      <w:bookmarkStart w:id="112" w:name="bookmark20"/>
      <w:r>
        <w:rPr>
          <w:rFonts w:hint="eastAsia" w:ascii="新宋体" w:hAnsi="新宋体" w:eastAsia="新宋体" w:cs="新宋体"/>
          <w:b/>
          <w:bCs/>
          <w:color w:val="auto"/>
          <w:sz w:val="22"/>
          <w:szCs w:val="22"/>
          <w:highlight w:val="none"/>
        </w:rPr>
        <w:t>第十八条  其它</w:t>
      </w:r>
      <w:bookmarkEnd w:id="112"/>
    </w:p>
    <w:p w14:paraId="2B7C05A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18.1</w:t>
      </w:r>
      <w:r>
        <w:rPr>
          <w:rFonts w:hint="eastAsia" w:ascii="新宋体" w:hAnsi="新宋体" w:eastAsia="新宋体" w:cs="新宋体"/>
          <w:color w:val="auto"/>
          <w:sz w:val="22"/>
          <w:szCs w:val="22"/>
          <w:highlight w:val="none"/>
          <w:lang w:val="zh-CN"/>
        </w:rPr>
        <w:t>本合同自双方签字盖章之日起生效。</w:t>
      </w:r>
    </w:p>
    <w:p w14:paraId="57E21AC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18.2</w:t>
      </w:r>
      <w:r>
        <w:rPr>
          <w:rFonts w:hint="eastAsia" w:ascii="新宋体" w:hAnsi="新宋体" w:eastAsia="新宋体" w:cs="新宋体"/>
          <w:color w:val="auto"/>
          <w:sz w:val="22"/>
          <w:szCs w:val="22"/>
          <w:highlight w:val="none"/>
          <w:lang w:val="zh-CN"/>
        </w:rPr>
        <w:t>未经对方事先的书面同意，任何一方不得将本合同项下全部或部分权利、义务或利益转让或授予第三方。</w:t>
      </w:r>
    </w:p>
    <w:p w14:paraId="2CD5055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18.3</w:t>
      </w:r>
      <w:r>
        <w:rPr>
          <w:rFonts w:hint="eastAsia" w:ascii="新宋体" w:hAnsi="新宋体" w:eastAsia="新宋体" w:cs="新宋体"/>
          <w:color w:val="auto"/>
          <w:sz w:val="22"/>
          <w:szCs w:val="22"/>
          <w:highlight w:val="none"/>
          <w:lang w:val="zh-CN"/>
        </w:rPr>
        <w:t>本合同的附件、项目采购文件、投标文件为本协议不可分割的组成部分，并且与本合同正文的条款具有同等效力。如果本合同正文的条款与附件的</w:t>
      </w:r>
      <w:r>
        <w:rPr>
          <w:rFonts w:hint="eastAsia" w:ascii="新宋体" w:hAnsi="新宋体" w:eastAsia="新宋体" w:cs="新宋体"/>
          <w:color w:val="auto"/>
          <w:sz w:val="22"/>
          <w:szCs w:val="22"/>
          <w:highlight w:val="none"/>
        </w:rPr>
        <w:t>条款有冲突，以附件条款为准。</w:t>
      </w:r>
    </w:p>
    <w:p w14:paraId="009A5446">
      <w:pPr>
        <w:spacing w:line="460" w:lineRule="exac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rPr>
        <w:t>18.4</w:t>
      </w:r>
      <w:r>
        <w:rPr>
          <w:rFonts w:hint="eastAsia" w:ascii="新宋体" w:hAnsi="新宋体" w:eastAsia="新宋体" w:cs="新宋体"/>
          <w:color w:val="auto"/>
          <w:sz w:val="22"/>
          <w:szCs w:val="22"/>
          <w:highlight w:val="none"/>
          <w:lang w:val="zh-CN"/>
        </w:rPr>
        <w:t>本合同的主要内容可根据采购结果由甲乙双方协商调整。</w:t>
      </w:r>
    </w:p>
    <w:p w14:paraId="18208829">
      <w:pPr>
        <w:spacing w:line="460" w:lineRule="exac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rPr>
        <w:t>18.5</w:t>
      </w:r>
      <w:r>
        <w:rPr>
          <w:rFonts w:hint="eastAsia" w:ascii="新宋体" w:hAnsi="新宋体" w:eastAsia="新宋体" w:cs="新宋体"/>
          <w:color w:val="auto"/>
          <w:sz w:val="22"/>
          <w:szCs w:val="22"/>
          <w:highlight w:val="none"/>
          <w:lang w:val="zh-CN"/>
        </w:rPr>
        <w:t>如需修改或补充合同内容，经协商，双方应签署书面修改或补充协议，该协议将作为本合同的一个组成部分。</w:t>
      </w:r>
    </w:p>
    <w:p w14:paraId="15D46C7A">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18.6本合同一式</w:t>
      </w:r>
      <w:r>
        <w:rPr>
          <w:rFonts w:hint="eastAsia" w:ascii="新宋体" w:hAnsi="新宋体" w:eastAsia="新宋体" w:cs="新宋体"/>
          <w:color w:val="auto"/>
          <w:sz w:val="22"/>
          <w:szCs w:val="22"/>
          <w:highlight w:val="none"/>
          <w:lang w:val="en-US" w:eastAsia="zh-CN"/>
        </w:rPr>
        <w:t>陆</w:t>
      </w:r>
      <w:r>
        <w:rPr>
          <w:rFonts w:hint="eastAsia" w:ascii="新宋体" w:hAnsi="新宋体" w:eastAsia="新宋体" w:cs="新宋体"/>
          <w:color w:val="auto"/>
          <w:sz w:val="22"/>
          <w:szCs w:val="22"/>
          <w:highlight w:val="none"/>
        </w:rPr>
        <w:t>份，甲乙双方各执</w:t>
      </w:r>
      <w:r>
        <w:rPr>
          <w:rFonts w:hint="eastAsia" w:ascii="新宋体" w:hAnsi="新宋体" w:eastAsia="新宋体" w:cs="新宋体"/>
          <w:color w:val="auto"/>
          <w:sz w:val="22"/>
          <w:szCs w:val="22"/>
          <w:highlight w:val="none"/>
          <w:lang w:val="en-US" w:eastAsia="zh-CN"/>
        </w:rPr>
        <w:t>叁</w:t>
      </w:r>
      <w:r>
        <w:rPr>
          <w:rFonts w:hint="eastAsia" w:ascii="新宋体" w:hAnsi="新宋体" w:eastAsia="新宋体" w:cs="新宋体"/>
          <w:color w:val="auto"/>
          <w:sz w:val="22"/>
          <w:szCs w:val="22"/>
          <w:highlight w:val="none"/>
        </w:rPr>
        <w:t>份，每份具有同等法律效力。</w:t>
      </w:r>
    </w:p>
    <w:p w14:paraId="53851EA7">
      <w:pPr>
        <w:spacing w:line="460" w:lineRule="exact"/>
        <w:rPr>
          <w:rFonts w:hint="eastAsia" w:ascii="新宋体" w:hAnsi="新宋体" w:eastAsia="新宋体" w:cs="新宋体"/>
          <w:color w:val="auto"/>
          <w:sz w:val="22"/>
          <w:szCs w:val="22"/>
          <w:highlight w:val="none"/>
        </w:rPr>
      </w:pPr>
      <w:bookmarkStart w:id="113" w:name="bookmark21"/>
      <w:r>
        <w:rPr>
          <w:rFonts w:hint="eastAsia" w:ascii="新宋体" w:hAnsi="新宋体" w:eastAsia="新宋体" w:cs="新宋体"/>
          <w:color w:val="auto"/>
          <w:sz w:val="22"/>
          <w:szCs w:val="22"/>
          <w:highlight w:val="none"/>
          <w:lang w:val="zh-CN"/>
        </w:rPr>
        <w:br w:type="page"/>
      </w:r>
      <w:r>
        <w:rPr>
          <w:rFonts w:hint="eastAsia" w:ascii="新宋体" w:hAnsi="新宋体" w:eastAsia="新宋体" w:cs="新宋体"/>
          <w:color w:val="auto"/>
          <w:sz w:val="22"/>
          <w:szCs w:val="22"/>
          <w:highlight w:val="none"/>
          <w:lang w:val="zh-CN"/>
        </w:rPr>
        <w:t>（本页为合同签署页，以下无正文）</w:t>
      </w:r>
      <w:bookmarkEnd w:id="113"/>
    </w:p>
    <w:p w14:paraId="1565A7D9">
      <w:pPr>
        <w:spacing w:line="460" w:lineRule="exact"/>
        <w:rPr>
          <w:rFonts w:hint="eastAsia" w:ascii="新宋体" w:hAnsi="新宋体" w:eastAsia="新宋体" w:cs="新宋体"/>
          <w:color w:val="auto"/>
          <w:sz w:val="22"/>
          <w:szCs w:val="22"/>
          <w:highlight w:val="none"/>
        </w:rPr>
      </w:pPr>
    </w:p>
    <w:p w14:paraId="317CA1E2">
      <w:pPr>
        <w:spacing w:line="460" w:lineRule="exact"/>
        <w:rPr>
          <w:rFonts w:hint="eastAsia" w:ascii="新宋体" w:hAnsi="新宋体" w:eastAsia="新宋体" w:cs="新宋体"/>
          <w:color w:val="auto"/>
          <w:sz w:val="22"/>
          <w:szCs w:val="22"/>
          <w:highlight w:val="none"/>
        </w:rPr>
      </w:pPr>
    </w:p>
    <w:p w14:paraId="4DDF4164">
      <w:pPr>
        <w:spacing w:line="460" w:lineRule="exact"/>
        <w:rPr>
          <w:rFonts w:hint="eastAsia" w:ascii="新宋体" w:hAnsi="新宋体" w:eastAsia="新宋体" w:cs="新宋体"/>
          <w:color w:val="auto"/>
          <w:sz w:val="22"/>
          <w:szCs w:val="22"/>
          <w:highlight w:val="none"/>
        </w:rPr>
      </w:pPr>
    </w:p>
    <w:p w14:paraId="7B2FF7B3">
      <w:pPr>
        <w:tabs>
          <w:tab w:val="left" w:pos="360"/>
        </w:tabs>
        <w:spacing w:line="460" w:lineRule="exact"/>
        <w:ind w:firstLine="550"/>
        <w:rPr>
          <w:rFonts w:hint="eastAsia" w:ascii="新宋体" w:hAnsi="新宋体" w:eastAsia="新宋体" w:cs="新宋体"/>
          <w:color w:val="auto"/>
          <w:kern w:val="1"/>
          <w:sz w:val="22"/>
          <w:szCs w:val="22"/>
          <w:highlight w:val="none"/>
        </w:rPr>
      </w:pPr>
      <w:r>
        <w:rPr>
          <w:rFonts w:hint="eastAsia" w:ascii="新宋体" w:hAnsi="新宋体" w:eastAsia="新宋体" w:cs="新宋体"/>
          <w:color w:val="auto"/>
          <w:kern w:val="1"/>
          <w:sz w:val="22"/>
          <w:szCs w:val="22"/>
          <w:highlight w:val="none"/>
        </w:rPr>
        <w:t>买方：（印章）                        卖方：（印章）</w:t>
      </w:r>
    </w:p>
    <w:p w14:paraId="4D0BE17C">
      <w:pPr>
        <w:tabs>
          <w:tab w:val="left" w:pos="360"/>
        </w:tabs>
        <w:spacing w:line="460" w:lineRule="exact"/>
        <w:ind w:firstLine="550"/>
        <w:rPr>
          <w:rFonts w:hint="eastAsia" w:ascii="新宋体" w:hAnsi="新宋体" w:eastAsia="新宋体" w:cs="新宋体"/>
          <w:color w:val="auto"/>
          <w:kern w:val="1"/>
          <w:sz w:val="22"/>
          <w:szCs w:val="22"/>
          <w:highlight w:val="none"/>
        </w:rPr>
      </w:pPr>
      <w:r>
        <w:rPr>
          <w:rFonts w:hint="eastAsia" w:ascii="新宋体" w:hAnsi="新宋体" w:eastAsia="新宋体" w:cs="新宋体"/>
          <w:color w:val="auto"/>
          <w:kern w:val="1"/>
          <w:sz w:val="22"/>
          <w:szCs w:val="22"/>
          <w:highlight w:val="none"/>
        </w:rPr>
        <w:t>全权代表:（签字）                    全权代表:（签字）</w:t>
      </w:r>
    </w:p>
    <w:p w14:paraId="5EBBAB22">
      <w:pPr>
        <w:tabs>
          <w:tab w:val="left" w:pos="360"/>
        </w:tabs>
        <w:spacing w:line="460" w:lineRule="exact"/>
        <w:ind w:firstLine="550"/>
        <w:rPr>
          <w:rFonts w:hint="eastAsia" w:ascii="新宋体" w:hAnsi="新宋体" w:eastAsia="新宋体" w:cs="新宋体"/>
          <w:color w:val="auto"/>
          <w:kern w:val="1"/>
          <w:sz w:val="22"/>
          <w:szCs w:val="22"/>
          <w:highlight w:val="none"/>
        </w:rPr>
      </w:pPr>
      <w:r>
        <w:rPr>
          <w:rFonts w:hint="eastAsia" w:ascii="新宋体" w:hAnsi="新宋体" w:eastAsia="新宋体" w:cs="新宋体"/>
          <w:color w:val="auto"/>
          <w:kern w:val="1"/>
          <w:sz w:val="22"/>
          <w:szCs w:val="22"/>
          <w:highlight w:val="none"/>
        </w:rPr>
        <w:t>地址：                               地址：</w:t>
      </w:r>
    </w:p>
    <w:p w14:paraId="485A44FF">
      <w:pPr>
        <w:tabs>
          <w:tab w:val="left" w:pos="360"/>
        </w:tabs>
        <w:spacing w:line="460" w:lineRule="exact"/>
        <w:ind w:firstLine="550"/>
        <w:rPr>
          <w:rFonts w:hint="eastAsia" w:ascii="新宋体" w:hAnsi="新宋体" w:eastAsia="新宋体" w:cs="新宋体"/>
          <w:color w:val="auto"/>
          <w:kern w:val="1"/>
          <w:sz w:val="22"/>
          <w:szCs w:val="22"/>
          <w:highlight w:val="none"/>
        </w:rPr>
      </w:pPr>
      <w:r>
        <w:rPr>
          <w:rFonts w:hint="eastAsia" w:ascii="新宋体" w:hAnsi="新宋体" w:eastAsia="新宋体" w:cs="新宋体"/>
          <w:color w:val="auto"/>
          <w:kern w:val="1"/>
          <w:sz w:val="22"/>
          <w:szCs w:val="22"/>
          <w:highlight w:val="none"/>
        </w:rPr>
        <w:t>邮政编码：                           邮政编码：</w:t>
      </w:r>
    </w:p>
    <w:p w14:paraId="0F1442E7">
      <w:pPr>
        <w:tabs>
          <w:tab w:val="left" w:pos="360"/>
        </w:tabs>
        <w:spacing w:line="460" w:lineRule="exact"/>
        <w:ind w:firstLine="550"/>
        <w:rPr>
          <w:rFonts w:hint="eastAsia" w:ascii="新宋体" w:hAnsi="新宋体" w:eastAsia="新宋体" w:cs="新宋体"/>
          <w:color w:val="auto"/>
          <w:kern w:val="1"/>
          <w:sz w:val="22"/>
          <w:szCs w:val="22"/>
          <w:highlight w:val="none"/>
        </w:rPr>
      </w:pPr>
      <w:r>
        <w:rPr>
          <w:rFonts w:hint="eastAsia" w:ascii="新宋体" w:hAnsi="新宋体" w:eastAsia="新宋体" w:cs="新宋体"/>
          <w:color w:val="auto"/>
          <w:kern w:val="1"/>
          <w:sz w:val="22"/>
          <w:szCs w:val="22"/>
          <w:highlight w:val="none"/>
        </w:rPr>
        <w:t>电话：                               电话：</w:t>
      </w:r>
    </w:p>
    <w:p w14:paraId="45D130E7">
      <w:pPr>
        <w:tabs>
          <w:tab w:val="left" w:pos="360"/>
        </w:tabs>
        <w:spacing w:line="460" w:lineRule="exact"/>
        <w:ind w:firstLine="550"/>
        <w:rPr>
          <w:rFonts w:hint="eastAsia" w:ascii="新宋体" w:hAnsi="新宋体" w:eastAsia="新宋体" w:cs="新宋体"/>
          <w:color w:val="auto"/>
          <w:kern w:val="1"/>
          <w:sz w:val="22"/>
          <w:szCs w:val="22"/>
          <w:highlight w:val="none"/>
        </w:rPr>
      </w:pPr>
      <w:r>
        <w:rPr>
          <w:rFonts w:hint="eastAsia" w:ascii="新宋体" w:hAnsi="新宋体" w:eastAsia="新宋体" w:cs="新宋体"/>
          <w:color w:val="auto"/>
          <w:kern w:val="1"/>
          <w:sz w:val="22"/>
          <w:szCs w:val="22"/>
          <w:highlight w:val="none"/>
        </w:rPr>
        <w:t>传真：                               传真：</w:t>
      </w:r>
    </w:p>
    <w:p w14:paraId="71DD34D2">
      <w:pPr>
        <w:tabs>
          <w:tab w:val="left" w:pos="360"/>
        </w:tabs>
        <w:spacing w:line="460" w:lineRule="exact"/>
        <w:ind w:firstLine="550"/>
        <w:rPr>
          <w:rFonts w:hint="eastAsia" w:ascii="新宋体" w:hAnsi="新宋体" w:eastAsia="新宋体" w:cs="新宋体"/>
          <w:color w:val="auto"/>
          <w:kern w:val="1"/>
          <w:sz w:val="22"/>
          <w:szCs w:val="22"/>
          <w:highlight w:val="none"/>
        </w:rPr>
      </w:pPr>
      <w:r>
        <w:rPr>
          <w:rFonts w:hint="eastAsia" w:ascii="新宋体" w:hAnsi="新宋体" w:eastAsia="新宋体" w:cs="新宋体"/>
          <w:color w:val="auto"/>
          <w:kern w:val="1"/>
          <w:sz w:val="22"/>
          <w:szCs w:val="22"/>
          <w:highlight w:val="none"/>
        </w:rPr>
        <w:t>开户银行：                           开户银行：</w:t>
      </w:r>
    </w:p>
    <w:p w14:paraId="30FEB05E">
      <w:pPr>
        <w:tabs>
          <w:tab w:val="left" w:pos="360"/>
        </w:tabs>
        <w:spacing w:line="460" w:lineRule="exact"/>
        <w:ind w:firstLine="550"/>
        <w:rPr>
          <w:rFonts w:hint="eastAsia" w:ascii="新宋体" w:hAnsi="新宋体" w:eastAsia="新宋体" w:cs="新宋体"/>
          <w:color w:val="auto"/>
          <w:kern w:val="1"/>
          <w:sz w:val="22"/>
          <w:szCs w:val="22"/>
          <w:highlight w:val="none"/>
        </w:rPr>
      </w:pPr>
      <w:r>
        <w:rPr>
          <w:rFonts w:hint="eastAsia" w:ascii="新宋体" w:hAnsi="新宋体" w:eastAsia="新宋体" w:cs="新宋体"/>
          <w:color w:val="auto"/>
          <w:kern w:val="1"/>
          <w:sz w:val="22"/>
          <w:szCs w:val="22"/>
          <w:highlight w:val="none"/>
        </w:rPr>
        <w:t>帐号：                               帐号：</w:t>
      </w:r>
    </w:p>
    <w:p w14:paraId="29AB1477">
      <w:pPr>
        <w:tabs>
          <w:tab w:val="left" w:pos="360"/>
        </w:tabs>
        <w:spacing w:line="460" w:lineRule="exact"/>
        <w:ind w:firstLine="550"/>
        <w:rPr>
          <w:rFonts w:hint="eastAsia" w:ascii="新宋体" w:hAnsi="新宋体" w:eastAsia="新宋体" w:cs="新宋体"/>
          <w:color w:val="auto"/>
          <w:kern w:val="1"/>
          <w:sz w:val="22"/>
          <w:szCs w:val="22"/>
          <w:highlight w:val="none"/>
        </w:rPr>
      </w:pPr>
      <w:r>
        <w:rPr>
          <w:rFonts w:hint="eastAsia" w:ascii="新宋体" w:hAnsi="新宋体" w:eastAsia="新宋体" w:cs="新宋体"/>
          <w:color w:val="auto"/>
          <w:kern w:val="1"/>
          <w:sz w:val="22"/>
          <w:szCs w:val="22"/>
          <w:highlight w:val="none"/>
        </w:rPr>
        <w:t>签约日期：　　　　　　　　　　　　　 签约地点：</w:t>
      </w:r>
    </w:p>
    <w:p w14:paraId="3574F719">
      <w:pPr>
        <w:pStyle w:val="3"/>
        <w:ind w:firstLine="210"/>
        <w:rPr>
          <w:rFonts w:eastAsia="等线"/>
          <w:color w:val="auto"/>
          <w:sz w:val="24"/>
          <w:szCs w:val="24"/>
          <w:highlight w:val="none"/>
        </w:rPr>
      </w:pPr>
    </w:p>
    <w:p w14:paraId="6EB9396C">
      <w:pPr>
        <w:pStyle w:val="3"/>
        <w:ind w:firstLine="210"/>
        <w:rPr>
          <w:rFonts w:eastAsia="等线"/>
          <w:color w:val="auto"/>
          <w:sz w:val="24"/>
          <w:szCs w:val="24"/>
          <w:highlight w:val="none"/>
        </w:rPr>
      </w:pPr>
    </w:p>
    <w:p w14:paraId="1B30A6A4">
      <w:pPr>
        <w:spacing w:line="360" w:lineRule="auto"/>
        <w:ind w:firstLine="480" w:firstLineChars="200"/>
        <w:rPr>
          <w:rFonts w:ascii="宋体" w:hAnsi="宋体" w:eastAsia="宋体"/>
          <w:b w:val="0"/>
          <w:color w:val="auto"/>
          <w:sz w:val="24"/>
          <w:szCs w:val="24"/>
          <w:highlight w:val="none"/>
        </w:rPr>
      </w:pPr>
      <w:r>
        <w:rPr>
          <w:rFonts w:ascii="宋体" w:hAnsi="宋体" w:eastAsia="宋体"/>
          <w:b w:val="0"/>
          <w:color w:val="auto"/>
          <w:sz w:val="24"/>
          <w:szCs w:val="24"/>
          <w:highlight w:val="none"/>
        </w:rPr>
        <w:t>特别提示：</w:t>
      </w:r>
      <w:r>
        <w:rPr>
          <w:rFonts w:hint="eastAsia" w:ascii="宋体" w:hAnsi="宋体" w:eastAsia="宋体"/>
          <w:b w:val="0"/>
          <w:color w:val="auto"/>
          <w:sz w:val="24"/>
          <w:szCs w:val="24"/>
          <w:highlight w:val="none"/>
          <w:u w:val="single"/>
        </w:rPr>
        <w:t>本合同作为示范文本，具体以</w:t>
      </w:r>
      <w:r>
        <w:rPr>
          <w:rFonts w:ascii="宋体" w:hAnsi="宋体" w:eastAsia="宋体"/>
          <w:b w:val="0"/>
          <w:color w:val="auto"/>
          <w:sz w:val="24"/>
          <w:szCs w:val="24"/>
          <w:highlight w:val="none"/>
          <w:u w:val="single"/>
        </w:rPr>
        <w:t>正式签订合同为准，合同条款的具体内容应严格按照招标文件、投标文件、采购结果及中标</w:t>
      </w:r>
      <w:r>
        <w:rPr>
          <w:rFonts w:hint="eastAsia" w:ascii="宋体" w:hAnsi="宋体" w:eastAsia="宋体"/>
          <w:b w:val="0"/>
          <w:color w:val="auto"/>
          <w:sz w:val="24"/>
          <w:szCs w:val="24"/>
          <w:highlight w:val="none"/>
          <w:u w:val="single"/>
        </w:rPr>
        <w:t>人</w:t>
      </w:r>
      <w:r>
        <w:rPr>
          <w:rFonts w:ascii="宋体" w:hAnsi="宋体" w:eastAsia="宋体"/>
          <w:b w:val="0"/>
          <w:color w:val="auto"/>
          <w:sz w:val="24"/>
          <w:szCs w:val="24"/>
          <w:highlight w:val="none"/>
          <w:u w:val="single"/>
        </w:rPr>
        <w:t>的承诺来拟订。</w:t>
      </w:r>
    </w:p>
    <w:p w14:paraId="26710CC2">
      <w:pPr>
        <w:rPr>
          <w:color w:val="auto"/>
          <w:highlight w:val="none"/>
        </w:rPr>
      </w:pPr>
    </w:p>
    <w:p w14:paraId="66EF8467">
      <w:pP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14:paraId="55069D52">
      <w:pPr>
        <w:snapToGrid w:val="0"/>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第七部分  应提交的有关格式范例</w:t>
      </w:r>
      <w:bookmarkEnd w:id="95"/>
    </w:p>
    <w:p w14:paraId="5F2D4588">
      <w:pPr>
        <w:spacing w:line="360" w:lineRule="auto"/>
        <w:jc w:val="center"/>
        <w:outlineLvl w:val="0"/>
        <w:rPr>
          <w:rFonts w:hint="eastAsia" w:ascii="宋体" w:hAnsi="宋体" w:eastAsia="宋体" w:cs="宋体"/>
          <w:b/>
          <w:color w:val="auto"/>
          <w:kern w:val="0"/>
          <w:sz w:val="36"/>
          <w:szCs w:val="36"/>
          <w:highlight w:val="none"/>
        </w:rPr>
      </w:pPr>
      <w:bookmarkStart w:id="114" w:name="_Toc12499"/>
      <w:r>
        <w:rPr>
          <w:rFonts w:hint="eastAsia" w:ascii="宋体" w:hAnsi="宋体" w:eastAsia="宋体" w:cs="宋体"/>
          <w:b/>
          <w:color w:val="auto"/>
          <w:kern w:val="0"/>
          <w:sz w:val="36"/>
          <w:szCs w:val="36"/>
          <w:highlight w:val="none"/>
        </w:rPr>
        <w:t>资格文件部分</w:t>
      </w:r>
      <w:bookmarkEnd w:id="114"/>
    </w:p>
    <w:p w14:paraId="4D651DC6">
      <w:pPr>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目录</w:t>
      </w:r>
    </w:p>
    <w:p w14:paraId="0D43BE3B">
      <w:pPr>
        <w:rPr>
          <w:rFonts w:hint="eastAsia" w:ascii="宋体" w:hAnsi="宋体" w:eastAsia="宋体" w:cs="宋体"/>
          <w:color w:val="auto"/>
          <w:highlight w:val="none"/>
        </w:rPr>
      </w:pPr>
    </w:p>
    <w:p w14:paraId="31C73265">
      <w:pPr>
        <w:pStyle w:val="24"/>
        <w:rPr>
          <w:rFonts w:hint="eastAsia" w:ascii="宋体" w:hAnsi="宋体" w:eastAsia="宋体" w:cs="宋体"/>
          <w:color w:val="auto"/>
          <w:highlight w:val="none"/>
        </w:rPr>
      </w:pPr>
    </w:p>
    <w:p w14:paraId="24FA29C0">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（1）符合参加政府采购活动应当具备的一般条件的承诺函……………（页码）</w:t>
      </w:r>
    </w:p>
    <w:p w14:paraId="7E94208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（2）有效的企业营业执照（或事业法人登记证书或其它工商等登记证明材料，自然人提供身份证)………………………………………………………………</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（页码）</w:t>
      </w:r>
    </w:p>
    <w:p w14:paraId="4BBC8BC7">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）联合协议………………………………………………………………（页码）</w:t>
      </w:r>
    </w:p>
    <w:p w14:paraId="44A11A44">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）落实政府采购政策需满足的资格要求………………………………（页码）</w:t>
      </w:r>
    </w:p>
    <w:p w14:paraId="287D8FEC">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）本项目的特定资格要求………………………………………………（页码）</w:t>
      </w:r>
    </w:p>
    <w:p w14:paraId="6C8615DB">
      <w:pPr>
        <w:snapToGrid w:val="0"/>
        <w:spacing w:line="360" w:lineRule="auto"/>
        <w:ind w:right="480"/>
        <w:rPr>
          <w:rFonts w:hint="eastAsia" w:ascii="宋体" w:hAnsi="宋体" w:eastAsia="宋体" w:cs="宋体"/>
          <w:b/>
          <w:color w:val="auto"/>
          <w:kern w:val="0"/>
          <w:sz w:val="32"/>
          <w:szCs w:val="32"/>
          <w:highlight w:val="none"/>
        </w:rPr>
      </w:pPr>
      <w:r>
        <w:rPr>
          <w:rFonts w:hint="eastAsia" w:ascii="宋体" w:hAnsi="宋体" w:eastAsia="宋体" w:cs="宋体"/>
          <w:color w:val="auto"/>
          <w:sz w:val="24"/>
          <w:highlight w:val="none"/>
        </w:rPr>
        <w:br w:type="page"/>
      </w:r>
      <w:r>
        <w:rPr>
          <w:rFonts w:hint="eastAsia" w:ascii="宋体" w:hAnsi="宋体" w:eastAsia="宋体" w:cs="宋体"/>
          <w:b/>
          <w:color w:val="auto"/>
          <w:kern w:val="0"/>
          <w:sz w:val="32"/>
          <w:szCs w:val="32"/>
          <w:highlight w:val="none"/>
        </w:rPr>
        <w:t>一、 符合参加政府采购活动应当具备的一般条件的承诺函</w:t>
      </w:r>
    </w:p>
    <w:p w14:paraId="19FE71BD">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（采购人）、（采购代理机构）</w:t>
      </w:r>
      <w:r>
        <w:rPr>
          <w:rFonts w:hint="eastAsia" w:ascii="宋体" w:hAnsi="宋体" w:eastAsia="宋体" w:cs="宋体"/>
          <w:color w:val="auto"/>
          <w:sz w:val="24"/>
          <w:highlight w:val="none"/>
        </w:rPr>
        <w:t>：</w:t>
      </w:r>
    </w:p>
    <w:p w14:paraId="519A9064">
      <w:pPr>
        <w:snapToGrid w:val="0"/>
        <w:spacing w:line="360" w:lineRule="auto"/>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我方参与（项目名称）【编号：（采购编号）】政府采购活动，郑重承诺：</w:t>
      </w:r>
    </w:p>
    <w:p w14:paraId="35C5120A">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14:paraId="1814B99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2FCC274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14:paraId="4625B41D">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71B96DD9">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0AED10C0">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14:paraId="77BA3439">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14:paraId="4C532F5C">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（二）未被信用中国（www.creditchina.gov.cn)、中国政府采购网（www.ccgp.gov.cn）列入失信被执行人、重大税收违法案件当事人名单、政府采购严重违法失信行为记录名单。</w:t>
      </w:r>
    </w:p>
    <w:p w14:paraId="707E81F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14:paraId="7364CAC9">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14:paraId="30E1D05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14:paraId="3404CF35">
      <w:pPr>
        <w:pStyle w:val="24"/>
        <w:rPr>
          <w:rFonts w:hint="eastAsia" w:ascii="宋体" w:hAnsi="宋体" w:eastAsia="宋体" w:cs="宋体"/>
          <w:color w:val="auto"/>
          <w:highlight w:val="none"/>
        </w:rPr>
      </w:pPr>
    </w:p>
    <w:p w14:paraId="691F84D7">
      <w:pPr>
        <w:rPr>
          <w:rFonts w:hint="eastAsia" w:ascii="宋体" w:hAnsi="宋体" w:eastAsia="宋体" w:cs="宋体"/>
          <w:color w:val="auto"/>
          <w:highlight w:val="none"/>
        </w:rPr>
      </w:pPr>
    </w:p>
    <w:p w14:paraId="4C97897B">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供应商名称(电子签名)：</w:t>
      </w:r>
    </w:p>
    <w:p w14:paraId="366E2A13">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14427D10">
      <w:pPr>
        <w:snapToGrid w:val="0"/>
        <w:spacing w:line="360" w:lineRule="auto"/>
        <w:ind w:right="480"/>
        <w:jc w:val="center"/>
        <w:rPr>
          <w:rFonts w:hint="eastAsia" w:ascii="宋体" w:hAnsi="宋体" w:eastAsia="宋体" w:cs="宋体"/>
          <w:b/>
          <w:color w:val="auto"/>
          <w:kern w:val="0"/>
          <w:sz w:val="32"/>
          <w:szCs w:val="32"/>
          <w:highlight w:val="none"/>
        </w:rPr>
      </w:pPr>
    </w:p>
    <w:p w14:paraId="40603AF3">
      <w:pPr>
        <w:snapToGrid w:val="0"/>
        <w:spacing w:line="360" w:lineRule="auto"/>
        <w:ind w:right="480"/>
        <w:jc w:val="center"/>
        <w:rPr>
          <w:rFonts w:hint="eastAsia" w:ascii="宋体" w:hAnsi="宋体" w:eastAsia="宋体" w:cs="宋体"/>
          <w:b/>
          <w:color w:val="auto"/>
          <w:kern w:val="0"/>
          <w:sz w:val="32"/>
          <w:szCs w:val="32"/>
          <w:highlight w:val="none"/>
        </w:rPr>
      </w:pPr>
    </w:p>
    <w:p w14:paraId="106F0C4E">
      <w:pPr>
        <w:rPr>
          <w:rFonts w:hint="eastAsia" w:ascii="宋体" w:hAnsi="宋体" w:eastAsia="宋体" w:cs="宋体"/>
          <w:color w:val="auto"/>
          <w:highlight w:val="none"/>
        </w:rPr>
      </w:pPr>
    </w:p>
    <w:p w14:paraId="1C3E68F2">
      <w:pPr>
        <w:snapToGrid w:val="0"/>
        <w:spacing w:line="360" w:lineRule="auto"/>
        <w:ind w:right="480"/>
        <w:jc w:val="center"/>
        <w:rPr>
          <w:rFonts w:hint="eastAsia" w:ascii="宋体" w:hAnsi="宋体" w:eastAsia="宋体" w:cs="宋体"/>
          <w:b/>
          <w:color w:val="auto"/>
          <w:kern w:val="0"/>
          <w:sz w:val="32"/>
          <w:szCs w:val="32"/>
          <w:highlight w:val="none"/>
        </w:rPr>
      </w:pPr>
    </w:p>
    <w:p w14:paraId="21D892DC">
      <w:pPr>
        <w:snapToGrid w:val="0"/>
        <w:spacing w:line="360" w:lineRule="auto"/>
        <w:ind w:right="480"/>
        <w:jc w:val="center"/>
        <w:rPr>
          <w:rFonts w:hint="eastAsia" w:ascii="宋体" w:hAnsi="宋体" w:eastAsia="宋体" w:cs="宋体"/>
          <w:b/>
          <w:color w:val="auto"/>
          <w:kern w:val="0"/>
          <w:sz w:val="32"/>
          <w:szCs w:val="32"/>
          <w:highlight w:val="none"/>
        </w:rPr>
      </w:pPr>
    </w:p>
    <w:p w14:paraId="548DE12D">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274B32B7">
      <w:pPr>
        <w:widowControl/>
        <w:spacing w:line="360" w:lineRule="auto"/>
        <w:ind w:left="150"/>
        <w:jc w:val="center"/>
        <w:rPr>
          <w:rFonts w:hint="eastAsia" w:ascii="宋体" w:hAnsi="宋体" w:eastAsia="宋体" w:cs="宋体"/>
          <w:b/>
          <w:color w:val="auto"/>
          <w:kern w:val="0"/>
          <w:sz w:val="28"/>
          <w:szCs w:val="28"/>
          <w:highlight w:val="none"/>
          <w:lang w:val="en-US" w:eastAsia="zh-CN"/>
        </w:rPr>
      </w:pPr>
      <w:r>
        <w:rPr>
          <w:rFonts w:hint="eastAsia" w:ascii="宋体" w:hAnsi="宋体" w:eastAsia="宋体" w:cs="宋体"/>
          <w:b/>
          <w:color w:val="auto"/>
          <w:kern w:val="0"/>
          <w:sz w:val="28"/>
          <w:szCs w:val="28"/>
          <w:highlight w:val="none"/>
          <w:lang w:val="en-US" w:eastAsia="zh-CN"/>
        </w:rPr>
        <w:t>二、有效的企业营业执照（或事业法人登记证书或其它工商等登记证明材料，自然人提供身份证)复制件（如为联合体，则联合体各方均应提供）（五选一）：</w:t>
      </w:r>
    </w:p>
    <w:p w14:paraId="38714564">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①如供应商是企业（包括合伙企业），提供在工商部门注册的有效“企业法人营业执照”或“营业执照”；</w:t>
      </w:r>
    </w:p>
    <w:p w14:paraId="56BAA31C">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②如供应商是事业单位，提供有效的“事业单位法人证书”；</w:t>
      </w:r>
    </w:p>
    <w:p w14:paraId="3190253B">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③如供应商是非企业专业服务机构的，提供执业许可证等证明文件；</w:t>
      </w:r>
    </w:p>
    <w:p w14:paraId="44493E86">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④如供应商是个体工商户，提供有效的“个体工商户营业执照”；</w:t>
      </w:r>
    </w:p>
    <w:p w14:paraId="6681CEAA">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⑤如供应商是自然人，提供有效的自然人身份证明（居民身份证正反面或公安机关出具的临时居民身份证正反面或港澳台胞证或护照）。</w:t>
      </w:r>
    </w:p>
    <w:p w14:paraId="35DA30D0">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开启时间中提供相关材料），证明其具备实际承担责任的能力和法定的缔结合同能力，可以独立参加政府采购活动，由单位负责人签署相关文件材料。</w:t>
      </w:r>
    </w:p>
    <w:p w14:paraId="3B432106">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3096674E">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en-US" w:eastAsia="zh-CN"/>
        </w:rPr>
        <w:t>三</w:t>
      </w:r>
      <w:r>
        <w:rPr>
          <w:rFonts w:hint="eastAsia" w:ascii="宋体" w:hAnsi="宋体" w:eastAsia="宋体" w:cs="宋体"/>
          <w:b/>
          <w:color w:val="auto"/>
          <w:kern w:val="0"/>
          <w:sz w:val="32"/>
          <w:szCs w:val="32"/>
          <w:highlight w:val="none"/>
        </w:rPr>
        <w:t>、联合协议（如果有）</w:t>
      </w:r>
    </w:p>
    <w:p w14:paraId="4378A34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[以联合体形式投标的，提供联合协议（附件5）；本项目不接受联合体投标或者</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不以联合体形式投标的，则不需要提供）]</w:t>
      </w:r>
    </w:p>
    <w:p w14:paraId="12A4410B">
      <w:pPr>
        <w:rPr>
          <w:rFonts w:hint="eastAsia" w:ascii="宋体" w:hAnsi="宋体" w:eastAsia="宋体" w:cs="宋体"/>
          <w:b/>
          <w:color w:val="auto"/>
          <w:kern w:val="0"/>
          <w:sz w:val="32"/>
          <w:szCs w:val="32"/>
          <w:highlight w:val="none"/>
        </w:rPr>
      </w:pPr>
    </w:p>
    <w:p w14:paraId="2AC73C3B">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5661A3B2">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en-US" w:eastAsia="zh-CN"/>
        </w:rPr>
        <w:t>四</w:t>
      </w:r>
      <w:r>
        <w:rPr>
          <w:rFonts w:hint="eastAsia" w:ascii="宋体" w:hAnsi="宋体" w:eastAsia="宋体" w:cs="宋体"/>
          <w:b/>
          <w:color w:val="auto"/>
          <w:kern w:val="0"/>
          <w:sz w:val="32"/>
          <w:szCs w:val="32"/>
          <w:highlight w:val="none"/>
        </w:rPr>
        <w:t>、落实政府采购政策需满足的资格要求</w:t>
      </w:r>
    </w:p>
    <w:p w14:paraId="2E17ACD3">
      <w:pPr>
        <w:pStyle w:val="32"/>
        <w:spacing w:line="360" w:lineRule="auto"/>
        <w:ind w:firstLine="482" w:firstLineChars="200"/>
        <w:rPr>
          <w:rFonts w:hint="eastAsia" w:ascii="宋体" w:hAnsi="宋体" w:eastAsia="宋体" w:cs="宋体"/>
          <w:b/>
          <w:bCs/>
          <w:color w:val="auto"/>
          <w:sz w:val="24"/>
          <w:highlight w:val="none"/>
          <w:u w:val="single"/>
          <w:lang w:val="en-US" w:eastAsia="zh-CN"/>
        </w:rPr>
      </w:pPr>
    </w:p>
    <w:p w14:paraId="6ABECE94">
      <w:pPr>
        <w:pStyle w:val="32"/>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u w:val="single"/>
          <w:lang w:val="en-US" w:eastAsia="zh-CN"/>
        </w:rPr>
        <w:t>本项目要求：供应商为中小企业/小微企业，提供附件7：中小企业声明函（工程/服务）</w:t>
      </w:r>
    </w:p>
    <w:p w14:paraId="65840056">
      <w:pPr>
        <w:spacing w:line="360" w:lineRule="auto"/>
        <w:rPr>
          <w:rFonts w:hint="eastAsia" w:ascii="宋体" w:hAnsi="宋体" w:eastAsia="宋体" w:cs="宋体"/>
          <w:color w:val="auto"/>
          <w:sz w:val="24"/>
          <w:highlight w:val="none"/>
        </w:rPr>
      </w:pPr>
    </w:p>
    <w:p w14:paraId="0B7B2501">
      <w:pPr>
        <w:spacing w:line="360" w:lineRule="auto"/>
        <w:rPr>
          <w:rFonts w:hint="eastAsia" w:ascii="宋体" w:hAnsi="宋体" w:eastAsia="宋体" w:cs="宋体"/>
          <w:color w:val="auto"/>
          <w:sz w:val="24"/>
          <w:highlight w:val="none"/>
        </w:rPr>
      </w:pPr>
    </w:p>
    <w:p w14:paraId="74AD05F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（根据竞争性磋商邀请公告落实政府采购政策需满足的资格要求选择提供相应的材料；未要求的，无需提供）</w:t>
      </w:r>
    </w:p>
    <w:p w14:paraId="20B99D85">
      <w:pPr>
        <w:snapToGrid w:val="0"/>
        <w:spacing w:before="50" w:after="50"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a</w:t>
      </w:r>
      <w:r>
        <w:rPr>
          <w:rFonts w:hint="eastAsia" w:ascii="宋体" w:hAnsi="宋体" w:eastAsia="宋体" w:cs="宋体"/>
          <w:color w:val="auto"/>
          <w:sz w:val="24"/>
          <w:highlight w:val="none"/>
        </w:rPr>
        <w:t xml:space="preserve">.专门面向中小企业，服务全部由符合政策要求的中小企业（或小微企业）承接的，提供相应的中小企业声明函（附件7）。 </w:t>
      </w:r>
    </w:p>
    <w:p w14:paraId="7D469279">
      <w:pPr>
        <w:widowControl/>
        <w:spacing w:line="360" w:lineRule="auto"/>
        <w:ind w:firstLine="480"/>
        <w:jc w:val="left"/>
        <w:rPr>
          <w:rFonts w:hint="eastAsia" w:ascii="宋体" w:hAnsi="宋体" w:eastAsia="宋体" w:cs="宋体"/>
          <w:color w:val="auto"/>
          <w:sz w:val="24"/>
          <w:highlight w:val="none"/>
        </w:rPr>
      </w:pPr>
    </w:p>
    <w:p w14:paraId="356FCFB2">
      <w:pPr>
        <w:widowControl/>
        <w:spacing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b.</w:t>
      </w:r>
      <w:r>
        <w:rPr>
          <w:rFonts w:hint="eastAsia" w:ascii="宋体" w:hAnsi="宋体" w:eastAsia="宋体" w:cs="宋体"/>
          <w:color w:val="auto"/>
          <w:sz w:val="24"/>
          <w:highlight w:val="none"/>
        </w:rPr>
        <w:t>要求以联合体形式参加的，提供联合协议（附件5）和中小企业声明函（附件7），联合协议中中小企业合同金额应当达到</w:t>
      </w:r>
      <w:r>
        <w:rPr>
          <w:rFonts w:hint="eastAsia" w:ascii="宋体" w:hAnsi="宋体" w:eastAsia="宋体" w:cs="宋体"/>
          <w:b/>
          <w:bCs/>
          <w:color w:val="auto"/>
          <w:sz w:val="24"/>
          <w:highlight w:val="none"/>
        </w:rPr>
        <w:t>竞争性磋商邀请公告</w:t>
      </w:r>
      <w:r>
        <w:rPr>
          <w:rFonts w:hint="eastAsia" w:ascii="宋体" w:hAnsi="宋体" w:eastAsia="宋体" w:cs="宋体"/>
          <w:color w:val="auto"/>
          <w:sz w:val="24"/>
          <w:highlight w:val="none"/>
        </w:rPr>
        <w:t>载明的比例；如果供应商本身提供所有标的均由中小企业承接的，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视同符合了资格条件，无需再与其他中小企业组成联合体参加政府采购活动，无需提供联合协议。</w:t>
      </w:r>
    </w:p>
    <w:p w14:paraId="356E5B79">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    </w:t>
      </w:r>
    </w:p>
    <w:p w14:paraId="69769E64">
      <w:pPr>
        <w:snapToGrid w:val="0"/>
        <w:spacing w:before="50" w:after="50"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c、</w:t>
      </w:r>
      <w:r>
        <w:rPr>
          <w:rFonts w:hint="eastAsia" w:ascii="宋体" w:hAnsi="宋体" w:eastAsia="宋体" w:cs="宋体"/>
          <w:color w:val="auto"/>
          <w:sz w:val="24"/>
          <w:highlight w:val="none"/>
        </w:rPr>
        <w:t>要求合同分包的，提供分包意向协议（附件6）和中小企业声明函（附件7），分包意向协议中中小企业合同金额应当达到</w:t>
      </w:r>
      <w:r>
        <w:rPr>
          <w:rFonts w:hint="eastAsia" w:ascii="宋体" w:hAnsi="宋体" w:eastAsia="宋体" w:cs="宋体"/>
          <w:b/>
          <w:bCs/>
          <w:color w:val="auto"/>
          <w:sz w:val="24"/>
          <w:highlight w:val="none"/>
        </w:rPr>
        <w:t>竞争性磋商邀请公告</w:t>
      </w:r>
      <w:r>
        <w:rPr>
          <w:rFonts w:hint="eastAsia" w:ascii="宋体" w:hAnsi="宋体" w:eastAsia="宋体" w:cs="宋体"/>
          <w:color w:val="auto"/>
          <w:sz w:val="24"/>
          <w:highlight w:val="none"/>
        </w:rPr>
        <w:t>载明的比例；如果供应商本身提供的所有标的均由中小企业承接的，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 xml:space="preserve">视同符合了资格条件，无需再向中小企业分包，无需提供分包意向协议。 </w:t>
      </w:r>
    </w:p>
    <w:p w14:paraId="38A3EC3E">
      <w:pPr>
        <w:widowControl/>
        <w:spacing w:line="360" w:lineRule="auto"/>
        <w:ind w:firstLine="480"/>
        <w:jc w:val="left"/>
        <w:rPr>
          <w:rFonts w:hint="eastAsia" w:ascii="宋体" w:hAnsi="宋体" w:eastAsia="宋体" w:cs="宋体"/>
          <w:color w:val="auto"/>
          <w:sz w:val="24"/>
          <w:highlight w:val="none"/>
        </w:rPr>
      </w:pPr>
    </w:p>
    <w:p w14:paraId="4F6F2D62">
      <w:pPr>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566B2B9A">
      <w:pPr>
        <w:widowControl/>
        <w:spacing w:line="360" w:lineRule="auto"/>
        <w:ind w:left="15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en-US" w:eastAsia="zh-CN"/>
        </w:rPr>
        <w:t>五</w:t>
      </w:r>
      <w:r>
        <w:rPr>
          <w:rFonts w:hint="eastAsia" w:ascii="宋体" w:hAnsi="宋体" w:eastAsia="宋体" w:cs="宋体"/>
          <w:b/>
          <w:color w:val="auto"/>
          <w:kern w:val="0"/>
          <w:sz w:val="32"/>
          <w:szCs w:val="32"/>
          <w:highlight w:val="none"/>
        </w:rPr>
        <w:t>、本项目的特定资格要求（如果有）</w:t>
      </w:r>
    </w:p>
    <w:p w14:paraId="45B08644">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（根据竞争性磋商邀请公告本项目的特定资格要求提供相应的材料；未要求的，无需提供）</w:t>
      </w:r>
    </w:p>
    <w:p w14:paraId="29961FEA">
      <w:pP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77D1B56C">
      <w:pPr>
        <w:spacing w:line="360" w:lineRule="auto"/>
        <w:jc w:val="center"/>
        <w:outlineLvl w:val="0"/>
        <w:rPr>
          <w:rFonts w:hint="eastAsia" w:ascii="宋体" w:hAnsi="宋体" w:eastAsia="宋体" w:cs="宋体"/>
          <w:b/>
          <w:color w:val="auto"/>
          <w:kern w:val="0"/>
          <w:sz w:val="36"/>
          <w:szCs w:val="36"/>
          <w:highlight w:val="none"/>
        </w:rPr>
      </w:pPr>
      <w:bookmarkStart w:id="115" w:name="_Toc12639"/>
      <w:r>
        <w:rPr>
          <w:rFonts w:hint="eastAsia" w:ascii="宋体" w:hAnsi="宋体" w:eastAsia="宋体" w:cs="宋体"/>
          <w:b/>
          <w:color w:val="auto"/>
          <w:kern w:val="0"/>
          <w:sz w:val="36"/>
          <w:szCs w:val="36"/>
          <w:highlight w:val="none"/>
        </w:rPr>
        <w:t>商务技术文件部分</w:t>
      </w:r>
      <w:bookmarkEnd w:id="115"/>
    </w:p>
    <w:p w14:paraId="1BEA3FCE">
      <w:pPr>
        <w:rPr>
          <w:rFonts w:hint="eastAsia" w:ascii="宋体" w:hAnsi="宋体" w:eastAsia="宋体" w:cs="宋体"/>
          <w:color w:val="auto"/>
          <w:highlight w:val="none"/>
        </w:rPr>
      </w:pPr>
    </w:p>
    <w:p w14:paraId="36260174">
      <w:pPr>
        <w:spacing w:line="360" w:lineRule="auto"/>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目录</w:t>
      </w:r>
    </w:p>
    <w:p w14:paraId="4BAB9D6C">
      <w:pPr>
        <w:numPr>
          <w:ilvl w:val="0"/>
          <w:numId w:val="10"/>
        </w:numPr>
        <w:snapToGrid w:val="0"/>
        <w:spacing w:line="360" w:lineRule="auto"/>
        <w:ind w:hanging="5"/>
        <w:rPr>
          <w:rFonts w:hint="eastAsia" w:ascii="宋体" w:hAnsi="宋体" w:eastAsia="宋体" w:cs="宋体"/>
          <w:color w:val="auto"/>
          <w:sz w:val="24"/>
          <w:highlight w:val="none"/>
        </w:rPr>
      </w:pPr>
      <w:r>
        <w:rPr>
          <w:rFonts w:hint="eastAsia" w:ascii="宋体" w:hAnsi="宋体" w:eastAsia="宋体" w:cs="宋体"/>
          <w:color w:val="auto"/>
          <w:sz w:val="24"/>
          <w:highlight w:val="none"/>
        </w:rPr>
        <w:t>响应函…………………………………………………………………………（页码）</w:t>
      </w:r>
    </w:p>
    <w:p w14:paraId="4E9E22B9">
      <w:pPr>
        <w:numPr>
          <w:ilvl w:val="0"/>
          <w:numId w:val="10"/>
        </w:numPr>
        <w:snapToGrid w:val="0"/>
        <w:spacing w:line="360" w:lineRule="auto"/>
        <w:ind w:hanging="5"/>
        <w:rPr>
          <w:rFonts w:hint="eastAsia" w:ascii="宋体" w:hAnsi="宋体" w:eastAsia="宋体" w:cs="宋体"/>
          <w:color w:val="auto"/>
          <w:sz w:val="24"/>
          <w:highlight w:val="none"/>
        </w:rPr>
      </w:pPr>
      <w:r>
        <w:rPr>
          <w:rFonts w:hint="eastAsia" w:ascii="宋体" w:hAnsi="宋体" w:eastAsia="宋体" w:cs="宋体"/>
          <w:color w:val="auto"/>
          <w:sz w:val="24"/>
          <w:highlight w:val="none"/>
        </w:rPr>
        <w:t>授权委托书或法定代表人（单位负责人、自然人本人）身份证明………（页码）</w:t>
      </w:r>
    </w:p>
    <w:p w14:paraId="05A57DDE">
      <w:pPr>
        <w:numPr>
          <w:ilvl w:val="0"/>
          <w:numId w:val="10"/>
        </w:numPr>
        <w:snapToGrid w:val="0"/>
        <w:spacing w:line="360" w:lineRule="auto"/>
        <w:ind w:hanging="5"/>
        <w:rPr>
          <w:rFonts w:hint="eastAsia" w:ascii="宋体" w:hAnsi="宋体" w:eastAsia="宋体" w:cs="宋体"/>
          <w:color w:val="auto"/>
          <w:sz w:val="24"/>
          <w:highlight w:val="none"/>
        </w:rPr>
      </w:pPr>
      <w:r>
        <w:rPr>
          <w:rFonts w:hint="eastAsia" w:ascii="宋体" w:hAnsi="宋体" w:eastAsia="宋体" w:cs="宋体"/>
          <w:color w:val="auto"/>
          <w:sz w:val="24"/>
          <w:highlight w:val="none"/>
        </w:rPr>
        <w:t>分包意向协议…………………………………………………………………（页码）</w:t>
      </w:r>
    </w:p>
    <w:p w14:paraId="04901772">
      <w:pPr>
        <w:numPr>
          <w:ilvl w:val="0"/>
          <w:numId w:val="10"/>
        </w:numPr>
        <w:snapToGrid w:val="0"/>
        <w:spacing w:line="360" w:lineRule="auto"/>
        <w:ind w:hanging="5"/>
        <w:rPr>
          <w:rFonts w:hint="eastAsia" w:ascii="宋体" w:hAnsi="宋体" w:eastAsia="宋体" w:cs="宋体"/>
          <w:color w:val="auto"/>
          <w:sz w:val="24"/>
          <w:highlight w:val="none"/>
        </w:rPr>
      </w:pPr>
      <w:r>
        <w:rPr>
          <w:rFonts w:hint="eastAsia" w:ascii="宋体" w:hAnsi="宋体" w:eastAsia="宋体" w:cs="宋体"/>
          <w:color w:val="auto"/>
          <w:sz w:val="24"/>
          <w:highlight w:val="none"/>
        </w:rPr>
        <w:t>符合性审查资料………………………………………………………………（页码）</w:t>
      </w:r>
    </w:p>
    <w:p w14:paraId="29DB3292">
      <w:pPr>
        <w:numPr>
          <w:ilvl w:val="0"/>
          <w:numId w:val="10"/>
        </w:numPr>
        <w:snapToGrid w:val="0"/>
        <w:spacing w:line="360" w:lineRule="auto"/>
        <w:ind w:hanging="5"/>
        <w:rPr>
          <w:rFonts w:hint="eastAsia" w:ascii="宋体" w:hAnsi="宋体" w:eastAsia="宋体" w:cs="宋体"/>
          <w:color w:val="auto"/>
          <w:sz w:val="24"/>
          <w:highlight w:val="none"/>
        </w:rPr>
      </w:pPr>
      <w:r>
        <w:rPr>
          <w:rFonts w:hint="eastAsia" w:ascii="宋体" w:hAnsi="宋体" w:eastAsia="宋体" w:cs="宋体"/>
          <w:color w:val="auto"/>
          <w:sz w:val="24"/>
          <w:highlight w:val="none"/>
        </w:rPr>
        <w:t>评标标准相应的商务技术资料………………………………………………（页码）</w:t>
      </w:r>
    </w:p>
    <w:p w14:paraId="0DD203E0">
      <w:pPr>
        <w:numPr>
          <w:ilvl w:val="0"/>
          <w:numId w:val="10"/>
        </w:numPr>
        <w:snapToGrid w:val="0"/>
        <w:spacing w:line="360" w:lineRule="auto"/>
        <w:ind w:hanging="5"/>
        <w:rPr>
          <w:rFonts w:hint="eastAsia" w:ascii="宋体" w:hAnsi="宋体" w:eastAsia="宋体" w:cs="宋体"/>
          <w:color w:val="auto"/>
          <w:sz w:val="24"/>
          <w:highlight w:val="none"/>
        </w:rPr>
      </w:pPr>
      <w:r>
        <w:rPr>
          <w:rFonts w:hint="eastAsia" w:ascii="宋体" w:hAnsi="宋体" w:eastAsia="宋体" w:cs="宋体"/>
          <w:color w:val="auto"/>
          <w:sz w:val="24"/>
          <w:highlight w:val="none"/>
        </w:rPr>
        <w:t>标的清单………………………………………………………………………（页码）</w:t>
      </w:r>
    </w:p>
    <w:p w14:paraId="1F515144">
      <w:pPr>
        <w:numPr>
          <w:ilvl w:val="0"/>
          <w:numId w:val="10"/>
        </w:numPr>
        <w:snapToGrid w:val="0"/>
        <w:spacing w:line="360" w:lineRule="auto"/>
        <w:ind w:hanging="5"/>
        <w:rPr>
          <w:rFonts w:hint="eastAsia" w:ascii="宋体" w:hAnsi="宋体" w:eastAsia="宋体" w:cs="宋体"/>
          <w:color w:val="auto"/>
          <w:sz w:val="24"/>
          <w:highlight w:val="none"/>
        </w:rPr>
      </w:pPr>
      <w:r>
        <w:rPr>
          <w:rFonts w:hint="eastAsia" w:ascii="宋体" w:hAnsi="宋体" w:eastAsia="宋体" w:cs="宋体"/>
          <w:color w:val="auto"/>
          <w:sz w:val="24"/>
          <w:highlight w:val="none"/>
        </w:rPr>
        <w:t>商务技术偏离表………………………………………………………………（页码）</w:t>
      </w:r>
    </w:p>
    <w:p w14:paraId="163F31FC">
      <w:pPr>
        <w:numPr>
          <w:ilvl w:val="0"/>
          <w:numId w:val="10"/>
        </w:numPr>
        <w:snapToGrid w:val="0"/>
        <w:spacing w:line="360" w:lineRule="auto"/>
        <w:ind w:hanging="5"/>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政府采购供应商廉洁自律承诺书</w:t>
      </w:r>
      <w:r>
        <w:rPr>
          <w:rFonts w:hint="eastAsia" w:ascii="宋体" w:hAnsi="宋体" w:eastAsia="宋体" w:cs="宋体"/>
          <w:color w:val="auto"/>
          <w:sz w:val="24"/>
          <w:highlight w:val="none"/>
        </w:rPr>
        <w:t>……………………………………………（页码）</w:t>
      </w:r>
    </w:p>
    <w:p w14:paraId="16F96C8C">
      <w:pPr>
        <w:rPr>
          <w:rFonts w:hint="eastAsia" w:ascii="宋体" w:hAnsi="宋体" w:eastAsia="宋体" w:cs="宋体"/>
          <w:color w:val="auto"/>
          <w:sz w:val="24"/>
          <w:highlight w:val="none"/>
          <w:lang w:val="zh-CN"/>
        </w:rPr>
      </w:pPr>
    </w:p>
    <w:p w14:paraId="0BAB2086">
      <w:pPr>
        <w:rPr>
          <w:rFonts w:hint="eastAsia" w:ascii="宋体" w:hAnsi="宋体" w:eastAsia="宋体" w:cs="宋体"/>
          <w:color w:val="auto"/>
          <w:highlight w:val="none"/>
          <w:lang w:val="zh-CN"/>
        </w:rPr>
      </w:pPr>
    </w:p>
    <w:p w14:paraId="1B0357CF">
      <w:pPr>
        <w:rPr>
          <w:rFonts w:hint="eastAsia" w:ascii="宋体" w:hAnsi="宋体" w:eastAsia="宋体" w:cs="宋体"/>
          <w:color w:val="auto"/>
          <w:highlight w:val="none"/>
          <w:lang w:val="zh-CN"/>
        </w:rPr>
      </w:pPr>
    </w:p>
    <w:p w14:paraId="291AF449">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6786A664">
      <w:pPr>
        <w:snapToGrid w:val="0"/>
        <w:spacing w:line="360" w:lineRule="auto"/>
        <w:jc w:val="center"/>
        <w:outlineLvl w:val="0"/>
        <w:rPr>
          <w:rFonts w:hint="eastAsia" w:ascii="宋体" w:hAnsi="宋体" w:eastAsia="宋体" w:cs="宋体"/>
          <w:b/>
          <w:color w:val="auto"/>
          <w:kern w:val="0"/>
          <w:sz w:val="32"/>
          <w:szCs w:val="32"/>
          <w:highlight w:val="none"/>
          <w:lang w:val="zh-CN"/>
        </w:rPr>
      </w:pPr>
      <w:bookmarkStart w:id="116" w:name="_Toc7240"/>
      <w:r>
        <w:rPr>
          <w:rFonts w:hint="eastAsia" w:ascii="宋体" w:hAnsi="宋体" w:eastAsia="宋体" w:cs="宋体"/>
          <w:b/>
          <w:color w:val="auto"/>
          <w:kern w:val="0"/>
          <w:sz w:val="32"/>
          <w:szCs w:val="32"/>
          <w:highlight w:val="none"/>
          <w:lang w:val="zh-CN"/>
        </w:rPr>
        <w:t>一、响应函</w:t>
      </w:r>
      <w:bookmarkEnd w:id="116"/>
    </w:p>
    <w:p w14:paraId="29B5E0BA">
      <w:pPr>
        <w:snapToGrid w:val="0"/>
        <w:spacing w:line="3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（采购人）、（采购代理机构）</w:t>
      </w:r>
      <w:r>
        <w:rPr>
          <w:rFonts w:hint="eastAsia" w:ascii="宋体" w:hAnsi="宋体" w:eastAsia="宋体" w:cs="宋体"/>
          <w:color w:val="auto"/>
          <w:sz w:val="24"/>
          <w:highlight w:val="none"/>
        </w:rPr>
        <w:t>：</w:t>
      </w:r>
    </w:p>
    <w:p w14:paraId="4581AE40">
      <w:pPr>
        <w:snapToGrid w:val="0"/>
        <w:spacing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w:t>
      </w:r>
      <w:r>
        <w:rPr>
          <w:rFonts w:hint="eastAsia" w:ascii="宋体" w:hAnsi="宋体" w:eastAsia="宋体" w:cs="宋体"/>
          <w:color w:val="auto"/>
          <w:sz w:val="24"/>
          <w:highlight w:val="none"/>
          <w:u w:val="single"/>
        </w:rPr>
        <w:t>（项目名称）【编号：（采购编号）】</w:t>
      </w:r>
      <w:r>
        <w:rPr>
          <w:rFonts w:hint="eastAsia" w:ascii="宋体" w:hAnsi="宋体" w:eastAsia="宋体" w:cs="宋体"/>
          <w:color w:val="auto"/>
          <w:sz w:val="24"/>
          <w:highlight w:val="none"/>
        </w:rPr>
        <w:t>竞争性磋商的有关活动，并对此项目进行响应。为此：</w:t>
      </w:r>
    </w:p>
    <w:p w14:paraId="70E14649">
      <w:pPr>
        <w:numPr>
          <w:ilvl w:val="0"/>
          <w:numId w:val="11"/>
        </w:numPr>
        <w:snapToGrid w:val="0"/>
        <w:spacing w:line="3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我方承诺响应有效期从提交响应文件的截止之日起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本响应文件在响应有效期满之前均具有约束力。</w:t>
      </w:r>
    </w:p>
    <w:p w14:paraId="453E4FC5">
      <w:pPr>
        <w:numPr>
          <w:ilvl w:val="0"/>
          <w:numId w:val="11"/>
        </w:numPr>
        <w:snapToGrid w:val="0"/>
        <w:spacing w:line="3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我方的响应文件包括以下内容：</w:t>
      </w:r>
    </w:p>
    <w:p w14:paraId="71C95C65">
      <w:pPr>
        <w:numPr>
          <w:ilvl w:val="1"/>
          <w:numId w:val="12"/>
        </w:numPr>
        <w:snapToGrid w:val="0"/>
        <w:spacing w:line="360" w:lineRule="exac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资格文件：</w:t>
      </w:r>
    </w:p>
    <w:p w14:paraId="2B93A178">
      <w:pPr>
        <w:numPr>
          <w:ilvl w:val="2"/>
          <w:numId w:val="12"/>
        </w:numPr>
        <w:snapToGrid w:val="0"/>
        <w:spacing w:line="360" w:lineRule="exac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符合参加政府采购活动应当具备的一般条件的承诺函；</w:t>
      </w:r>
    </w:p>
    <w:p w14:paraId="1A055064">
      <w:pPr>
        <w:numPr>
          <w:ilvl w:val="2"/>
          <w:numId w:val="12"/>
        </w:numPr>
        <w:snapToGrid w:val="0"/>
        <w:spacing w:line="360" w:lineRule="exac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联合协议（如果有）；</w:t>
      </w:r>
    </w:p>
    <w:p w14:paraId="73856981">
      <w:pPr>
        <w:numPr>
          <w:ilvl w:val="2"/>
          <w:numId w:val="12"/>
        </w:numPr>
        <w:snapToGrid w:val="0"/>
        <w:spacing w:line="360" w:lineRule="exac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落实政府采购政策需满足的资格要求（如果有）；</w:t>
      </w:r>
    </w:p>
    <w:p w14:paraId="07505648">
      <w:pPr>
        <w:numPr>
          <w:ilvl w:val="2"/>
          <w:numId w:val="12"/>
        </w:numPr>
        <w:snapToGrid w:val="0"/>
        <w:spacing w:line="360" w:lineRule="exac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本项目的特定资格要求（如果有）。</w:t>
      </w:r>
    </w:p>
    <w:p w14:paraId="43B350A6">
      <w:pPr>
        <w:numPr>
          <w:ilvl w:val="1"/>
          <w:numId w:val="12"/>
        </w:numPr>
        <w:snapToGrid w:val="0"/>
        <w:spacing w:line="360" w:lineRule="exact"/>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rPr>
        <w:t>商务技术</w:t>
      </w:r>
      <w:r>
        <w:rPr>
          <w:rFonts w:hint="eastAsia" w:ascii="宋体" w:hAnsi="宋体" w:eastAsia="宋体" w:cs="宋体"/>
          <w:bCs/>
          <w:color w:val="auto"/>
          <w:sz w:val="24"/>
          <w:highlight w:val="none"/>
          <w:lang w:val="zh-CN"/>
        </w:rPr>
        <w:t>文件：</w:t>
      </w:r>
    </w:p>
    <w:p w14:paraId="47C71DBB">
      <w:pPr>
        <w:numPr>
          <w:ilvl w:val="2"/>
          <w:numId w:val="12"/>
        </w:numPr>
        <w:snapToGrid w:val="0"/>
        <w:spacing w:line="360" w:lineRule="exac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响应函；</w:t>
      </w:r>
      <w:r>
        <w:rPr>
          <w:rFonts w:hint="eastAsia" w:ascii="宋体" w:hAnsi="宋体" w:eastAsia="宋体" w:cs="宋体"/>
          <w:bCs/>
          <w:color w:val="auto"/>
          <w:sz w:val="24"/>
          <w:highlight w:val="none"/>
          <w:lang w:val="zh-CN"/>
        </w:rPr>
        <w:t xml:space="preserve"> </w:t>
      </w:r>
    </w:p>
    <w:p w14:paraId="4B9EEC47">
      <w:pPr>
        <w:numPr>
          <w:ilvl w:val="2"/>
          <w:numId w:val="12"/>
        </w:numPr>
        <w:snapToGrid w:val="0"/>
        <w:spacing w:line="360" w:lineRule="exac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授权委托书或法定代表人（单位负责人、自然人本人）身份证明；</w:t>
      </w:r>
    </w:p>
    <w:p w14:paraId="18C124B3">
      <w:pPr>
        <w:numPr>
          <w:ilvl w:val="2"/>
          <w:numId w:val="12"/>
        </w:numPr>
        <w:snapToGrid w:val="0"/>
        <w:spacing w:line="360" w:lineRule="exac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分包意向协议（如果有）；</w:t>
      </w:r>
    </w:p>
    <w:p w14:paraId="684E568B">
      <w:pPr>
        <w:numPr>
          <w:ilvl w:val="2"/>
          <w:numId w:val="12"/>
        </w:numPr>
        <w:snapToGrid w:val="0"/>
        <w:spacing w:line="360" w:lineRule="exac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符合性审查资料；</w:t>
      </w:r>
    </w:p>
    <w:p w14:paraId="6FF0D28F">
      <w:pPr>
        <w:numPr>
          <w:ilvl w:val="2"/>
          <w:numId w:val="12"/>
        </w:numPr>
        <w:snapToGrid w:val="0"/>
        <w:spacing w:line="360" w:lineRule="exac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评标标准相应的商务技术资料；</w:t>
      </w:r>
    </w:p>
    <w:p w14:paraId="2B034D0B">
      <w:pPr>
        <w:numPr>
          <w:ilvl w:val="2"/>
          <w:numId w:val="12"/>
        </w:numPr>
        <w:snapToGrid w:val="0"/>
        <w:spacing w:line="360" w:lineRule="exac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标的清单；</w:t>
      </w:r>
    </w:p>
    <w:p w14:paraId="3476CD8B">
      <w:pPr>
        <w:numPr>
          <w:ilvl w:val="2"/>
          <w:numId w:val="12"/>
        </w:numPr>
        <w:snapToGrid w:val="0"/>
        <w:spacing w:line="360" w:lineRule="exac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商务技术偏离表；</w:t>
      </w:r>
    </w:p>
    <w:p w14:paraId="720090E9">
      <w:pPr>
        <w:numPr>
          <w:ilvl w:val="2"/>
          <w:numId w:val="12"/>
        </w:numPr>
        <w:snapToGrid w:val="0"/>
        <w:spacing w:line="360" w:lineRule="exact"/>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政府采购供应商廉洁自律承诺书。</w:t>
      </w:r>
    </w:p>
    <w:p w14:paraId="2FA89494">
      <w:pPr>
        <w:numPr>
          <w:ilvl w:val="1"/>
          <w:numId w:val="12"/>
        </w:numPr>
        <w:snapToGrid w:val="0"/>
        <w:spacing w:line="360" w:lineRule="exact"/>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 xml:space="preserve">报价文件： </w:t>
      </w:r>
    </w:p>
    <w:p w14:paraId="09C31000">
      <w:pPr>
        <w:numPr>
          <w:ilvl w:val="2"/>
          <w:numId w:val="12"/>
        </w:numPr>
        <w:snapToGrid w:val="0"/>
        <w:spacing w:line="360" w:lineRule="exact"/>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初始报价一览表；</w:t>
      </w:r>
    </w:p>
    <w:p w14:paraId="05AF1265">
      <w:pPr>
        <w:numPr>
          <w:ilvl w:val="2"/>
          <w:numId w:val="12"/>
        </w:numPr>
        <w:snapToGrid w:val="0"/>
        <w:spacing w:line="360" w:lineRule="exact"/>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中小企业声明函</w:t>
      </w:r>
      <w:r>
        <w:rPr>
          <w:rFonts w:hint="eastAsia" w:ascii="宋体" w:hAnsi="宋体" w:eastAsia="宋体" w:cs="宋体"/>
          <w:bCs/>
          <w:color w:val="auto"/>
          <w:sz w:val="24"/>
          <w:highlight w:val="none"/>
        </w:rPr>
        <w:t>（如果有）</w:t>
      </w:r>
      <w:r>
        <w:rPr>
          <w:rFonts w:hint="eastAsia" w:ascii="宋体" w:hAnsi="宋体" w:eastAsia="宋体" w:cs="宋体"/>
          <w:bCs/>
          <w:color w:val="auto"/>
          <w:sz w:val="24"/>
          <w:highlight w:val="none"/>
          <w:lang w:val="zh-CN"/>
        </w:rPr>
        <w:t>。</w:t>
      </w:r>
    </w:p>
    <w:p w14:paraId="2874369A">
      <w:pPr>
        <w:snapToGrid w:val="0"/>
        <w:spacing w:line="36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我方承诺除商务技术偏离表列出的偏离外，我方响应磋商文件的全部要求。</w:t>
      </w:r>
    </w:p>
    <w:p w14:paraId="521FA37A">
      <w:pPr>
        <w:numPr>
          <w:ilvl w:val="0"/>
          <w:numId w:val="11"/>
        </w:numPr>
        <w:snapToGrid w:val="0"/>
        <w:spacing w:line="3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如我方成交，我方承诺：</w:t>
      </w:r>
    </w:p>
    <w:p w14:paraId="0460E287">
      <w:pPr>
        <w:numPr>
          <w:ilvl w:val="1"/>
          <w:numId w:val="13"/>
        </w:numPr>
        <w:snapToGrid w:val="0"/>
        <w:spacing w:line="360" w:lineRule="exact"/>
        <w:ind w:hanging="430"/>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 xml:space="preserve">在收到成交通知书后，在成交通知书规定的期限内与你方签订合同； </w:t>
      </w:r>
    </w:p>
    <w:p w14:paraId="42C207AC">
      <w:pPr>
        <w:numPr>
          <w:ilvl w:val="1"/>
          <w:numId w:val="13"/>
        </w:numPr>
        <w:snapToGrid w:val="0"/>
        <w:spacing w:line="360" w:lineRule="exact"/>
        <w:ind w:hanging="430"/>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 xml:space="preserve">在签订合同时不向你方提出附加条件； </w:t>
      </w:r>
    </w:p>
    <w:p w14:paraId="2EAAEC4C">
      <w:pPr>
        <w:numPr>
          <w:ilvl w:val="1"/>
          <w:numId w:val="13"/>
        </w:numPr>
        <w:snapToGrid w:val="0"/>
        <w:spacing w:line="360" w:lineRule="exact"/>
        <w:ind w:hanging="430"/>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 xml:space="preserve">按照磋商文件要求提交履约保证金； </w:t>
      </w:r>
    </w:p>
    <w:p w14:paraId="1359A21F">
      <w:pPr>
        <w:numPr>
          <w:ilvl w:val="1"/>
          <w:numId w:val="13"/>
        </w:numPr>
        <w:snapToGrid w:val="0"/>
        <w:spacing w:line="360" w:lineRule="exact"/>
        <w:ind w:hanging="430"/>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 xml:space="preserve">在合同约定的期限内完成合同规定的全部义务。 </w:t>
      </w:r>
    </w:p>
    <w:p w14:paraId="1ABF308E">
      <w:pPr>
        <w:numPr>
          <w:ilvl w:val="0"/>
          <w:numId w:val="11"/>
        </w:numPr>
        <w:snapToGrid w:val="0"/>
        <w:spacing w:line="3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其他补充说明: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5B6CF1B8">
      <w:pPr>
        <w:autoSpaceDE w:val="0"/>
        <w:autoSpaceDN w:val="0"/>
        <w:snapToGrid w:val="0"/>
        <w:spacing w:line="360" w:lineRule="exact"/>
        <w:ind w:firstLine="3960" w:firstLineChars="1650"/>
        <w:rPr>
          <w:rFonts w:hint="eastAsia" w:ascii="宋体" w:hAnsi="宋体" w:eastAsia="宋体" w:cs="宋体"/>
          <w:color w:val="auto"/>
          <w:kern w:val="0"/>
          <w:sz w:val="24"/>
          <w:highlight w:val="none"/>
          <w:lang w:val="zh-CN"/>
        </w:rPr>
      </w:pPr>
    </w:p>
    <w:p w14:paraId="4D67C90D">
      <w:pPr>
        <w:pStyle w:val="59"/>
        <w:ind w:firstLine="420"/>
        <w:rPr>
          <w:rFonts w:hint="eastAsia" w:ascii="宋体" w:hAnsi="宋体" w:eastAsia="宋体" w:cs="宋体"/>
          <w:color w:val="auto"/>
          <w:highlight w:val="none"/>
          <w:lang w:val="zh-CN"/>
        </w:rPr>
      </w:pPr>
    </w:p>
    <w:p w14:paraId="10E94345">
      <w:pPr>
        <w:snapToGrid w:val="0"/>
        <w:spacing w:line="360" w:lineRule="exact"/>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供应商名称（电子签名）：                          </w:t>
      </w:r>
    </w:p>
    <w:p w14:paraId="594D70FA">
      <w:pPr>
        <w:snapToGrid w:val="0"/>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619372BA">
      <w:pP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5AB8BF8A">
      <w:pPr>
        <w:widowControl/>
        <w:adjustRightInd/>
        <w:jc w:val="left"/>
        <w:rPr>
          <w:rFonts w:hint="eastAsia" w:ascii="宋体" w:hAnsi="宋体" w:eastAsia="宋体" w:cs="宋体"/>
          <w:b/>
          <w:color w:val="auto"/>
          <w:kern w:val="0"/>
          <w:sz w:val="32"/>
          <w:szCs w:val="32"/>
          <w:highlight w:val="none"/>
          <w:lang w:val="zh-CN"/>
        </w:rPr>
      </w:pPr>
    </w:p>
    <w:p w14:paraId="599AF640">
      <w:pPr>
        <w:snapToGrid w:val="0"/>
        <w:spacing w:line="360" w:lineRule="auto"/>
        <w:jc w:val="center"/>
        <w:outlineLvl w:val="0"/>
        <w:rPr>
          <w:rFonts w:hint="eastAsia" w:ascii="宋体" w:hAnsi="宋体" w:eastAsia="宋体" w:cs="宋体"/>
          <w:b/>
          <w:color w:val="auto"/>
          <w:kern w:val="0"/>
          <w:sz w:val="32"/>
          <w:szCs w:val="32"/>
          <w:highlight w:val="none"/>
          <w:lang w:val="zh-CN"/>
        </w:rPr>
      </w:pPr>
      <w:bookmarkStart w:id="117" w:name="_Toc3217"/>
      <w:r>
        <w:rPr>
          <w:rFonts w:hint="eastAsia" w:ascii="宋体" w:hAnsi="宋体" w:eastAsia="宋体" w:cs="宋体"/>
          <w:b/>
          <w:color w:val="auto"/>
          <w:kern w:val="0"/>
          <w:sz w:val="32"/>
          <w:szCs w:val="32"/>
          <w:highlight w:val="none"/>
          <w:lang w:val="zh-CN"/>
        </w:rPr>
        <w:t>二、授权委托书或法定代表人（单位负责人、自然人本人）身份证明</w:t>
      </w:r>
      <w:bookmarkEnd w:id="117"/>
    </w:p>
    <w:p w14:paraId="14A20FDD">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b/>
          <w:color w:val="auto"/>
          <w:kern w:val="0"/>
          <w:sz w:val="32"/>
          <w:szCs w:val="32"/>
          <w:highlight w:val="none"/>
          <w:lang w:val="zh-CN"/>
        </w:rPr>
        <w:t>授权委托书（适用于非联合体响应）</w:t>
      </w:r>
    </w:p>
    <w:p w14:paraId="6C84FEF8">
      <w:pPr>
        <w:snapToGrid w:val="0"/>
        <w:spacing w:line="360" w:lineRule="auto"/>
        <w:rPr>
          <w:rFonts w:hint="eastAsia" w:ascii="宋体" w:hAnsi="宋体" w:eastAsia="宋体" w:cs="宋体"/>
          <w:color w:val="auto"/>
          <w:sz w:val="24"/>
          <w:highlight w:val="none"/>
        </w:rPr>
      </w:pPr>
    </w:p>
    <w:p w14:paraId="2B3E180E">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31877A5F">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（项目名称）【编号：（采购编号）】</w:t>
      </w:r>
      <w:r>
        <w:rPr>
          <w:rFonts w:hint="eastAsia" w:ascii="宋体" w:hAnsi="宋体" w:eastAsia="宋体" w:cs="宋体"/>
          <w:color w:val="auto"/>
          <w:kern w:val="0"/>
          <w:sz w:val="24"/>
          <w:highlight w:val="none"/>
          <w:lang w:val="zh-CN"/>
        </w:rPr>
        <w:t>政府采购响应的一切事项，其法律后果由我方承担。</w:t>
      </w:r>
    </w:p>
    <w:p w14:paraId="2E1E5DF8">
      <w:pPr>
        <w:snapToGrid w:val="0"/>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lang w:val="zh-CN"/>
        </w:rPr>
        <w:t>日止。</w:t>
      </w:r>
    </w:p>
    <w:p w14:paraId="468DB940">
      <w:pPr>
        <w:snapToGrid w:val="0"/>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特此告知。</w:t>
      </w:r>
    </w:p>
    <w:p w14:paraId="5EB88322">
      <w:pPr>
        <w:pStyle w:val="2"/>
        <w:rPr>
          <w:rFonts w:hint="eastAsia" w:ascii="宋体" w:hAnsi="宋体" w:eastAsia="宋体" w:cs="宋体"/>
          <w:color w:val="auto"/>
          <w:highlight w:val="none"/>
        </w:rPr>
      </w:pPr>
    </w:p>
    <w:p w14:paraId="5D176788">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供应商名称(电子签名)：</w:t>
      </w:r>
    </w:p>
    <w:p w14:paraId="2D01136C">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14:paraId="2FA1B8BE">
      <w:pPr>
        <w:snapToGrid w:val="0"/>
        <w:spacing w:line="360" w:lineRule="auto"/>
        <w:rPr>
          <w:rFonts w:hint="eastAsia" w:ascii="宋体" w:hAnsi="宋体" w:eastAsia="宋体" w:cs="宋体"/>
          <w:color w:val="auto"/>
          <w:kern w:val="0"/>
          <w:sz w:val="24"/>
          <w:highlight w:val="none"/>
          <w:lang w:val="zh-CN"/>
        </w:rPr>
      </w:pPr>
    </w:p>
    <w:p w14:paraId="2D55B6B4">
      <w:pPr>
        <w:widowControl/>
        <w:adjustRightInd/>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授权委托书（适用于联合体响应）</w:t>
      </w:r>
    </w:p>
    <w:p w14:paraId="02DBC16E">
      <w:pPr>
        <w:snapToGrid w:val="0"/>
        <w:spacing w:line="360" w:lineRule="auto"/>
        <w:rPr>
          <w:rFonts w:hint="eastAsia" w:ascii="宋体" w:hAnsi="宋体" w:eastAsia="宋体" w:cs="宋体"/>
          <w:color w:val="auto"/>
          <w:sz w:val="24"/>
          <w:highlight w:val="none"/>
        </w:rPr>
      </w:pPr>
    </w:p>
    <w:p w14:paraId="596E9DEE">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7C24E346">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（项目名称）【编号：（采购编号）】</w:t>
      </w:r>
      <w:r>
        <w:rPr>
          <w:rFonts w:hint="eastAsia" w:ascii="宋体" w:hAnsi="宋体" w:eastAsia="宋体" w:cs="宋体"/>
          <w:color w:val="auto"/>
          <w:kern w:val="0"/>
          <w:sz w:val="24"/>
          <w:highlight w:val="none"/>
          <w:lang w:val="zh-CN"/>
        </w:rPr>
        <w:t>政府采购响应的一切事项，其法律后果由我方承担。</w:t>
      </w:r>
    </w:p>
    <w:p w14:paraId="2C357A66">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本授权书有效期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lang w:val="zh-CN"/>
        </w:rPr>
        <w:t>日止。</w:t>
      </w:r>
    </w:p>
    <w:p w14:paraId="4603B0A0">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582DD61D">
      <w:pPr>
        <w:jc w:val="center"/>
        <w:rPr>
          <w:rFonts w:hint="eastAsia" w:ascii="宋体" w:hAnsi="宋体" w:eastAsia="宋体" w:cs="宋体"/>
          <w:b/>
          <w:color w:val="auto"/>
          <w:kern w:val="0"/>
          <w:sz w:val="32"/>
          <w:szCs w:val="32"/>
          <w:highlight w:val="none"/>
        </w:rPr>
      </w:pPr>
    </w:p>
    <w:p w14:paraId="524FA6B5">
      <w:pPr>
        <w:jc w:val="center"/>
        <w:rPr>
          <w:rFonts w:hint="eastAsia" w:ascii="宋体" w:hAnsi="宋体" w:eastAsia="宋体" w:cs="宋体"/>
          <w:b/>
          <w:color w:val="auto"/>
          <w:kern w:val="0"/>
          <w:sz w:val="32"/>
          <w:szCs w:val="32"/>
          <w:highlight w:val="none"/>
        </w:rPr>
      </w:pPr>
    </w:p>
    <w:p w14:paraId="4F1DB8B5">
      <w:pPr>
        <w:rPr>
          <w:rFonts w:hint="eastAsia" w:ascii="宋体" w:hAnsi="宋体" w:eastAsia="宋体" w:cs="宋体"/>
          <w:color w:val="auto"/>
          <w:highlight w:val="none"/>
        </w:rPr>
      </w:pPr>
    </w:p>
    <w:p w14:paraId="2DF62512">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3990C97D">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2E30EF09">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3A7EC99C">
      <w:pPr>
        <w:snapToGrid w:val="0"/>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color w:val="auto"/>
          <w:kern w:val="0"/>
          <w:sz w:val="24"/>
          <w:highlight w:val="none"/>
          <w:lang w:val="zh-CN"/>
        </w:rPr>
        <w:t xml:space="preserve">                                               日期：  年  月   日</w:t>
      </w:r>
    </w:p>
    <w:p w14:paraId="3A2AFFD7">
      <w:pP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br w:type="page"/>
      </w:r>
    </w:p>
    <w:p w14:paraId="74F7AA3A">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0"/>
          <w:szCs w:val="30"/>
          <w:highlight w:val="none"/>
        </w:rPr>
        <w:t>的身份证明（适用于法定代表人、单位负责人或者自然人本人代表供应商参加响应）</w:t>
      </w:r>
    </w:p>
    <w:p w14:paraId="4D0C6002">
      <w:pPr>
        <w:pStyle w:val="62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0313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A13A7A8">
            <w:pPr>
              <w:pStyle w:val="620"/>
              <w:adjustRightIn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14:paraId="23AC9863">
            <w:pPr>
              <w:pStyle w:val="620"/>
              <w:adjustRightInd w:val="0"/>
              <w:spacing w:line="360" w:lineRule="auto"/>
              <w:rPr>
                <w:rFonts w:hint="eastAsia" w:ascii="宋体" w:hAnsi="宋体" w:eastAsia="宋体" w:cs="宋体"/>
                <w:bCs/>
                <w:color w:val="auto"/>
                <w:sz w:val="24"/>
                <w:highlight w:val="none"/>
              </w:rPr>
            </w:pPr>
          </w:p>
        </w:tc>
      </w:tr>
    </w:tbl>
    <w:p w14:paraId="57128EC7">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1B78C4AA">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供应商名称(电子签名)：                              </w:t>
      </w:r>
    </w:p>
    <w:p w14:paraId="0FCFFE5B">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3505EA03">
      <w:pPr>
        <w:pStyle w:val="2"/>
        <w:rPr>
          <w:rFonts w:hint="eastAsia" w:ascii="宋体" w:hAnsi="宋体" w:eastAsia="宋体" w:cs="宋体"/>
          <w:color w:val="auto"/>
          <w:highlight w:val="none"/>
        </w:rPr>
      </w:pPr>
    </w:p>
    <w:p w14:paraId="62602E75">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b/>
          <w:color w:val="auto"/>
          <w:sz w:val="30"/>
          <w:szCs w:val="30"/>
          <w:highlight w:val="none"/>
        </w:rPr>
        <w:t>授权代表的身份证（复印件）</w:t>
      </w:r>
    </w:p>
    <w:p w14:paraId="0FDF721D">
      <w:pPr>
        <w:pStyle w:val="62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71C79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2" w:hRule="atLeast"/>
          <w:jc w:val="center"/>
        </w:trPr>
        <w:tc>
          <w:tcPr>
            <w:tcW w:w="9207" w:type="dxa"/>
            <w:shd w:val="clear" w:color="auto" w:fill="auto"/>
          </w:tcPr>
          <w:p w14:paraId="124AC0B7">
            <w:pPr>
              <w:pStyle w:val="62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14:paraId="223755FF">
            <w:pPr>
              <w:pStyle w:val="620"/>
              <w:spacing w:line="360" w:lineRule="auto"/>
              <w:rPr>
                <w:rFonts w:hint="eastAsia" w:ascii="宋体" w:hAnsi="宋体" w:eastAsia="宋体" w:cs="宋体"/>
                <w:bCs/>
                <w:color w:val="auto"/>
                <w:sz w:val="24"/>
                <w:highlight w:val="none"/>
              </w:rPr>
            </w:pPr>
          </w:p>
        </w:tc>
      </w:tr>
    </w:tbl>
    <w:p w14:paraId="48D562B4">
      <w:pPr>
        <w:snapToGrid w:val="0"/>
        <w:spacing w:line="360" w:lineRule="auto"/>
        <w:ind w:firstLine="576"/>
        <w:jc w:val="right"/>
        <w:rPr>
          <w:rFonts w:hint="eastAsia" w:ascii="宋体" w:hAnsi="宋体" w:eastAsia="宋体" w:cs="宋体"/>
          <w:color w:val="auto"/>
          <w:kern w:val="0"/>
          <w:sz w:val="24"/>
          <w:highlight w:val="none"/>
          <w:lang w:val="zh-CN"/>
        </w:rPr>
      </w:pPr>
    </w:p>
    <w:p w14:paraId="6387DD97">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供应商名称(电子签名)：                              </w:t>
      </w:r>
    </w:p>
    <w:p w14:paraId="2E52E43B">
      <w:pPr>
        <w:spacing w:line="360" w:lineRule="auto"/>
        <w:jc w:val="center"/>
        <w:rPr>
          <w:rFonts w:hint="eastAsia" w:ascii="宋体" w:hAnsi="宋体" w:eastAsia="宋体" w:cs="宋体"/>
          <w:color w:val="auto"/>
          <w:sz w:val="28"/>
          <w:szCs w:val="28"/>
          <w:highlight w:val="none"/>
        </w:rPr>
      </w:pPr>
      <w:r>
        <w:rPr>
          <w:rFonts w:hint="eastAsia" w:ascii="宋体" w:hAnsi="宋体" w:eastAsia="宋体" w:cs="宋体"/>
          <w:color w:val="auto"/>
          <w:kern w:val="0"/>
          <w:sz w:val="24"/>
          <w:highlight w:val="none"/>
          <w:lang w:val="zh-CN"/>
        </w:rPr>
        <w:t xml:space="preserve">                   日期：  年  月</w:t>
      </w:r>
    </w:p>
    <w:p w14:paraId="52D61F89">
      <w:pPr>
        <w:widowControl/>
        <w:adjustRightInd/>
        <w:jc w:val="left"/>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br w:type="page"/>
      </w:r>
    </w:p>
    <w:p w14:paraId="03568CB4">
      <w:pPr>
        <w:rPr>
          <w:rFonts w:hint="eastAsia" w:ascii="宋体" w:hAnsi="宋体" w:eastAsia="宋体" w:cs="宋体"/>
          <w:b/>
          <w:color w:val="auto"/>
          <w:kern w:val="0"/>
          <w:sz w:val="32"/>
          <w:szCs w:val="32"/>
          <w:highlight w:val="none"/>
          <w:lang w:val="zh-CN"/>
        </w:rPr>
      </w:pPr>
    </w:p>
    <w:p w14:paraId="38D5D86B">
      <w:pPr>
        <w:snapToGrid w:val="0"/>
        <w:spacing w:line="360" w:lineRule="auto"/>
        <w:jc w:val="center"/>
        <w:outlineLvl w:val="0"/>
        <w:rPr>
          <w:rFonts w:hint="eastAsia" w:ascii="宋体" w:hAnsi="宋体" w:eastAsia="宋体" w:cs="宋体"/>
          <w:b/>
          <w:color w:val="auto"/>
          <w:kern w:val="0"/>
          <w:sz w:val="32"/>
          <w:szCs w:val="32"/>
          <w:highlight w:val="none"/>
          <w:lang w:val="zh-CN"/>
        </w:rPr>
      </w:pPr>
      <w:bookmarkStart w:id="118" w:name="_Toc1171"/>
      <w:r>
        <w:rPr>
          <w:rFonts w:hint="eastAsia" w:ascii="宋体" w:hAnsi="宋体" w:eastAsia="宋体" w:cs="宋体"/>
          <w:b/>
          <w:color w:val="auto"/>
          <w:kern w:val="0"/>
          <w:sz w:val="32"/>
          <w:szCs w:val="32"/>
          <w:highlight w:val="none"/>
          <w:lang w:val="zh-CN"/>
        </w:rPr>
        <w:t>三、分包意向协议（如果有）</w:t>
      </w:r>
      <w:bookmarkEnd w:id="118"/>
    </w:p>
    <w:p w14:paraId="64B12738">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成交后以分包方式履行合同的，提供分包意向协议（附件6）；采购人不同意分包或者供应商成交后不以分包方式履行合同的，则不需要提供。</w:t>
      </w:r>
      <w:r>
        <w:rPr>
          <w:rFonts w:hint="eastAsia" w:ascii="宋体" w:hAnsi="宋体" w:eastAsia="宋体" w:cs="宋体"/>
          <w:color w:val="auto"/>
          <w:sz w:val="24"/>
          <w:highlight w:val="none"/>
        </w:rPr>
        <w:t>）</w:t>
      </w:r>
    </w:p>
    <w:p w14:paraId="47CF91EF">
      <w:pPr>
        <w:rPr>
          <w:rFonts w:hint="eastAsia" w:ascii="宋体" w:hAnsi="宋体" w:eastAsia="宋体" w:cs="宋体"/>
          <w:b/>
          <w:color w:val="auto"/>
          <w:kern w:val="0"/>
          <w:sz w:val="32"/>
          <w:szCs w:val="32"/>
          <w:highlight w:val="none"/>
          <w:lang w:val="zh-CN"/>
        </w:rPr>
      </w:pPr>
    </w:p>
    <w:p w14:paraId="7022B43A">
      <w:pP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br w:type="page"/>
      </w:r>
    </w:p>
    <w:p w14:paraId="73D5DB9A">
      <w:pPr>
        <w:snapToGrid w:val="0"/>
        <w:spacing w:line="360" w:lineRule="auto"/>
        <w:jc w:val="center"/>
        <w:outlineLvl w:val="0"/>
        <w:rPr>
          <w:rFonts w:hint="eastAsia" w:ascii="宋体" w:hAnsi="宋体" w:eastAsia="宋体" w:cs="宋体"/>
          <w:b/>
          <w:color w:val="auto"/>
          <w:kern w:val="0"/>
          <w:sz w:val="32"/>
          <w:szCs w:val="32"/>
          <w:highlight w:val="none"/>
          <w:lang w:val="zh-CN"/>
        </w:rPr>
      </w:pPr>
      <w:bookmarkStart w:id="119" w:name="_Toc28198"/>
      <w:r>
        <w:rPr>
          <w:rFonts w:hint="eastAsia" w:ascii="宋体" w:hAnsi="宋体" w:eastAsia="宋体" w:cs="宋体"/>
          <w:b/>
          <w:color w:val="auto"/>
          <w:kern w:val="0"/>
          <w:sz w:val="32"/>
          <w:szCs w:val="32"/>
          <w:highlight w:val="none"/>
          <w:lang w:val="zh-CN"/>
        </w:rPr>
        <w:t>四、符合性审查资料</w:t>
      </w:r>
      <w:bookmarkEnd w:id="119"/>
    </w:p>
    <w:p w14:paraId="59FF8E6B">
      <w:pPr>
        <w:jc w:val="center"/>
        <w:rPr>
          <w:rFonts w:hint="eastAsia" w:ascii="宋体" w:hAnsi="宋体" w:eastAsia="宋体" w:cs="宋体"/>
          <w:b/>
          <w:color w:val="auto"/>
          <w:kern w:val="0"/>
          <w:sz w:val="32"/>
          <w:szCs w:val="32"/>
          <w:highlight w:val="none"/>
        </w:rPr>
      </w:pPr>
    </w:p>
    <w:tbl>
      <w:tblPr>
        <w:tblStyle w:val="60"/>
        <w:tblW w:w="91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245"/>
        <w:gridCol w:w="2551"/>
        <w:gridCol w:w="1672"/>
      </w:tblGrid>
      <w:tr w14:paraId="223C4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270CAD1">
            <w:pPr>
              <w:snapToGrid w:val="0"/>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4245" w:type="dxa"/>
            <w:vAlign w:val="center"/>
          </w:tcPr>
          <w:p w14:paraId="2E0EB17A">
            <w:pPr>
              <w:snapToGrid w:val="0"/>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2551" w:type="dxa"/>
            <w:vAlign w:val="center"/>
          </w:tcPr>
          <w:p w14:paraId="5161D09A">
            <w:pPr>
              <w:snapToGrid w:val="0"/>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c>
          <w:tcPr>
            <w:tcW w:w="1672" w:type="dxa"/>
            <w:vAlign w:val="center"/>
          </w:tcPr>
          <w:p w14:paraId="44FB578D">
            <w:pPr>
              <w:snapToGrid w:val="0"/>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响应文件中的页码位置</w:t>
            </w:r>
          </w:p>
        </w:tc>
      </w:tr>
      <w:tr w14:paraId="012FA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F87DA8A">
            <w:pPr>
              <w:snapToGrid w:val="0"/>
              <w:spacing w:line="400" w:lineRule="exact"/>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p>
        </w:tc>
        <w:tc>
          <w:tcPr>
            <w:tcW w:w="4245" w:type="dxa"/>
            <w:vAlign w:val="center"/>
          </w:tcPr>
          <w:p w14:paraId="0F930456">
            <w:pPr>
              <w:snapToGrid w:val="0"/>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响应文件按照磋商文件要求签署、盖章。</w:t>
            </w:r>
          </w:p>
        </w:tc>
        <w:tc>
          <w:tcPr>
            <w:tcW w:w="2551" w:type="dxa"/>
            <w:vAlign w:val="center"/>
          </w:tcPr>
          <w:p w14:paraId="534C12D9">
            <w:pPr>
              <w:snapToGrid w:val="0"/>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需要使用电子签名或者签字盖章的响应文件的组成部分</w:t>
            </w:r>
          </w:p>
        </w:tc>
        <w:tc>
          <w:tcPr>
            <w:tcW w:w="1672" w:type="dxa"/>
            <w:vAlign w:val="center"/>
          </w:tcPr>
          <w:p w14:paraId="4EAABC08">
            <w:pPr>
              <w:snapToGrid w:val="0"/>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见响应文件</w:t>
            </w:r>
          </w:p>
          <w:p w14:paraId="09D2380C">
            <w:pPr>
              <w:snapToGrid w:val="0"/>
              <w:spacing w:line="400" w:lineRule="exact"/>
              <w:rPr>
                <w:rFonts w:hint="eastAsia" w:ascii="宋体" w:hAnsi="宋体" w:eastAsia="宋体" w:cs="宋体"/>
                <w:color w:val="auto"/>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2C237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11AC6D5">
            <w:pPr>
              <w:snapToGrid w:val="0"/>
              <w:spacing w:line="400" w:lineRule="exact"/>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w:t>
            </w:r>
          </w:p>
        </w:tc>
        <w:tc>
          <w:tcPr>
            <w:tcW w:w="4245" w:type="dxa"/>
            <w:vAlign w:val="center"/>
          </w:tcPr>
          <w:p w14:paraId="22334AED">
            <w:pPr>
              <w:snapToGrid w:val="0"/>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响应文件中承诺的响应有效期不少于磋商文件中载明的响应有效期。</w:t>
            </w:r>
          </w:p>
        </w:tc>
        <w:tc>
          <w:tcPr>
            <w:tcW w:w="2551" w:type="dxa"/>
            <w:vAlign w:val="center"/>
          </w:tcPr>
          <w:p w14:paraId="27DAFA1B">
            <w:pPr>
              <w:snapToGrid w:val="0"/>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响应函</w:t>
            </w:r>
          </w:p>
        </w:tc>
        <w:tc>
          <w:tcPr>
            <w:tcW w:w="1672" w:type="dxa"/>
            <w:vAlign w:val="center"/>
          </w:tcPr>
          <w:p w14:paraId="41716783">
            <w:pPr>
              <w:snapToGrid w:val="0"/>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见响应文件</w:t>
            </w:r>
          </w:p>
          <w:p w14:paraId="3FDCC668">
            <w:pPr>
              <w:snapToGrid w:val="0"/>
              <w:spacing w:line="400" w:lineRule="exact"/>
              <w:rPr>
                <w:rFonts w:hint="eastAsia" w:ascii="宋体" w:hAnsi="宋体" w:eastAsia="宋体" w:cs="宋体"/>
                <w:color w:val="auto"/>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407CF7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8DB51A4">
            <w:pPr>
              <w:snapToGrid w:val="0"/>
              <w:spacing w:line="400" w:lineRule="exact"/>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3</w:t>
            </w:r>
          </w:p>
        </w:tc>
        <w:tc>
          <w:tcPr>
            <w:tcW w:w="4245" w:type="dxa"/>
            <w:vAlign w:val="center"/>
          </w:tcPr>
          <w:p w14:paraId="0021A1B3">
            <w:pPr>
              <w:snapToGrid w:val="0"/>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响应文件满足磋商文件的其它实质性要求。</w:t>
            </w:r>
          </w:p>
        </w:tc>
        <w:tc>
          <w:tcPr>
            <w:tcW w:w="2551" w:type="dxa"/>
            <w:vAlign w:val="center"/>
          </w:tcPr>
          <w:p w14:paraId="4FE7799D">
            <w:pPr>
              <w:snapToGrid w:val="0"/>
              <w:spacing w:line="400" w:lineRule="exac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磋商文件其它实质性要求相应的材料（“▲” 系指实质性要求条款，磋商文件无其它实质性要求的，无需提供）</w:t>
            </w:r>
          </w:p>
        </w:tc>
        <w:tc>
          <w:tcPr>
            <w:tcW w:w="1672" w:type="dxa"/>
            <w:vAlign w:val="center"/>
          </w:tcPr>
          <w:p w14:paraId="369DF2C6">
            <w:pPr>
              <w:snapToGrid w:val="0"/>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见响应文件</w:t>
            </w:r>
          </w:p>
          <w:p w14:paraId="39A2FDAA">
            <w:pPr>
              <w:snapToGrid w:val="0"/>
              <w:spacing w:line="400" w:lineRule="exact"/>
              <w:rPr>
                <w:rFonts w:hint="eastAsia" w:ascii="宋体" w:hAnsi="宋体" w:eastAsia="宋体" w:cs="宋体"/>
                <w:color w:val="auto"/>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bl>
    <w:p w14:paraId="2E90FDE3">
      <w:pPr>
        <w:jc w:val="center"/>
        <w:rPr>
          <w:rFonts w:hint="eastAsia" w:ascii="宋体" w:hAnsi="宋体" w:eastAsia="宋体" w:cs="宋体"/>
          <w:b/>
          <w:color w:val="auto"/>
          <w:kern w:val="0"/>
          <w:sz w:val="32"/>
          <w:szCs w:val="32"/>
          <w:highlight w:val="none"/>
        </w:rPr>
      </w:pPr>
    </w:p>
    <w:p w14:paraId="2D504D52">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 xml:space="preserve">            </w:t>
      </w:r>
    </w:p>
    <w:p w14:paraId="36B0D5A5">
      <w:pPr>
        <w:jc w:val="center"/>
        <w:rPr>
          <w:rFonts w:hint="eastAsia" w:ascii="宋体" w:hAnsi="宋体" w:eastAsia="宋体" w:cs="宋体"/>
          <w:b/>
          <w:color w:val="auto"/>
          <w:kern w:val="0"/>
          <w:sz w:val="32"/>
          <w:szCs w:val="32"/>
          <w:highlight w:val="none"/>
        </w:rPr>
      </w:pPr>
    </w:p>
    <w:p w14:paraId="34ED47C2">
      <w:pPr>
        <w:jc w:val="center"/>
        <w:rPr>
          <w:rFonts w:hint="eastAsia" w:ascii="宋体" w:hAnsi="宋体" w:eastAsia="宋体" w:cs="宋体"/>
          <w:b/>
          <w:color w:val="auto"/>
          <w:kern w:val="0"/>
          <w:sz w:val="32"/>
          <w:szCs w:val="32"/>
          <w:highlight w:val="none"/>
        </w:rPr>
      </w:pPr>
    </w:p>
    <w:p w14:paraId="092F7855">
      <w:pPr>
        <w:jc w:val="center"/>
        <w:rPr>
          <w:rFonts w:hint="eastAsia" w:ascii="宋体" w:hAnsi="宋体" w:eastAsia="宋体" w:cs="宋体"/>
          <w:b/>
          <w:color w:val="auto"/>
          <w:kern w:val="0"/>
          <w:sz w:val="32"/>
          <w:szCs w:val="32"/>
          <w:highlight w:val="none"/>
        </w:rPr>
      </w:pPr>
    </w:p>
    <w:p w14:paraId="1C39491F">
      <w:pPr>
        <w:jc w:val="center"/>
        <w:rPr>
          <w:rFonts w:hint="eastAsia" w:ascii="宋体" w:hAnsi="宋体" w:eastAsia="宋体" w:cs="宋体"/>
          <w:b/>
          <w:color w:val="auto"/>
          <w:kern w:val="0"/>
          <w:sz w:val="32"/>
          <w:szCs w:val="32"/>
          <w:highlight w:val="none"/>
        </w:rPr>
      </w:pPr>
    </w:p>
    <w:p w14:paraId="62A45458">
      <w:pPr>
        <w:jc w:val="center"/>
        <w:rPr>
          <w:rFonts w:hint="eastAsia" w:ascii="宋体" w:hAnsi="宋体" w:eastAsia="宋体" w:cs="宋体"/>
          <w:b/>
          <w:color w:val="auto"/>
          <w:kern w:val="0"/>
          <w:sz w:val="32"/>
          <w:szCs w:val="32"/>
          <w:highlight w:val="none"/>
        </w:rPr>
      </w:pPr>
    </w:p>
    <w:p w14:paraId="1BA2DF32">
      <w:pPr>
        <w:jc w:val="center"/>
        <w:rPr>
          <w:rFonts w:hint="eastAsia" w:ascii="宋体" w:hAnsi="宋体" w:eastAsia="宋体" w:cs="宋体"/>
          <w:b/>
          <w:color w:val="auto"/>
          <w:kern w:val="0"/>
          <w:sz w:val="32"/>
          <w:szCs w:val="32"/>
          <w:highlight w:val="none"/>
        </w:rPr>
      </w:pPr>
    </w:p>
    <w:p w14:paraId="79F0541E">
      <w:pPr>
        <w:jc w:val="center"/>
        <w:rPr>
          <w:rFonts w:hint="eastAsia" w:ascii="宋体" w:hAnsi="宋体" w:eastAsia="宋体" w:cs="宋体"/>
          <w:b/>
          <w:color w:val="auto"/>
          <w:kern w:val="0"/>
          <w:sz w:val="32"/>
          <w:szCs w:val="32"/>
          <w:highlight w:val="none"/>
        </w:rPr>
      </w:pPr>
    </w:p>
    <w:p w14:paraId="2F2C2C42">
      <w:pPr>
        <w:jc w:val="center"/>
        <w:rPr>
          <w:rFonts w:hint="eastAsia" w:ascii="宋体" w:hAnsi="宋体" w:eastAsia="宋体" w:cs="宋体"/>
          <w:b/>
          <w:color w:val="auto"/>
          <w:kern w:val="0"/>
          <w:sz w:val="32"/>
          <w:szCs w:val="32"/>
          <w:highlight w:val="none"/>
        </w:rPr>
      </w:pPr>
    </w:p>
    <w:p w14:paraId="2760C7DD">
      <w:pPr>
        <w:jc w:val="center"/>
        <w:rPr>
          <w:rFonts w:hint="eastAsia" w:ascii="宋体" w:hAnsi="宋体" w:eastAsia="宋体" w:cs="宋体"/>
          <w:b/>
          <w:color w:val="auto"/>
          <w:kern w:val="0"/>
          <w:sz w:val="32"/>
          <w:szCs w:val="32"/>
          <w:highlight w:val="none"/>
        </w:rPr>
      </w:pPr>
    </w:p>
    <w:p w14:paraId="06AC28CA">
      <w:pPr>
        <w:jc w:val="center"/>
        <w:rPr>
          <w:rFonts w:hint="eastAsia" w:ascii="宋体" w:hAnsi="宋体" w:eastAsia="宋体" w:cs="宋体"/>
          <w:b/>
          <w:color w:val="auto"/>
          <w:kern w:val="0"/>
          <w:sz w:val="32"/>
          <w:szCs w:val="32"/>
          <w:highlight w:val="none"/>
        </w:rPr>
      </w:pPr>
    </w:p>
    <w:p w14:paraId="18D737C9">
      <w:pPr>
        <w:jc w:val="center"/>
        <w:rPr>
          <w:rFonts w:hint="eastAsia" w:ascii="宋体" w:hAnsi="宋体" w:eastAsia="宋体" w:cs="宋体"/>
          <w:b/>
          <w:color w:val="auto"/>
          <w:kern w:val="0"/>
          <w:sz w:val="32"/>
          <w:szCs w:val="32"/>
          <w:highlight w:val="none"/>
        </w:rPr>
      </w:pPr>
    </w:p>
    <w:p w14:paraId="36FFC76B">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50EDFDEF">
      <w:pPr>
        <w:snapToGrid w:val="0"/>
        <w:spacing w:line="360" w:lineRule="auto"/>
        <w:jc w:val="center"/>
        <w:outlineLvl w:val="0"/>
        <w:rPr>
          <w:rFonts w:hint="eastAsia" w:ascii="宋体" w:hAnsi="宋体" w:eastAsia="宋体" w:cs="宋体"/>
          <w:b/>
          <w:color w:val="auto"/>
          <w:kern w:val="0"/>
          <w:sz w:val="32"/>
          <w:szCs w:val="32"/>
          <w:highlight w:val="none"/>
          <w:lang w:val="zh-CN"/>
        </w:rPr>
      </w:pPr>
      <w:bookmarkStart w:id="120" w:name="_Toc30742"/>
      <w:r>
        <w:rPr>
          <w:rFonts w:hint="eastAsia" w:ascii="宋体" w:hAnsi="宋体" w:eastAsia="宋体" w:cs="宋体"/>
          <w:b/>
          <w:color w:val="auto"/>
          <w:kern w:val="0"/>
          <w:sz w:val="32"/>
          <w:szCs w:val="32"/>
          <w:highlight w:val="none"/>
          <w:lang w:val="zh-CN"/>
        </w:rPr>
        <w:t>五、评标标准相应的商务技术资料</w:t>
      </w:r>
      <w:bookmarkEnd w:id="120"/>
    </w:p>
    <w:p w14:paraId="50975ED1">
      <w:pPr>
        <w:snapToGrid w:val="0"/>
        <w:spacing w:line="360" w:lineRule="auto"/>
        <w:jc w:val="left"/>
        <w:rPr>
          <w:rFonts w:hint="eastAsia" w:ascii="宋体" w:hAnsi="宋体" w:eastAsia="宋体" w:cs="宋体"/>
          <w:b/>
          <w:color w:val="auto"/>
          <w:sz w:val="24"/>
          <w:highlight w:val="none"/>
        </w:rPr>
      </w:pPr>
    </w:p>
    <w:p w14:paraId="501ABD65">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（按磋商文件第五部分评标办法前附表中“响应文件中评标标准相应的商务技术资料目录”提供资料）</w:t>
      </w:r>
    </w:p>
    <w:p w14:paraId="37586AAE">
      <w:pPr>
        <w:rPr>
          <w:rFonts w:hint="eastAsia" w:ascii="宋体" w:hAnsi="宋体" w:eastAsia="宋体" w:cs="宋体"/>
          <w:b/>
          <w:color w:val="auto"/>
          <w:kern w:val="0"/>
          <w:sz w:val="32"/>
          <w:szCs w:val="32"/>
          <w:highlight w:val="none"/>
          <w:lang w:val="zh-CN"/>
        </w:rPr>
      </w:pPr>
    </w:p>
    <w:p w14:paraId="21955C8F">
      <w:pPr>
        <w:spacing w:line="360" w:lineRule="auto"/>
        <w:jc w:val="center"/>
        <w:rPr>
          <w:rFonts w:hint="eastAsia" w:ascii="宋体" w:hAnsi="宋体" w:eastAsia="宋体" w:cs="宋体"/>
          <w:b/>
          <w:bCs/>
          <w:color w:val="auto"/>
          <w:sz w:val="32"/>
          <w:szCs w:val="32"/>
          <w:highlight w:val="none"/>
        </w:rPr>
      </w:pPr>
    </w:p>
    <w:p w14:paraId="37695FC2">
      <w:pPr>
        <w:spacing w:line="360" w:lineRule="auto"/>
        <w:rPr>
          <w:rFonts w:hint="eastAsia" w:ascii="宋体" w:hAnsi="宋体" w:eastAsia="宋体" w:cs="宋体"/>
          <w:b/>
          <w:bCs/>
          <w:color w:val="auto"/>
          <w:kern w:val="0"/>
          <w:sz w:val="24"/>
          <w:highlight w:val="none"/>
        </w:rPr>
      </w:pPr>
    </w:p>
    <w:p w14:paraId="7AC2441F">
      <w:pPr>
        <w:widowControl/>
        <w:adjustRightInd/>
        <w:jc w:val="left"/>
        <w:rPr>
          <w:rFonts w:hint="eastAsia" w:ascii="宋体" w:hAnsi="宋体" w:eastAsia="宋体" w:cs="宋体"/>
          <w:b/>
          <w:color w:val="auto"/>
          <w:sz w:val="32"/>
          <w:szCs w:val="32"/>
          <w:highlight w:val="none"/>
        </w:rPr>
      </w:pPr>
      <w:r>
        <w:rPr>
          <w:rFonts w:hint="eastAsia" w:ascii="宋体" w:hAnsi="宋体" w:eastAsia="宋体" w:cs="宋体"/>
          <w:color w:val="auto"/>
          <w:highlight w:val="none"/>
        </w:rPr>
        <w:br w:type="page"/>
      </w:r>
    </w:p>
    <w:p w14:paraId="7D614B4B">
      <w:pPr>
        <w:snapToGrid w:val="0"/>
        <w:spacing w:line="360" w:lineRule="auto"/>
        <w:jc w:val="center"/>
        <w:outlineLvl w:val="1"/>
        <w:rPr>
          <w:rFonts w:hint="eastAsia" w:ascii="宋体" w:hAnsi="宋体" w:eastAsia="宋体" w:cs="宋体"/>
          <w:b/>
          <w:color w:val="auto"/>
          <w:kern w:val="0"/>
          <w:sz w:val="32"/>
          <w:szCs w:val="32"/>
          <w:highlight w:val="none"/>
          <w:lang w:val="zh-CN"/>
        </w:rPr>
      </w:pPr>
      <w:bookmarkStart w:id="121" w:name="_Toc5117"/>
      <w:r>
        <w:rPr>
          <w:rFonts w:hint="eastAsia" w:ascii="宋体" w:hAnsi="宋体" w:eastAsia="宋体" w:cs="宋体"/>
          <w:b/>
          <w:color w:val="auto"/>
          <w:kern w:val="0"/>
          <w:sz w:val="32"/>
          <w:szCs w:val="32"/>
          <w:highlight w:val="none"/>
          <w:lang w:val="zh-CN"/>
        </w:rPr>
        <w:t>六、标的清单</w:t>
      </w:r>
      <w:bookmarkEnd w:id="121"/>
    </w:p>
    <w:tbl>
      <w:tblPr>
        <w:tblStyle w:val="60"/>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179F0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B3ABBD2">
            <w:pPr>
              <w:snapToGrid w:val="0"/>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61B0984">
            <w:pPr>
              <w:snapToGrid w:val="0"/>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vAlign w:val="center"/>
          </w:tcPr>
          <w:p w14:paraId="093F8ED5">
            <w:pPr>
              <w:snapToGrid w:val="0"/>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016D7543">
            <w:pPr>
              <w:snapToGrid w:val="0"/>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0538DE04">
            <w:pPr>
              <w:snapToGrid w:val="0"/>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4C3EE901">
            <w:pPr>
              <w:snapToGrid w:val="0"/>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4B3DE18A">
            <w:pPr>
              <w:snapToGrid w:val="0"/>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备注（如果有）</w:t>
            </w:r>
          </w:p>
        </w:tc>
      </w:tr>
      <w:tr w14:paraId="67624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15BBCFB">
            <w:pPr>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30F4F7F8">
            <w:pPr>
              <w:snapToGrid w:val="0"/>
              <w:spacing w:line="400" w:lineRule="exact"/>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4F110C3B">
            <w:pPr>
              <w:snapToGrid w:val="0"/>
              <w:spacing w:line="400" w:lineRule="exact"/>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B421F19">
            <w:pPr>
              <w:snapToGrid w:val="0"/>
              <w:spacing w:line="400" w:lineRule="exact"/>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33650DC">
            <w:pPr>
              <w:snapToGrid w:val="0"/>
              <w:spacing w:line="400" w:lineRule="exact"/>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5801839E">
            <w:pPr>
              <w:snapToGrid w:val="0"/>
              <w:spacing w:line="400" w:lineRule="exact"/>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69871934">
            <w:pPr>
              <w:snapToGrid w:val="0"/>
              <w:spacing w:line="400" w:lineRule="exact"/>
              <w:jc w:val="center"/>
              <w:rPr>
                <w:rFonts w:hint="eastAsia" w:ascii="宋体" w:hAnsi="宋体" w:eastAsia="宋体" w:cs="宋体"/>
                <w:color w:val="auto"/>
                <w:sz w:val="24"/>
                <w:highlight w:val="none"/>
              </w:rPr>
            </w:pPr>
          </w:p>
        </w:tc>
      </w:tr>
      <w:tr w14:paraId="31FEE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664A626">
            <w:pPr>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018708D5">
            <w:pPr>
              <w:snapToGrid w:val="0"/>
              <w:spacing w:line="400" w:lineRule="exact"/>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00F8FD26">
            <w:pPr>
              <w:snapToGrid w:val="0"/>
              <w:spacing w:line="400" w:lineRule="exact"/>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3591060">
            <w:pPr>
              <w:snapToGrid w:val="0"/>
              <w:spacing w:line="400" w:lineRule="exact"/>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0D1D40A6">
            <w:pPr>
              <w:snapToGrid w:val="0"/>
              <w:spacing w:line="400" w:lineRule="exact"/>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334E6A22">
            <w:pPr>
              <w:snapToGrid w:val="0"/>
              <w:spacing w:line="400" w:lineRule="exact"/>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1C84FD59">
            <w:pPr>
              <w:snapToGrid w:val="0"/>
              <w:spacing w:line="400" w:lineRule="exact"/>
              <w:jc w:val="center"/>
              <w:rPr>
                <w:rFonts w:hint="eastAsia" w:ascii="宋体" w:hAnsi="宋体" w:eastAsia="宋体" w:cs="宋体"/>
                <w:color w:val="auto"/>
                <w:sz w:val="24"/>
                <w:highlight w:val="none"/>
              </w:rPr>
            </w:pPr>
          </w:p>
        </w:tc>
      </w:tr>
      <w:tr w14:paraId="0E184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82C1424">
            <w:pPr>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5C41DA5C">
            <w:pPr>
              <w:snapToGrid w:val="0"/>
              <w:spacing w:line="400" w:lineRule="exact"/>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4CD0325C">
            <w:pPr>
              <w:snapToGrid w:val="0"/>
              <w:spacing w:line="400" w:lineRule="exact"/>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D7B9E66">
            <w:pPr>
              <w:snapToGrid w:val="0"/>
              <w:spacing w:line="400" w:lineRule="exact"/>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B2A4A8F">
            <w:pPr>
              <w:snapToGrid w:val="0"/>
              <w:spacing w:line="400" w:lineRule="exact"/>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7E0370AC">
            <w:pPr>
              <w:snapToGrid w:val="0"/>
              <w:spacing w:line="400" w:lineRule="exact"/>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4B6DFABB">
            <w:pPr>
              <w:snapToGrid w:val="0"/>
              <w:spacing w:line="400" w:lineRule="exact"/>
              <w:jc w:val="center"/>
              <w:rPr>
                <w:rFonts w:hint="eastAsia" w:ascii="宋体" w:hAnsi="宋体" w:eastAsia="宋体" w:cs="宋体"/>
                <w:color w:val="auto"/>
                <w:sz w:val="24"/>
                <w:highlight w:val="none"/>
              </w:rPr>
            </w:pPr>
          </w:p>
        </w:tc>
      </w:tr>
    </w:tbl>
    <w:p w14:paraId="19736092">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0080358B">
      <w:pPr>
        <w:pStyle w:val="59"/>
        <w:ind w:left="0" w:leftChars="0" w:firstLine="0" w:firstLineChars="0"/>
        <w:rPr>
          <w:rFonts w:hint="eastAsia" w:ascii="宋体" w:hAnsi="宋体" w:eastAsia="宋体" w:cs="宋体"/>
          <w:color w:val="auto"/>
          <w:sz w:val="24"/>
          <w:highlight w:val="none"/>
        </w:rPr>
      </w:pPr>
    </w:p>
    <w:p w14:paraId="39E1043A">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51F01DB2">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1806E642">
      <w:pPr>
        <w:pStyle w:val="59"/>
        <w:ind w:left="0" w:leftChars="0" w:firstLine="0" w:firstLineChars="0"/>
        <w:rPr>
          <w:rFonts w:hint="eastAsia" w:ascii="宋体" w:hAnsi="宋体" w:eastAsia="宋体" w:cs="宋体"/>
          <w:color w:val="auto"/>
          <w:sz w:val="24"/>
          <w:highlight w:val="none"/>
        </w:rPr>
      </w:pPr>
    </w:p>
    <w:p w14:paraId="4D660048">
      <w:pPr>
        <w:pStyle w:val="59"/>
        <w:ind w:firstLine="420"/>
        <w:rPr>
          <w:rFonts w:hint="eastAsia" w:ascii="宋体" w:hAnsi="宋体" w:eastAsia="宋体" w:cs="宋体"/>
          <w:color w:val="auto"/>
          <w:highlight w:val="none"/>
        </w:rPr>
      </w:pPr>
    </w:p>
    <w:p w14:paraId="71F48AD7">
      <w:pPr>
        <w:rPr>
          <w:rFonts w:hint="eastAsia" w:ascii="宋体" w:hAnsi="宋体" w:eastAsia="宋体" w:cs="宋体"/>
          <w:b/>
          <w:color w:val="auto"/>
          <w:kern w:val="0"/>
          <w:sz w:val="32"/>
          <w:szCs w:val="32"/>
          <w:highlight w:val="none"/>
          <w:lang w:val="zh-CN"/>
        </w:rPr>
      </w:pPr>
    </w:p>
    <w:p w14:paraId="7384D6DD">
      <w:pPr>
        <w:snapToGrid w:val="0"/>
        <w:spacing w:line="360" w:lineRule="auto"/>
        <w:jc w:val="center"/>
        <w:outlineLvl w:val="0"/>
        <w:rPr>
          <w:rFonts w:hint="eastAsia" w:ascii="宋体" w:hAnsi="宋体" w:eastAsia="宋体" w:cs="宋体"/>
          <w:b/>
          <w:color w:val="auto"/>
          <w:kern w:val="0"/>
          <w:sz w:val="32"/>
          <w:szCs w:val="32"/>
          <w:highlight w:val="none"/>
          <w:lang w:val="zh-CN"/>
        </w:rPr>
      </w:pPr>
      <w:bookmarkStart w:id="122" w:name="_Toc10766"/>
      <w:r>
        <w:rPr>
          <w:rFonts w:hint="eastAsia" w:ascii="宋体" w:hAnsi="宋体" w:eastAsia="宋体" w:cs="宋体"/>
          <w:b/>
          <w:color w:val="auto"/>
          <w:kern w:val="0"/>
          <w:sz w:val="32"/>
          <w:szCs w:val="32"/>
          <w:highlight w:val="none"/>
          <w:lang w:val="zh-CN"/>
        </w:rPr>
        <w:t>七、商务技术偏离表</w:t>
      </w:r>
      <w:bookmarkEnd w:id="122"/>
    </w:p>
    <w:p w14:paraId="41CE940D">
      <w:pPr>
        <w:jc w:val="center"/>
        <w:rPr>
          <w:rFonts w:hint="eastAsia" w:ascii="宋体" w:hAnsi="宋体" w:eastAsia="宋体" w:cs="宋体"/>
          <w:b/>
          <w:bCs/>
          <w:color w:val="auto"/>
          <w:sz w:val="24"/>
          <w:highlight w:val="none"/>
        </w:rPr>
      </w:pPr>
    </w:p>
    <w:tbl>
      <w:tblPr>
        <w:tblStyle w:val="61"/>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053F3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4346B99B">
            <w:pPr>
              <w:snapToGrid w:val="0"/>
              <w:spacing w:line="40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683" w:type="dxa"/>
            <w:vAlign w:val="center"/>
          </w:tcPr>
          <w:p w14:paraId="2EAE8A0B">
            <w:pPr>
              <w:snapToGrid w:val="0"/>
              <w:spacing w:line="40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磋商文件章节及具体内容</w:t>
            </w:r>
          </w:p>
        </w:tc>
        <w:tc>
          <w:tcPr>
            <w:tcW w:w="3546" w:type="dxa"/>
            <w:vAlign w:val="center"/>
          </w:tcPr>
          <w:p w14:paraId="39315E90">
            <w:pPr>
              <w:snapToGrid w:val="0"/>
              <w:spacing w:line="40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响应文件章节及具体内容</w:t>
            </w:r>
          </w:p>
        </w:tc>
        <w:tc>
          <w:tcPr>
            <w:tcW w:w="1276" w:type="dxa"/>
            <w:vAlign w:val="center"/>
          </w:tcPr>
          <w:p w14:paraId="2D5BBF0C">
            <w:pPr>
              <w:snapToGrid w:val="0"/>
              <w:spacing w:line="40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14:paraId="76D28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7DB7C6E0">
            <w:pPr>
              <w:snapToGrid w:val="0"/>
              <w:spacing w:line="40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683" w:type="dxa"/>
            <w:vAlign w:val="center"/>
          </w:tcPr>
          <w:p w14:paraId="1442735B">
            <w:pPr>
              <w:snapToGrid w:val="0"/>
              <w:spacing w:line="400" w:lineRule="exact"/>
              <w:jc w:val="center"/>
              <w:rPr>
                <w:rFonts w:hint="eastAsia" w:ascii="宋体" w:hAnsi="宋体" w:eastAsia="宋体" w:cs="宋体"/>
                <w:b/>
                <w:color w:val="auto"/>
                <w:kern w:val="0"/>
                <w:sz w:val="32"/>
                <w:szCs w:val="32"/>
                <w:highlight w:val="none"/>
              </w:rPr>
            </w:pPr>
          </w:p>
        </w:tc>
        <w:tc>
          <w:tcPr>
            <w:tcW w:w="3546" w:type="dxa"/>
            <w:vAlign w:val="center"/>
          </w:tcPr>
          <w:p w14:paraId="4B08BA81">
            <w:pPr>
              <w:snapToGrid w:val="0"/>
              <w:spacing w:line="400" w:lineRule="exact"/>
              <w:jc w:val="center"/>
              <w:rPr>
                <w:rFonts w:hint="eastAsia" w:ascii="宋体" w:hAnsi="宋体" w:eastAsia="宋体" w:cs="宋体"/>
                <w:b/>
                <w:color w:val="auto"/>
                <w:kern w:val="0"/>
                <w:sz w:val="32"/>
                <w:szCs w:val="32"/>
                <w:highlight w:val="none"/>
              </w:rPr>
            </w:pPr>
          </w:p>
        </w:tc>
        <w:tc>
          <w:tcPr>
            <w:tcW w:w="1276" w:type="dxa"/>
            <w:vAlign w:val="center"/>
          </w:tcPr>
          <w:p w14:paraId="25BD3F5D">
            <w:pPr>
              <w:snapToGrid w:val="0"/>
              <w:spacing w:line="400" w:lineRule="exact"/>
              <w:jc w:val="center"/>
              <w:rPr>
                <w:rFonts w:hint="eastAsia" w:ascii="宋体" w:hAnsi="宋体" w:eastAsia="宋体" w:cs="宋体"/>
                <w:b/>
                <w:color w:val="auto"/>
                <w:kern w:val="0"/>
                <w:sz w:val="32"/>
                <w:szCs w:val="32"/>
                <w:highlight w:val="none"/>
              </w:rPr>
            </w:pPr>
          </w:p>
        </w:tc>
      </w:tr>
      <w:tr w14:paraId="2820C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5DA8D62C">
            <w:pPr>
              <w:snapToGrid w:val="0"/>
              <w:spacing w:line="40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683" w:type="dxa"/>
            <w:vAlign w:val="center"/>
          </w:tcPr>
          <w:p w14:paraId="6E0737A0">
            <w:pPr>
              <w:snapToGrid w:val="0"/>
              <w:spacing w:line="400" w:lineRule="exact"/>
              <w:jc w:val="center"/>
              <w:rPr>
                <w:rFonts w:hint="eastAsia" w:ascii="宋体" w:hAnsi="宋体" w:eastAsia="宋体" w:cs="宋体"/>
                <w:b/>
                <w:color w:val="auto"/>
                <w:kern w:val="0"/>
                <w:sz w:val="32"/>
                <w:szCs w:val="32"/>
                <w:highlight w:val="none"/>
              </w:rPr>
            </w:pPr>
          </w:p>
        </w:tc>
        <w:tc>
          <w:tcPr>
            <w:tcW w:w="3546" w:type="dxa"/>
            <w:vAlign w:val="center"/>
          </w:tcPr>
          <w:p w14:paraId="615BFF82">
            <w:pPr>
              <w:snapToGrid w:val="0"/>
              <w:spacing w:line="400" w:lineRule="exact"/>
              <w:jc w:val="center"/>
              <w:rPr>
                <w:rFonts w:hint="eastAsia" w:ascii="宋体" w:hAnsi="宋体" w:eastAsia="宋体" w:cs="宋体"/>
                <w:b/>
                <w:color w:val="auto"/>
                <w:kern w:val="0"/>
                <w:sz w:val="32"/>
                <w:szCs w:val="32"/>
                <w:highlight w:val="none"/>
              </w:rPr>
            </w:pPr>
          </w:p>
        </w:tc>
        <w:tc>
          <w:tcPr>
            <w:tcW w:w="1276" w:type="dxa"/>
            <w:vAlign w:val="center"/>
          </w:tcPr>
          <w:p w14:paraId="5A56C5A6">
            <w:pPr>
              <w:snapToGrid w:val="0"/>
              <w:spacing w:line="400" w:lineRule="exact"/>
              <w:jc w:val="center"/>
              <w:rPr>
                <w:rFonts w:hint="eastAsia" w:ascii="宋体" w:hAnsi="宋体" w:eastAsia="宋体" w:cs="宋体"/>
                <w:b/>
                <w:color w:val="auto"/>
                <w:kern w:val="0"/>
                <w:sz w:val="32"/>
                <w:szCs w:val="32"/>
                <w:highlight w:val="none"/>
              </w:rPr>
            </w:pPr>
          </w:p>
        </w:tc>
      </w:tr>
      <w:tr w14:paraId="6307E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30B08ABA">
            <w:pPr>
              <w:snapToGrid w:val="0"/>
              <w:spacing w:line="40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683" w:type="dxa"/>
            <w:vAlign w:val="center"/>
          </w:tcPr>
          <w:p w14:paraId="4633F002">
            <w:pPr>
              <w:snapToGrid w:val="0"/>
              <w:spacing w:line="400" w:lineRule="exact"/>
              <w:jc w:val="center"/>
              <w:rPr>
                <w:rFonts w:hint="eastAsia" w:ascii="宋体" w:hAnsi="宋体" w:eastAsia="宋体" w:cs="宋体"/>
                <w:b/>
                <w:color w:val="auto"/>
                <w:kern w:val="0"/>
                <w:sz w:val="32"/>
                <w:szCs w:val="32"/>
                <w:highlight w:val="none"/>
              </w:rPr>
            </w:pPr>
          </w:p>
        </w:tc>
        <w:tc>
          <w:tcPr>
            <w:tcW w:w="3546" w:type="dxa"/>
            <w:vAlign w:val="center"/>
          </w:tcPr>
          <w:p w14:paraId="2A7EC84F">
            <w:pPr>
              <w:snapToGrid w:val="0"/>
              <w:spacing w:line="400" w:lineRule="exact"/>
              <w:jc w:val="center"/>
              <w:rPr>
                <w:rFonts w:hint="eastAsia" w:ascii="宋体" w:hAnsi="宋体" w:eastAsia="宋体" w:cs="宋体"/>
                <w:b/>
                <w:color w:val="auto"/>
                <w:kern w:val="0"/>
                <w:sz w:val="32"/>
                <w:szCs w:val="32"/>
                <w:highlight w:val="none"/>
              </w:rPr>
            </w:pPr>
          </w:p>
        </w:tc>
        <w:tc>
          <w:tcPr>
            <w:tcW w:w="1276" w:type="dxa"/>
            <w:vAlign w:val="center"/>
          </w:tcPr>
          <w:p w14:paraId="00349BDE">
            <w:pPr>
              <w:snapToGrid w:val="0"/>
              <w:spacing w:line="400" w:lineRule="exact"/>
              <w:jc w:val="center"/>
              <w:rPr>
                <w:rFonts w:hint="eastAsia" w:ascii="宋体" w:hAnsi="宋体" w:eastAsia="宋体" w:cs="宋体"/>
                <w:b/>
                <w:color w:val="auto"/>
                <w:kern w:val="0"/>
                <w:sz w:val="32"/>
                <w:szCs w:val="32"/>
                <w:highlight w:val="none"/>
              </w:rPr>
            </w:pPr>
          </w:p>
        </w:tc>
      </w:tr>
      <w:tr w14:paraId="0FD4B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463DB59C">
            <w:pPr>
              <w:snapToGrid w:val="0"/>
              <w:spacing w:line="400" w:lineRule="exact"/>
              <w:jc w:val="center"/>
              <w:rPr>
                <w:rFonts w:hint="eastAsia" w:ascii="宋体" w:hAnsi="宋体" w:eastAsia="宋体" w:cs="宋体"/>
                <w:color w:val="auto"/>
                <w:kern w:val="0"/>
                <w:sz w:val="24"/>
                <w:highlight w:val="none"/>
              </w:rPr>
            </w:pPr>
          </w:p>
        </w:tc>
        <w:tc>
          <w:tcPr>
            <w:tcW w:w="3683" w:type="dxa"/>
            <w:vAlign w:val="center"/>
          </w:tcPr>
          <w:p w14:paraId="5AAF6429">
            <w:pPr>
              <w:snapToGrid w:val="0"/>
              <w:spacing w:line="400" w:lineRule="exact"/>
              <w:jc w:val="center"/>
              <w:rPr>
                <w:rFonts w:hint="eastAsia" w:ascii="宋体" w:hAnsi="宋体" w:eastAsia="宋体" w:cs="宋体"/>
                <w:b/>
                <w:color w:val="auto"/>
                <w:kern w:val="0"/>
                <w:sz w:val="32"/>
                <w:szCs w:val="32"/>
                <w:highlight w:val="none"/>
              </w:rPr>
            </w:pPr>
          </w:p>
        </w:tc>
        <w:tc>
          <w:tcPr>
            <w:tcW w:w="3546" w:type="dxa"/>
            <w:vAlign w:val="center"/>
          </w:tcPr>
          <w:p w14:paraId="44EC72F1">
            <w:pPr>
              <w:snapToGrid w:val="0"/>
              <w:spacing w:line="400" w:lineRule="exact"/>
              <w:jc w:val="center"/>
              <w:rPr>
                <w:rFonts w:hint="eastAsia" w:ascii="宋体" w:hAnsi="宋体" w:eastAsia="宋体" w:cs="宋体"/>
                <w:b/>
                <w:color w:val="auto"/>
                <w:kern w:val="0"/>
                <w:sz w:val="32"/>
                <w:szCs w:val="32"/>
                <w:highlight w:val="none"/>
              </w:rPr>
            </w:pPr>
          </w:p>
        </w:tc>
        <w:tc>
          <w:tcPr>
            <w:tcW w:w="1276" w:type="dxa"/>
            <w:vAlign w:val="center"/>
          </w:tcPr>
          <w:p w14:paraId="3ADD8DE6">
            <w:pPr>
              <w:snapToGrid w:val="0"/>
              <w:spacing w:line="400" w:lineRule="exact"/>
              <w:jc w:val="center"/>
              <w:rPr>
                <w:rFonts w:hint="eastAsia" w:ascii="宋体" w:hAnsi="宋体" w:eastAsia="宋体" w:cs="宋体"/>
                <w:b/>
                <w:color w:val="auto"/>
                <w:kern w:val="0"/>
                <w:sz w:val="32"/>
                <w:szCs w:val="32"/>
                <w:highlight w:val="none"/>
              </w:rPr>
            </w:pPr>
          </w:p>
        </w:tc>
      </w:tr>
      <w:tr w14:paraId="05D9F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5FFCA71D">
            <w:pPr>
              <w:snapToGrid w:val="0"/>
              <w:spacing w:line="400" w:lineRule="exact"/>
              <w:jc w:val="center"/>
              <w:rPr>
                <w:rFonts w:hint="eastAsia" w:ascii="宋体" w:hAnsi="宋体" w:eastAsia="宋体" w:cs="宋体"/>
                <w:color w:val="auto"/>
                <w:kern w:val="0"/>
                <w:sz w:val="24"/>
                <w:highlight w:val="none"/>
              </w:rPr>
            </w:pPr>
          </w:p>
        </w:tc>
        <w:tc>
          <w:tcPr>
            <w:tcW w:w="3683" w:type="dxa"/>
            <w:vAlign w:val="center"/>
          </w:tcPr>
          <w:p w14:paraId="0904DC68">
            <w:pPr>
              <w:snapToGrid w:val="0"/>
              <w:spacing w:line="400" w:lineRule="exact"/>
              <w:jc w:val="center"/>
              <w:rPr>
                <w:rFonts w:hint="eastAsia" w:ascii="宋体" w:hAnsi="宋体" w:eastAsia="宋体" w:cs="宋体"/>
                <w:b/>
                <w:color w:val="auto"/>
                <w:kern w:val="0"/>
                <w:sz w:val="32"/>
                <w:szCs w:val="32"/>
                <w:highlight w:val="none"/>
              </w:rPr>
            </w:pPr>
          </w:p>
        </w:tc>
        <w:tc>
          <w:tcPr>
            <w:tcW w:w="3546" w:type="dxa"/>
            <w:vAlign w:val="center"/>
          </w:tcPr>
          <w:p w14:paraId="20D91251">
            <w:pPr>
              <w:snapToGrid w:val="0"/>
              <w:spacing w:line="400" w:lineRule="exact"/>
              <w:jc w:val="center"/>
              <w:rPr>
                <w:rFonts w:hint="eastAsia" w:ascii="宋体" w:hAnsi="宋体" w:eastAsia="宋体" w:cs="宋体"/>
                <w:b/>
                <w:color w:val="auto"/>
                <w:kern w:val="0"/>
                <w:sz w:val="32"/>
                <w:szCs w:val="32"/>
                <w:highlight w:val="none"/>
              </w:rPr>
            </w:pPr>
          </w:p>
        </w:tc>
        <w:tc>
          <w:tcPr>
            <w:tcW w:w="1276" w:type="dxa"/>
            <w:vAlign w:val="center"/>
          </w:tcPr>
          <w:p w14:paraId="3A076343">
            <w:pPr>
              <w:snapToGrid w:val="0"/>
              <w:spacing w:line="400" w:lineRule="exact"/>
              <w:jc w:val="center"/>
              <w:rPr>
                <w:rFonts w:hint="eastAsia" w:ascii="宋体" w:hAnsi="宋体" w:eastAsia="宋体" w:cs="宋体"/>
                <w:b/>
                <w:color w:val="auto"/>
                <w:kern w:val="0"/>
                <w:sz w:val="32"/>
                <w:szCs w:val="32"/>
                <w:highlight w:val="none"/>
              </w:rPr>
            </w:pPr>
          </w:p>
        </w:tc>
      </w:tr>
      <w:tr w14:paraId="537BE2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36FB316F">
            <w:pPr>
              <w:snapToGrid w:val="0"/>
              <w:spacing w:line="400" w:lineRule="exact"/>
              <w:jc w:val="center"/>
              <w:rPr>
                <w:rFonts w:hint="eastAsia" w:ascii="宋体" w:hAnsi="宋体" w:eastAsia="宋体" w:cs="宋体"/>
                <w:color w:val="auto"/>
                <w:kern w:val="0"/>
                <w:sz w:val="24"/>
                <w:highlight w:val="none"/>
              </w:rPr>
            </w:pPr>
          </w:p>
        </w:tc>
        <w:tc>
          <w:tcPr>
            <w:tcW w:w="3683" w:type="dxa"/>
            <w:vAlign w:val="center"/>
          </w:tcPr>
          <w:p w14:paraId="0CD35CBE">
            <w:pPr>
              <w:snapToGrid w:val="0"/>
              <w:spacing w:line="400" w:lineRule="exact"/>
              <w:jc w:val="center"/>
              <w:rPr>
                <w:rFonts w:hint="eastAsia" w:ascii="宋体" w:hAnsi="宋体" w:eastAsia="宋体" w:cs="宋体"/>
                <w:b/>
                <w:color w:val="auto"/>
                <w:kern w:val="0"/>
                <w:sz w:val="32"/>
                <w:szCs w:val="32"/>
                <w:highlight w:val="none"/>
              </w:rPr>
            </w:pPr>
          </w:p>
        </w:tc>
        <w:tc>
          <w:tcPr>
            <w:tcW w:w="3546" w:type="dxa"/>
            <w:vAlign w:val="center"/>
          </w:tcPr>
          <w:p w14:paraId="730E8B64">
            <w:pPr>
              <w:snapToGrid w:val="0"/>
              <w:spacing w:line="400" w:lineRule="exact"/>
              <w:jc w:val="center"/>
              <w:rPr>
                <w:rFonts w:hint="eastAsia" w:ascii="宋体" w:hAnsi="宋体" w:eastAsia="宋体" w:cs="宋体"/>
                <w:b/>
                <w:color w:val="auto"/>
                <w:kern w:val="0"/>
                <w:sz w:val="32"/>
                <w:szCs w:val="32"/>
                <w:highlight w:val="none"/>
              </w:rPr>
            </w:pPr>
          </w:p>
        </w:tc>
        <w:tc>
          <w:tcPr>
            <w:tcW w:w="1276" w:type="dxa"/>
            <w:vAlign w:val="center"/>
          </w:tcPr>
          <w:p w14:paraId="4540751F">
            <w:pPr>
              <w:snapToGrid w:val="0"/>
              <w:spacing w:line="400" w:lineRule="exact"/>
              <w:jc w:val="center"/>
              <w:rPr>
                <w:rFonts w:hint="eastAsia" w:ascii="宋体" w:hAnsi="宋体" w:eastAsia="宋体" w:cs="宋体"/>
                <w:b/>
                <w:color w:val="auto"/>
                <w:kern w:val="0"/>
                <w:sz w:val="32"/>
                <w:szCs w:val="32"/>
                <w:highlight w:val="none"/>
              </w:rPr>
            </w:pPr>
          </w:p>
        </w:tc>
      </w:tr>
      <w:tr w14:paraId="3FFE1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736267B0">
            <w:pPr>
              <w:snapToGrid w:val="0"/>
              <w:spacing w:line="400" w:lineRule="exact"/>
              <w:jc w:val="center"/>
              <w:rPr>
                <w:rFonts w:hint="eastAsia" w:ascii="宋体" w:hAnsi="宋体" w:eastAsia="宋体" w:cs="宋体"/>
                <w:color w:val="auto"/>
                <w:kern w:val="0"/>
                <w:sz w:val="24"/>
                <w:highlight w:val="none"/>
              </w:rPr>
            </w:pPr>
          </w:p>
        </w:tc>
        <w:tc>
          <w:tcPr>
            <w:tcW w:w="3683" w:type="dxa"/>
            <w:vAlign w:val="center"/>
          </w:tcPr>
          <w:p w14:paraId="29E7F218">
            <w:pPr>
              <w:snapToGrid w:val="0"/>
              <w:spacing w:line="400" w:lineRule="exact"/>
              <w:jc w:val="center"/>
              <w:rPr>
                <w:rFonts w:hint="eastAsia" w:ascii="宋体" w:hAnsi="宋体" w:eastAsia="宋体" w:cs="宋体"/>
                <w:b/>
                <w:color w:val="auto"/>
                <w:kern w:val="0"/>
                <w:sz w:val="32"/>
                <w:szCs w:val="32"/>
                <w:highlight w:val="none"/>
              </w:rPr>
            </w:pPr>
          </w:p>
        </w:tc>
        <w:tc>
          <w:tcPr>
            <w:tcW w:w="3546" w:type="dxa"/>
            <w:vAlign w:val="center"/>
          </w:tcPr>
          <w:p w14:paraId="2653FBDF">
            <w:pPr>
              <w:snapToGrid w:val="0"/>
              <w:spacing w:line="400" w:lineRule="exact"/>
              <w:jc w:val="center"/>
              <w:rPr>
                <w:rFonts w:hint="eastAsia" w:ascii="宋体" w:hAnsi="宋体" w:eastAsia="宋体" w:cs="宋体"/>
                <w:b/>
                <w:color w:val="auto"/>
                <w:kern w:val="0"/>
                <w:sz w:val="32"/>
                <w:szCs w:val="32"/>
                <w:highlight w:val="none"/>
              </w:rPr>
            </w:pPr>
          </w:p>
        </w:tc>
        <w:tc>
          <w:tcPr>
            <w:tcW w:w="1276" w:type="dxa"/>
            <w:vAlign w:val="center"/>
          </w:tcPr>
          <w:p w14:paraId="1225A6CA">
            <w:pPr>
              <w:snapToGrid w:val="0"/>
              <w:spacing w:line="400" w:lineRule="exact"/>
              <w:jc w:val="center"/>
              <w:rPr>
                <w:rFonts w:hint="eastAsia" w:ascii="宋体" w:hAnsi="宋体" w:eastAsia="宋体" w:cs="宋体"/>
                <w:b/>
                <w:color w:val="auto"/>
                <w:kern w:val="0"/>
                <w:sz w:val="32"/>
                <w:szCs w:val="32"/>
                <w:highlight w:val="none"/>
              </w:rPr>
            </w:pPr>
          </w:p>
        </w:tc>
      </w:tr>
    </w:tbl>
    <w:p w14:paraId="3B75994E">
      <w:pPr>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供应商保证：除商务技术偏离表列出的偏离外，供应商响应磋商文件的全部要求</w:t>
      </w:r>
    </w:p>
    <w:p w14:paraId="11B3BF12">
      <w:pPr>
        <w:autoSpaceDE w:val="0"/>
        <w:autoSpaceDN w:val="0"/>
        <w:spacing w:line="360" w:lineRule="auto"/>
        <w:rPr>
          <w:rFonts w:hint="eastAsia" w:ascii="宋体" w:hAnsi="宋体" w:eastAsia="宋体" w:cs="宋体"/>
          <w:color w:val="auto"/>
          <w:kern w:val="0"/>
          <w:sz w:val="24"/>
          <w:highlight w:val="none"/>
        </w:rPr>
      </w:pPr>
    </w:p>
    <w:p w14:paraId="07B19090">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29CDA4C8">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7BBE4D62">
      <w:pPr>
        <w:spacing w:line="360" w:lineRule="auto"/>
        <w:jc w:val="center"/>
        <w:rPr>
          <w:rFonts w:hint="eastAsia" w:ascii="宋体" w:hAnsi="宋体" w:eastAsia="宋体" w:cs="宋体"/>
          <w:b/>
          <w:bCs/>
          <w:color w:val="auto"/>
          <w:sz w:val="32"/>
          <w:szCs w:val="32"/>
          <w:highlight w:val="none"/>
        </w:rPr>
      </w:pPr>
    </w:p>
    <w:p w14:paraId="7C65295E">
      <w:pPr>
        <w:snapToGrid w:val="0"/>
        <w:spacing w:line="360" w:lineRule="auto"/>
        <w:jc w:val="center"/>
        <w:outlineLvl w:val="0"/>
        <w:rPr>
          <w:rFonts w:hint="eastAsia" w:ascii="宋体" w:hAnsi="宋体" w:eastAsia="宋体" w:cs="宋体"/>
          <w:b/>
          <w:color w:val="auto"/>
          <w:kern w:val="0"/>
          <w:sz w:val="32"/>
          <w:szCs w:val="32"/>
          <w:highlight w:val="none"/>
          <w:lang w:val="zh-CN"/>
        </w:rPr>
      </w:pPr>
      <w:bookmarkStart w:id="123" w:name="_Toc9660"/>
      <w:r>
        <w:rPr>
          <w:rFonts w:hint="eastAsia" w:ascii="宋体" w:hAnsi="宋体" w:eastAsia="宋体" w:cs="宋体"/>
          <w:b/>
          <w:color w:val="auto"/>
          <w:kern w:val="0"/>
          <w:sz w:val="32"/>
          <w:szCs w:val="32"/>
          <w:highlight w:val="none"/>
          <w:lang w:val="zh-CN"/>
        </w:rPr>
        <w:t>八、政府采购供应商廉洁自律承诺书</w:t>
      </w:r>
      <w:bookmarkEnd w:id="123"/>
    </w:p>
    <w:p w14:paraId="3B7B2DB7">
      <w:pPr>
        <w:snapToGrid w:val="0"/>
        <w:spacing w:line="360" w:lineRule="auto"/>
        <w:rPr>
          <w:rFonts w:hint="eastAsia" w:ascii="宋体" w:hAnsi="宋体" w:eastAsia="宋体" w:cs="宋体"/>
          <w:color w:val="auto"/>
          <w:sz w:val="24"/>
          <w:highlight w:val="none"/>
        </w:rPr>
      </w:pPr>
    </w:p>
    <w:p w14:paraId="7831175A">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u w:val="single"/>
        </w:rPr>
        <w:t>（采购人）、（采购代理机构）</w:t>
      </w:r>
      <w:r>
        <w:rPr>
          <w:rFonts w:hint="eastAsia" w:ascii="宋体" w:hAnsi="宋体" w:eastAsia="宋体" w:cs="宋体"/>
          <w:color w:val="auto"/>
          <w:kern w:val="0"/>
          <w:sz w:val="24"/>
          <w:highlight w:val="none"/>
          <w:lang w:val="zh-CN"/>
        </w:rPr>
        <w:t>：</w:t>
      </w:r>
    </w:p>
    <w:p w14:paraId="57B0476C">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项目采购要求参加响应。在这次响应过程中和成交后，我们将严格遵守国家法律法规要求，并郑重承诺：</w:t>
      </w:r>
    </w:p>
    <w:p w14:paraId="4E429D5E">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14:paraId="039944AC">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14:paraId="7004CBF4">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14:paraId="2832A7B7">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14:paraId="281EA2FE">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14:paraId="6AA5A56D">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14:paraId="3F670103">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政府采购法》《</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招标投标</w:t>
      </w:r>
    </w:p>
    <w:p w14:paraId="0F00C064">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w:t>
      </w:r>
      <w:r>
        <w:rPr>
          <w:rFonts w:hint="eastAsia" w:ascii="宋体" w:hAnsi="宋体" w:eastAsia="宋体" w:cs="宋体"/>
          <w:color w:val="auto"/>
          <w:sz w:val="24"/>
          <w:highlight w:val="none"/>
          <w:lang w:val="zh-CN"/>
        </w:rPr>
        <w:t>《中华人民共和国民法典》</w:t>
      </w:r>
      <w:r>
        <w:rPr>
          <w:rFonts w:hint="eastAsia" w:ascii="宋体" w:hAnsi="宋体" w:eastAsia="宋体" w:cs="宋体"/>
          <w:color w:val="auto"/>
          <w:kern w:val="0"/>
          <w:sz w:val="24"/>
          <w:highlight w:val="none"/>
          <w:lang w:val="zh-CN"/>
        </w:rPr>
        <w:t xml:space="preserve">等法律法规，诚实守信，合法经营，坚决抵制各种违法违纪行为。 </w:t>
      </w:r>
    </w:p>
    <w:p w14:paraId="5229B299">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有权立即取消我单位响应、成交或在建项目的建设资格，有权拒绝我单位在一定时期内进入你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14:paraId="7BABA513">
      <w:pPr>
        <w:autoSpaceDE w:val="0"/>
        <w:autoSpaceDN w:val="0"/>
        <w:spacing w:line="360" w:lineRule="auto"/>
        <w:ind w:left="2"/>
        <w:jc w:val="left"/>
        <w:rPr>
          <w:rFonts w:hint="eastAsia" w:ascii="宋体" w:hAnsi="宋体" w:eastAsia="宋体" w:cs="宋体"/>
          <w:color w:val="auto"/>
          <w:kern w:val="0"/>
          <w:sz w:val="24"/>
          <w:highlight w:val="none"/>
          <w:lang w:val="zh-CN"/>
        </w:rPr>
      </w:pPr>
    </w:p>
    <w:p w14:paraId="0E5A0525">
      <w:pPr>
        <w:autoSpaceDE w:val="0"/>
        <w:autoSpaceDN w:val="0"/>
        <w:spacing w:line="360" w:lineRule="auto"/>
        <w:ind w:left="2"/>
        <w:jc w:val="left"/>
        <w:rPr>
          <w:rFonts w:hint="eastAsia" w:ascii="宋体" w:hAnsi="宋体" w:eastAsia="宋体" w:cs="宋体"/>
          <w:color w:val="auto"/>
          <w:kern w:val="0"/>
          <w:sz w:val="24"/>
          <w:highlight w:val="none"/>
          <w:lang w:val="zh-CN"/>
        </w:rPr>
      </w:pPr>
    </w:p>
    <w:p w14:paraId="36E0B2CC">
      <w:pPr>
        <w:autoSpaceDE w:val="0"/>
        <w:autoSpaceDN w:val="0"/>
        <w:spacing w:line="360" w:lineRule="auto"/>
        <w:ind w:firstLine="5040" w:firstLineChars="21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w:t>
      </w:r>
      <w:r>
        <w:rPr>
          <w:rFonts w:hint="eastAsia" w:ascii="宋体" w:hAnsi="宋体" w:eastAsia="宋体" w:cs="宋体"/>
          <w:color w:val="auto"/>
          <w:kern w:val="0"/>
          <w:sz w:val="24"/>
          <w:highlight w:val="none"/>
          <w:lang w:val="zh-CN"/>
        </w:rPr>
        <w:t>名称（电子签名）：</w:t>
      </w:r>
    </w:p>
    <w:p w14:paraId="288122DC">
      <w:pPr>
        <w:autoSpaceDE w:val="0"/>
        <w:autoSpaceDN w:val="0"/>
        <w:spacing w:line="360" w:lineRule="auto"/>
        <w:ind w:right="960"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  年  月   日</w:t>
      </w:r>
    </w:p>
    <w:p w14:paraId="30390007">
      <w:pPr>
        <w:tabs>
          <w:tab w:val="left" w:pos="0"/>
        </w:tabs>
        <w:autoSpaceDE w:val="0"/>
        <w:autoSpaceDN w:val="0"/>
        <w:spacing w:line="360" w:lineRule="auto"/>
        <w:ind w:firstLine="2409" w:firstLineChars="800"/>
        <w:rPr>
          <w:rFonts w:hint="eastAsia" w:ascii="宋体" w:hAnsi="宋体" w:eastAsia="宋体" w:cs="宋体"/>
          <w:b/>
          <w:bCs/>
          <w:color w:val="auto"/>
          <w:sz w:val="30"/>
          <w:szCs w:val="30"/>
          <w:highlight w:val="none"/>
        </w:rPr>
      </w:pPr>
    </w:p>
    <w:p w14:paraId="51589392">
      <w:pPr>
        <w:tabs>
          <w:tab w:val="left" w:pos="0"/>
        </w:tabs>
        <w:autoSpaceDE w:val="0"/>
        <w:autoSpaceDN w:val="0"/>
        <w:spacing w:line="360" w:lineRule="auto"/>
        <w:ind w:firstLine="2409" w:firstLineChars="800"/>
        <w:rPr>
          <w:rFonts w:hint="eastAsia" w:ascii="宋体" w:hAnsi="宋体" w:eastAsia="宋体" w:cs="宋体"/>
          <w:b/>
          <w:bCs/>
          <w:color w:val="auto"/>
          <w:sz w:val="30"/>
          <w:szCs w:val="30"/>
          <w:highlight w:val="none"/>
        </w:rPr>
      </w:pPr>
    </w:p>
    <w:p w14:paraId="6EDDD2CC">
      <w:pPr>
        <w:tabs>
          <w:tab w:val="left" w:pos="0"/>
        </w:tabs>
        <w:autoSpaceDE w:val="0"/>
        <w:autoSpaceDN w:val="0"/>
        <w:spacing w:line="360" w:lineRule="auto"/>
        <w:jc w:val="center"/>
        <w:rPr>
          <w:rFonts w:hint="eastAsia" w:ascii="宋体" w:hAnsi="宋体" w:eastAsia="宋体" w:cs="宋体"/>
          <w:b/>
          <w:bCs/>
          <w:color w:val="auto"/>
          <w:sz w:val="30"/>
          <w:szCs w:val="30"/>
          <w:highlight w:val="none"/>
        </w:rPr>
      </w:pPr>
    </w:p>
    <w:p w14:paraId="12F58EBF">
      <w:pPr>
        <w:widowControl/>
        <w:adjustRightInd/>
        <w:jc w:val="left"/>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br w:type="page"/>
      </w:r>
    </w:p>
    <w:p w14:paraId="6AD7AD1C">
      <w:pPr>
        <w:spacing w:line="360" w:lineRule="auto"/>
        <w:jc w:val="center"/>
        <w:outlineLvl w:val="0"/>
        <w:rPr>
          <w:rFonts w:hint="eastAsia" w:ascii="宋体" w:hAnsi="宋体" w:eastAsia="宋体" w:cs="宋体"/>
          <w:b/>
          <w:color w:val="auto"/>
          <w:kern w:val="0"/>
          <w:sz w:val="36"/>
          <w:szCs w:val="36"/>
          <w:highlight w:val="none"/>
        </w:rPr>
      </w:pPr>
      <w:bookmarkStart w:id="124" w:name="_Toc18303"/>
      <w:r>
        <w:rPr>
          <w:rFonts w:hint="eastAsia" w:ascii="宋体" w:hAnsi="宋体" w:eastAsia="宋体" w:cs="宋体"/>
          <w:b/>
          <w:color w:val="auto"/>
          <w:kern w:val="0"/>
          <w:sz w:val="36"/>
          <w:szCs w:val="36"/>
          <w:highlight w:val="none"/>
        </w:rPr>
        <w:t>报价文件部分</w:t>
      </w:r>
      <w:bookmarkEnd w:id="124"/>
    </w:p>
    <w:p w14:paraId="1FE33B91">
      <w:pPr>
        <w:jc w:val="center"/>
        <w:rPr>
          <w:rFonts w:hint="eastAsia" w:ascii="宋体" w:hAnsi="宋体" w:eastAsia="宋体" w:cs="宋体"/>
          <w:b/>
          <w:bCs/>
          <w:color w:val="auto"/>
          <w:sz w:val="28"/>
          <w:szCs w:val="28"/>
          <w:highlight w:val="none"/>
        </w:rPr>
      </w:pPr>
    </w:p>
    <w:p w14:paraId="7D4C385A">
      <w:pPr>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目录</w:t>
      </w:r>
    </w:p>
    <w:p w14:paraId="0A4454B1">
      <w:pPr>
        <w:rPr>
          <w:rFonts w:hint="eastAsia" w:ascii="宋体" w:hAnsi="宋体" w:eastAsia="宋体" w:cs="宋体"/>
          <w:color w:val="auto"/>
          <w:highlight w:val="none"/>
        </w:rPr>
      </w:pPr>
    </w:p>
    <w:p w14:paraId="4350328F">
      <w:pPr>
        <w:numPr>
          <w:ilvl w:val="0"/>
          <w:numId w:val="14"/>
        </w:numPr>
        <w:snapToGrid w:val="0"/>
        <w:spacing w:line="360" w:lineRule="auto"/>
        <w:ind w:hanging="5"/>
        <w:rPr>
          <w:rFonts w:hint="eastAsia" w:ascii="宋体" w:hAnsi="宋体" w:eastAsia="宋体" w:cs="宋体"/>
          <w:color w:val="auto"/>
          <w:sz w:val="24"/>
          <w:highlight w:val="none"/>
        </w:rPr>
      </w:pPr>
      <w:r>
        <w:rPr>
          <w:rFonts w:hint="eastAsia" w:ascii="宋体" w:hAnsi="宋体" w:eastAsia="宋体" w:cs="宋体"/>
          <w:color w:val="auto"/>
          <w:sz w:val="24"/>
          <w:highlight w:val="none"/>
        </w:rPr>
        <w:t>初始报价一览表………………………………………………………………（页码）</w:t>
      </w:r>
    </w:p>
    <w:p w14:paraId="2B464A55">
      <w:pPr>
        <w:numPr>
          <w:ilvl w:val="0"/>
          <w:numId w:val="14"/>
        </w:numPr>
        <w:snapToGrid w:val="0"/>
        <w:spacing w:line="360" w:lineRule="auto"/>
        <w:ind w:hanging="5"/>
        <w:rPr>
          <w:rFonts w:hint="eastAsia" w:ascii="宋体" w:hAnsi="宋体" w:eastAsia="宋体" w:cs="宋体"/>
          <w:color w:val="auto"/>
          <w:sz w:val="24"/>
          <w:highlight w:val="none"/>
        </w:rPr>
      </w:pPr>
      <w:r>
        <w:rPr>
          <w:rFonts w:hint="eastAsia" w:ascii="宋体" w:hAnsi="宋体" w:eastAsia="宋体" w:cs="宋体"/>
          <w:color w:val="auto"/>
          <w:sz w:val="24"/>
          <w:highlight w:val="none"/>
        </w:rPr>
        <w:t>中小企业声明函………………………………………………………………（页码）</w:t>
      </w:r>
    </w:p>
    <w:p w14:paraId="565DC831">
      <w:pPr>
        <w:snapToGrid w:val="0"/>
        <w:spacing w:line="360" w:lineRule="auto"/>
        <w:ind w:right="480"/>
        <w:jc w:val="center"/>
        <w:rPr>
          <w:rFonts w:hint="eastAsia" w:ascii="宋体" w:hAnsi="宋体" w:eastAsia="宋体" w:cs="宋体"/>
          <w:b/>
          <w:color w:val="auto"/>
          <w:kern w:val="0"/>
          <w:sz w:val="32"/>
          <w:szCs w:val="32"/>
          <w:highlight w:val="none"/>
        </w:rPr>
      </w:pPr>
    </w:p>
    <w:p w14:paraId="36E8B5F2">
      <w:pPr>
        <w:snapToGrid w:val="0"/>
        <w:spacing w:line="360" w:lineRule="auto"/>
        <w:jc w:val="center"/>
        <w:outlineLvl w:val="0"/>
        <w:rPr>
          <w:rFonts w:hint="eastAsia" w:ascii="宋体" w:hAnsi="宋体" w:eastAsia="宋体" w:cs="宋体"/>
          <w:b/>
          <w:color w:val="auto"/>
          <w:sz w:val="36"/>
          <w:szCs w:val="36"/>
          <w:highlight w:val="none"/>
        </w:rPr>
        <w:sectPr>
          <w:pgSz w:w="11906" w:h="16838"/>
          <w:pgMar w:top="1174" w:right="1418" w:bottom="1151" w:left="1418" w:header="851" w:footer="992" w:gutter="0"/>
          <w:cols w:space="720" w:num="1"/>
          <w:titlePg/>
          <w:docGrid w:linePitch="312" w:charSpace="0"/>
        </w:sectPr>
      </w:pPr>
      <w:r>
        <w:rPr>
          <w:rFonts w:hint="eastAsia" w:ascii="宋体" w:hAnsi="宋体" w:eastAsia="宋体" w:cs="宋体"/>
          <w:b/>
          <w:color w:val="auto"/>
          <w:sz w:val="36"/>
          <w:szCs w:val="36"/>
          <w:highlight w:val="none"/>
        </w:rPr>
        <w:br w:type="page"/>
      </w:r>
    </w:p>
    <w:p w14:paraId="0AE27075">
      <w:pPr>
        <w:snapToGrid w:val="0"/>
        <w:spacing w:line="360" w:lineRule="auto"/>
        <w:jc w:val="center"/>
        <w:outlineLvl w:val="0"/>
        <w:rPr>
          <w:rFonts w:hint="eastAsia" w:ascii="宋体" w:hAnsi="宋体" w:eastAsia="宋体" w:cs="宋体"/>
          <w:b/>
          <w:color w:val="auto"/>
          <w:kern w:val="0"/>
          <w:sz w:val="32"/>
          <w:szCs w:val="32"/>
          <w:highlight w:val="none"/>
        </w:rPr>
      </w:pPr>
      <w:bookmarkStart w:id="125" w:name="_Toc30846"/>
      <w:r>
        <w:rPr>
          <w:rFonts w:hint="eastAsia" w:ascii="宋体" w:hAnsi="宋体" w:eastAsia="宋体" w:cs="宋体"/>
          <w:b/>
          <w:color w:val="auto"/>
          <w:kern w:val="0"/>
          <w:sz w:val="32"/>
          <w:szCs w:val="32"/>
          <w:highlight w:val="none"/>
        </w:rPr>
        <w:t>一、初始报价一览表</w:t>
      </w:r>
      <w:bookmarkEnd w:id="125"/>
    </w:p>
    <w:p w14:paraId="5C7E57D0">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u w:val="single"/>
        </w:rPr>
        <w:t>（采购人）、（采购代理机构）</w:t>
      </w:r>
      <w:r>
        <w:rPr>
          <w:rFonts w:hint="eastAsia" w:ascii="宋体" w:hAnsi="宋体" w:eastAsia="宋体" w:cs="宋体"/>
          <w:color w:val="auto"/>
          <w:kern w:val="0"/>
          <w:sz w:val="24"/>
          <w:highlight w:val="none"/>
          <w:lang w:val="zh-CN"/>
        </w:rPr>
        <w:t>：</w:t>
      </w:r>
    </w:p>
    <w:p w14:paraId="05917AFB">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按你方磋商文件要求，我们，本响应文件签字方，谨此向你方发出要约如下：如你方接受本响应，我方承诺按照如下初始报价一览表的价格完成</w:t>
      </w:r>
      <w:r>
        <w:rPr>
          <w:rFonts w:hint="eastAsia" w:ascii="宋体" w:hAnsi="宋体" w:eastAsia="宋体" w:cs="宋体"/>
          <w:color w:val="auto"/>
          <w:sz w:val="24"/>
          <w:highlight w:val="none"/>
        </w:rPr>
        <w:t>（项目名称）</w:t>
      </w:r>
      <w:r>
        <w:rPr>
          <w:rFonts w:hint="eastAsia" w:ascii="宋体" w:hAnsi="宋体" w:eastAsia="宋体" w:cs="宋体"/>
          <w:color w:val="auto"/>
          <w:kern w:val="0"/>
          <w:sz w:val="24"/>
          <w:highlight w:val="none"/>
          <w:lang w:val="zh-CN"/>
        </w:rPr>
        <w:t>【编号：</w:t>
      </w:r>
      <w:r>
        <w:rPr>
          <w:rFonts w:hint="eastAsia" w:ascii="宋体" w:hAnsi="宋体" w:eastAsia="宋体" w:cs="宋体"/>
          <w:color w:val="auto"/>
          <w:sz w:val="24"/>
          <w:highlight w:val="none"/>
        </w:rPr>
        <w:t>（采购编号）】的实施</w:t>
      </w:r>
      <w:r>
        <w:rPr>
          <w:rFonts w:hint="eastAsia" w:ascii="宋体" w:hAnsi="宋体" w:eastAsia="宋体" w:cs="宋体"/>
          <w:color w:val="auto"/>
          <w:kern w:val="0"/>
          <w:sz w:val="24"/>
          <w:highlight w:val="none"/>
          <w:lang w:val="zh-CN"/>
        </w:rPr>
        <w:t>。</w:t>
      </w:r>
    </w:p>
    <w:p w14:paraId="1BC419FD">
      <w:pPr>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初始报价一览表(单位均为人民币元)</w:t>
      </w:r>
    </w:p>
    <w:p w14:paraId="0E91D0D9">
      <w:pPr>
        <w:snapToGrid w:val="0"/>
        <w:spacing w:line="360" w:lineRule="auto"/>
        <w:rPr>
          <w:rFonts w:hint="eastAsia" w:ascii="宋体" w:hAnsi="宋体"/>
          <w:color w:val="auto"/>
          <w:sz w:val="24"/>
          <w:szCs w:val="20"/>
          <w:highlight w:val="none"/>
        </w:rPr>
      </w:pPr>
      <w:r>
        <w:rPr>
          <w:rFonts w:hint="eastAsia" w:ascii="宋体" w:hAnsi="宋体"/>
          <w:color w:val="auto"/>
          <w:sz w:val="24"/>
          <w:highlight w:val="none"/>
        </w:rPr>
        <w:t>项目编号：</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ascii="宋体" w:hAnsi="宋体"/>
          <w:color w:val="auto"/>
          <w:sz w:val="24"/>
          <w:highlight w:val="none"/>
        </w:rPr>
        <w:t xml:space="preserve">  </w:t>
      </w:r>
      <w:r>
        <w:rPr>
          <w:rFonts w:hint="eastAsia" w:ascii="宋体" w:hAnsi="宋体"/>
          <w:color w:val="auto"/>
          <w:sz w:val="24"/>
          <w:highlight w:val="none"/>
        </w:rPr>
        <w:t xml:space="preserve"> </w:t>
      </w:r>
      <w:r>
        <w:rPr>
          <w:rFonts w:ascii="宋体" w:hAnsi="宋体"/>
          <w:color w:val="auto"/>
          <w:sz w:val="24"/>
          <w:highlight w:val="none"/>
        </w:rPr>
        <w:t xml:space="preserve">                    </w:t>
      </w:r>
    </w:p>
    <w:tbl>
      <w:tblPr>
        <w:tblStyle w:val="60"/>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1256"/>
        <w:gridCol w:w="2514"/>
        <w:gridCol w:w="3267"/>
        <w:gridCol w:w="2817"/>
      </w:tblGrid>
      <w:tr w14:paraId="6A1109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12" w:hRule="atLeast"/>
          <w:jc w:val="center"/>
        </w:trPr>
        <w:tc>
          <w:tcPr>
            <w:tcW w:w="637" w:type="pct"/>
            <w:tcBorders>
              <w:top w:val="single" w:color="auto" w:sz="4" w:space="0"/>
              <w:left w:val="single" w:color="auto" w:sz="4" w:space="0"/>
              <w:bottom w:val="single" w:color="auto" w:sz="4" w:space="0"/>
              <w:right w:val="single" w:color="auto" w:sz="4" w:space="0"/>
            </w:tcBorders>
            <w:noWrap w:val="0"/>
            <w:vAlign w:val="center"/>
          </w:tcPr>
          <w:p w14:paraId="20E9273E">
            <w:pPr>
              <w:snapToGrid w:val="0"/>
              <w:spacing w:line="360" w:lineRule="auto"/>
              <w:jc w:val="center"/>
              <w:rPr>
                <w:rFonts w:hint="eastAsia" w:ascii="宋体" w:hAnsi="宋体" w:eastAsia="宋体"/>
                <w:b/>
                <w:color w:val="auto"/>
                <w:sz w:val="24"/>
                <w:highlight w:val="none"/>
              </w:rPr>
            </w:pPr>
            <w:r>
              <w:rPr>
                <w:rFonts w:hint="eastAsia" w:ascii="宋体" w:hAnsi="宋体" w:eastAsia="宋体"/>
                <w:b/>
                <w:color w:val="auto"/>
                <w:sz w:val="24"/>
                <w:highlight w:val="none"/>
              </w:rPr>
              <w:t>序号</w:t>
            </w:r>
          </w:p>
        </w:tc>
        <w:tc>
          <w:tcPr>
            <w:tcW w:w="1275" w:type="pct"/>
            <w:tcBorders>
              <w:top w:val="single" w:color="auto" w:sz="4" w:space="0"/>
              <w:left w:val="single" w:color="auto" w:sz="4" w:space="0"/>
              <w:bottom w:val="single" w:color="auto" w:sz="4" w:space="0"/>
              <w:right w:val="single" w:color="auto" w:sz="4" w:space="0"/>
            </w:tcBorders>
            <w:noWrap w:val="0"/>
            <w:vAlign w:val="center"/>
          </w:tcPr>
          <w:p w14:paraId="3BFC7C5D">
            <w:pPr>
              <w:snapToGrid w:val="0"/>
              <w:spacing w:line="360" w:lineRule="auto"/>
              <w:jc w:val="center"/>
              <w:rPr>
                <w:rFonts w:hint="eastAsia" w:ascii="宋体" w:hAnsi="宋体" w:eastAsia="宋体"/>
                <w:b/>
                <w:color w:val="auto"/>
                <w:sz w:val="24"/>
                <w:highlight w:val="none"/>
              </w:rPr>
            </w:pPr>
            <w:r>
              <w:rPr>
                <w:rFonts w:hint="eastAsia" w:ascii="宋体" w:hAnsi="宋体" w:eastAsia="宋体"/>
                <w:b/>
                <w:color w:val="auto"/>
                <w:sz w:val="24"/>
                <w:highlight w:val="none"/>
              </w:rPr>
              <w:t>服务项目</w:t>
            </w:r>
          </w:p>
        </w:tc>
        <w:tc>
          <w:tcPr>
            <w:tcW w:w="1657" w:type="pct"/>
            <w:tcBorders>
              <w:top w:val="single" w:color="auto" w:sz="4" w:space="0"/>
              <w:left w:val="single" w:color="auto" w:sz="4" w:space="0"/>
              <w:bottom w:val="single" w:color="auto" w:sz="4" w:space="0"/>
              <w:right w:val="single" w:color="auto" w:sz="4" w:space="0"/>
            </w:tcBorders>
            <w:noWrap w:val="0"/>
            <w:vAlign w:val="center"/>
          </w:tcPr>
          <w:p w14:paraId="331A536E">
            <w:pPr>
              <w:snapToGrid w:val="0"/>
              <w:spacing w:line="360" w:lineRule="auto"/>
              <w:jc w:val="center"/>
              <w:rPr>
                <w:rFonts w:hint="eastAsia" w:ascii="宋体" w:hAnsi="宋体" w:eastAsia="宋体"/>
                <w:b/>
                <w:color w:val="auto"/>
                <w:sz w:val="24"/>
                <w:highlight w:val="none"/>
              </w:rPr>
            </w:pPr>
            <w:r>
              <w:rPr>
                <w:rFonts w:hint="eastAsia" w:ascii="宋体" w:hAnsi="宋体" w:eastAsia="宋体"/>
                <w:b/>
                <w:color w:val="auto"/>
                <w:sz w:val="24"/>
                <w:highlight w:val="none"/>
              </w:rPr>
              <w:t>报价</w:t>
            </w:r>
          </w:p>
        </w:tc>
        <w:tc>
          <w:tcPr>
            <w:tcW w:w="1429" w:type="pct"/>
            <w:tcBorders>
              <w:top w:val="single" w:color="auto" w:sz="4" w:space="0"/>
              <w:left w:val="single" w:color="auto" w:sz="4" w:space="0"/>
              <w:bottom w:val="single" w:color="auto" w:sz="4" w:space="0"/>
              <w:right w:val="single" w:color="auto" w:sz="4" w:space="0"/>
            </w:tcBorders>
            <w:noWrap w:val="0"/>
            <w:vAlign w:val="center"/>
          </w:tcPr>
          <w:p w14:paraId="571B24F8">
            <w:pPr>
              <w:snapToGrid w:val="0"/>
              <w:spacing w:line="360" w:lineRule="auto"/>
              <w:jc w:val="center"/>
              <w:rPr>
                <w:rFonts w:hint="eastAsia" w:ascii="宋体" w:hAnsi="宋体" w:eastAsia="宋体"/>
                <w:b/>
                <w:color w:val="auto"/>
                <w:sz w:val="24"/>
                <w:highlight w:val="none"/>
              </w:rPr>
            </w:pPr>
            <w:r>
              <w:rPr>
                <w:rFonts w:hint="eastAsia" w:ascii="宋体" w:hAnsi="宋体" w:eastAsia="宋体"/>
                <w:b/>
                <w:color w:val="auto"/>
                <w:sz w:val="24"/>
                <w:highlight w:val="none"/>
              </w:rPr>
              <w:t>备注</w:t>
            </w:r>
          </w:p>
        </w:tc>
      </w:tr>
      <w:tr w14:paraId="194950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12" w:hRule="atLeast"/>
          <w:jc w:val="center"/>
        </w:trPr>
        <w:tc>
          <w:tcPr>
            <w:tcW w:w="637" w:type="pct"/>
            <w:tcBorders>
              <w:top w:val="single" w:color="auto" w:sz="4" w:space="0"/>
              <w:left w:val="single" w:color="auto" w:sz="4" w:space="0"/>
              <w:bottom w:val="single" w:color="auto" w:sz="4" w:space="0"/>
              <w:right w:val="single" w:color="auto" w:sz="4" w:space="0"/>
            </w:tcBorders>
            <w:noWrap w:val="0"/>
            <w:vAlign w:val="center"/>
          </w:tcPr>
          <w:p w14:paraId="5F64CABC">
            <w:pPr>
              <w:snapToGrid w:val="0"/>
              <w:spacing w:line="360" w:lineRule="auto"/>
              <w:jc w:val="center"/>
              <w:rPr>
                <w:rFonts w:hint="eastAsia" w:ascii="宋体" w:hAnsi="宋体" w:eastAsia="宋体"/>
                <w:b/>
                <w:color w:val="auto"/>
                <w:sz w:val="24"/>
                <w:highlight w:val="none"/>
              </w:rPr>
            </w:pPr>
            <w:r>
              <w:rPr>
                <w:rFonts w:hint="eastAsia" w:ascii="宋体" w:hAnsi="宋体" w:eastAsia="宋体"/>
                <w:b/>
                <w:color w:val="auto"/>
                <w:sz w:val="24"/>
                <w:highlight w:val="none"/>
              </w:rPr>
              <w:t xml:space="preserve">1 </w:t>
            </w:r>
          </w:p>
        </w:tc>
        <w:tc>
          <w:tcPr>
            <w:tcW w:w="1275" w:type="pct"/>
            <w:tcBorders>
              <w:top w:val="single" w:color="auto" w:sz="4" w:space="0"/>
              <w:left w:val="single" w:color="auto" w:sz="4" w:space="0"/>
              <w:bottom w:val="single" w:color="auto" w:sz="4" w:space="0"/>
              <w:right w:val="single" w:color="auto" w:sz="4" w:space="0"/>
            </w:tcBorders>
            <w:noWrap w:val="0"/>
            <w:vAlign w:val="center"/>
          </w:tcPr>
          <w:p w14:paraId="4F7031DC">
            <w:pPr>
              <w:snapToGrid w:val="0"/>
              <w:spacing w:line="360" w:lineRule="auto"/>
              <w:jc w:val="center"/>
              <w:rPr>
                <w:rFonts w:hint="eastAsia" w:ascii="宋体" w:hAnsi="宋体" w:eastAsia="宋体"/>
                <w:b/>
                <w:color w:val="auto"/>
                <w:sz w:val="24"/>
                <w:highlight w:val="none"/>
              </w:rPr>
            </w:pPr>
          </w:p>
        </w:tc>
        <w:tc>
          <w:tcPr>
            <w:tcW w:w="1657" w:type="pct"/>
            <w:tcBorders>
              <w:top w:val="single" w:color="auto" w:sz="4" w:space="0"/>
              <w:left w:val="single" w:color="auto" w:sz="4" w:space="0"/>
              <w:bottom w:val="single" w:color="auto" w:sz="4" w:space="0"/>
              <w:right w:val="single" w:color="auto" w:sz="4" w:space="0"/>
            </w:tcBorders>
            <w:noWrap w:val="0"/>
            <w:vAlign w:val="center"/>
          </w:tcPr>
          <w:p w14:paraId="1BDA2D30">
            <w:pPr>
              <w:snapToGrid w:val="0"/>
              <w:spacing w:line="360" w:lineRule="auto"/>
              <w:jc w:val="center"/>
              <w:rPr>
                <w:rFonts w:ascii="宋体" w:hAnsi="宋体" w:eastAsia="宋体"/>
                <w:b/>
                <w:color w:val="auto"/>
                <w:sz w:val="24"/>
                <w:highlight w:val="none"/>
              </w:rPr>
            </w:pPr>
          </w:p>
        </w:tc>
        <w:tc>
          <w:tcPr>
            <w:tcW w:w="1429" w:type="pct"/>
            <w:tcBorders>
              <w:top w:val="single" w:color="auto" w:sz="4" w:space="0"/>
              <w:left w:val="single" w:color="auto" w:sz="4" w:space="0"/>
              <w:bottom w:val="single" w:color="auto" w:sz="4" w:space="0"/>
              <w:right w:val="single" w:color="auto" w:sz="4" w:space="0"/>
            </w:tcBorders>
            <w:noWrap w:val="0"/>
            <w:vAlign w:val="center"/>
          </w:tcPr>
          <w:p w14:paraId="63B7AAD2">
            <w:pPr>
              <w:snapToGrid w:val="0"/>
              <w:spacing w:line="360" w:lineRule="auto"/>
              <w:jc w:val="center"/>
              <w:rPr>
                <w:rFonts w:hint="default" w:ascii="宋体" w:hAnsi="宋体" w:eastAsia="宋体"/>
                <w:b/>
                <w:color w:val="auto"/>
                <w:sz w:val="24"/>
                <w:highlight w:val="none"/>
                <w:lang w:val="en-US" w:eastAsia="zh-CN"/>
              </w:rPr>
            </w:pPr>
          </w:p>
        </w:tc>
      </w:tr>
    </w:tbl>
    <w:p w14:paraId="5B982655">
      <w:pPr>
        <w:snapToGrid w:val="0"/>
        <w:spacing w:line="360" w:lineRule="auto"/>
        <w:ind w:left="480"/>
        <w:rPr>
          <w:rFonts w:hint="eastAsia" w:ascii="宋体" w:hAnsi="宋体" w:eastAsia="宋体" w:cs="宋体"/>
          <w:b/>
          <w:color w:val="auto"/>
          <w:kern w:val="0"/>
          <w:sz w:val="22"/>
          <w:szCs w:val="22"/>
          <w:highlight w:val="none"/>
          <w:lang w:val="zh-CN"/>
        </w:rPr>
      </w:pPr>
      <w:r>
        <w:rPr>
          <w:rFonts w:hint="eastAsia" w:ascii="宋体" w:hAnsi="宋体" w:eastAsia="宋体" w:cs="宋体"/>
          <w:b/>
          <w:color w:val="auto"/>
          <w:kern w:val="0"/>
          <w:sz w:val="22"/>
          <w:szCs w:val="22"/>
          <w:highlight w:val="none"/>
          <w:lang w:val="zh-CN"/>
        </w:rPr>
        <w:t>注：</w:t>
      </w:r>
    </w:p>
    <w:p w14:paraId="1B1D36BA">
      <w:pPr>
        <w:snapToGrid w:val="0"/>
        <w:spacing w:line="360" w:lineRule="auto"/>
        <w:ind w:left="-2" w:leftChars="-1" w:firstLine="440" w:firstLineChars="200"/>
        <w:rPr>
          <w:rFonts w:hint="eastAsia" w:ascii="宋体" w:hAnsi="宋体" w:eastAsia="宋体" w:cs="宋体"/>
          <w:color w:val="auto"/>
          <w:kern w:val="0"/>
          <w:sz w:val="22"/>
          <w:szCs w:val="22"/>
          <w:highlight w:val="none"/>
          <w:lang w:val="zh-CN"/>
        </w:rPr>
      </w:pPr>
      <w:r>
        <w:rPr>
          <w:rFonts w:hint="eastAsia" w:ascii="宋体" w:hAnsi="宋体" w:eastAsia="宋体" w:cs="宋体"/>
          <w:color w:val="auto"/>
          <w:kern w:val="0"/>
          <w:sz w:val="22"/>
          <w:szCs w:val="22"/>
          <w:highlight w:val="none"/>
          <w:lang w:val="zh-CN"/>
        </w:rPr>
        <w:t>1、供应商需按本表格式填写，</w:t>
      </w:r>
      <w:r>
        <w:rPr>
          <w:rFonts w:hint="eastAsia" w:ascii="宋体" w:hAnsi="宋体" w:eastAsia="宋体" w:cs="宋体"/>
          <w:b/>
          <w:bCs/>
          <w:color w:val="auto"/>
          <w:kern w:val="0"/>
          <w:sz w:val="22"/>
          <w:szCs w:val="22"/>
          <w:highlight w:val="none"/>
          <w:lang w:val="zh-CN"/>
        </w:rPr>
        <w:t>否则视为响应文件含有采购人不能接受的附加条件，响应无效。</w:t>
      </w:r>
    </w:p>
    <w:p w14:paraId="745B0FF6">
      <w:pPr>
        <w:snapToGrid w:val="0"/>
        <w:spacing w:line="360" w:lineRule="auto"/>
        <w:ind w:firstLine="440" w:firstLineChars="200"/>
        <w:rPr>
          <w:rFonts w:hint="eastAsia" w:ascii="宋体" w:hAnsi="宋体" w:eastAsia="宋体" w:cs="宋体"/>
          <w:color w:val="auto"/>
          <w:kern w:val="0"/>
          <w:sz w:val="22"/>
          <w:szCs w:val="22"/>
          <w:highlight w:val="none"/>
          <w:lang w:val="zh-CN"/>
        </w:rPr>
      </w:pPr>
      <w:r>
        <w:rPr>
          <w:rFonts w:hint="eastAsia" w:ascii="宋体" w:hAnsi="宋体" w:eastAsia="宋体" w:cs="宋体"/>
          <w:color w:val="auto"/>
          <w:kern w:val="0"/>
          <w:sz w:val="22"/>
          <w:szCs w:val="22"/>
          <w:highlight w:val="none"/>
          <w:lang w:val="zh-CN"/>
        </w:rPr>
        <w:t>2、有关本项目实施所涉及的一切费用均计入报价。</w:t>
      </w:r>
      <w:r>
        <w:rPr>
          <w:rFonts w:hint="eastAsia" w:ascii="宋体" w:hAnsi="宋体" w:eastAsia="宋体" w:cs="宋体"/>
          <w:b/>
          <w:color w:val="auto"/>
          <w:kern w:val="0"/>
          <w:sz w:val="22"/>
          <w:szCs w:val="22"/>
          <w:highlight w:val="none"/>
          <w:lang w:val="zh-CN"/>
        </w:rPr>
        <w:t>采购人将以合同形式有偿取得服务，不接受供应商给予的赠品、回扣或者与采购无关的其他商品、服务</w:t>
      </w:r>
      <w:r>
        <w:rPr>
          <w:rFonts w:hint="eastAsia" w:ascii="宋体" w:hAnsi="宋体" w:eastAsia="宋体" w:cs="宋体"/>
          <w:color w:val="auto"/>
          <w:kern w:val="0"/>
          <w:sz w:val="22"/>
          <w:szCs w:val="22"/>
          <w:highlight w:val="none"/>
          <w:lang w:val="zh-CN"/>
        </w:rPr>
        <w:t>，</w:t>
      </w:r>
      <w:r>
        <w:rPr>
          <w:rFonts w:hint="eastAsia" w:ascii="宋体" w:hAnsi="宋体" w:eastAsia="宋体" w:cs="宋体"/>
          <w:b/>
          <w:color w:val="auto"/>
          <w:kern w:val="0"/>
          <w:sz w:val="22"/>
          <w:szCs w:val="22"/>
          <w:highlight w:val="none"/>
          <w:lang w:val="zh-CN"/>
        </w:rPr>
        <w:t>不得出现“0元”“免费赠送”等形式的无偿报价，</w:t>
      </w:r>
      <w:r>
        <w:rPr>
          <w:rFonts w:hint="eastAsia" w:ascii="宋体" w:hAnsi="宋体" w:eastAsia="宋体" w:cs="宋体"/>
          <w:b/>
          <w:color w:val="auto"/>
          <w:kern w:val="0"/>
          <w:sz w:val="22"/>
          <w:szCs w:val="22"/>
          <w:highlight w:val="none"/>
        </w:rPr>
        <w:t>否则视为</w:t>
      </w:r>
      <w:r>
        <w:rPr>
          <w:rFonts w:hint="eastAsia" w:ascii="宋体" w:hAnsi="宋体" w:eastAsia="宋体" w:cs="宋体"/>
          <w:b/>
          <w:color w:val="auto"/>
          <w:sz w:val="22"/>
          <w:szCs w:val="22"/>
          <w:highlight w:val="none"/>
        </w:rPr>
        <w:t>响应文件含有采购人不能接受的附加条件的，响应无效</w:t>
      </w:r>
      <w:r>
        <w:rPr>
          <w:rFonts w:hint="eastAsia" w:ascii="宋体" w:hAnsi="宋体" w:eastAsia="宋体" w:cs="宋体"/>
          <w:b/>
          <w:color w:val="auto"/>
          <w:kern w:val="0"/>
          <w:sz w:val="22"/>
          <w:szCs w:val="22"/>
          <w:highlight w:val="none"/>
          <w:lang w:val="zh-CN"/>
        </w:rPr>
        <w:t>。</w:t>
      </w:r>
    </w:p>
    <w:p w14:paraId="7105EFB9">
      <w:pPr>
        <w:snapToGrid w:val="0"/>
        <w:spacing w:line="360" w:lineRule="auto"/>
        <w:ind w:firstLine="440" w:firstLineChars="200"/>
        <w:jc w:val="left"/>
        <w:rPr>
          <w:rFonts w:hint="eastAsia" w:ascii="宋体" w:hAnsi="宋体" w:eastAsia="宋体" w:cs="宋体"/>
          <w:color w:val="auto"/>
          <w:kern w:val="0"/>
          <w:sz w:val="22"/>
          <w:szCs w:val="22"/>
          <w:highlight w:val="none"/>
          <w:lang w:val="zh-CN"/>
        </w:rPr>
      </w:pPr>
      <w:r>
        <w:rPr>
          <w:rFonts w:hint="eastAsia" w:ascii="宋体" w:hAnsi="宋体" w:eastAsia="宋体" w:cs="宋体"/>
          <w:color w:val="auto"/>
          <w:kern w:val="0"/>
          <w:sz w:val="22"/>
          <w:szCs w:val="22"/>
          <w:highlight w:val="none"/>
        </w:rPr>
        <w:t>3</w:t>
      </w:r>
      <w:r>
        <w:rPr>
          <w:rFonts w:hint="eastAsia" w:ascii="宋体" w:hAnsi="宋体" w:eastAsia="宋体" w:cs="宋体"/>
          <w:color w:val="auto"/>
          <w:kern w:val="0"/>
          <w:sz w:val="22"/>
          <w:szCs w:val="22"/>
          <w:highlight w:val="none"/>
          <w:lang w:val="zh-CN"/>
        </w:rPr>
        <w:t>、特别提示：采购代理机构将对项目名称和项目编号，成交供应商名称、地址和成交金额，主要成交标的名称、服务范围、服务要求、服务时间、服务标准等予以公示。</w:t>
      </w:r>
    </w:p>
    <w:p w14:paraId="64CE346C">
      <w:pPr>
        <w:snapToGrid w:val="0"/>
        <w:spacing w:line="360" w:lineRule="auto"/>
        <w:ind w:firstLine="440" w:firstLineChars="200"/>
        <w:jc w:val="left"/>
        <w:rPr>
          <w:rFonts w:hint="eastAsia" w:ascii="宋体" w:hAnsi="宋体" w:eastAsia="宋体" w:cs="宋体"/>
          <w:color w:val="auto"/>
          <w:kern w:val="0"/>
          <w:szCs w:val="21"/>
          <w:highlight w:val="none"/>
          <w:lang w:val="zh-CN"/>
        </w:rPr>
      </w:pPr>
      <w:r>
        <w:rPr>
          <w:rFonts w:hint="eastAsia" w:ascii="宋体" w:hAnsi="宋体" w:eastAsia="宋体" w:cs="宋体"/>
          <w:color w:val="auto"/>
          <w:kern w:val="0"/>
          <w:sz w:val="22"/>
          <w:szCs w:val="22"/>
          <w:highlight w:val="none"/>
        </w:rPr>
        <w:t>4</w:t>
      </w:r>
      <w:r>
        <w:rPr>
          <w:rFonts w:hint="eastAsia" w:ascii="宋体" w:hAnsi="宋体" w:eastAsia="宋体" w:cs="宋体"/>
          <w:color w:val="auto"/>
          <w:kern w:val="0"/>
          <w:sz w:val="22"/>
          <w:szCs w:val="22"/>
          <w:highlight w:val="none"/>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1F168905">
      <w:pPr>
        <w:pStyle w:val="59"/>
        <w:ind w:firstLine="420"/>
        <w:rPr>
          <w:rFonts w:hint="eastAsia" w:ascii="宋体" w:hAnsi="宋体" w:eastAsia="宋体" w:cs="宋体"/>
          <w:color w:val="auto"/>
          <w:highlight w:val="none"/>
          <w:lang w:val="zh-CN"/>
        </w:rPr>
      </w:pPr>
    </w:p>
    <w:p w14:paraId="0758B64B">
      <w:pPr>
        <w:spacing w:line="360" w:lineRule="auto"/>
        <w:ind w:right="-874" w:rightChars="-416" w:firstLine="5280" w:firstLineChars="2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供应商名称（电子签名）：</w:t>
      </w:r>
    </w:p>
    <w:p w14:paraId="54A6CC56">
      <w:pPr>
        <w:autoSpaceDE w:val="0"/>
        <w:autoSpaceDN w:val="0"/>
        <w:spacing w:line="360" w:lineRule="auto"/>
        <w:ind w:left="5040"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75E50FE5">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4E9F9EF4">
      <w:pPr>
        <w:rPr>
          <w:rFonts w:hint="eastAsia" w:ascii="宋体" w:hAnsi="宋体" w:eastAsia="宋体" w:cs="宋体"/>
          <w:color w:val="auto"/>
          <w:highlight w:val="none"/>
        </w:rPr>
      </w:pPr>
    </w:p>
    <w:p w14:paraId="62DC50CF">
      <w:pPr>
        <w:widowControl/>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二、分项报价表</w:t>
      </w:r>
    </w:p>
    <w:p w14:paraId="3510F543">
      <w:pPr>
        <w:spacing w:line="380" w:lineRule="exact"/>
        <w:rPr>
          <w:rFonts w:hint="eastAsia" w:ascii="宋体" w:hAnsi="宋体" w:eastAsia="宋体" w:cs="宋体"/>
          <w:color w:val="auto"/>
          <w:sz w:val="21"/>
          <w:szCs w:val="21"/>
          <w:highlight w:val="none"/>
        </w:rPr>
      </w:pPr>
      <w:r>
        <w:rPr>
          <w:rFonts w:hint="eastAsia" w:ascii="宋体" w:hAnsi="宋体" w:eastAsia="宋体" w:cs="宋体"/>
          <w:color w:val="auto"/>
          <w:sz w:val="24"/>
          <w:szCs w:val="24"/>
          <w:highlight w:val="none"/>
        </w:rPr>
        <w:t xml:space="preserve">项目名称：    </w:t>
      </w:r>
      <w:r>
        <w:rPr>
          <w:rFonts w:hint="eastAsia" w:ascii="宋体" w:hAnsi="宋体" w:eastAsia="宋体" w:cs="宋体"/>
          <w:bCs/>
          <w:color w:val="auto"/>
          <w:sz w:val="24"/>
          <w:szCs w:val="24"/>
          <w:highlight w:val="none"/>
        </w:rPr>
        <w:t xml:space="preserve">  </w:t>
      </w:r>
      <w:r>
        <w:rPr>
          <w:rFonts w:hint="eastAsia" w:ascii="宋体" w:hAnsi="宋体" w:eastAsia="宋体" w:cs="宋体"/>
          <w:color w:val="auto"/>
          <w:sz w:val="24"/>
          <w:szCs w:val="24"/>
          <w:highlight w:val="none"/>
        </w:rPr>
        <w:t xml:space="preserve">                                       采购编号： </w:t>
      </w:r>
      <w:r>
        <w:rPr>
          <w:rFonts w:hint="eastAsia" w:ascii="宋体" w:hAnsi="宋体" w:eastAsia="宋体" w:cs="宋体"/>
          <w:color w:val="auto"/>
          <w:sz w:val="21"/>
          <w:szCs w:val="21"/>
          <w:highlight w:val="none"/>
        </w:rPr>
        <w:t xml:space="preserve"> </w:t>
      </w:r>
    </w:p>
    <w:tbl>
      <w:tblPr>
        <w:tblStyle w:val="60"/>
        <w:tblW w:w="101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859"/>
        <w:gridCol w:w="1466"/>
        <w:gridCol w:w="1455"/>
        <w:gridCol w:w="1592"/>
        <w:gridCol w:w="956"/>
      </w:tblGrid>
      <w:tr w14:paraId="0305F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14:paraId="0F39A282">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序号</w:t>
            </w:r>
          </w:p>
        </w:tc>
        <w:tc>
          <w:tcPr>
            <w:tcW w:w="3859" w:type="dxa"/>
            <w:tcBorders>
              <w:top w:val="single" w:color="auto" w:sz="4" w:space="0"/>
              <w:left w:val="single" w:color="auto" w:sz="4" w:space="0"/>
              <w:bottom w:val="single" w:color="auto" w:sz="4" w:space="0"/>
              <w:right w:val="single" w:color="auto" w:sz="4" w:space="0"/>
            </w:tcBorders>
            <w:noWrap w:val="0"/>
            <w:vAlign w:val="center"/>
          </w:tcPr>
          <w:p w14:paraId="00096323">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服务项目</w:t>
            </w:r>
          </w:p>
        </w:tc>
        <w:tc>
          <w:tcPr>
            <w:tcW w:w="1466" w:type="dxa"/>
            <w:tcBorders>
              <w:top w:val="single" w:color="auto" w:sz="4" w:space="0"/>
              <w:left w:val="single" w:color="auto" w:sz="4" w:space="0"/>
              <w:bottom w:val="single" w:color="auto" w:sz="4" w:space="0"/>
              <w:right w:val="single" w:color="auto" w:sz="4" w:space="0"/>
            </w:tcBorders>
            <w:noWrap w:val="0"/>
            <w:vAlign w:val="center"/>
          </w:tcPr>
          <w:p w14:paraId="24525923">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单价（元）</w:t>
            </w:r>
          </w:p>
        </w:tc>
        <w:tc>
          <w:tcPr>
            <w:tcW w:w="1455" w:type="dxa"/>
            <w:tcBorders>
              <w:top w:val="single" w:color="auto" w:sz="4" w:space="0"/>
              <w:left w:val="single" w:color="auto" w:sz="4" w:space="0"/>
              <w:bottom w:val="single" w:color="auto" w:sz="4" w:space="0"/>
              <w:right w:val="single" w:color="auto" w:sz="4" w:space="0"/>
            </w:tcBorders>
            <w:noWrap w:val="0"/>
            <w:vAlign w:val="center"/>
          </w:tcPr>
          <w:p w14:paraId="40995470">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数量</w:t>
            </w:r>
          </w:p>
        </w:tc>
        <w:tc>
          <w:tcPr>
            <w:tcW w:w="1592" w:type="dxa"/>
            <w:tcBorders>
              <w:top w:val="single" w:color="auto" w:sz="4" w:space="0"/>
              <w:left w:val="single" w:color="auto" w:sz="4" w:space="0"/>
              <w:bottom w:val="single" w:color="auto" w:sz="4" w:space="0"/>
              <w:right w:val="single" w:color="auto" w:sz="4" w:space="0"/>
            </w:tcBorders>
            <w:noWrap w:val="0"/>
            <w:vAlign w:val="center"/>
          </w:tcPr>
          <w:p w14:paraId="291DD9BE">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总价（元）</w:t>
            </w:r>
          </w:p>
        </w:tc>
        <w:tc>
          <w:tcPr>
            <w:tcW w:w="956" w:type="dxa"/>
            <w:tcBorders>
              <w:top w:val="single" w:color="auto" w:sz="4" w:space="0"/>
              <w:left w:val="single" w:color="auto" w:sz="4" w:space="0"/>
              <w:bottom w:val="single" w:color="auto" w:sz="4" w:space="0"/>
              <w:right w:val="single" w:color="auto" w:sz="4" w:space="0"/>
            </w:tcBorders>
            <w:noWrap w:val="0"/>
            <w:vAlign w:val="center"/>
          </w:tcPr>
          <w:p w14:paraId="1648609B">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备注</w:t>
            </w:r>
          </w:p>
        </w:tc>
      </w:tr>
      <w:tr w14:paraId="1D6A4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14:paraId="1464DC99">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w:t>
            </w:r>
          </w:p>
        </w:tc>
        <w:tc>
          <w:tcPr>
            <w:tcW w:w="3859" w:type="dxa"/>
            <w:tcBorders>
              <w:top w:val="single" w:color="auto" w:sz="4" w:space="0"/>
              <w:left w:val="single" w:color="auto" w:sz="4" w:space="0"/>
              <w:bottom w:val="single" w:color="auto" w:sz="4" w:space="0"/>
              <w:right w:val="single" w:color="auto" w:sz="4" w:space="0"/>
            </w:tcBorders>
            <w:noWrap w:val="0"/>
            <w:vAlign w:val="center"/>
          </w:tcPr>
          <w:p w14:paraId="49152337">
            <w:pPr>
              <w:jc w:val="center"/>
              <w:rPr>
                <w:rFonts w:hint="eastAsia" w:ascii="仿宋" w:hAnsi="仿宋" w:eastAsia="仿宋" w:cs="仿宋"/>
                <w:color w:val="auto"/>
                <w:sz w:val="22"/>
                <w:szCs w:val="22"/>
                <w:highlight w:val="none"/>
              </w:rPr>
            </w:pPr>
          </w:p>
        </w:tc>
        <w:tc>
          <w:tcPr>
            <w:tcW w:w="1466" w:type="dxa"/>
            <w:tcBorders>
              <w:top w:val="single" w:color="auto" w:sz="4" w:space="0"/>
              <w:left w:val="single" w:color="auto" w:sz="4" w:space="0"/>
              <w:bottom w:val="single" w:color="auto" w:sz="4" w:space="0"/>
              <w:right w:val="single" w:color="auto" w:sz="4" w:space="0"/>
            </w:tcBorders>
            <w:noWrap w:val="0"/>
            <w:vAlign w:val="center"/>
          </w:tcPr>
          <w:p w14:paraId="0322946B">
            <w:pPr>
              <w:jc w:val="center"/>
              <w:rPr>
                <w:rFonts w:hint="eastAsia" w:ascii="仿宋" w:hAnsi="仿宋" w:eastAsia="仿宋" w:cs="仿宋"/>
                <w:color w:val="auto"/>
                <w:sz w:val="22"/>
                <w:szCs w:val="22"/>
                <w:highlight w:val="none"/>
              </w:rPr>
            </w:pPr>
          </w:p>
        </w:tc>
        <w:tc>
          <w:tcPr>
            <w:tcW w:w="1455" w:type="dxa"/>
            <w:tcBorders>
              <w:top w:val="single" w:color="auto" w:sz="4" w:space="0"/>
              <w:left w:val="single" w:color="auto" w:sz="4" w:space="0"/>
              <w:bottom w:val="single" w:color="auto" w:sz="4" w:space="0"/>
              <w:right w:val="single" w:color="auto" w:sz="4" w:space="0"/>
            </w:tcBorders>
            <w:noWrap w:val="0"/>
            <w:vAlign w:val="center"/>
          </w:tcPr>
          <w:p w14:paraId="672F445F">
            <w:pPr>
              <w:jc w:val="center"/>
              <w:rPr>
                <w:rFonts w:hint="eastAsia" w:ascii="仿宋" w:hAnsi="仿宋" w:eastAsia="仿宋" w:cs="仿宋"/>
                <w:color w:val="auto"/>
                <w:sz w:val="22"/>
                <w:szCs w:val="22"/>
                <w:highlight w:val="none"/>
              </w:rPr>
            </w:pPr>
          </w:p>
        </w:tc>
        <w:tc>
          <w:tcPr>
            <w:tcW w:w="1592" w:type="dxa"/>
            <w:tcBorders>
              <w:top w:val="single" w:color="auto" w:sz="4" w:space="0"/>
              <w:left w:val="single" w:color="auto" w:sz="4" w:space="0"/>
              <w:bottom w:val="single" w:color="auto" w:sz="4" w:space="0"/>
              <w:right w:val="single" w:color="auto" w:sz="4" w:space="0"/>
            </w:tcBorders>
            <w:noWrap w:val="0"/>
            <w:vAlign w:val="center"/>
          </w:tcPr>
          <w:p w14:paraId="25BE3EF6">
            <w:pPr>
              <w:jc w:val="center"/>
              <w:rPr>
                <w:rFonts w:hint="eastAsia" w:ascii="仿宋" w:hAnsi="仿宋" w:eastAsia="仿宋" w:cs="仿宋"/>
                <w:color w:val="auto"/>
                <w:sz w:val="22"/>
                <w:szCs w:val="22"/>
                <w:highlight w:val="none"/>
              </w:rPr>
            </w:pPr>
          </w:p>
        </w:tc>
        <w:tc>
          <w:tcPr>
            <w:tcW w:w="956" w:type="dxa"/>
            <w:tcBorders>
              <w:top w:val="single" w:color="auto" w:sz="4" w:space="0"/>
              <w:left w:val="single" w:color="auto" w:sz="4" w:space="0"/>
              <w:bottom w:val="single" w:color="auto" w:sz="4" w:space="0"/>
              <w:right w:val="single" w:color="auto" w:sz="4" w:space="0"/>
            </w:tcBorders>
            <w:noWrap w:val="0"/>
            <w:vAlign w:val="center"/>
          </w:tcPr>
          <w:p w14:paraId="63DCE5EB">
            <w:pPr>
              <w:jc w:val="center"/>
              <w:rPr>
                <w:rFonts w:hint="eastAsia" w:ascii="仿宋" w:hAnsi="仿宋" w:eastAsia="仿宋" w:cs="仿宋"/>
                <w:color w:val="auto"/>
                <w:sz w:val="22"/>
                <w:szCs w:val="22"/>
                <w:highlight w:val="none"/>
              </w:rPr>
            </w:pPr>
          </w:p>
        </w:tc>
      </w:tr>
      <w:tr w14:paraId="6A2E8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14:paraId="580FAC2F">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w:t>
            </w:r>
          </w:p>
        </w:tc>
        <w:tc>
          <w:tcPr>
            <w:tcW w:w="3859" w:type="dxa"/>
            <w:tcBorders>
              <w:top w:val="single" w:color="auto" w:sz="4" w:space="0"/>
              <w:left w:val="single" w:color="auto" w:sz="4" w:space="0"/>
              <w:bottom w:val="single" w:color="auto" w:sz="4" w:space="0"/>
              <w:right w:val="single" w:color="auto" w:sz="4" w:space="0"/>
            </w:tcBorders>
            <w:noWrap w:val="0"/>
            <w:vAlign w:val="center"/>
          </w:tcPr>
          <w:p w14:paraId="5C7EFBAA">
            <w:pPr>
              <w:jc w:val="center"/>
              <w:rPr>
                <w:rFonts w:hint="eastAsia" w:ascii="仿宋" w:hAnsi="仿宋" w:eastAsia="仿宋" w:cs="仿宋"/>
                <w:color w:val="auto"/>
                <w:sz w:val="22"/>
                <w:szCs w:val="22"/>
                <w:highlight w:val="none"/>
              </w:rPr>
            </w:pPr>
          </w:p>
        </w:tc>
        <w:tc>
          <w:tcPr>
            <w:tcW w:w="1466" w:type="dxa"/>
            <w:tcBorders>
              <w:top w:val="single" w:color="auto" w:sz="4" w:space="0"/>
              <w:left w:val="single" w:color="auto" w:sz="4" w:space="0"/>
              <w:bottom w:val="single" w:color="auto" w:sz="4" w:space="0"/>
              <w:right w:val="single" w:color="auto" w:sz="4" w:space="0"/>
            </w:tcBorders>
            <w:noWrap w:val="0"/>
            <w:vAlign w:val="center"/>
          </w:tcPr>
          <w:p w14:paraId="0917E235">
            <w:pPr>
              <w:jc w:val="center"/>
              <w:rPr>
                <w:rFonts w:hint="eastAsia" w:ascii="仿宋" w:hAnsi="仿宋" w:eastAsia="仿宋" w:cs="仿宋"/>
                <w:color w:val="auto"/>
                <w:sz w:val="22"/>
                <w:szCs w:val="22"/>
                <w:highlight w:val="none"/>
              </w:rPr>
            </w:pPr>
          </w:p>
        </w:tc>
        <w:tc>
          <w:tcPr>
            <w:tcW w:w="1455" w:type="dxa"/>
            <w:tcBorders>
              <w:top w:val="single" w:color="auto" w:sz="4" w:space="0"/>
              <w:left w:val="single" w:color="auto" w:sz="4" w:space="0"/>
              <w:bottom w:val="single" w:color="auto" w:sz="4" w:space="0"/>
              <w:right w:val="single" w:color="auto" w:sz="4" w:space="0"/>
            </w:tcBorders>
            <w:noWrap w:val="0"/>
            <w:vAlign w:val="center"/>
          </w:tcPr>
          <w:p w14:paraId="57F35A33">
            <w:pPr>
              <w:jc w:val="center"/>
              <w:rPr>
                <w:rFonts w:hint="eastAsia" w:ascii="仿宋" w:hAnsi="仿宋" w:eastAsia="仿宋" w:cs="仿宋"/>
                <w:color w:val="auto"/>
                <w:sz w:val="22"/>
                <w:szCs w:val="22"/>
                <w:highlight w:val="none"/>
              </w:rPr>
            </w:pPr>
          </w:p>
        </w:tc>
        <w:tc>
          <w:tcPr>
            <w:tcW w:w="1592" w:type="dxa"/>
            <w:tcBorders>
              <w:top w:val="single" w:color="auto" w:sz="4" w:space="0"/>
              <w:left w:val="single" w:color="auto" w:sz="4" w:space="0"/>
              <w:bottom w:val="single" w:color="auto" w:sz="4" w:space="0"/>
              <w:right w:val="single" w:color="auto" w:sz="4" w:space="0"/>
            </w:tcBorders>
            <w:noWrap w:val="0"/>
            <w:vAlign w:val="center"/>
          </w:tcPr>
          <w:p w14:paraId="7F0DB87F">
            <w:pPr>
              <w:jc w:val="center"/>
              <w:rPr>
                <w:rFonts w:hint="eastAsia" w:ascii="仿宋" w:hAnsi="仿宋" w:eastAsia="仿宋" w:cs="仿宋"/>
                <w:color w:val="auto"/>
                <w:sz w:val="22"/>
                <w:szCs w:val="22"/>
                <w:highlight w:val="none"/>
              </w:rPr>
            </w:pPr>
          </w:p>
        </w:tc>
        <w:tc>
          <w:tcPr>
            <w:tcW w:w="956" w:type="dxa"/>
            <w:tcBorders>
              <w:top w:val="single" w:color="auto" w:sz="4" w:space="0"/>
              <w:left w:val="single" w:color="auto" w:sz="4" w:space="0"/>
              <w:bottom w:val="single" w:color="auto" w:sz="4" w:space="0"/>
              <w:right w:val="single" w:color="auto" w:sz="4" w:space="0"/>
            </w:tcBorders>
            <w:noWrap w:val="0"/>
            <w:vAlign w:val="center"/>
          </w:tcPr>
          <w:p w14:paraId="089462C2">
            <w:pPr>
              <w:jc w:val="center"/>
              <w:rPr>
                <w:rFonts w:hint="eastAsia" w:ascii="仿宋" w:hAnsi="仿宋" w:eastAsia="仿宋" w:cs="仿宋"/>
                <w:color w:val="auto"/>
                <w:sz w:val="22"/>
                <w:szCs w:val="22"/>
                <w:highlight w:val="none"/>
              </w:rPr>
            </w:pPr>
          </w:p>
        </w:tc>
      </w:tr>
      <w:tr w14:paraId="43CB7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14:paraId="36AFD230">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w:t>
            </w:r>
          </w:p>
        </w:tc>
        <w:tc>
          <w:tcPr>
            <w:tcW w:w="3859" w:type="dxa"/>
            <w:tcBorders>
              <w:top w:val="single" w:color="auto" w:sz="4" w:space="0"/>
              <w:left w:val="single" w:color="auto" w:sz="4" w:space="0"/>
              <w:bottom w:val="single" w:color="auto" w:sz="4" w:space="0"/>
              <w:right w:val="single" w:color="auto" w:sz="4" w:space="0"/>
            </w:tcBorders>
            <w:noWrap w:val="0"/>
            <w:vAlign w:val="center"/>
          </w:tcPr>
          <w:p w14:paraId="767738A1">
            <w:pPr>
              <w:jc w:val="center"/>
              <w:rPr>
                <w:rFonts w:hint="eastAsia" w:ascii="仿宋" w:hAnsi="仿宋" w:eastAsia="仿宋" w:cs="仿宋"/>
                <w:color w:val="auto"/>
                <w:sz w:val="22"/>
                <w:szCs w:val="22"/>
                <w:highlight w:val="none"/>
              </w:rPr>
            </w:pPr>
          </w:p>
        </w:tc>
        <w:tc>
          <w:tcPr>
            <w:tcW w:w="1466" w:type="dxa"/>
            <w:tcBorders>
              <w:top w:val="single" w:color="auto" w:sz="4" w:space="0"/>
              <w:left w:val="single" w:color="auto" w:sz="4" w:space="0"/>
              <w:bottom w:val="single" w:color="auto" w:sz="4" w:space="0"/>
              <w:right w:val="single" w:color="auto" w:sz="4" w:space="0"/>
            </w:tcBorders>
            <w:noWrap w:val="0"/>
            <w:vAlign w:val="center"/>
          </w:tcPr>
          <w:p w14:paraId="4FD9CCE5">
            <w:pPr>
              <w:jc w:val="center"/>
              <w:rPr>
                <w:rFonts w:hint="eastAsia" w:ascii="仿宋" w:hAnsi="仿宋" w:eastAsia="仿宋" w:cs="仿宋"/>
                <w:color w:val="auto"/>
                <w:sz w:val="22"/>
                <w:szCs w:val="22"/>
                <w:highlight w:val="none"/>
              </w:rPr>
            </w:pPr>
          </w:p>
        </w:tc>
        <w:tc>
          <w:tcPr>
            <w:tcW w:w="1455" w:type="dxa"/>
            <w:tcBorders>
              <w:top w:val="single" w:color="auto" w:sz="4" w:space="0"/>
              <w:left w:val="single" w:color="auto" w:sz="4" w:space="0"/>
              <w:bottom w:val="single" w:color="auto" w:sz="4" w:space="0"/>
              <w:right w:val="single" w:color="auto" w:sz="4" w:space="0"/>
            </w:tcBorders>
            <w:noWrap w:val="0"/>
            <w:vAlign w:val="center"/>
          </w:tcPr>
          <w:p w14:paraId="5BFBB19C">
            <w:pPr>
              <w:jc w:val="center"/>
              <w:rPr>
                <w:rFonts w:hint="eastAsia" w:ascii="仿宋" w:hAnsi="仿宋" w:eastAsia="仿宋" w:cs="仿宋"/>
                <w:color w:val="auto"/>
                <w:sz w:val="22"/>
                <w:szCs w:val="22"/>
                <w:highlight w:val="none"/>
              </w:rPr>
            </w:pPr>
          </w:p>
        </w:tc>
        <w:tc>
          <w:tcPr>
            <w:tcW w:w="1592" w:type="dxa"/>
            <w:tcBorders>
              <w:top w:val="single" w:color="auto" w:sz="4" w:space="0"/>
              <w:left w:val="single" w:color="auto" w:sz="4" w:space="0"/>
              <w:bottom w:val="single" w:color="auto" w:sz="4" w:space="0"/>
              <w:right w:val="single" w:color="auto" w:sz="4" w:space="0"/>
            </w:tcBorders>
            <w:noWrap w:val="0"/>
            <w:vAlign w:val="center"/>
          </w:tcPr>
          <w:p w14:paraId="7CAFAB6A">
            <w:pPr>
              <w:jc w:val="center"/>
              <w:rPr>
                <w:rFonts w:hint="eastAsia" w:ascii="仿宋" w:hAnsi="仿宋" w:eastAsia="仿宋" w:cs="仿宋"/>
                <w:color w:val="auto"/>
                <w:sz w:val="22"/>
                <w:szCs w:val="22"/>
                <w:highlight w:val="none"/>
              </w:rPr>
            </w:pPr>
          </w:p>
        </w:tc>
        <w:tc>
          <w:tcPr>
            <w:tcW w:w="956" w:type="dxa"/>
            <w:tcBorders>
              <w:top w:val="single" w:color="auto" w:sz="4" w:space="0"/>
              <w:left w:val="single" w:color="auto" w:sz="4" w:space="0"/>
              <w:bottom w:val="single" w:color="auto" w:sz="4" w:space="0"/>
              <w:right w:val="single" w:color="auto" w:sz="4" w:space="0"/>
            </w:tcBorders>
            <w:noWrap w:val="0"/>
            <w:vAlign w:val="center"/>
          </w:tcPr>
          <w:p w14:paraId="2C312559">
            <w:pPr>
              <w:jc w:val="center"/>
              <w:rPr>
                <w:rFonts w:hint="eastAsia" w:ascii="仿宋" w:hAnsi="仿宋" w:eastAsia="仿宋" w:cs="仿宋"/>
                <w:color w:val="auto"/>
                <w:sz w:val="22"/>
                <w:szCs w:val="22"/>
                <w:highlight w:val="none"/>
              </w:rPr>
            </w:pPr>
          </w:p>
        </w:tc>
      </w:tr>
      <w:tr w14:paraId="721F6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14:paraId="21A933A9">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w:t>
            </w:r>
          </w:p>
        </w:tc>
        <w:tc>
          <w:tcPr>
            <w:tcW w:w="3859" w:type="dxa"/>
            <w:tcBorders>
              <w:top w:val="single" w:color="auto" w:sz="4" w:space="0"/>
              <w:left w:val="single" w:color="auto" w:sz="4" w:space="0"/>
              <w:bottom w:val="single" w:color="auto" w:sz="4" w:space="0"/>
              <w:right w:val="single" w:color="auto" w:sz="4" w:space="0"/>
            </w:tcBorders>
            <w:noWrap w:val="0"/>
            <w:vAlign w:val="center"/>
          </w:tcPr>
          <w:p w14:paraId="2A7C1CEE">
            <w:pPr>
              <w:jc w:val="center"/>
              <w:rPr>
                <w:rFonts w:hint="eastAsia" w:ascii="仿宋" w:hAnsi="仿宋" w:eastAsia="仿宋" w:cs="仿宋"/>
                <w:color w:val="auto"/>
                <w:sz w:val="22"/>
                <w:szCs w:val="22"/>
                <w:highlight w:val="none"/>
              </w:rPr>
            </w:pPr>
          </w:p>
        </w:tc>
        <w:tc>
          <w:tcPr>
            <w:tcW w:w="1466" w:type="dxa"/>
            <w:tcBorders>
              <w:top w:val="single" w:color="auto" w:sz="4" w:space="0"/>
              <w:left w:val="single" w:color="auto" w:sz="4" w:space="0"/>
              <w:bottom w:val="single" w:color="auto" w:sz="4" w:space="0"/>
              <w:right w:val="single" w:color="auto" w:sz="4" w:space="0"/>
            </w:tcBorders>
            <w:noWrap w:val="0"/>
            <w:vAlign w:val="center"/>
          </w:tcPr>
          <w:p w14:paraId="3ED878EA">
            <w:pPr>
              <w:jc w:val="center"/>
              <w:rPr>
                <w:rFonts w:hint="eastAsia" w:ascii="仿宋" w:hAnsi="仿宋" w:eastAsia="仿宋" w:cs="仿宋"/>
                <w:color w:val="auto"/>
                <w:sz w:val="22"/>
                <w:szCs w:val="22"/>
                <w:highlight w:val="none"/>
              </w:rPr>
            </w:pPr>
          </w:p>
        </w:tc>
        <w:tc>
          <w:tcPr>
            <w:tcW w:w="1455" w:type="dxa"/>
            <w:tcBorders>
              <w:top w:val="single" w:color="auto" w:sz="4" w:space="0"/>
              <w:left w:val="single" w:color="auto" w:sz="4" w:space="0"/>
              <w:bottom w:val="single" w:color="auto" w:sz="4" w:space="0"/>
              <w:right w:val="single" w:color="auto" w:sz="4" w:space="0"/>
            </w:tcBorders>
            <w:noWrap w:val="0"/>
            <w:vAlign w:val="center"/>
          </w:tcPr>
          <w:p w14:paraId="38F8D1D1">
            <w:pPr>
              <w:jc w:val="center"/>
              <w:rPr>
                <w:rFonts w:hint="eastAsia" w:ascii="仿宋" w:hAnsi="仿宋" w:eastAsia="仿宋" w:cs="仿宋"/>
                <w:color w:val="auto"/>
                <w:sz w:val="22"/>
                <w:szCs w:val="22"/>
                <w:highlight w:val="none"/>
              </w:rPr>
            </w:pPr>
          </w:p>
        </w:tc>
        <w:tc>
          <w:tcPr>
            <w:tcW w:w="1592" w:type="dxa"/>
            <w:tcBorders>
              <w:top w:val="single" w:color="auto" w:sz="4" w:space="0"/>
              <w:left w:val="single" w:color="auto" w:sz="4" w:space="0"/>
              <w:bottom w:val="single" w:color="auto" w:sz="4" w:space="0"/>
              <w:right w:val="single" w:color="auto" w:sz="4" w:space="0"/>
            </w:tcBorders>
            <w:noWrap w:val="0"/>
            <w:vAlign w:val="center"/>
          </w:tcPr>
          <w:p w14:paraId="01A2C314">
            <w:pPr>
              <w:jc w:val="center"/>
              <w:rPr>
                <w:rFonts w:hint="eastAsia" w:ascii="仿宋" w:hAnsi="仿宋" w:eastAsia="仿宋" w:cs="仿宋"/>
                <w:color w:val="auto"/>
                <w:sz w:val="22"/>
                <w:szCs w:val="22"/>
                <w:highlight w:val="none"/>
              </w:rPr>
            </w:pPr>
          </w:p>
        </w:tc>
        <w:tc>
          <w:tcPr>
            <w:tcW w:w="956" w:type="dxa"/>
            <w:tcBorders>
              <w:top w:val="single" w:color="auto" w:sz="4" w:space="0"/>
              <w:left w:val="single" w:color="auto" w:sz="4" w:space="0"/>
              <w:bottom w:val="single" w:color="auto" w:sz="4" w:space="0"/>
              <w:right w:val="single" w:color="auto" w:sz="4" w:space="0"/>
            </w:tcBorders>
            <w:noWrap w:val="0"/>
            <w:vAlign w:val="center"/>
          </w:tcPr>
          <w:p w14:paraId="3BE75D32">
            <w:pPr>
              <w:jc w:val="center"/>
              <w:rPr>
                <w:rFonts w:hint="eastAsia" w:ascii="仿宋" w:hAnsi="仿宋" w:eastAsia="仿宋" w:cs="仿宋"/>
                <w:color w:val="auto"/>
                <w:sz w:val="22"/>
                <w:szCs w:val="22"/>
                <w:highlight w:val="none"/>
              </w:rPr>
            </w:pPr>
          </w:p>
        </w:tc>
      </w:tr>
      <w:tr w14:paraId="623C2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9"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14:paraId="1130F4B4">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w:t>
            </w:r>
          </w:p>
        </w:tc>
        <w:tc>
          <w:tcPr>
            <w:tcW w:w="3859" w:type="dxa"/>
            <w:tcBorders>
              <w:top w:val="single" w:color="auto" w:sz="4" w:space="0"/>
              <w:left w:val="single" w:color="auto" w:sz="4" w:space="0"/>
              <w:bottom w:val="single" w:color="auto" w:sz="4" w:space="0"/>
              <w:right w:val="single" w:color="auto" w:sz="4" w:space="0"/>
            </w:tcBorders>
            <w:noWrap w:val="0"/>
            <w:vAlign w:val="center"/>
          </w:tcPr>
          <w:p w14:paraId="0DCCAB9F">
            <w:pPr>
              <w:jc w:val="center"/>
              <w:rPr>
                <w:rFonts w:hint="eastAsia" w:ascii="仿宋" w:hAnsi="仿宋" w:eastAsia="仿宋" w:cs="仿宋"/>
                <w:color w:val="auto"/>
                <w:sz w:val="22"/>
                <w:szCs w:val="22"/>
                <w:highlight w:val="none"/>
              </w:rPr>
            </w:pPr>
          </w:p>
        </w:tc>
        <w:tc>
          <w:tcPr>
            <w:tcW w:w="1466" w:type="dxa"/>
            <w:tcBorders>
              <w:top w:val="single" w:color="auto" w:sz="4" w:space="0"/>
              <w:left w:val="single" w:color="auto" w:sz="4" w:space="0"/>
              <w:bottom w:val="single" w:color="auto" w:sz="4" w:space="0"/>
              <w:right w:val="single" w:color="auto" w:sz="4" w:space="0"/>
            </w:tcBorders>
            <w:noWrap w:val="0"/>
            <w:vAlign w:val="center"/>
          </w:tcPr>
          <w:p w14:paraId="15FA5664">
            <w:pPr>
              <w:jc w:val="center"/>
              <w:rPr>
                <w:rFonts w:hint="eastAsia" w:ascii="仿宋" w:hAnsi="仿宋" w:eastAsia="仿宋" w:cs="仿宋"/>
                <w:color w:val="auto"/>
                <w:sz w:val="22"/>
                <w:szCs w:val="22"/>
                <w:highlight w:val="none"/>
              </w:rPr>
            </w:pPr>
          </w:p>
        </w:tc>
        <w:tc>
          <w:tcPr>
            <w:tcW w:w="1455" w:type="dxa"/>
            <w:tcBorders>
              <w:top w:val="single" w:color="auto" w:sz="4" w:space="0"/>
              <w:left w:val="single" w:color="auto" w:sz="4" w:space="0"/>
              <w:bottom w:val="single" w:color="auto" w:sz="4" w:space="0"/>
              <w:right w:val="single" w:color="auto" w:sz="4" w:space="0"/>
            </w:tcBorders>
            <w:noWrap w:val="0"/>
            <w:vAlign w:val="center"/>
          </w:tcPr>
          <w:p w14:paraId="5D163FC5">
            <w:pPr>
              <w:jc w:val="center"/>
              <w:rPr>
                <w:rFonts w:hint="eastAsia" w:ascii="仿宋" w:hAnsi="仿宋" w:eastAsia="仿宋" w:cs="仿宋"/>
                <w:color w:val="auto"/>
                <w:sz w:val="22"/>
                <w:szCs w:val="22"/>
                <w:highlight w:val="none"/>
              </w:rPr>
            </w:pPr>
          </w:p>
        </w:tc>
        <w:tc>
          <w:tcPr>
            <w:tcW w:w="1592" w:type="dxa"/>
            <w:tcBorders>
              <w:top w:val="single" w:color="auto" w:sz="4" w:space="0"/>
              <w:left w:val="single" w:color="auto" w:sz="4" w:space="0"/>
              <w:bottom w:val="single" w:color="auto" w:sz="4" w:space="0"/>
              <w:right w:val="single" w:color="auto" w:sz="4" w:space="0"/>
            </w:tcBorders>
            <w:noWrap w:val="0"/>
            <w:vAlign w:val="center"/>
          </w:tcPr>
          <w:p w14:paraId="4A99A111">
            <w:pPr>
              <w:jc w:val="center"/>
              <w:rPr>
                <w:rFonts w:hint="eastAsia" w:ascii="仿宋" w:hAnsi="仿宋" w:eastAsia="仿宋" w:cs="仿宋"/>
                <w:color w:val="auto"/>
                <w:sz w:val="22"/>
                <w:szCs w:val="22"/>
                <w:highlight w:val="none"/>
              </w:rPr>
            </w:pPr>
          </w:p>
        </w:tc>
        <w:tc>
          <w:tcPr>
            <w:tcW w:w="956" w:type="dxa"/>
            <w:tcBorders>
              <w:top w:val="single" w:color="auto" w:sz="4" w:space="0"/>
              <w:left w:val="single" w:color="auto" w:sz="4" w:space="0"/>
              <w:bottom w:val="single" w:color="auto" w:sz="4" w:space="0"/>
              <w:right w:val="single" w:color="auto" w:sz="4" w:space="0"/>
            </w:tcBorders>
            <w:noWrap w:val="0"/>
            <w:vAlign w:val="center"/>
          </w:tcPr>
          <w:p w14:paraId="5820C540">
            <w:pPr>
              <w:jc w:val="center"/>
              <w:rPr>
                <w:rFonts w:hint="eastAsia" w:ascii="仿宋" w:hAnsi="仿宋" w:eastAsia="仿宋" w:cs="仿宋"/>
                <w:color w:val="auto"/>
                <w:sz w:val="22"/>
                <w:szCs w:val="22"/>
                <w:highlight w:val="none"/>
              </w:rPr>
            </w:pPr>
          </w:p>
        </w:tc>
      </w:tr>
      <w:tr w14:paraId="36235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14:paraId="03898DAE">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w:t>
            </w:r>
          </w:p>
        </w:tc>
        <w:tc>
          <w:tcPr>
            <w:tcW w:w="3859" w:type="dxa"/>
            <w:tcBorders>
              <w:top w:val="single" w:color="auto" w:sz="4" w:space="0"/>
              <w:left w:val="single" w:color="auto" w:sz="4" w:space="0"/>
              <w:bottom w:val="single" w:color="auto" w:sz="4" w:space="0"/>
              <w:right w:val="single" w:color="auto" w:sz="4" w:space="0"/>
            </w:tcBorders>
            <w:noWrap w:val="0"/>
            <w:vAlign w:val="center"/>
          </w:tcPr>
          <w:p w14:paraId="4647C620">
            <w:pPr>
              <w:jc w:val="center"/>
              <w:rPr>
                <w:rFonts w:hint="eastAsia" w:ascii="仿宋" w:hAnsi="仿宋" w:eastAsia="仿宋" w:cs="仿宋"/>
                <w:color w:val="auto"/>
                <w:sz w:val="22"/>
                <w:szCs w:val="22"/>
                <w:highlight w:val="none"/>
              </w:rPr>
            </w:pPr>
          </w:p>
        </w:tc>
        <w:tc>
          <w:tcPr>
            <w:tcW w:w="1466" w:type="dxa"/>
            <w:tcBorders>
              <w:top w:val="single" w:color="auto" w:sz="4" w:space="0"/>
              <w:left w:val="single" w:color="auto" w:sz="4" w:space="0"/>
              <w:bottom w:val="single" w:color="auto" w:sz="4" w:space="0"/>
              <w:right w:val="single" w:color="auto" w:sz="4" w:space="0"/>
            </w:tcBorders>
            <w:noWrap w:val="0"/>
            <w:vAlign w:val="center"/>
          </w:tcPr>
          <w:p w14:paraId="1234C523">
            <w:pPr>
              <w:jc w:val="center"/>
              <w:rPr>
                <w:rFonts w:hint="eastAsia" w:ascii="仿宋" w:hAnsi="仿宋" w:eastAsia="仿宋" w:cs="仿宋"/>
                <w:color w:val="auto"/>
                <w:sz w:val="22"/>
                <w:szCs w:val="22"/>
                <w:highlight w:val="none"/>
              </w:rPr>
            </w:pPr>
          </w:p>
        </w:tc>
        <w:tc>
          <w:tcPr>
            <w:tcW w:w="1455" w:type="dxa"/>
            <w:tcBorders>
              <w:top w:val="single" w:color="auto" w:sz="4" w:space="0"/>
              <w:left w:val="single" w:color="auto" w:sz="4" w:space="0"/>
              <w:bottom w:val="single" w:color="auto" w:sz="4" w:space="0"/>
              <w:right w:val="single" w:color="auto" w:sz="4" w:space="0"/>
            </w:tcBorders>
            <w:noWrap w:val="0"/>
            <w:vAlign w:val="center"/>
          </w:tcPr>
          <w:p w14:paraId="4D696F5E">
            <w:pPr>
              <w:jc w:val="center"/>
              <w:rPr>
                <w:rFonts w:hint="eastAsia" w:ascii="仿宋" w:hAnsi="仿宋" w:eastAsia="仿宋" w:cs="仿宋"/>
                <w:color w:val="auto"/>
                <w:sz w:val="22"/>
                <w:szCs w:val="22"/>
                <w:highlight w:val="none"/>
              </w:rPr>
            </w:pPr>
          </w:p>
        </w:tc>
        <w:tc>
          <w:tcPr>
            <w:tcW w:w="1592" w:type="dxa"/>
            <w:tcBorders>
              <w:top w:val="single" w:color="auto" w:sz="4" w:space="0"/>
              <w:left w:val="single" w:color="auto" w:sz="4" w:space="0"/>
              <w:bottom w:val="single" w:color="auto" w:sz="4" w:space="0"/>
              <w:right w:val="single" w:color="auto" w:sz="4" w:space="0"/>
            </w:tcBorders>
            <w:noWrap w:val="0"/>
            <w:vAlign w:val="center"/>
          </w:tcPr>
          <w:p w14:paraId="1A36513A">
            <w:pPr>
              <w:jc w:val="center"/>
              <w:rPr>
                <w:rFonts w:hint="eastAsia" w:ascii="仿宋" w:hAnsi="仿宋" w:eastAsia="仿宋" w:cs="仿宋"/>
                <w:color w:val="auto"/>
                <w:sz w:val="22"/>
                <w:szCs w:val="22"/>
                <w:highlight w:val="none"/>
              </w:rPr>
            </w:pPr>
          </w:p>
        </w:tc>
        <w:tc>
          <w:tcPr>
            <w:tcW w:w="956" w:type="dxa"/>
            <w:tcBorders>
              <w:top w:val="single" w:color="auto" w:sz="4" w:space="0"/>
              <w:left w:val="single" w:color="auto" w:sz="4" w:space="0"/>
              <w:bottom w:val="single" w:color="auto" w:sz="4" w:space="0"/>
              <w:right w:val="single" w:color="auto" w:sz="4" w:space="0"/>
            </w:tcBorders>
            <w:noWrap w:val="0"/>
            <w:vAlign w:val="center"/>
          </w:tcPr>
          <w:p w14:paraId="1CB7B070">
            <w:pPr>
              <w:jc w:val="center"/>
              <w:rPr>
                <w:rFonts w:hint="eastAsia" w:ascii="仿宋" w:hAnsi="仿宋" w:eastAsia="仿宋" w:cs="仿宋"/>
                <w:color w:val="auto"/>
                <w:sz w:val="22"/>
                <w:szCs w:val="22"/>
                <w:highlight w:val="none"/>
              </w:rPr>
            </w:pPr>
          </w:p>
        </w:tc>
      </w:tr>
      <w:tr w14:paraId="624BF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14:paraId="3EE45F61">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w:t>
            </w:r>
          </w:p>
        </w:tc>
        <w:tc>
          <w:tcPr>
            <w:tcW w:w="3859" w:type="dxa"/>
            <w:tcBorders>
              <w:top w:val="single" w:color="auto" w:sz="4" w:space="0"/>
              <w:left w:val="single" w:color="auto" w:sz="4" w:space="0"/>
              <w:bottom w:val="single" w:color="auto" w:sz="4" w:space="0"/>
              <w:right w:val="single" w:color="auto" w:sz="4" w:space="0"/>
            </w:tcBorders>
            <w:noWrap w:val="0"/>
            <w:vAlign w:val="center"/>
          </w:tcPr>
          <w:p w14:paraId="19373DB5">
            <w:pPr>
              <w:jc w:val="center"/>
              <w:rPr>
                <w:rFonts w:hint="eastAsia" w:ascii="仿宋" w:hAnsi="仿宋" w:eastAsia="仿宋" w:cs="仿宋"/>
                <w:color w:val="auto"/>
                <w:sz w:val="22"/>
                <w:szCs w:val="22"/>
                <w:highlight w:val="none"/>
              </w:rPr>
            </w:pPr>
          </w:p>
        </w:tc>
        <w:tc>
          <w:tcPr>
            <w:tcW w:w="1466" w:type="dxa"/>
            <w:tcBorders>
              <w:top w:val="single" w:color="auto" w:sz="4" w:space="0"/>
              <w:left w:val="single" w:color="auto" w:sz="4" w:space="0"/>
              <w:bottom w:val="single" w:color="auto" w:sz="4" w:space="0"/>
              <w:right w:val="single" w:color="auto" w:sz="4" w:space="0"/>
            </w:tcBorders>
            <w:noWrap w:val="0"/>
            <w:vAlign w:val="center"/>
          </w:tcPr>
          <w:p w14:paraId="0319D291">
            <w:pPr>
              <w:jc w:val="center"/>
              <w:rPr>
                <w:rFonts w:hint="eastAsia" w:ascii="仿宋" w:hAnsi="仿宋" w:eastAsia="仿宋" w:cs="仿宋"/>
                <w:color w:val="auto"/>
                <w:sz w:val="22"/>
                <w:szCs w:val="22"/>
                <w:highlight w:val="none"/>
              </w:rPr>
            </w:pPr>
          </w:p>
        </w:tc>
        <w:tc>
          <w:tcPr>
            <w:tcW w:w="1455" w:type="dxa"/>
            <w:tcBorders>
              <w:top w:val="single" w:color="auto" w:sz="4" w:space="0"/>
              <w:left w:val="single" w:color="auto" w:sz="4" w:space="0"/>
              <w:bottom w:val="single" w:color="auto" w:sz="4" w:space="0"/>
              <w:right w:val="single" w:color="auto" w:sz="4" w:space="0"/>
            </w:tcBorders>
            <w:noWrap w:val="0"/>
            <w:vAlign w:val="center"/>
          </w:tcPr>
          <w:p w14:paraId="23FF2847">
            <w:pPr>
              <w:jc w:val="center"/>
              <w:rPr>
                <w:rFonts w:hint="eastAsia" w:ascii="仿宋" w:hAnsi="仿宋" w:eastAsia="仿宋" w:cs="仿宋"/>
                <w:color w:val="auto"/>
                <w:sz w:val="22"/>
                <w:szCs w:val="22"/>
                <w:highlight w:val="none"/>
              </w:rPr>
            </w:pPr>
          </w:p>
        </w:tc>
        <w:tc>
          <w:tcPr>
            <w:tcW w:w="1592" w:type="dxa"/>
            <w:tcBorders>
              <w:top w:val="single" w:color="auto" w:sz="4" w:space="0"/>
              <w:left w:val="single" w:color="auto" w:sz="4" w:space="0"/>
              <w:bottom w:val="single" w:color="auto" w:sz="4" w:space="0"/>
              <w:right w:val="single" w:color="auto" w:sz="4" w:space="0"/>
            </w:tcBorders>
            <w:noWrap w:val="0"/>
            <w:vAlign w:val="center"/>
          </w:tcPr>
          <w:p w14:paraId="052C3D58">
            <w:pPr>
              <w:jc w:val="center"/>
              <w:rPr>
                <w:rFonts w:hint="eastAsia" w:ascii="仿宋" w:hAnsi="仿宋" w:eastAsia="仿宋" w:cs="仿宋"/>
                <w:color w:val="auto"/>
                <w:sz w:val="22"/>
                <w:szCs w:val="22"/>
                <w:highlight w:val="none"/>
              </w:rPr>
            </w:pPr>
          </w:p>
        </w:tc>
        <w:tc>
          <w:tcPr>
            <w:tcW w:w="956" w:type="dxa"/>
            <w:tcBorders>
              <w:top w:val="single" w:color="auto" w:sz="4" w:space="0"/>
              <w:left w:val="single" w:color="auto" w:sz="4" w:space="0"/>
              <w:bottom w:val="single" w:color="auto" w:sz="4" w:space="0"/>
              <w:right w:val="single" w:color="auto" w:sz="4" w:space="0"/>
            </w:tcBorders>
            <w:noWrap w:val="0"/>
            <w:vAlign w:val="center"/>
          </w:tcPr>
          <w:p w14:paraId="77CAE290">
            <w:pPr>
              <w:jc w:val="center"/>
              <w:rPr>
                <w:rFonts w:hint="eastAsia" w:ascii="仿宋" w:hAnsi="仿宋" w:eastAsia="仿宋" w:cs="仿宋"/>
                <w:color w:val="auto"/>
                <w:sz w:val="22"/>
                <w:szCs w:val="22"/>
                <w:highlight w:val="none"/>
              </w:rPr>
            </w:pPr>
          </w:p>
        </w:tc>
      </w:tr>
      <w:tr w14:paraId="2255F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14:paraId="6C1962AF">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8</w:t>
            </w:r>
          </w:p>
        </w:tc>
        <w:tc>
          <w:tcPr>
            <w:tcW w:w="3859" w:type="dxa"/>
            <w:tcBorders>
              <w:top w:val="single" w:color="auto" w:sz="4" w:space="0"/>
              <w:left w:val="single" w:color="auto" w:sz="4" w:space="0"/>
              <w:bottom w:val="single" w:color="auto" w:sz="4" w:space="0"/>
              <w:right w:val="single" w:color="auto" w:sz="4" w:space="0"/>
            </w:tcBorders>
            <w:noWrap w:val="0"/>
            <w:vAlign w:val="center"/>
          </w:tcPr>
          <w:p w14:paraId="5F672215">
            <w:pPr>
              <w:jc w:val="center"/>
              <w:rPr>
                <w:rFonts w:hint="eastAsia" w:ascii="仿宋" w:hAnsi="仿宋" w:eastAsia="仿宋" w:cs="仿宋"/>
                <w:color w:val="auto"/>
                <w:sz w:val="22"/>
                <w:szCs w:val="22"/>
                <w:highlight w:val="none"/>
              </w:rPr>
            </w:pPr>
          </w:p>
        </w:tc>
        <w:tc>
          <w:tcPr>
            <w:tcW w:w="1466" w:type="dxa"/>
            <w:tcBorders>
              <w:top w:val="single" w:color="auto" w:sz="4" w:space="0"/>
              <w:left w:val="single" w:color="auto" w:sz="4" w:space="0"/>
              <w:bottom w:val="single" w:color="auto" w:sz="4" w:space="0"/>
              <w:right w:val="single" w:color="auto" w:sz="4" w:space="0"/>
            </w:tcBorders>
            <w:noWrap w:val="0"/>
            <w:vAlign w:val="center"/>
          </w:tcPr>
          <w:p w14:paraId="6B49F41B">
            <w:pPr>
              <w:jc w:val="center"/>
              <w:rPr>
                <w:rFonts w:hint="eastAsia" w:ascii="仿宋" w:hAnsi="仿宋" w:eastAsia="仿宋" w:cs="仿宋"/>
                <w:color w:val="auto"/>
                <w:sz w:val="22"/>
                <w:szCs w:val="22"/>
                <w:highlight w:val="none"/>
              </w:rPr>
            </w:pPr>
          </w:p>
        </w:tc>
        <w:tc>
          <w:tcPr>
            <w:tcW w:w="1455" w:type="dxa"/>
            <w:tcBorders>
              <w:top w:val="single" w:color="auto" w:sz="4" w:space="0"/>
              <w:left w:val="single" w:color="auto" w:sz="4" w:space="0"/>
              <w:bottom w:val="single" w:color="auto" w:sz="4" w:space="0"/>
              <w:right w:val="single" w:color="auto" w:sz="4" w:space="0"/>
            </w:tcBorders>
            <w:noWrap w:val="0"/>
            <w:vAlign w:val="center"/>
          </w:tcPr>
          <w:p w14:paraId="11C9CC18">
            <w:pPr>
              <w:jc w:val="center"/>
              <w:rPr>
                <w:rFonts w:hint="eastAsia" w:ascii="仿宋" w:hAnsi="仿宋" w:eastAsia="仿宋" w:cs="仿宋"/>
                <w:color w:val="auto"/>
                <w:sz w:val="22"/>
                <w:szCs w:val="22"/>
                <w:highlight w:val="none"/>
              </w:rPr>
            </w:pPr>
          </w:p>
        </w:tc>
        <w:tc>
          <w:tcPr>
            <w:tcW w:w="1592" w:type="dxa"/>
            <w:tcBorders>
              <w:top w:val="single" w:color="auto" w:sz="4" w:space="0"/>
              <w:left w:val="single" w:color="auto" w:sz="4" w:space="0"/>
              <w:bottom w:val="single" w:color="auto" w:sz="4" w:space="0"/>
              <w:right w:val="single" w:color="auto" w:sz="4" w:space="0"/>
            </w:tcBorders>
            <w:noWrap w:val="0"/>
            <w:vAlign w:val="center"/>
          </w:tcPr>
          <w:p w14:paraId="3DA1E792">
            <w:pPr>
              <w:jc w:val="center"/>
              <w:rPr>
                <w:rFonts w:hint="eastAsia" w:ascii="仿宋" w:hAnsi="仿宋" w:eastAsia="仿宋" w:cs="仿宋"/>
                <w:color w:val="auto"/>
                <w:sz w:val="22"/>
                <w:szCs w:val="22"/>
                <w:highlight w:val="none"/>
              </w:rPr>
            </w:pPr>
          </w:p>
        </w:tc>
        <w:tc>
          <w:tcPr>
            <w:tcW w:w="956" w:type="dxa"/>
            <w:tcBorders>
              <w:top w:val="single" w:color="auto" w:sz="4" w:space="0"/>
              <w:left w:val="single" w:color="auto" w:sz="4" w:space="0"/>
              <w:bottom w:val="single" w:color="auto" w:sz="4" w:space="0"/>
              <w:right w:val="single" w:color="auto" w:sz="4" w:space="0"/>
            </w:tcBorders>
            <w:noWrap w:val="0"/>
            <w:vAlign w:val="center"/>
          </w:tcPr>
          <w:p w14:paraId="289A7342">
            <w:pPr>
              <w:jc w:val="center"/>
              <w:rPr>
                <w:rFonts w:hint="eastAsia" w:ascii="仿宋" w:hAnsi="仿宋" w:eastAsia="仿宋" w:cs="仿宋"/>
                <w:color w:val="auto"/>
                <w:sz w:val="22"/>
                <w:szCs w:val="22"/>
                <w:highlight w:val="none"/>
              </w:rPr>
            </w:pPr>
          </w:p>
        </w:tc>
      </w:tr>
      <w:tr w14:paraId="6BBE6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14:paraId="7A9EACED">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9</w:t>
            </w:r>
          </w:p>
        </w:tc>
        <w:tc>
          <w:tcPr>
            <w:tcW w:w="3859" w:type="dxa"/>
            <w:tcBorders>
              <w:top w:val="single" w:color="auto" w:sz="4" w:space="0"/>
              <w:left w:val="single" w:color="auto" w:sz="4" w:space="0"/>
              <w:bottom w:val="single" w:color="auto" w:sz="4" w:space="0"/>
              <w:right w:val="single" w:color="auto" w:sz="4" w:space="0"/>
            </w:tcBorders>
            <w:noWrap w:val="0"/>
            <w:vAlign w:val="center"/>
          </w:tcPr>
          <w:p w14:paraId="32BF363B">
            <w:pPr>
              <w:jc w:val="center"/>
              <w:rPr>
                <w:rFonts w:hint="eastAsia" w:ascii="仿宋" w:hAnsi="仿宋" w:eastAsia="仿宋" w:cs="仿宋"/>
                <w:color w:val="auto"/>
                <w:sz w:val="22"/>
                <w:szCs w:val="22"/>
                <w:highlight w:val="none"/>
              </w:rPr>
            </w:pPr>
          </w:p>
        </w:tc>
        <w:tc>
          <w:tcPr>
            <w:tcW w:w="1466" w:type="dxa"/>
            <w:tcBorders>
              <w:top w:val="single" w:color="auto" w:sz="4" w:space="0"/>
              <w:left w:val="single" w:color="auto" w:sz="4" w:space="0"/>
              <w:bottom w:val="single" w:color="auto" w:sz="4" w:space="0"/>
              <w:right w:val="single" w:color="auto" w:sz="4" w:space="0"/>
            </w:tcBorders>
            <w:noWrap w:val="0"/>
            <w:vAlign w:val="center"/>
          </w:tcPr>
          <w:p w14:paraId="1BBC70BC">
            <w:pPr>
              <w:jc w:val="center"/>
              <w:rPr>
                <w:rFonts w:hint="eastAsia" w:ascii="仿宋" w:hAnsi="仿宋" w:eastAsia="仿宋" w:cs="仿宋"/>
                <w:color w:val="auto"/>
                <w:sz w:val="22"/>
                <w:szCs w:val="22"/>
                <w:highlight w:val="none"/>
              </w:rPr>
            </w:pPr>
          </w:p>
        </w:tc>
        <w:tc>
          <w:tcPr>
            <w:tcW w:w="1455" w:type="dxa"/>
            <w:tcBorders>
              <w:top w:val="single" w:color="auto" w:sz="4" w:space="0"/>
              <w:left w:val="single" w:color="auto" w:sz="4" w:space="0"/>
              <w:bottom w:val="single" w:color="auto" w:sz="4" w:space="0"/>
              <w:right w:val="single" w:color="auto" w:sz="4" w:space="0"/>
            </w:tcBorders>
            <w:noWrap w:val="0"/>
            <w:vAlign w:val="center"/>
          </w:tcPr>
          <w:p w14:paraId="62401654">
            <w:pPr>
              <w:jc w:val="center"/>
              <w:rPr>
                <w:rFonts w:hint="eastAsia" w:ascii="仿宋" w:hAnsi="仿宋" w:eastAsia="仿宋" w:cs="仿宋"/>
                <w:color w:val="auto"/>
                <w:sz w:val="22"/>
                <w:szCs w:val="22"/>
                <w:highlight w:val="none"/>
              </w:rPr>
            </w:pPr>
          </w:p>
        </w:tc>
        <w:tc>
          <w:tcPr>
            <w:tcW w:w="1592" w:type="dxa"/>
            <w:tcBorders>
              <w:top w:val="single" w:color="auto" w:sz="4" w:space="0"/>
              <w:left w:val="single" w:color="auto" w:sz="4" w:space="0"/>
              <w:bottom w:val="single" w:color="auto" w:sz="4" w:space="0"/>
              <w:right w:val="single" w:color="auto" w:sz="4" w:space="0"/>
            </w:tcBorders>
            <w:noWrap w:val="0"/>
            <w:vAlign w:val="center"/>
          </w:tcPr>
          <w:p w14:paraId="2D5B73DE">
            <w:pPr>
              <w:jc w:val="center"/>
              <w:rPr>
                <w:rFonts w:hint="eastAsia" w:ascii="仿宋" w:hAnsi="仿宋" w:eastAsia="仿宋" w:cs="仿宋"/>
                <w:color w:val="auto"/>
                <w:sz w:val="22"/>
                <w:szCs w:val="22"/>
                <w:highlight w:val="none"/>
              </w:rPr>
            </w:pPr>
          </w:p>
        </w:tc>
        <w:tc>
          <w:tcPr>
            <w:tcW w:w="956" w:type="dxa"/>
            <w:tcBorders>
              <w:top w:val="single" w:color="auto" w:sz="4" w:space="0"/>
              <w:left w:val="single" w:color="auto" w:sz="4" w:space="0"/>
              <w:bottom w:val="single" w:color="auto" w:sz="4" w:space="0"/>
              <w:right w:val="single" w:color="auto" w:sz="4" w:space="0"/>
            </w:tcBorders>
            <w:noWrap w:val="0"/>
            <w:vAlign w:val="center"/>
          </w:tcPr>
          <w:p w14:paraId="2107C83E">
            <w:pPr>
              <w:jc w:val="center"/>
              <w:rPr>
                <w:rFonts w:hint="eastAsia" w:ascii="仿宋" w:hAnsi="仿宋" w:eastAsia="仿宋" w:cs="仿宋"/>
                <w:color w:val="auto"/>
                <w:sz w:val="22"/>
                <w:szCs w:val="22"/>
                <w:highlight w:val="none"/>
              </w:rPr>
            </w:pPr>
          </w:p>
        </w:tc>
      </w:tr>
      <w:tr w14:paraId="1F0AA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14:paraId="7C51AEC7">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c>
          <w:tcPr>
            <w:tcW w:w="3859" w:type="dxa"/>
            <w:tcBorders>
              <w:top w:val="single" w:color="auto" w:sz="4" w:space="0"/>
              <w:left w:val="single" w:color="auto" w:sz="4" w:space="0"/>
              <w:right w:val="single" w:color="auto" w:sz="4" w:space="0"/>
            </w:tcBorders>
            <w:noWrap w:val="0"/>
            <w:vAlign w:val="center"/>
          </w:tcPr>
          <w:p w14:paraId="199C2EBE">
            <w:pPr>
              <w:widowControl/>
              <w:jc w:val="center"/>
              <w:textAlignment w:val="center"/>
              <w:rPr>
                <w:rFonts w:hint="eastAsia" w:ascii="仿宋" w:hAnsi="仿宋" w:eastAsia="仿宋" w:cs="仿宋"/>
                <w:color w:val="auto"/>
                <w:kern w:val="0"/>
                <w:sz w:val="22"/>
                <w:szCs w:val="22"/>
                <w:highlight w:val="none"/>
              </w:rPr>
            </w:pPr>
          </w:p>
        </w:tc>
        <w:tc>
          <w:tcPr>
            <w:tcW w:w="1466" w:type="dxa"/>
            <w:tcBorders>
              <w:top w:val="single" w:color="auto" w:sz="4" w:space="0"/>
              <w:left w:val="single" w:color="auto" w:sz="4" w:space="0"/>
              <w:bottom w:val="single" w:color="auto" w:sz="4" w:space="0"/>
              <w:right w:val="single" w:color="auto" w:sz="4" w:space="0"/>
            </w:tcBorders>
            <w:noWrap w:val="0"/>
            <w:vAlign w:val="center"/>
          </w:tcPr>
          <w:p w14:paraId="202A3012">
            <w:pPr>
              <w:spacing w:line="300" w:lineRule="auto"/>
              <w:jc w:val="center"/>
              <w:rPr>
                <w:rFonts w:hint="eastAsia" w:ascii="仿宋" w:hAnsi="仿宋" w:eastAsia="仿宋" w:cs="仿宋"/>
                <w:color w:val="auto"/>
                <w:sz w:val="20"/>
                <w:szCs w:val="20"/>
                <w:highlight w:val="none"/>
              </w:rPr>
            </w:pPr>
          </w:p>
        </w:tc>
        <w:tc>
          <w:tcPr>
            <w:tcW w:w="1455" w:type="dxa"/>
            <w:tcBorders>
              <w:top w:val="single" w:color="auto" w:sz="4" w:space="0"/>
              <w:left w:val="single" w:color="auto" w:sz="4" w:space="0"/>
              <w:bottom w:val="single" w:color="auto" w:sz="4" w:space="0"/>
              <w:right w:val="single" w:color="auto" w:sz="4" w:space="0"/>
            </w:tcBorders>
            <w:noWrap w:val="0"/>
            <w:vAlign w:val="center"/>
          </w:tcPr>
          <w:p w14:paraId="202CD68C">
            <w:pPr>
              <w:spacing w:line="300" w:lineRule="auto"/>
              <w:jc w:val="center"/>
              <w:rPr>
                <w:rFonts w:hint="eastAsia" w:ascii="仿宋" w:hAnsi="仿宋" w:eastAsia="仿宋" w:cs="仿宋"/>
                <w:color w:val="auto"/>
                <w:sz w:val="20"/>
                <w:szCs w:val="20"/>
                <w:highlight w:val="none"/>
              </w:rPr>
            </w:pPr>
          </w:p>
        </w:tc>
        <w:tc>
          <w:tcPr>
            <w:tcW w:w="1592" w:type="dxa"/>
            <w:tcBorders>
              <w:top w:val="single" w:color="auto" w:sz="4" w:space="0"/>
              <w:left w:val="single" w:color="auto" w:sz="4" w:space="0"/>
              <w:bottom w:val="single" w:color="auto" w:sz="4" w:space="0"/>
              <w:right w:val="single" w:color="auto" w:sz="4" w:space="0"/>
            </w:tcBorders>
            <w:noWrap w:val="0"/>
            <w:vAlign w:val="center"/>
          </w:tcPr>
          <w:p w14:paraId="78B0A5BC">
            <w:pPr>
              <w:spacing w:line="300" w:lineRule="auto"/>
              <w:jc w:val="center"/>
              <w:rPr>
                <w:rFonts w:hint="eastAsia" w:ascii="仿宋" w:hAnsi="仿宋" w:eastAsia="仿宋" w:cs="仿宋"/>
                <w:color w:val="auto"/>
                <w:sz w:val="20"/>
                <w:szCs w:val="20"/>
                <w:highlight w:val="none"/>
              </w:rPr>
            </w:pPr>
          </w:p>
        </w:tc>
        <w:tc>
          <w:tcPr>
            <w:tcW w:w="956" w:type="dxa"/>
            <w:tcBorders>
              <w:top w:val="single" w:color="auto" w:sz="4" w:space="0"/>
              <w:left w:val="single" w:color="auto" w:sz="4" w:space="0"/>
              <w:bottom w:val="single" w:color="auto" w:sz="4" w:space="0"/>
              <w:right w:val="single" w:color="auto" w:sz="4" w:space="0"/>
            </w:tcBorders>
            <w:noWrap w:val="0"/>
            <w:vAlign w:val="center"/>
          </w:tcPr>
          <w:p w14:paraId="590192E4">
            <w:pPr>
              <w:spacing w:line="300" w:lineRule="auto"/>
              <w:jc w:val="center"/>
              <w:rPr>
                <w:rFonts w:hint="eastAsia" w:ascii="仿宋" w:hAnsi="仿宋" w:eastAsia="仿宋" w:cs="仿宋"/>
                <w:color w:val="auto"/>
                <w:sz w:val="20"/>
                <w:szCs w:val="20"/>
                <w:highlight w:val="none"/>
              </w:rPr>
            </w:pPr>
          </w:p>
        </w:tc>
      </w:tr>
      <w:tr w14:paraId="5FE58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4687" w:type="dxa"/>
            <w:gridSpan w:val="2"/>
            <w:tcBorders>
              <w:top w:val="single" w:color="auto" w:sz="4" w:space="0"/>
              <w:left w:val="single" w:color="auto" w:sz="4" w:space="0"/>
              <w:bottom w:val="single" w:color="auto" w:sz="4" w:space="0"/>
              <w:right w:val="single" w:color="auto" w:sz="4" w:space="0"/>
            </w:tcBorders>
            <w:noWrap w:val="0"/>
            <w:vAlign w:val="center"/>
          </w:tcPr>
          <w:p w14:paraId="0A5282F8">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投标报价（小写）</w:t>
            </w:r>
          </w:p>
        </w:tc>
        <w:tc>
          <w:tcPr>
            <w:tcW w:w="5469" w:type="dxa"/>
            <w:gridSpan w:val="4"/>
            <w:tcBorders>
              <w:top w:val="single" w:color="auto" w:sz="4" w:space="0"/>
              <w:left w:val="single" w:color="auto" w:sz="4" w:space="0"/>
              <w:bottom w:val="single" w:color="auto" w:sz="4" w:space="0"/>
              <w:right w:val="single" w:color="auto" w:sz="4" w:space="0"/>
            </w:tcBorders>
            <w:noWrap w:val="0"/>
            <w:vAlign w:val="center"/>
          </w:tcPr>
          <w:p w14:paraId="5A7A60AB">
            <w:pPr>
              <w:spacing w:line="300" w:lineRule="auto"/>
              <w:jc w:val="center"/>
              <w:rPr>
                <w:rFonts w:hint="eastAsia" w:ascii="仿宋" w:hAnsi="仿宋" w:eastAsia="仿宋" w:cs="仿宋"/>
                <w:color w:val="auto"/>
                <w:sz w:val="20"/>
                <w:szCs w:val="20"/>
                <w:highlight w:val="none"/>
              </w:rPr>
            </w:pPr>
          </w:p>
        </w:tc>
      </w:tr>
      <w:tr w14:paraId="10961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4687" w:type="dxa"/>
            <w:gridSpan w:val="2"/>
            <w:tcBorders>
              <w:top w:val="single" w:color="auto" w:sz="4" w:space="0"/>
              <w:left w:val="single" w:color="auto" w:sz="4" w:space="0"/>
              <w:bottom w:val="single" w:color="auto" w:sz="4" w:space="0"/>
              <w:right w:val="single" w:color="auto" w:sz="4" w:space="0"/>
            </w:tcBorders>
            <w:noWrap w:val="0"/>
            <w:vAlign w:val="center"/>
          </w:tcPr>
          <w:p w14:paraId="1F48B415">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投标报价（大写）</w:t>
            </w:r>
          </w:p>
        </w:tc>
        <w:tc>
          <w:tcPr>
            <w:tcW w:w="5469" w:type="dxa"/>
            <w:gridSpan w:val="4"/>
            <w:tcBorders>
              <w:top w:val="single" w:color="auto" w:sz="4" w:space="0"/>
              <w:left w:val="single" w:color="auto" w:sz="4" w:space="0"/>
              <w:bottom w:val="single" w:color="auto" w:sz="4" w:space="0"/>
              <w:right w:val="single" w:color="auto" w:sz="4" w:space="0"/>
            </w:tcBorders>
            <w:noWrap w:val="0"/>
            <w:vAlign w:val="center"/>
          </w:tcPr>
          <w:p w14:paraId="06769F2C">
            <w:pPr>
              <w:spacing w:line="300" w:lineRule="auto"/>
              <w:jc w:val="center"/>
              <w:rPr>
                <w:rFonts w:hint="eastAsia" w:ascii="仿宋" w:hAnsi="仿宋" w:eastAsia="仿宋" w:cs="仿宋"/>
                <w:color w:val="auto"/>
                <w:sz w:val="20"/>
                <w:szCs w:val="20"/>
                <w:highlight w:val="none"/>
              </w:rPr>
            </w:pPr>
          </w:p>
        </w:tc>
      </w:tr>
    </w:tbl>
    <w:p w14:paraId="08C7FFB1">
      <w:pPr>
        <w:snapToGrid w:val="0"/>
        <w:spacing w:line="30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注：</w:t>
      </w:r>
    </w:p>
    <w:p w14:paraId="0BD52C10">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1、以上表格要求按系统细分项目及报价，包括有关本项目实施所需的一切费用均计入报价。</w:t>
      </w:r>
    </w:p>
    <w:p w14:paraId="5630F45C">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lang w:val="en-US" w:eastAsia="zh-CN"/>
        </w:rPr>
        <w:t>分项报价表</w:t>
      </w:r>
      <w:r>
        <w:rPr>
          <w:rFonts w:hint="eastAsia" w:ascii="仿宋" w:hAnsi="仿宋" w:eastAsia="仿宋" w:cs="仿宋"/>
          <w:color w:val="auto"/>
          <w:kern w:val="0"/>
          <w:sz w:val="24"/>
          <w:highlight w:val="none"/>
          <w:lang w:val="zh-CN"/>
        </w:rPr>
        <w:t>”应与《初始报价一览表》中“第一次磋商报价”相一致。</w:t>
      </w:r>
    </w:p>
    <w:p w14:paraId="58A2FCAE">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lang w:val="zh-CN"/>
        </w:rPr>
        <w:t>、此表仅提供了表格形式，投标供应商应根据需要来填写完整的报价明细清单。明细清单合计总价应与开标一览表报价保持一致。</w:t>
      </w:r>
    </w:p>
    <w:p w14:paraId="103743FC">
      <w:pPr>
        <w:snapToGrid w:val="0"/>
        <w:spacing w:line="360" w:lineRule="auto"/>
        <w:ind w:left="18" w:leftChars="-5" w:right="-817" w:rightChars="-389" w:hanging="28" w:hangingChars="12"/>
        <w:rPr>
          <w:rFonts w:hint="eastAsia" w:ascii="宋体" w:hAnsi="宋体"/>
          <w:color w:val="auto"/>
          <w:sz w:val="24"/>
          <w:highlight w:val="none"/>
        </w:rPr>
      </w:pPr>
    </w:p>
    <w:p w14:paraId="09C82C09">
      <w:pPr>
        <w:snapToGrid w:val="0"/>
        <w:spacing w:line="360" w:lineRule="auto"/>
        <w:ind w:left="23" w:leftChars="-5" w:right="-817" w:rightChars="-389" w:hanging="33" w:hangingChars="12"/>
        <w:rPr>
          <w:rFonts w:hint="eastAsia" w:ascii="宋体" w:hAnsi="宋体"/>
          <w:color w:val="auto"/>
          <w:spacing w:val="20"/>
          <w:sz w:val="24"/>
          <w:highlight w:val="none"/>
          <w:u w:val="single"/>
        </w:rPr>
      </w:pPr>
      <w:r>
        <w:rPr>
          <w:rFonts w:hint="eastAsia" w:ascii="宋体" w:hAnsi="宋体"/>
          <w:color w:val="auto"/>
          <w:spacing w:val="20"/>
          <w:sz w:val="24"/>
          <w:highlight w:val="none"/>
        </w:rPr>
        <w:t>供应商：</w:t>
      </w:r>
      <w:r>
        <w:rPr>
          <w:rFonts w:ascii="宋体" w:hAnsi="宋体"/>
          <w:color w:val="auto"/>
          <w:spacing w:val="20"/>
          <w:sz w:val="24"/>
          <w:highlight w:val="none"/>
          <w:u w:val="single"/>
        </w:rPr>
        <w:t xml:space="preserve">      </w:t>
      </w:r>
      <w:r>
        <w:rPr>
          <w:rFonts w:hint="eastAsia" w:ascii="宋体" w:hAnsi="宋体"/>
          <w:color w:val="auto"/>
          <w:spacing w:val="20"/>
          <w:sz w:val="24"/>
          <w:highlight w:val="none"/>
          <w:u w:val="single"/>
        </w:rPr>
        <w:t>（盖章）</w:t>
      </w:r>
      <w:r>
        <w:rPr>
          <w:rFonts w:ascii="宋体" w:hAnsi="宋体"/>
          <w:color w:val="auto"/>
          <w:spacing w:val="20"/>
          <w:sz w:val="24"/>
          <w:highlight w:val="none"/>
          <w:u w:val="single"/>
        </w:rPr>
        <w:t xml:space="preserve">      </w:t>
      </w:r>
    </w:p>
    <w:p w14:paraId="574B7D3D">
      <w:pPr>
        <w:pStyle w:val="37"/>
        <w:spacing w:line="360" w:lineRule="auto"/>
        <w:rPr>
          <w:rFonts w:hint="eastAsia"/>
          <w:color w:val="auto"/>
          <w:highlight w:val="none"/>
        </w:rPr>
      </w:pPr>
    </w:p>
    <w:p w14:paraId="009B6A30">
      <w:pPr>
        <w:snapToGrid w:val="0"/>
        <w:spacing w:line="360" w:lineRule="auto"/>
        <w:ind w:left="23" w:leftChars="-5" w:right="-817" w:rightChars="-389" w:hanging="33" w:hangingChars="12"/>
        <w:rPr>
          <w:rFonts w:ascii="宋体" w:hAnsi="宋体"/>
          <w:color w:val="auto"/>
          <w:spacing w:val="20"/>
          <w:sz w:val="24"/>
          <w:highlight w:val="none"/>
          <w:u w:val="single"/>
        </w:rPr>
      </w:pPr>
      <w:r>
        <w:rPr>
          <w:rFonts w:hint="eastAsia" w:ascii="宋体" w:hAnsi="宋体"/>
          <w:color w:val="auto"/>
          <w:spacing w:val="20"/>
          <w:sz w:val="24"/>
          <w:highlight w:val="none"/>
        </w:rPr>
        <w:t>日</w:t>
      </w:r>
      <w:r>
        <w:rPr>
          <w:rFonts w:ascii="宋体" w:hAnsi="宋体"/>
          <w:color w:val="auto"/>
          <w:spacing w:val="20"/>
          <w:sz w:val="24"/>
          <w:highlight w:val="none"/>
        </w:rPr>
        <w:t xml:space="preserve">  </w:t>
      </w:r>
      <w:r>
        <w:rPr>
          <w:rFonts w:hint="eastAsia" w:ascii="宋体" w:hAnsi="宋体"/>
          <w:color w:val="auto"/>
          <w:spacing w:val="20"/>
          <w:sz w:val="24"/>
          <w:highlight w:val="none"/>
        </w:rPr>
        <w:t>期：</w:t>
      </w:r>
      <w:r>
        <w:rPr>
          <w:rFonts w:ascii="宋体" w:hAnsi="宋体"/>
          <w:color w:val="auto"/>
          <w:spacing w:val="20"/>
          <w:sz w:val="24"/>
          <w:highlight w:val="none"/>
          <w:u w:val="single"/>
        </w:rPr>
        <w:t xml:space="preserve">     </w:t>
      </w:r>
      <w:r>
        <w:rPr>
          <w:rFonts w:hint="eastAsia" w:ascii="宋体" w:hAnsi="宋体"/>
          <w:color w:val="auto"/>
          <w:spacing w:val="20"/>
          <w:sz w:val="24"/>
          <w:highlight w:val="none"/>
          <w:u w:val="single"/>
        </w:rPr>
        <w:t xml:space="preserve">         </w:t>
      </w:r>
      <w:r>
        <w:rPr>
          <w:rFonts w:ascii="宋体" w:hAnsi="宋体"/>
          <w:color w:val="auto"/>
          <w:spacing w:val="20"/>
          <w:sz w:val="24"/>
          <w:highlight w:val="none"/>
          <w:u w:val="single"/>
        </w:rPr>
        <w:t xml:space="preserve">     </w:t>
      </w:r>
    </w:p>
    <w:p w14:paraId="73BB2F99">
      <w:pPr>
        <w:rPr>
          <w:rFonts w:hint="eastAsia" w:ascii="宋体" w:hAnsi="宋体" w:eastAsia="宋体" w:cs="宋体"/>
          <w:color w:val="auto"/>
          <w:kern w:val="0"/>
          <w:sz w:val="24"/>
          <w:highlight w:val="none"/>
          <w:lang w:val="zh-CN"/>
        </w:rPr>
      </w:pPr>
    </w:p>
    <w:p w14:paraId="4CE0B7E1">
      <w:pPr>
        <w:spacing w:line="360" w:lineRule="auto"/>
        <w:ind w:right="-874" w:rightChars="-416" w:firstLine="5280" w:firstLineChars="2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供应商名称（电子签名）：</w:t>
      </w:r>
    </w:p>
    <w:p w14:paraId="7873FC56">
      <w:pPr>
        <w:autoSpaceDE w:val="0"/>
        <w:autoSpaceDN w:val="0"/>
        <w:spacing w:line="360" w:lineRule="auto"/>
        <w:ind w:left="5040"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7FFBC0E1">
      <w:pPr>
        <w:tabs>
          <w:tab w:val="left" w:pos="840"/>
        </w:tabs>
        <w:adjustRightInd w:val="0"/>
        <w:snapToGrid w:val="0"/>
        <w:spacing w:line="360" w:lineRule="auto"/>
        <w:ind w:left="420" w:leftChars="200" w:firstLine="315" w:firstLineChars="150"/>
        <w:rPr>
          <w:rFonts w:hint="eastAsia" w:ascii="宋体" w:hAnsi="宋体" w:eastAsia="宋体" w:cs="宋体"/>
          <w:color w:val="auto"/>
          <w:sz w:val="22"/>
          <w:szCs w:val="22"/>
          <w:highlight w:val="none"/>
        </w:rPr>
      </w:pPr>
      <w:r>
        <w:rPr>
          <w:rFonts w:hint="eastAsia" w:ascii="宋体" w:hAnsi="宋体" w:eastAsia="宋体" w:cs="宋体"/>
          <w:color w:val="auto"/>
          <w:highlight w:val="none"/>
        </w:rPr>
        <w:br w:type="page"/>
      </w:r>
    </w:p>
    <w:p w14:paraId="775511AB">
      <w:pPr>
        <w:spacing w:line="360" w:lineRule="auto"/>
        <w:rPr>
          <w:rFonts w:hint="eastAsia" w:ascii="宋体" w:hAnsi="宋体" w:eastAsia="宋体" w:cs="宋体"/>
          <w:bCs/>
          <w:color w:val="auto"/>
          <w:sz w:val="22"/>
          <w:szCs w:val="22"/>
          <w:highlight w:val="none"/>
        </w:rPr>
        <w:sectPr>
          <w:pgSz w:w="11906" w:h="16838"/>
          <w:pgMar w:top="1134" w:right="1134" w:bottom="1134" w:left="1134" w:header="851" w:footer="851" w:gutter="0"/>
          <w:cols w:space="720" w:num="1"/>
          <w:titlePg/>
          <w:docGrid w:linePitch="312" w:charSpace="0"/>
        </w:sectPr>
      </w:pPr>
    </w:p>
    <w:p w14:paraId="056983D8">
      <w:pPr>
        <w:snapToGrid w:val="0"/>
        <w:spacing w:line="360" w:lineRule="auto"/>
        <w:jc w:val="center"/>
        <w:outlineLvl w:val="0"/>
        <w:rPr>
          <w:rFonts w:hint="eastAsia" w:ascii="宋体" w:hAnsi="宋体" w:eastAsia="宋体" w:cs="宋体"/>
          <w:b/>
          <w:color w:val="auto"/>
          <w:kern w:val="0"/>
          <w:sz w:val="32"/>
          <w:szCs w:val="32"/>
          <w:highlight w:val="none"/>
        </w:rPr>
      </w:pPr>
      <w:bookmarkStart w:id="126" w:name="_Toc25755"/>
      <w:r>
        <w:rPr>
          <w:rFonts w:hint="eastAsia" w:ascii="宋体" w:hAnsi="宋体" w:eastAsia="宋体" w:cs="宋体"/>
          <w:b/>
          <w:color w:val="auto"/>
          <w:kern w:val="0"/>
          <w:sz w:val="32"/>
          <w:szCs w:val="32"/>
          <w:highlight w:val="none"/>
          <w:lang w:val="en-US" w:eastAsia="zh-CN"/>
        </w:rPr>
        <w:t>三</w:t>
      </w:r>
      <w:r>
        <w:rPr>
          <w:rFonts w:hint="eastAsia" w:ascii="宋体" w:hAnsi="宋体" w:eastAsia="宋体" w:cs="宋体"/>
          <w:b/>
          <w:color w:val="auto"/>
          <w:kern w:val="0"/>
          <w:sz w:val="32"/>
          <w:szCs w:val="32"/>
          <w:highlight w:val="none"/>
        </w:rPr>
        <w:t>、中小企业声明函（如果有）</w:t>
      </w:r>
      <w:bookmarkEnd w:id="126"/>
    </w:p>
    <w:p w14:paraId="0D837C57">
      <w:pPr>
        <w:widowControl/>
        <w:spacing w:line="360" w:lineRule="auto"/>
        <w:ind w:firstLine="120" w:firstLineChars="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竞争性磋商邀请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56577035">
      <w:pPr>
        <w:rPr>
          <w:rFonts w:hint="eastAsia" w:ascii="宋体" w:hAnsi="宋体" w:eastAsia="宋体" w:cs="宋体"/>
          <w:color w:val="auto"/>
          <w:highlight w:val="none"/>
        </w:rPr>
      </w:pPr>
    </w:p>
    <w:p w14:paraId="4F6F247E">
      <w:pPr>
        <w:pStyle w:val="2"/>
        <w:rPr>
          <w:rFonts w:hint="eastAsia" w:ascii="宋体" w:hAnsi="宋体" w:eastAsia="宋体" w:cs="宋体"/>
          <w:color w:val="auto"/>
          <w:highlight w:val="none"/>
        </w:rPr>
      </w:pPr>
    </w:p>
    <w:p w14:paraId="65E65876">
      <w:pPr>
        <w:pStyle w:val="2"/>
        <w:rPr>
          <w:rFonts w:hint="eastAsia" w:ascii="宋体" w:hAnsi="宋体" w:eastAsia="宋体" w:cs="宋体"/>
          <w:color w:val="auto"/>
          <w:highlight w:val="none"/>
        </w:rPr>
      </w:pPr>
    </w:p>
    <w:p w14:paraId="10BB249D">
      <w:pP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14:paraId="75485364">
      <w:pPr>
        <w:snapToGrid w:val="0"/>
        <w:spacing w:line="360" w:lineRule="auto"/>
        <w:jc w:val="center"/>
        <w:outlineLvl w:val="0"/>
        <w:rPr>
          <w:rFonts w:hint="eastAsia" w:ascii="宋体" w:hAnsi="宋体" w:eastAsia="宋体" w:cs="宋体"/>
          <w:b/>
          <w:color w:val="auto"/>
          <w:kern w:val="0"/>
          <w:sz w:val="32"/>
          <w:szCs w:val="32"/>
          <w:highlight w:val="none"/>
        </w:rPr>
      </w:pPr>
      <w:bookmarkStart w:id="127" w:name="_Toc7465"/>
      <w:r>
        <w:rPr>
          <w:rFonts w:hint="eastAsia" w:ascii="宋体" w:hAnsi="宋体" w:eastAsia="宋体" w:cs="宋体"/>
          <w:b/>
          <w:color w:val="auto"/>
          <w:kern w:val="0"/>
          <w:sz w:val="32"/>
          <w:szCs w:val="32"/>
          <w:highlight w:val="none"/>
        </w:rPr>
        <w:t>附件</w:t>
      </w:r>
      <w:bookmarkEnd w:id="127"/>
    </w:p>
    <w:p w14:paraId="61517AC5">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附件1：质疑函范本及制作说明</w:t>
      </w:r>
    </w:p>
    <w:p w14:paraId="77F2D572">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14:paraId="332BBFEE">
      <w:pPr>
        <w:snapToGrid w:val="0"/>
        <w:spacing w:before="240"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14:paraId="6E63FACC">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14:paraId="3BB0963B">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0816974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13DEA0BD">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14:paraId="7B84F86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0DF75217">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72EE8B0A">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14:paraId="69DDCAF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14:paraId="44652DDC">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0F3C0353">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14:paraId="111DC4D7">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14:paraId="78B99FDE">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14:paraId="2036E117">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14:paraId="18858B8B">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6D146F9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14:paraId="6E70CC4B">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44C4E711">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2322CDA5">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14:paraId="78353033">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38882735">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14:paraId="4CE64033">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14:paraId="35074D76">
      <w:pPr>
        <w:spacing w:line="360" w:lineRule="auto"/>
        <w:rPr>
          <w:rFonts w:hint="eastAsia" w:ascii="宋体" w:hAnsi="宋体" w:eastAsia="宋体" w:cs="宋体"/>
          <w:color w:val="auto"/>
          <w:sz w:val="24"/>
          <w:highlight w:val="none"/>
        </w:rPr>
      </w:pPr>
    </w:p>
    <w:p w14:paraId="3D6FB87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775302E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6E443D4A">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14:paraId="658E2522">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14:paraId="16E957C8">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14:paraId="65012641">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14:paraId="56A0C5F6">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14:paraId="07B3A64D">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14:paraId="528F9EAD">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4DC37413">
      <w:pPr>
        <w:widowControl/>
        <w:spacing w:line="360" w:lineRule="auto"/>
        <w:ind w:firstLine="600" w:firstLineChars="200"/>
        <w:jc w:val="left"/>
        <w:rPr>
          <w:rFonts w:hint="eastAsia" w:ascii="宋体" w:hAnsi="宋体" w:eastAsia="宋体" w:cs="宋体"/>
          <w:color w:val="auto"/>
          <w:sz w:val="30"/>
          <w:szCs w:val="30"/>
          <w:highlight w:val="none"/>
        </w:rPr>
      </w:pPr>
    </w:p>
    <w:p w14:paraId="781C8E8C">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z w:val="24"/>
          <w:highlight w:val="none"/>
        </w:rPr>
        <w:br w:type="page"/>
      </w:r>
      <w:r>
        <w:rPr>
          <w:rFonts w:hint="eastAsia" w:ascii="宋体" w:hAnsi="宋体" w:eastAsia="宋体" w:cs="宋体"/>
          <w:b/>
          <w:color w:val="auto"/>
          <w:spacing w:val="6"/>
          <w:sz w:val="32"/>
          <w:szCs w:val="32"/>
          <w:highlight w:val="none"/>
        </w:rPr>
        <w:t>附件2：投诉书范本及制作说明</w:t>
      </w:r>
    </w:p>
    <w:p w14:paraId="46D113B3">
      <w:pPr>
        <w:spacing w:line="360" w:lineRule="auto"/>
        <w:jc w:val="center"/>
        <w:rPr>
          <w:rFonts w:hint="eastAsia" w:ascii="宋体" w:hAnsi="宋体" w:eastAsia="宋体" w:cs="宋体"/>
          <w:b/>
          <w:color w:val="auto"/>
          <w:sz w:val="24"/>
          <w:highlight w:val="none"/>
        </w:rPr>
      </w:pPr>
    </w:p>
    <w:p w14:paraId="45F903F9">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14:paraId="15E5016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14:paraId="0899B5BF">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14:paraId="4AB31B40">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6BCAD0A">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50B483B4">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4262AFEC">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0CBF0F74">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dotted"/>
        </w:rPr>
        <w:t xml:space="preserve">                   </w:t>
      </w:r>
    </w:p>
    <w:p w14:paraId="717D2C3F">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4D31746">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23D0D6AC">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28817D1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14:paraId="70F7465B">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5A18488B">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5EBF6709">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5090FE85">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4D74C93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14:paraId="68B3EFC8">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14:paraId="12896E89">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61C1966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599243ED">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14:paraId="16E054FD">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4600AA24">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3912912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14:paraId="6954F7D4">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14:paraId="451DD962">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0BA1C3B6">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日,就质疑事项作出了答复/没有在法定期限内作出答复。</w:t>
      </w:r>
    </w:p>
    <w:p w14:paraId="3500FA4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14:paraId="1FF103E9">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14:paraId="189260F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7C9BE52A">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29FCE3AB">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615BB226">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3EF16E1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14:paraId="28ADD799">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322D780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14:paraId="630F8B9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7854FC11">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w:t>
      </w:r>
    </w:p>
    <w:p w14:paraId="2000C69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364481A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59D7E994">
      <w:pPr>
        <w:spacing w:line="360" w:lineRule="auto"/>
        <w:rPr>
          <w:rFonts w:hint="eastAsia" w:ascii="宋体" w:hAnsi="宋体" w:eastAsia="宋体" w:cs="宋体"/>
          <w:b/>
          <w:color w:val="auto"/>
          <w:sz w:val="24"/>
          <w:highlight w:val="none"/>
        </w:rPr>
      </w:pPr>
    </w:p>
    <w:p w14:paraId="690C3462">
      <w:pPr>
        <w:spacing w:line="360" w:lineRule="auto"/>
        <w:rPr>
          <w:rFonts w:hint="eastAsia" w:ascii="宋体" w:hAnsi="宋体" w:eastAsia="宋体" w:cs="宋体"/>
          <w:b/>
          <w:color w:val="auto"/>
          <w:sz w:val="24"/>
          <w:highlight w:val="none"/>
        </w:rPr>
      </w:pPr>
    </w:p>
    <w:p w14:paraId="1BCF52C0">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14:paraId="41B9BF07">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14:paraId="3D823B97">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14:paraId="27F10909">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14:paraId="29609B10">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14:paraId="46659249">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14:paraId="219548E7">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14:paraId="0A0400CD">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52B83774">
      <w:pPr>
        <w:rPr>
          <w:rFonts w:hint="eastAsia" w:ascii="宋体" w:hAnsi="宋体" w:eastAsia="宋体" w:cs="宋体"/>
          <w:b/>
          <w:color w:val="auto"/>
          <w:sz w:val="24"/>
          <w:highlight w:val="none"/>
        </w:rPr>
      </w:pPr>
    </w:p>
    <w:p w14:paraId="75B711B0">
      <w:pPr>
        <w:widowControl/>
        <w:adjustRightInd/>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3615C9D7">
      <w:pPr>
        <w:spacing w:line="360" w:lineRule="auto"/>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附件3：</w:t>
      </w:r>
    </w:p>
    <w:p w14:paraId="58D26E95">
      <w:pPr>
        <w:spacing w:line="360" w:lineRule="auto"/>
        <w:jc w:val="center"/>
        <w:rPr>
          <w:rFonts w:hint="eastAsia" w:ascii="宋体" w:hAnsi="宋体" w:eastAsia="宋体" w:cs="宋体"/>
          <w:b/>
          <w:color w:val="auto"/>
          <w:spacing w:val="6"/>
          <w:sz w:val="32"/>
          <w:szCs w:val="32"/>
          <w:highlight w:val="none"/>
        </w:rPr>
      </w:pPr>
      <w:bookmarkStart w:id="128" w:name="OLE_LINK13"/>
      <w:r>
        <w:rPr>
          <w:rFonts w:hint="eastAsia" w:ascii="宋体" w:hAnsi="宋体" w:eastAsia="宋体" w:cs="宋体"/>
          <w:b/>
          <w:color w:val="auto"/>
          <w:spacing w:val="6"/>
          <w:sz w:val="32"/>
          <w:szCs w:val="32"/>
          <w:highlight w:val="none"/>
        </w:rPr>
        <w:t>残疾人福利性单位声明函</w:t>
      </w:r>
    </w:p>
    <w:bookmarkEnd w:id="128"/>
    <w:p w14:paraId="66FA3FD0">
      <w:pPr>
        <w:spacing w:line="360" w:lineRule="auto"/>
        <w:rPr>
          <w:rFonts w:hint="eastAsia" w:ascii="宋体" w:hAnsi="宋体" w:eastAsia="宋体" w:cs="宋体"/>
          <w:b/>
          <w:color w:val="auto"/>
          <w:spacing w:val="6"/>
          <w:sz w:val="30"/>
          <w:szCs w:val="30"/>
          <w:highlight w:val="none"/>
        </w:rPr>
      </w:pPr>
    </w:p>
    <w:p w14:paraId="601F8DE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A51518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09FE1C0D">
      <w:pPr>
        <w:spacing w:line="360" w:lineRule="auto"/>
        <w:ind w:firstLine="480" w:firstLineChars="200"/>
        <w:rPr>
          <w:rFonts w:hint="eastAsia" w:ascii="宋体" w:hAnsi="宋体" w:eastAsia="宋体" w:cs="宋体"/>
          <w:color w:val="auto"/>
          <w:sz w:val="24"/>
          <w:highlight w:val="none"/>
        </w:rPr>
      </w:pPr>
    </w:p>
    <w:p w14:paraId="7FCFAF73">
      <w:pPr>
        <w:spacing w:line="360" w:lineRule="auto"/>
        <w:ind w:firstLine="480" w:firstLineChars="200"/>
        <w:rPr>
          <w:rFonts w:hint="eastAsia" w:ascii="宋体" w:hAnsi="宋体" w:eastAsia="宋体" w:cs="宋体"/>
          <w:color w:val="auto"/>
          <w:sz w:val="24"/>
          <w:highlight w:val="none"/>
        </w:rPr>
      </w:pPr>
    </w:p>
    <w:p w14:paraId="7162A4F8">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供应商名称（电子签名）</w:t>
      </w:r>
      <w:r>
        <w:rPr>
          <w:rFonts w:hint="eastAsia" w:ascii="宋体" w:hAnsi="宋体" w:eastAsia="宋体" w:cs="宋体"/>
          <w:color w:val="auto"/>
          <w:sz w:val="24"/>
          <w:highlight w:val="none"/>
        </w:rPr>
        <w:t>：</w:t>
      </w:r>
    </w:p>
    <w:p w14:paraId="1760F7A6">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14:paraId="67785A44">
      <w:pPr>
        <w:pStyle w:val="2"/>
        <w:rPr>
          <w:rFonts w:hint="eastAsia" w:ascii="宋体" w:hAnsi="宋体" w:eastAsia="宋体" w:cs="宋体"/>
          <w:color w:val="auto"/>
          <w:highlight w:val="none"/>
        </w:rPr>
      </w:pPr>
    </w:p>
    <w:p w14:paraId="473ABC82">
      <w:pP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br w:type="page"/>
      </w:r>
    </w:p>
    <w:p w14:paraId="3E92D89C">
      <w:pPr>
        <w:autoSpaceDE w:val="0"/>
        <w:autoSpaceDN w:val="0"/>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附件4：</w:t>
      </w:r>
    </w:p>
    <w:p w14:paraId="7E1CEA23">
      <w:pPr>
        <w:autoSpaceDE w:val="0"/>
        <w:autoSpaceDN w:val="0"/>
        <w:rPr>
          <w:rFonts w:hint="eastAsia" w:ascii="宋体" w:hAnsi="宋体" w:eastAsia="宋体" w:cs="宋体"/>
          <w:b/>
          <w:color w:val="auto"/>
          <w:spacing w:val="6"/>
          <w:sz w:val="32"/>
          <w:szCs w:val="32"/>
          <w:highlight w:val="none"/>
        </w:rPr>
      </w:pPr>
    </w:p>
    <w:p w14:paraId="703E193E">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业务专用章使用说明函</w:t>
      </w:r>
    </w:p>
    <w:p w14:paraId="488AA57F">
      <w:pPr>
        <w:spacing w:line="360" w:lineRule="auto"/>
        <w:rPr>
          <w:rFonts w:hint="eastAsia" w:ascii="宋体" w:hAnsi="宋体" w:eastAsia="宋体" w:cs="宋体"/>
          <w:color w:val="auto"/>
          <w:sz w:val="24"/>
          <w:highlight w:val="none"/>
          <w:u w:val="single"/>
        </w:rPr>
      </w:pPr>
    </w:p>
    <w:p w14:paraId="37ADFAC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（采购人）、（采购代理机构）</w:t>
      </w:r>
    </w:p>
    <w:p w14:paraId="0405EB8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(供应商全称)是中华人民共和国依法登记注册的合法企业，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贵方组织的（项目名称）项目【编号：（采购编号）】采购</w:t>
      </w:r>
      <w:r>
        <w:rPr>
          <w:rFonts w:hint="eastAsia" w:ascii="宋体" w:hAnsi="宋体" w:eastAsia="宋体" w:cs="宋体"/>
          <w:bCs/>
          <w:color w:val="auto"/>
          <w:sz w:val="24"/>
          <w:highlight w:val="none"/>
        </w:rPr>
        <w:t>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14:paraId="05FD509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14:paraId="4150326D">
      <w:pPr>
        <w:spacing w:line="360" w:lineRule="auto"/>
        <w:ind w:firstLine="494"/>
        <w:rPr>
          <w:rFonts w:hint="eastAsia" w:ascii="宋体" w:hAnsi="宋体" w:eastAsia="宋体" w:cs="宋体"/>
          <w:color w:val="auto"/>
          <w:sz w:val="24"/>
          <w:highlight w:val="none"/>
        </w:rPr>
      </w:pPr>
    </w:p>
    <w:p w14:paraId="72678E4D">
      <w:pPr>
        <w:spacing w:line="360" w:lineRule="auto"/>
        <w:ind w:firstLine="494"/>
        <w:rPr>
          <w:rFonts w:hint="eastAsia" w:ascii="宋体" w:hAnsi="宋体" w:eastAsia="宋体" w:cs="宋体"/>
          <w:color w:val="auto"/>
          <w:sz w:val="24"/>
          <w:highlight w:val="none"/>
        </w:rPr>
      </w:pPr>
    </w:p>
    <w:p w14:paraId="279442FD">
      <w:pPr>
        <w:spacing w:line="360" w:lineRule="auto"/>
        <w:ind w:right="480"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供应商（法定名称章）：</w:t>
      </w:r>
    </w:p>
    <w:p w14:paraId="5A1A243D">
      <w:pPr>
        <w:ind w:right="1440" w:firstLine="494"/>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78775F26">
      <w:pPr>
        <w:rPr>
          <w:rFonts w:hint="eastAsia" w:ascii="宋体" w:hAnsi="宋体" w:eastAsia="宋体" w:cs="宋体"/>
          <w:b/>
          <w:bCs/>
          <w:color w:val="auto"/>
          <w:sz w:val="24"/>
          <w:highlight w:val="none"/>
        </w:rPr>
      </w:pPr>
    </w:p>
    <w:p w14:paraId="52CC2772">
      <w:pP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14:paraId="078D6673">
      <w:pPr>
        <w:spacing w:line="360" w:lineRule="auto"/>
        <w:rPr>
          <w:rFonts w:hint="eastAsia" w:ascii="宋体" w:hAnsi="宋体" w:eastAsia="宋体" w:cs="宋体"/>
          <w:bCs/>
          <w:color w:val="auto"/>
          <w:sz w:val="24"/>
          <w:highlight w:val="none"/>
        </w:rPr>
      </w:pPr>
      <w:r>
        <w:rPr>
          <w:rFonts w:hint="eastAsia" w:ascii="宋体" w:hAnsi="宋体" w:eastAsia="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45"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TeApLCoCAAB1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6"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Zame+SsCAAB1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GYxHptgAAAAKAQAADwAAAAAAAAABACAAAAAiAAAAZHJzL2Rvd25yZXYueG1sUEsBAhQA&#10;FAAAAAgAh07iQGWpnvkrAgAAdQQAAA4AAAAAAAAAAQAgAAAAJwEAAGRycy9lMm9Eb2MueG1sUEsF&#10;BgAAAAAGAAYAWQEAAMQFAAAAAA==&#10;">
                <v:fill on="t" focussize="0,0"/>
                <v:stroke color="#000000" miterlimit="2" joinstyle="miter"/>
                <v:imagedata o:title=""/>
                <o:lock v:ext="edit" aspectratio="f"/>
              </v:rect>
            </w:pict>
          </mc:Fallback>
        </mc:AlternateContent>
      </w:r>
      <w:r>
        <w:rPr>
          <w:rFonts w:hint="eastAsia" w:ascii="宋体" w:hAnsi="宋体" w:eastAsia="宋体" w:cs="宋体"/>
          <w:b/>
          <w:bCs/>
          <w:color w:val="auto"/>
          <w:sz w:val="24"/>
          <w:highlight w:val="none"/>
        </w:rPr>
        <w:t>供应商</w:t>
      </w:r>
      <w:r>
        <w:rPr>
          <w:rFonts w:hint="eastAsia" w:ascii="宋体" w:hAnsi="宋体" w:eastAsia="宋体" w:cs="宋体"/>
          <w:color w:val="auto"/>
          <w:sz w:val="24"/>
          <w:highlight w:val="none"/>
        </w:rPr>
        <w:t>法定名称章（印模）                供应商“XX专用章”（印模）</w:t>
      </w:r>
    </w:p>
    <w:p w14:paraId="1B78F06A">
      <w:pPr>
        <w:autoSpaceDE w:val="0"/>
        <w:autoSpaceDN w:val="0"/>
        <w:jc w:val="center"/>
        <w:rPr>
          <w:rFonts w:hint="eastAsia" w:ascii="宋体" w:hAnsi="宋体" w:eastAsia="宋体" w:cs="宋体"/>
          <w:b/>
          <w:color w:val="auto"/>
          <w:spacing w:val="6"/>
          <w:sz w:val="32"/>
          <w:szCs w:val="32"/>
          <w:highlight w:val="none"/>
        </w:rPr>
      </w:pPr>
    </w:p>
    <w:p w14:paraId="55BD421C">
      <w:pPr>
        <w:autoSpaceDE w:val="0"/>
        <w:autoSpaceDN w:val="0"/>
        <w:jc w:val="center"/>
        <w:rPr>
          <w:rFonts w:hint="eastAsia" w:ascii="宋体" w:hAnsi="宋体" w:eastAsia="宋体" w:cs="宋体"/>
          <w:b/>
          <w:color w:val="auto"/>
          <w:spacing w:val="6"/>
          <w:sz w:val="32"/>
          <w:szCs w:val="32"/>
          <w:highlight w:val="none"/>
        </w:rPr>
      </w:pPr>
    </w:p>
    <w:p w14:paraId="39C940B7">
      <w:pPr>
        <w:autoSpaceDE w:val="0"/>
        <w:autoSpaceDN w:val="0"/>
        <w:jc w:val="center"/>
        <w:rPr>
          <w:rFonts w:hint="eastAsia" w:ascii="宋体" w:hAnsi="宋体" w:eastAsia="宋体" w:cs="宋体"/>
          <w:b/>
          <w:color w:val="auto"/>
          <w:spacing w:val="6"/>
          <w:sz w:val="32"/>
          <w:szCs w:val="32"/>
          <w:highlight w:val="none"/>
        </w:rPr>
      </w:pPr>
    </w:p>
    <w:p w14:paraId="2D245518">
      <w:pPr>
        <w:autoSpaceDE w:val="0"/>
        <w:autoSpaceDN w:val="0"/>
        <w:jc w:val="center"/>
        <w:rPr>
          <w:rFonts w:hint="eastAsia" w:ascii="宋体" w:hAnsi="宋体" w:eastAsia="宋体" w:cs="宋体"/>
          <w:b/>
          <w:color w:val="auto"/>
          <w:spacing w:val="6"/>
          <w:sz w:val="32"/>
          <w:szCs w:val="32"/>
          <w:highlight w:val="none"/>
        </w:rPr>
      </w:pPr>
    </w:p>
    <w:p w14:paraId="258197EF">
      <w:pPr>
        <w:autoSpaceDE w:val="0"/>
        <w:autoSpaceDN w:val="0"/>
        <w:jc w:val="center"/>
        <w:rPr>
          <w:rFonts w:hint="eastAsia" w:ascii="宋体" w:hAnsi="宋体" w:eastAsia="宋体" w:cs="宋体"/>
          <w:b/>
          <w:color w:val="auto"/>
          <w:spacing w:val="6"/>
          <w:sz w:val="32"/>
          <w:szCs w:val="32"/>
          <w:highlight w:val="none"/>
        </w:rPr>
      </w:pPr>
    </w:p>
    <w:p w14:paraId="692B4F48">
      <w:pPr>
        <w:autoSpaceDE w:val="0"/>
        <w:autoSpaceDN w:val="0"/>
        <w:jc w:val="center"/>
        <w:rPr>
          <w:rFonts w:hint="eastAsia" w:ascii="宋体" w:hAnsi="宋体" w:eastAsia="宋体" w:cs="宋体"/>
          <w:b/>
          <w:color w:val="auto"/>
          <w:spacing w:val="6"/>
          <w:sz w:val="32"/>
          <w:szCs w:val="32"/>
          <w:highlight w:val="none"/>
        </w:rPr>
      </w:pPr>
    </w:p>
    <w:p w14:paraId="0304405D">
      <w:pPr>
        <w:autoSpaceDE w:val="0"/>
        <w:autoSpaceDN w:val="0"/>
        <w:jc w:val="center"/>
        <w:rPr>
          <w:rFonts w:hint="eastAsia" w:ascii="宋体" w:hAnsi="宋体" w:eastAsia="宋体" w:cs="宋体"/>
          <w:b/>
          <w:color w:val="auto"/>
          <w:spacing w:val="6"/>
          <w:sz w:val="32"/>
          <w:szCs w:val="32"/>
          <w:highlight w:val="none"/>
        </w:rPr>
      </w:pPr>
    </w:p>
    <w:p w14:paraId="307866B2">
      <w:pPr>
        <w:autoSpaceDE w:val="0"/>
        <w:autoSpaceDN w:val="0"/>
        <w:jc w:val="center"/>
        <w:rPr>
          <w:rFonts w:hint="eastAsia" w:ascii="宋体" w:hAnsi="宋体" w:eastAsia="宋体" w:cs="宋体"/>
          <w:b/>
          <w:color w:val="auto"/>
          <w:spacing w:val="6"/>
          <w:sz w:val="32"/>
          <w:szCs w:val="32"/>
          <w:highlight w:val="none"/>
        </w:rPr>
      </w:pPr>
    </w:p>
    <w:p w14:paraId="4C0D495C">
      <w:pPr>
        <w:autoSpaceDE w:val="0"/>
        <w:autoSpaceDN w:val="0"/>
        <w:jc w:val="center"/>
        <w:rPr>
          <w:rFonts w:hint="eastAsia" w:ascii="宋体" w:hAnsi="宋体" w:eastAsia="宋体" w:cs="宋体"/>
          <w:b/>
          <w:color w:val="auto"/>
          <w:spacing w:val="6"/>
          <w:sz w:val="32"/>
          <w:szCs w:val="32"/>
          <w:highlight w:val="none"/>
        </w:rPr>
      </w:pPr>
    </w:p>
    <w:p w14:paraId="47C67C61">
      <w:pPr>
        <w:autoSpaceDE w:val="0"/>
        <w:autoSpaceDN w:val="0"/>
        <w:jc w:val="center"/>
        <w:rPr>
          <w:rFonts w:hint="eastAsia" w:ascii="宋体" w:hAnsi="宋体" w:eastAsia="宋体" w:cs="宋体"/>
          <w:b/>
          <w:color w:val="auto"/>
          <w:spacing w:val="6"/>
          <w:sz w:val="32"/>
          <w:szCs w:val="32"/>
          <w:highlight w:val="none"/>
        </w:rPr>
      </w:pPr>
    </w:p>
    <w:p w14:paraId="7400F446">
      <w:pPr>
        <w:autoSpaceDE w:val="0"/>
        <w:autoSpaceDN w:val="0"/>
        <w:jc w:val="center"/>
        <w:rPr>
          <w:rFonts w:hint="eastAsia" w:ascii="宋体" w:hAnsi="宋体" w:eastAsia="宋体" w:cs="宋体"/>
          <w:b/>
          <w:color w:val="auto"/>
          <w:spacing w:val="6"/>
          <w:sz w:val="32"/>
          <w:szCs w:val="32"/>
          <w:highlight w:val="none"/>
        </w:rPr>
      </w:pPr>
    </w:p>
    <w:p w14:paraId="387E1F7A">
      <w:pPr>
        <w:autoSpaceDE w:val="0"/>
        <w:autoSpaceDN w:val="0"/>
        <w:jc w:val="center"/>
        <w:rPr>
          <w:rFonts w:hint="eastAsia" w:ascii="宋体" w:hAnsi="宋体" w:eastAsia="宋体" w:cs="宋体"/>
          <w:b/>
          <w:color w:val="auto"/>
          <w:spacing w:val="6"/>
          <w:sz w:val="32"/>
          <w:szCs w:val="32"/>
          <w:highlight w:val="none"/>
        </w:rPr>
      </w:pPr>
    </w:p>
    <w:p w14:paraId="468EB858">
      <w:pPr>
        <w:autoSpaceDE w:val="0"/>
        <w:autoSpaceDN w:val="0"/>
        <w:jc w:val="center"/>
        <w:rPr>
          <w:rFonts w:hint="eastAsia" w:ascii="宋体" w:hAnsi="宋体" w:eastAsia="宋体" w:cs="宋体"/>
          <w:b/>
          <w:color w:val="auto"/>
          <w:spacing w:val="6"/>
          <w:sz w:val="32"/>
          <w:szCs w:val="32"/>
          <w:highlight w:val="none"/>
        </w:rPr>
      </w:pPr>
    </w:p>
    <w:p w14:paraId="1EF2CB48">
      <w:pP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4377179B">
      <w:pPr>
        <w:tabs>
          <w:tab w:val="left" w:pos="2761"/>
          <w:tab w:val="center" w:pos="4595"/>
        </w:tabs>
        <w:autoSpaceDE w:val="0"/>
        <w:autoSpaceDN w:val="0"/>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附件5</w:t>
      </w:r>
    </w:p>
    <w:p w14:paraId="4763F34C">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联合协议（如果有）</w:t>
      </w:r>
    </w:p>
    <w:p w14:paraId="28AB8213">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（以联合体形式响应的，提供联合协议；本项目不接受联合体响应或者供应商不以联合体形式响应的，则不需要提供）</w:t>
      </w:r>
    </w:p>
    <w:p w14:paraId="3F7F107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组成一个联合体，以一个供应商的身份</w:t>
      </w:r>
      <w:r>
        <w:rPr>
          <w:rFonts w:hint="eastAsia" w:ascii="宋体" w:hAnsi="宋体" w:eastAsia="宋体" w:cs="宋体"/>
          <w:color w:val="auto"/>
          <w:kern w:val="0"/>
          <w:sz w:val="24"/>
          <w:highlight w:val="none"/>
        </w:rPr>
        <w:t>参加</w:t>
      </w:r>
      <w:r>
        <w:rPr>
          <w:rFonts w:hint="eastAsia" w:ascii="宋体" w:hAnsi="宋体" w:eastAsia="宋体" w:cs="宋体"/>
          <w:color w:val="auto"/>
          <w:sz w:val="24"/>
          <w:highlight w:val="none"/>
        </w:rPr>
        <w:t>（项目名称）</w:t>
      </w:r>
      <w:r>
        <w:rPr>
          <w:rFonts w:hint="eastAsia" w:ascii="宋体" w:hAnsi="宋体" w:eastAsia="宋体" w:cs="宋体"/>
          <w:color w:val="auto"/>
          <w:kern w:val="0"/>
          <w:sz w:val="24"/>
          <w:highlight w:val="none"/>
          <w:lang w:val="zh-CN"/>
        </w:rPr>
        <w:t xml:space="preserve">【项目编号：（采购编号）】响应。 </w:t>
      </w:r>
    </w:p>
    <w:p w14:paraId="383C285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，代表所有联合体成员负责响应和合同实施阶段的主办、协调工作</w:t>
      </w:r>
      <w:r>
        <w:rPr>
          <w:rFonts w:hint="eastAsia" w:ascii="宋体" w:hAnsi="宋体" w:eastAsia="宋体" w:cs="宋体"/>
          <w:color w:val="auto"/>
          <w:kern w:val="0"/>
          <w:sz w:val="24"/>
          <w:highlight w:val="none"/>
          <w:lang w:val="zh-CN"/>
        </w:rPr>
        <w:t>。</w:t>
      </w:r>
    </w:p>
    <w:p w14:paraId="7CDF666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授权代表根据磋商文件规定及采购内容而对采购人、采购代理机构所作的任何合法承诺，包括书面澄清及相应等均对联合体各方产生约束力。</w:t>
      </w:r>
    </w:p>
    <w:p w14:paraId="4B923970">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三、本次联合响应中，分工如下：</w:t>
      </w:r>
    </w:p>
    <w:p w14:paraId="1B6A4B7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（联合体成员1）</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03EA71B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（联合体成员2）</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404A96AB">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w:t>
      </w:r>
    </w:p>
    <w:p w14:paraId="79E6692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四、联合体成员中小企业合同份额（如果有）。</w:t>
      </w:r>
    </w:p>
    <w:p w14:paraId="520E4FB6">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u w:val="single"/>
        </w:rPr>
        <w:t>（</w:t>
      </w:r>
      <w:bookmarkStart w:id="129" w:name="_Hlk101131882"/>
      <w:r>
        <w:rPr>
          <w:rFonts w:hint="eastAsia" w:ascii="宋体" w:hAnsi="宋体" w:eastAsia="宋体" w:cs="宋体"/>
          <w:color w:val="auto"/>
          <w:kern w:val="0"/>
          <w:sz w:val="24"/>
          <w:highlight w:val="none"/>
          <w:u w:val="single"/>
        </w:rPr>
        <w:t>联合体成员X,……</w:t>
      </w:r>
      <w:bookmarkEnd w:id="129"/>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rPr>
        <w:t>提供的服务由小微企业承接，其合同份额占到合同总金额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w:t>
      </w:r>
      <w:bookmarkStart w:id="130" w:name="_Hlk101133598"/>
      <w:r>
        <w:rPr>
          <w:rFonts w:hint="eastAsia" w:ascii="宋体" w:hAnsi="宋体" w:eastAsia="宋体" w:cs="宋体"/>
          <w:b/>
          <w:color w:val="auto"/>
          <w:kern w:val="0"/>
          <w:sz w:val="24"/>
          <w:highlight w:val="none"/>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宋体" w:hAnsi="宋体" w:eastAsia="宋体" w:cs="宋体"/>
          <w:b/>
          <w:color w:val="auto"/>
          <w:sz w:val="24"/>
          <w:highlight w:val="none"/>
        </w:rPr>
        <w:t>拟享受以上价格扣除政策的，填写有关内容。</w:t>
      </w:r>
      <w:bookmarkEnd w:id="130"/>
      <w:r>
        <w:rPr>
          <w:rFonts w:hint="eastAsia" w:ascii="宋体" w:hAnsi="宋体" w:eastAsia="宋体" w:cs="宋体"/>
          <w:b/>
          <w:color w:val="auto"/>
          <w:kern w:val="0"/>
          <w:sz w:val="24"/>
          <w:highlight w:val="none"/>
          <w:lang w:val="zh-CN"/>
        </w:rPr>
        <w:t>）</w:t>
      </w:r>
    </w:p>
    <w:p w14:paraId="40BF8DE1">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w:t>
      </w:r>
      <w:bookmarkStart w:id="131" w:name="_Hlk101133173"/>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宋体" w:hAnsi="宋体" w:eastAsia="宋体" w:cs="宋体"/>
          <w:b/>
          <w:bCs/>
          <w:color w:val="auto"/>
          <w:kern w:val="0"/>
          <w:sz w:val="24"/>
          <w:highlight w:val="none"/>
          <w:lang w:val="zh-CN"/>
        </w:rPr>
        <w:t>）</w:t>
      </w:r>
      <w:bookmarkEnd w:id="131"/>
    </w:p>
    <w:p w14:paraId="2B9556C0">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五、如果成交，</w:t>
      </w:r>
      <w:r>
        <w:rPr>
          <w:rFonts w:hint="eastAsia" w:ascii="宋体" w:hAnsi="宋体" w:eastAsia="宋体" w:cs="宋体"/>
          <w:color w:val="auto"/>
          <w:sz w:val="24"/>
          <w:highlight w:val="none"/>
        </w:rPr>
        <w:t>联合体各成员方共同与采购人签订合同，并就采购合同约定的事项对采购人承担连带责任。</w:t>
      </w:r>
    </w:p>
    <w:p w14:paraId="7BAA811B">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六、有关本次联合响应的其他事宜：</w:t>
      </w:r>
    </w:p>
    <w:p w14:paraId="087DBD9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14:paraId="13F1032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14:paraId="4AD44AD5">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3、本协议提交采购人、采购代理机构后，联合体各方不得以任何形式对上述内容进行修改或撤销。</w:t>
      </w:r>
    </w:p>
    <w:p w14:paraId="6C5D3F4B">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0DAF120E">
      <w:pPr>
        <w:snapToGrid w:val="0"/>
        <w:spacing w:line="360" w:lineRule="auto"/>
        <w:ind w:firstLine="5040" w:firstLineChars="21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17BEC3EC">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1DC0A31A">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  年  月   日</w:t>
      </w:r>
    </w:p>
    <w:p w14:paraId="1A51A092">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6CDA5CAC">
      <w:pPr>
        <w:rPr>
          <w:rFonts w:hint="eastAsia" w:ascii="宋体" w:hAnsi="宋体" w:eastAsia="宋体" w:cs="宋体"/>
          <w:b/>
          <w:color w:val="auto"/>
          <w:sz w:val="32"/>
          <w:szCs w:val="32"/>
          <w:highlight w:val="none"/>
        </w:rPr>
      </w:pPr>
      <w:r>
        <w:rPr>
          <w:rFonts w:hint="eastAsia" w:ascii="宋体" w:hAnsi="宋体" w:eastAsia="宋体" w:cs="宋体"/>
          <w:color w:val="auto"/>
          <w:sz w:val="24"/>
          <w:highlight w:val="none"/>
        </w:rPr>
        <w:br w:type="page"/>
      </w:r>
      <w:r>
        <w:rPr>
          <w:rFonts w:hint="eastAsia" w:ascii="宋体" w:hAnsi="宋体" w:eastAsia="宋体" w:cs="宋体"/>
          <w:b/>
          <w:color w:val="auto"/>
          <w:sz w:val="32"/>
          <w:szCs w:val="32"/>
          <w:highlight w:val="none"/>
        </w:rPr>
        <w:t>附件6</w:t>
      </w:r>
    </w:p>
    <w:p w14:paraId="039F9B01">
      <w:pPr>
        <w:snapToGrid w:val="0"/>
        <w:spacing w:line="360" w:lineRule="auto"/>
        <w:ind w:firstLine="3534"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分包意向协议（如果有）</w:t>
      </w:r>
    </w:p>
    <w:p w14:paraId="0DE67716">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成交后以分包方式履行合同的，提供分包意向协议；采购人不同意分包或者供应商成交后不以分包方式履行合同的，则不需要提供。</w:t>
      </w:r>
      <w:r>
        <w:rPr>
          <w:rFonts w:hint="eastAsia" w:ascii="宋体" w:hAnsi="宋体" w:eastAsia="宋体" w:cs="宋体"/>
          <w:color w:val="auto"/>
          <w:sz w:val="24"/>
          <w:highlight w:val="none"/>
        </w:rPr>
        <w:t>）</w:t>
      </w:r>
    </w:p>
    <w:p w14:paraId="27BF1E02">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rPr>
        <w:t>（项目名称）【项目编号：（采购编号）】</w:t>
      </w:r>
      <w:r>
        <w:rPr>
          <w:rFonts w:hint="eastAsia" w:ascii="宋体" w:hAnsi="宋体" w:eastAsia="宋体" w:cs="宋体"/>
          <w:color w:val="auto"/>
          <w:kern w:val="0"/>
          <w:sz w:val="24"/>
          <w:highlight w:val="none"/>
          <w:lang w:val="zh-CN"/>
        </w:rPr>
        <w:t>的成交供应商，将依法采取分包方式履行合同。</w:t>
      </w: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14:paraId="04403FF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14:paraId="6C43C15F">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（分包供应商2名称），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14:paraId="2B70AAD2">
      <w:pPr>
        <w:pStyle w:val="5"/>
        <w:ind w:left="664" w:leftChars="316" w:firstLine="229" w:firstLineChars="95"/>
        <w:rPr>
          <w:rFonts w:hint="eastAsia" w:ascii="宋体" w:hAnsi="宋体" w:eastAsia="宋体" w:cs="宋体"/>
          <w:color w:val="auto"/>
          <w:kern w:val="0"/>
          <w:sz w:val="24"/>
          <w:szCs w:val="24"/>
          <w:highlight w:val="none"/>
        </w:rPr>
      </w:pPr>
      <w:bookmarkStart w:id="132" w:name="_Toc20031"/>
      <w:r>
        <w:rPr>
          <w:rFonts w:hint="eastAsia" w:ascii="宋体" w:hAnsi="宋体" w:eastAsia="宋体" w:cs="宋体"/>
          <w:color w:val="auto"/>
          <w:kern w:val="0"/>
          <w:sz w:val="24"/>
          <w:szCs w:val="24"/>
          <w:highlight w:val="none"/>
        </w:rPr>
        <w:t>……</w:t>
      </w:r>
      <w:bookmarkEnd w:id="132"/>
    </w:p>
    <w:p w14:paraId="4F020C4D">
      <w:pPr>
        <w:ind w:firstLine="305"/>
        <w:rPr>
          <w:rFonts w:hint="eastAsia" w:ascii="宋体" w:hAnsi="宋体" w:eastAsia="宋体" w:cs="宋体"/>
          <w:color w:val="auto"/>
          <w:highlight w:val="none"/>
        </w:rPr>
      </w:pPr>
      <w:r>
        <w:rPr>
          <w:rFonts w:hint="eastAsia" w:ascii="宋体" w:hAnsi="宋体" w:eastAsia="宋体" w:cs="宋体"/>
          <w:color w:val="auto"/>
          <w:highlight w:val="none"/>
          <w:lang w:val="zh-CN"/>
        </w:rPr>
        <w:t xml:space="preserve"> </w:t>
      </w:r>
    </w:p>
    <w:p w14:paraId="12EE570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二、分包供应商中小企业合同份额（如果有）</w:t>
      </w:r>
    </w:p>
    <w:p w14:paraId="1B53B45C">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（分包供应商X,……）提供的服务全部由小微企业承接，</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14:paraId="4155B795">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要求合同分包形式参加的项目或采购包，供应商按磋商文件第一部分竞争性磋商邀请公告申请人的资格要求中规定的</w:t>
      </w:r>
      <w:r>
        <w:rPr>
          <w:rFonts w:hint="eastAsia" w:ascii="宋体" w:hAnsi="宋体" w:eastAsia="宋体" w:cs="宋体"/>
          <w:b/>
          <w:color w:val="auto"/>
          <w:kern w:val="0"/>
          <w:sz w:val="24"/>
          <w:highlight w:val="none"/>
          <w:lang w:val="zh-CN"/>
        </w:rPr>
        <w:t>分包意向协议</w:t>
      </w:r>
      <w:r>
        <w:rPr>
          <w:rFonts w:hint="eastAsia" w:ascii="宋体" w:hAnsi="宋体" w:eastAsia="宋体" w:cs="宋体"/>
          <w:b/>
          <w:bCs/>
          <w:color w:val="auto"/>
          <w:sz w:val="24"/>
          <w:highlight w:val="none"/>
        </w:rPr>
        <w:t>中中小企业、小微企业合同金额应当达到的比例要求填写。</w:t>
      </w:r>
      <w:r>
        <w:rPr>
          <w:rFonts w:hint="eastAsia" w:ascii="宋体" w:hAnsi="宋体" w:eastAsia="宋体" w:cs="宋体"/>
          <w:b/>
          <w:bCs/>
          <w:color w:val="auto"/>
          <w:kern w:val="0"/>
          <w:sz w:val="24"/>
          <w:highlight w:val="none"/>
          <w:lang w:val="zh-CN"/>
        </w:rPr>
        <w:t>）</w:t>
      </w:r>
    </w:p>
    <w:p w14:paraId="61A1250B">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三、分包工作履行期限、地点、方式</w:t>
      </w:r>
    </w:p>
    <w:p w14:paraId="4DC3940F">
      <w:pP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14:paraId="5A6B485F">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四、质量</w:t>
      </w:r>
    </w:p>
    <w:p w14:paraId="16A4B64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662C5DC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五、价款或者报酬</w:t>
      </w:r>
    </w:p>
    <w:p w14:paraId="1EE5559F">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0329CB23">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六、违约责任</w:t>
      </w:r>
    </w:p>
    <w:p w14:paraId="2E84FFEB">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665EF692">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七、争议解决的办法</w:t>
      </w:r>
    </w:p>
    <w:p w14:paraId="10E437E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19B07FD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八、其他</w:t>
      </w:r>
    </w:p>
    <w:p w14:paraId="2DBA62EF">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p>
    <w:p w14:paraId="05BEB288">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p>
    <w:p w14:paraId="5A52ACAC">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p>
    <w:p w14:paraId="54EACBBB">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供应商名称(电子签名)：</w:t>
      </w:r>
    </w:p>
    <w:p w14:paraId="0B0C7499">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分包供应商名称(电子签名/公章)：</w:t>
      </w:r>
    </w:p>
    <w:p w14:paraId="0B4516DA">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5935AB9C">
      <w:pPr>
        <w:pStyle w:val="59"/>
        <w:ind w:left="0" w:leftChars="0" w:firstLine="0" w:firstLineChars="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 xml:space="preserve">                                        日期：  年  月   日</w:t>
      </w:r>
    </w:p>
    <w:p w14:paraId="646F86A9">
      <w:pPr>
        <w:tabs>
          <w:tab w:val="left" w:pos="2761"/>
          <w:tab w:val="center" w:pos="4595"/>
        </w:tabs>
        <w:autoSpaceDE w:val="0"/>
        <w:autoSpaceDN w:val="0"/>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ab/>
      </w:r>
    </w:p>
    <w:p w14:paraId="7708280F">
      <w:pP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br w:type="page"/>
      </w:r>
    </w:p>
    <w:p w14:paraId="016A318F">
      <w:pPr>
        <w:tabs>
          <w:tab w:val="left" w:pos="2761"/>
          <w:tab w:val="center" w:pos="4595"/>
        </w:tabs>
        <w:autoSpaceDE w:val="0"/>
        <w:autoSpaceDN w:val="0"/>
        <w:jc w:val="left"/>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附件7：</w:t>
      </w:r>
      <w:r>
        <w:rPr>
          <w:rFonts w:hint="eastAsia" w:ascii="宋体" w:hAnsi="宋体" w:eastAsia="宋体" w:cs="宋体"/>
          <w:b/>
          <w:color w:val="auto"/>
          <w:sz w:val="32"/>
          <w:szCs w:val="32"/>
          <w:highlight w:val="none"/>
        </w:rPr>
        <w:t>中小企业声明函</w:t>
      </w:r>
    </w:p>
    <w:p w14:paraId="321AAD14">
      <w:pPr>
        <w:spacing w:line="360" w:lineRule="auto"/>
        <w:jc w:val="center"/>
        <w:rPr>
          <w:rFonts w:hint="eastAsia" w:ascii="宋体" w:hAnsi="宋体" w:eastAsia="宋体" w:cs="宋体"/>
          <w:color w:val="auto"/>
          <w:sz w:val="24"/>
          <w:highlight w:val="none"/>
          <w:u w:val="single"/>
        </w:rPr>
      </w:pPr>
    </w:p>
    <w:p w14:paraId="2645FE5F">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中小企业声明函（工程、服务）</w:t>
      </w:r>
    </w:p>
    <w:p w14:paraId="2C823CE7">
      <w:pPr>
        <w:spacing w:line="360" w:lineRule="auto"/>
        <w:rPr>
          <w:rFonts w:hint="eastAsia" w:ascii="宋体" w:hAnsi="宋体" w:eastAsia="宋体" w:cs="宋体"/>
          <w:color w:val="auto"/>
          <w:highlight w:val="none"/>
        </w:rPr>
      </w:pPr>
    </w:p>
    <w:p w14:paraId="786D429D">
      <w:pPr>
        <w:spacing w:line="360" w:lineRule="auto"/>
        <w:ind w:firstLine="360" w:firstLineChars="1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本公司（联合体）郑重声明，根据《政府采购促进中小企业发展管理办法》（财库﹝2020﹞46 号）的规定，本公司（联合体）参加 （单位名称） 的 （项目名称） 采购活动，工程的施工单位全部为符合政策要求的中小企业（或者：服务全部由符合政策要求的中小企业承接）。相关企业（含联合体中的中小企业、签订分包意向协议的中小企业）的具体情况如下：</w:t>
      </w:r>
    </w:p>
    <w:p w14:paraId="40EE91C9">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 xml:space="preserve">，属于 </w:t>
      </w:r>
      <w:r>
        <w:rPr>
          <w:rFonts w:hint="eastAsia" w:ascii="宋体" w:hAnsi="宋体" w:eastAsia="宋体" w:cs="宋体"/>
          <w:color w:val="auto"/>
          <w:sz w:val="24"/>
          <w:highlight w:val="none"/>
          <w:u w:val="single"/>
        </w:rPr>
        <w:t>（采购文件中明确的所属行业）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14:paraId="6AB24BCD">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 xml:space="preserve">，属于 </w:t>
      </w:r>
      <w:r>
        <w:rPr>
          <w:rFonts w:hint="eastAsia" w:ascii="宋体" w:hAnsi="宋体" w:eastAsia="宋体" w:cs="宋体"/>
          <w:color w:val="auto"/>
          <w:sz w:val="24"/>
          <w:highlight w:val="none"/>
          <w:u w:val="single"/>
        </w:rPr>
        <w:t>（采购文件中明确的所属行业）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14:paraId="79A92991">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7E23C74A">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14:paraId="39DB6AB6">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14:paraId="22113BE9">
      <w:pPr>
        <w:spacing w:line="360" w:lineRule="auto"/>
        <w:ind w:right="176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供应商名称（电子签名）：</w:t>
      </w:r>
    </w:p>
    <w:p w14:paraId="7D1A97B5">
      <w:pPr>
        <w:spacing w:line="360" w:lineRule="auto"/>
        <w:ind w:right="1120" w:firstLine="4680" w:firstLineChars="195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14:paraId="342886A5">
      <w:pPr>
        <w:spacing w:line="360" w:lineRule="auto"/>
        <w:ind w:firstLine="310" w:firstLineChars="147"/>
        <w:jc w:val="left"/>
        <w:rPr>
          <w:rFonts w:hint="eastAsia" w:ascii="宋体" w:hAnsi="宋体" w:eastAsia="宋体" w:cs="宋体"/>
          <w:b/>
          <w:color w:val="auto"/>
          <w:szCs w:val="21"/>
          <w:highlight w:val="none"/>
        </w:rPr>
      </w:pPr>
    </w:p>
    <w:p w14:paraId="4554B698">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注：</w:t>
      </w:r>
      <w:r>
        <w:rPr>
          <w:rFonts w:hint="eastAsia" w:ascii="宋体" w:hAnsi="宋体" w:eastAsia="宋体" w:cs="宋体"/>
          <w:b/>
          <w:bCs/>
          <w:color w:val="auto"/>
          <w:sz w:val="24"/>
          <w:highlight w:val="none"/>
        </w:rPr>
        <w:t>1.填写要求：①“标的名称”、“采购文件中明确的所属行业”依据磋商文件第三部分供应商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成交的，依法承担法律责任。</w:t>
      </w:r>
    </w:p>
    <w:p w14:paraId="69E73555">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0021CF0A">
      <w:pPr>
        <w:rPr>
          <w:rFonts w:hint="eastAsia" w:ascii="宋体" w:hAnsi="宋体" w:eastAsia="宋体" w:cs="宋体"/>
          <w:color w:val="auto"/>
          <w:highlight w:val="none"/>
        </w:rPr>
      </w:pPr>
    </w:p>
    <w:p w14:paraId="0C845769">
      <w:pPr>
        <w:spacing w:line="360" w:lineRule="auto"/>
        <w:ind w:right="420"/>
        <w:rPr>
          <w:rFonts w:hint="eastAsia" w:ascii="宋体" w:hAnsi="宋体" w:eastAsia="宋体" w:cs="宋体"/>
          <w:color w:val="auto"/>
          <w:highlight w:val="none"/>
        </w:rPr>
      </w:pPr>
    </w:p>
    <w:p w14:paraId="50BF4525">
      <w:pP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7F73DCC3">
      <w:pPr>
        <w:adjustRightInd/>
        <w:spacing w:line="360" w:lineRule="auto"/>
        <w:jc w:val="center"/>
        <w:outlineLvl w:val="0"/>
        <w:rPr>
          <w:rFonts w:hint="eastAsia" w:ascii="宋体" w:hAnsi="宋体" w:eastAsia="宋体" w:cs="宋体"/>
          <w:b/>
          <w:color w:val="auto"/>
          <w:sz w:val="36"/>
          <w:szCs w:val="20"/>
          <w:highlight w:val="none"/>
        </w:rPr>
      </w:pPr>
      <w:bookmarkStart w:id="133" w:name="_Toc30317"/>
      <w:r>
        <w:rPr>
          <w:rFonts w:hint="eastAsia" w:ascii="宋体" w:hAnsi="宋体" w:eastAsia="宋体" w:cs="宋体"/>
          <w:b/>
          <w:color w:val="auto"/>
          <w:sz w:val="36"/>
          <w:szCs w:val="20"/>
          <w:highlight w:val="none"/>
        </w:rPr>
        <w:t>第八部分  最后报价格式</w:t>
      </w:r>
      <w:bookmarkEnd w:id="133"/>
    </w:p>
    <w:p w14:paraId="2358228B">
      <w:pPr>
        <w:pStyle w:val="143"/>
        <w:keepNext w:val="0"/>
        <w:pageBreakBefore w:val="0"/>
        <w:tabs>
          <w:tab w:val="clear" w:pos="720"/>
        </w:tabs>
        <w:ind w:firstLine="640"/>
        <w:outlineLvl w:val="9"/>
        <w:rPr>
          <w:rFonts w:hint="eastAsia" w:ascii="宋体" w:hAnsi="宋体" w:eastAsia="宋体" w:cs="宋体"/>
          <w:color w:val="auto"/>
          <w:kern w:val="2"/>
          <w:sz w:val="32"/>
          <w:szCs w:val="32"/>
          <w:highlight w:val="none"/>
        </w:rPr>
      </w:pPr>
      <w:bookmarkStart w:id="134" w:name="_Toc10364"/>
      <w:r>
        <w:rPr>
          <w:rFonts w:hint="eastAsia" w:ascii="宋体" w:hAnsi="宋体" w:eastAsia="宋体" w:cs="宋体"/>
          <w:color w:val="auto"/>
          <w:kern w:val="2"/>
          <w:sz w:val="32"/>
          <w:szCs w:val="32"/>
          <w:highlight w:val="none"/>
        </w:rPr>
        <w:t>（一）最后报价一览表</w:t>
      </w:r>
      <w:bookmarkEnd w:id="134"/>
    </w:p>
    <w:p w14:paraId="65DD175C">
      <w:pPr>
        <w:autoSpaceDE w:val="0"/>
        <w:autoSpaceDN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u w:val="single"/>
        </w:rPr>
        <w:t>（采购人）、（采购代理机构）</w:t>
      </w:r>
      <w:r>
        <w:rPr>
          <w:rFonts w:hint="eastAsia" w:ascii="宋体" w:hAnsi="宋体" w:eastAsia="宋体" w:cs="宋体"/>
          <w:color w:val="auto"/>
          <w:kern w:val="0"/>
          <w:sz w:val="24"/>
          <w:highlight w:val="none"/>
          <w:lang w:val="zh-CN"/>
        </w:rPr>
        <w:t>：</w:t>
      </w:r>
    </w:p>
    <w:p w14:paraId="15D0A04C">
      <w:pPr>
        <w:spacing w:line="360" w:lineRule="auto"/>
        <w:ind w:firstLine="72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按你方磋商文件要求，</w:t>
      </w:r>
      <w:r>
        <w:rPr>
          <w:rFonts w:hint="eastAsia" w:ascii="宋体" w:hAnsi="宋体" w:eastAsia="宋体" w:cs="宋体"/>
          <w:color w:val="auto"/>
          <w:sz w:val="24"/>
          <w:highlight w:val="none"/>
        </w:rPr>
        <w:t>我们即</w:t>
      </w:r>
      <w:r>
        <w:rPr>
          <w:rFonts w:hint="eastAsia" w:ascii="宋体" w:hAnsi="宋体" w:eastAsia="宋体" w:cs="宋体"/>
          <w:color w:val="auto"/>
          <w:kern w:val="0"/>
          <w:sz w:val="24"/>
          <w:highlight w:val="none"/>
          <w:lang w:val="zh-CN"/>
        </w:rPr>
        <w:t>本响应文件签字方，谨此向你方发出要约如下：如你方接受本响应，我方承诺按照如下最后报价一览表的价格完成</w:t>
      </w:r>
      <w:r>
        <w:rPr>
          <w:rFonts w:hint="eastAsia" w:ascii="宋体" w:hAnsi="宋体" w:eastAsia="宋体" w:cs="宋体"/>
          <w:color w:val="auto"/>
          <w:sz w:val="24"/>
          <w:highlight w:val="none"/>
        </w:rPr>
        <w:t>（项目名称）</w:t>
      </w:r>
      <w:r>
        <w:rPr>
          <w:rFonts w:hint="eastAsia" w:ascii="宋体" w:hAnsi="宋体" w:eastAsia="宋体" w:cs="宋体"/>
          <w:color w:val="auto"/>
          <w:kern w:val="0"/>
          <w:sz w:val="24"/>
          <w:highlight w:val="none"/>
          <w:lang w:val="zh-CN"/>
        </w:rPr>
        <w:t>【编号：</w:t>
      </w:r>
      <w:r>
        <w:rPr>
          <w:rFonts w:hint="eastAsia" w:ascii="宋体" w:hAnsi="宋体" w:eastAsia="宋体" w:cs="宋体"/>
          <w:color w:val="auto"/>
          <w:sz w:val="24"/>
          <w:highlight w:val="none"/>
        </w:rPr>
        <w:t>（采购编号）】的实施</w:t>
      </w:r>
      <w:r>
        <w:rPr>
          <w:rFonts w:hint="eastAsia" w:ascii="宋体" w:hAnsi="宋体" w:eastAsia="宋体" w:cs="宋体"/>
          <w:color w:val="auto"/>
          <w:kern w:val="0"/>
          <w:sz w:val="24"/>
          <w:highlight w:val="none"/>
          <w:lang w:val="zh-CN"/>
        </w:rPr>
        <w:t>。</w:t>
      </w:r>
    </w:p>
    <w:p w14:paraId="0608166D">
      <w:pPr>
        <w:snapToGrid w:val="0"/>
        <w:spacing w:line="360" w:lineRule="auto"/>
        <w:ind w:left="480"/>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最后报价一览表(单位均为人民币元)</w:t>
      </w:r>
    </w:p>
    <w:p w14:paraId="53174E75">
      <w:pPr>
        <w:spacing w:line="360" w:lineRule="auto"/>
        <w:ind w:left="-2" w:leftChars="-1" w:firstLine="480" w:firstLineChars="200"/>
        <w:rPr>
          <w:rFonts w:hint="eastAsia" w:ascii="宋体" w:hAnsi="宋体" w:eastAsia="宋体" w:cs="宋体"/>
          <w:color w:val="auto"/>
          <w:sz w:val="24"/>
          <w:highlight w:val="none"/>
        </w:rPr>
      </w:pPr>
    </w:p>
    <w:tbl>
      <w:tblPr>
        <w:tblStyle w:val="60"/>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1184"/>
        <w:gridCol w:w="2369"/>
        <w:gridCol w:w="2262"/>
        <w:gridCol w:w="3471"/>
      </w:tblGrid>
      <w:tr w14:paraId="3DED20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12" w:hRule="atLeast"/>
          <w:jc w:val="center"/>
        </w:trPr>
        <w:tc>
          <w:tcPr>
            <w:tcW w:w="637" w:type="pct"/>
            <w:tcBorders>
              <w:top w:val="single" w:color="auto" w:sz="4" w:space="0"/>
              <w:left w:val="single" w:color="auto" w:sz="4" w:space="0"/>
              <w:bottom w:val="single" w:color="auto" w:sz="4" w:space="0"/>
              <w:right w:val="single" w:color="auto" w:sz="4" w:space="0"/>
            </w:tcBorders>
            <w:noWrap w:val="0"/>
            <w:vAlign w:val="center"/>
          </w:tcPr>
          <w:p w14:paraId="2D3CF2F1">
            <w:pPr>
              <w:snapToGrid w:val="0"/>
              <w:spacing w:line="360" w:lineRule="auto"/>
              <w:jc w:val="center"/>
              <w:rPr>
                <w:rFonts w:hint="eastAsia" w:ascii="宋体" w:hAnsi="宋体" w:eastAsia="宋体"/>
                <w:b/>
                <w:color w:val="auto"/>
                <w:sz w:val="24"/>
                <w:highlight w:val="none"/>
              </w:rPr>
            </w:pPr>
            <w:r>
              <w:rPr>
                <w:rFonts w:hint="eastAsia" w:ascii="宋体" w:hAnsi="宋体" w:eastAsia="宋体"/>
                <w:b/>
                <w:color w:val="auto"/>
                <w:sz w:val="24"/>
                <w:highlight w:val="none"/>
              </w:rPr>
              <w:t>序号</w:t>
            </w:r>
          </w:p>
        </w:tc>
        <w:tc>
          <w:tcPr>
            <w:tcW w:w="1275" w:type="pct"/>
            <w:tcBorders>
              <w:top w:val="single" w:color="auto" w:sz="4" w:space="0"/>
              <w:left w:val="single" w:color="auto" w:sz="4" w:space="0"/>
              <w:bottom w:val="single" w:color="auto" w:sz="4" w:space="0"/>
              <w:right w:val="single" w:color="auto" w:sz="4" w:space="0"/>
            </w:tcBorders>
            <w:noWrap w:val="0"/>
            <w:vAlign w:val="center"/>
          </w:tcPr>
          <w:p w14:paraId="6F772693">
            <w:pPr>
              <w:snapToGrid w:val="0"/>
              <w:spacing w:line="360" w:lineRule="auto"/>
              <w:jc w:val="center"/>
              <w:rPr>
                <w:rFonts w:hint="eastAsia" w:ascii="宋体" w:hAnsi="宋体" w:eastAsia="宋体"/>
                <w:b/>
                <w:color w:val="auto"/>
                <w:sz w:val="24"/>
                <w:highlight w:val="none"/>
              </w:rPr>
            </w:pPr>
            <w:r>
              <w:rPr>
                <w:rFonts w:hint="eastAsia" w:ascii="宋体" w:hAnsi="宋体" w:eastAsia="宋体"/>
                <w:b/>
                <w:color w:val="auto"/>
                <w:sz w:val="24"/>
                <w:highlight w:val="none"/>
              </w:rPr>
              <w:t>服务项目</w:t>
            </w:r>
          </w:p>
        </w:tc>
        <w:tc>
          <w:tcPr>
            <w:tcW w:w="1217" w:type="pct"/>
            <w:tcBorders>
              <w:top w:val="single" w:color="auto" w:sz="4" w:space="0"/>
              <w:left w:val="single" w:color="auto" w:sz="4" w:space="0"/>
              <w:bottom w:val="single" w:color="auto" w:sz="4" w:space="0"/>
              <w:right w:val="single" w:color="auto" w:sz="4" w:space="0"/>
            </w:tcBorders>
            <w:noWrap w:val="0"/>
            <w:vAlign w:val="center"/>
          </w:tcPr>
          <w:p w14:paraId="258436C2">
            <w:pPr>
              <w:snapToGrid w:val="0"/>
              <w:spacing w:line="360" w:lineRule="auto"/>
              <w:jc w:val="center"/>
              <w:rPr>
                <w:rFonts w:hint="eastAsia" w:ascii="宋体" w:hAnsi="宋体" w:eastAsia="宋体"/>
                <w:b/>
                <w:color w:val="auto"/>
                <w:sz w:val="24"/>
                <w:highlight w:val="none"/>
              </w:rPr>
            </w:pPr>
            <w:r>
              <w:rPr>
                <w:rFonts w:hint="eastAsia" w:ascii="宋体" w:hAnsi="宋体" w:eastAsia="宋体"/>
                <w:b/>
                <w:color w:val="auto"/>
                <w:sz w:val="24"/>
                <w:highlight w:val="none"/>
              </w:rPr>
              <w:t>报价</w:t>
            </w:r>
          </w:p>
        </w:tc>
        <w:tc>
          <w:tcPr>
            <w:tcW w:w="1868" w:type="pct"/>
            <w:tcBorders>
              <w:top w:val="single" w:color="auto" w:sz="4" w:space="0"/>
              <w:left w:val="single" w:color="auto" w:sz="4" w:space="0"/>
              <w:bottom w:val="single" w:color="auto" w:sz="4" w:space="0"/>
              <w:right w:val="single" w:color="auto" w:sz="4" w:space="0"/>
            </w:tcBorders>
            <w:noWrap w:val="0"/>
            <w:vAlign w:val="center"/>
          </w:tcPr>
          <w:p w14:paraId="0F597D2F">
            <w:pPr>
              <w:snapToGrid w:val="0"/>
              <w:spacing w:line="360" w:lineRule="auto"/>
              <w:jc w:val="center"/>
              <w:rPr>
                <w:rFonts w:hint="eastAsia" w:ascii="宋体" w:hAnsi="宋体" w:eastAsia="宋体"/>
                <w:b/>
                <w:color w:val="auto"/>
                <w:sz w:val="24"/>
                <w:highlight w:val="none"/>
              </w:rPr>
            </w:pPr>
            <w:r>
              <w:rPr>
                <w:rFonts w:hint="eastAsia" w:ascii="宋体" w:hAnsi="宋体" w:eastAsia="宋体"/>
                <w:b/>
                <w:color w:val="auto"/>
                <w:sz w:val="24"/>
                <w:highlight w:val="none"/>
              </w:rPr>
              <w:t>备注</w:t>
            </w:r>
          </w:p>
        </w:tc>
      </w:tr>
      <w:tr w14:paraId="10BFCD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12" w:hRule="atLeast"/>
          <w:jc w:val="center"/>
        </w:trPr>
        <w:tc>
          <w:tcPr>
            <w:tcW w:w="637" w:type="pct"/>
            <w:tcBorders>
              <w:top w:val="single" w:color="auto" w:sz="4" w:space="0"/>
              <w:left w:val="single" w:color="auto" w:sz="4" w:space="0"/>
              <w:bottom w:val="single" w:color="auto" w:sz="4" w:space="0"/>
              <w:right w:val="single" w:color="auto" w:sz="4" w:space="0"/>
            </w:tcBorders>
            <w:noWrap w:val="0"/>
            <w:vAlign w:val="center"/>
          </w:tcPr>
          <w:p w14:paraId="0EF9B061">
            <w:pPr>
              <w:snapToGrid w:val="0"/>
              <w:spacing w:line="360" w:lineRule="auto"/>
              <w:jc w:val="center"/>
              <w:rPr>
                <w:rFonts w:hint="eastAsia" w:ascii="宋体" w:hAnsi="宋体" w:eastAsia="宋体"/>
                <w:b/>
                <w:color w:val="auto"/>
                <w:sz w:val="24"/>
                <w:highlight w:val="none"/>
              </w:rPr>
            </w:pPr>
            <w:r>
              <w:rPr>
                <w:rFonts w:hint="eastAsia" w:ascii="宋体" w:hAnsi="宋体" w:eastAsia="宋体"/>
                <w:b/>
                <w:color w:val="auto"/>
                <w:sz w:val="24"/>
                <w:highlight w:val="none"/>
              </w:rPr>
              <w:t xml:space="preserve">1 </w:t>
            </w:r>
          </w:p>
        </w:tc>
        <w:tc>
          <w:tcPr>
            <w:tcW w:w="1275" w:type="pct"/>
            <w:tcBorders>
              <w:top w:val="single" w:color="auto" w:sz="4" w:space="0"/>
              <w:left w:val="single" w:color="auto" w:sz="4" w:space="0"/>
              <w:bottom w:val="single" w:color="auto" w:sz="4" w:space="0"/>
              <w:right w:val="single" w:color="auto" w:sz="4" w:space="0"/>
            </w:tcBorders>
            <w:noWrap w:val="0"/>
            <w:vAlign w:val="center"/>
          </w:tcPr>
          <w:p w14:paraId="7792B34A">
            <w:pPr>
              <w:snapToGrid w:val="0"/>
              <w:spacing w:line="360" w:lineRule="auto"/>
              <w:jc w:val="center"/>
              <w:rPr>
                <w:rFonts w:hint="eastAsia" w:ascii="宋体" w:hAnsi="宋体" w:eastAsia="宋体"/>
                <w:b/>
                <w:color w:val="auto"/>
                <w:sz w:val="24"/>
                <w:highlight w:val="none"/>
              </w:rPr>
            </w:pPr>
          </w:p>
        </w:tc>
        <w:tc>
          <w:tcPr>
            <w:tcW w:w="1217" w:type="pct"/>
            <w:tcBorders>
              <w:top w:val="single" w:color="auto" w:sz="4" w:space="0"/>
              <w:left w:val="single" w:color="auto" w:sz="4" w:space="0"/>
              <w:bottom w:val="single" w:color="auto" w:sz="4" w:space="0"/>
              <w:right w:val="single" w:color="auto" w:sz="4" w:space="0"/>
            </w:tcBorders>
            <w:noWrap w:val="0"/>
            <w:vAlign w:val="center"/>
          </w:tcPr>
          <w:p w14:paraId="2CDE0D52">
            <w:pPr>
              <w:snapToGrid w:val="0"/>
              <w:spacing w:line="360" w:lineRule="auto"/>
              <w:jc w:val="center"/>
              <w:rPr>
                <w:rFonts w:ascii="宋体" w:hAnsi="宋体" w:eastAsia="宋体"/>
                <w:b/>
                <w:color w:val="auto"/>
                <w:sz w:val="24"/>
                <w:highlight w:val="none"/>
              </w:rPr>
            </w:pPr>
          </w:p>
        </w:tc>
        <w:tc>
          <w:tcPr>
            <w:tcW w:w="1868" w:type="pct"/>
            <w:tcBorders>
              <w:top w:val="single" w:color="auto" w:sz="4" w:space="0"/>
              <w:left w:val="single" w:color="auto" w:sz="4" w:space="0"/>
              <w:bottom w:val="single" w:color="auto" w:sz="4" w:space="0"/>
              <w:right w:val="single" w:color="auto" w:sz="4" w:space="0"/>
            </w:tcBorders>
            <w:noWrap w:val="0"/>
            <w:vAlign w:val="center"/>
          </w:tcPr>
          <w:p w14:paraId="00E48AFB">
            <w:pPr>
              <w:snapToGrid w:val="0"/>
              <w:spacing w:line="360" w:lineRule="auto"/>
              <w:jc w:val="center"/>
              <w:rPr>
                <w:rFonts w:hint="default" w:ascii="宋体" w:hAnsi="宋体" w:eastAsia="宋体"/>
                <w:b/>
                <w:color w:val="auto"/>
                <w:sz w:val="24"/>
                <w:highlight w:val="none"/>
                <w:lang w:val="en-US" w:eastAsia="zh-CN"/>
              </w:rPr>
            </w:pPr>
          </w:p>
        </w:tc>
      </w:tr>
    </w:tbl>
    <w:p w14:paraId="6AD58B20">
      <w:pPr>
        <w:spacing w:line="360" w:lineRule="auto"/>
        <w:ind w:left="-2" w:leftChars="-1" w:firstLine="480" w:firstLineChars="200"/>
        <w:rPr>
          <w:rFonts w:hint="eastAsia" w:ascii="宋体" w:hAnsi="宋体" w:eastAsia="宋体" w:cs="宋体"/>
          <w:color w:val="auto"/>
          <w:sz w:val="24"/>
          <w:highlight w:val="none"/>
        </w:rPr>
      </w:pPr>
    </w:p>
    <w:p w14:paraId="48C0E213">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注：</w:t>
      </w:r>
      <w:r>
        <w:rPr>
          <w:rFonts w:hint="eastAsia" w:ascii="宋体" w:hAnsi="宋体" w:eastAsia="宋体" w:cs="宋体"/>
          <w:color w:val="auto"/>
          <w:kern w:val="0"/>
          <w:sz w:val="24"/>
          <w:highlight w:val="none"/>
          <w:lang w:val="zh-CN"/>
        </w:rPr>
        <w:t>1、供应商需按本表格式填写，</w:t>
      </w:r>
      <w:r>
        <w:rPr>
          <w:rFonts w:hint="eastAsia" w:ascii="宋体" w:hAnsi="宋体" w:eastAsia="宋体" w:cs="宋体"/>
          <w:b/>
          <w:bCs/>
          <w:color w:val="auto"/>
          <w:kern w:val="0"/>
          <w:sz w:val="24"/>
          <w:highlight w:val="none"/>
          <w:lang w:val="zh-CN"/>
        </w:rPr>
        <w:t>否则视为响应文件含有采购人不能接受的附加条件，响应无效。</w:t>
      </w:r>
    </w:p>
    <w:p w14:paraId="19BD4E30">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w:t>
      </w:r>
      <w:r>
        <w:rPr>
          <w:rFonts w:hint="eastAsia" w:ascii="宋体" w:hAnsi="宋体" w:eastAsia="宋体" w:cs="宋体"/>
          <w:b/>
          <w:bCs/>
          <w:color w:val="auto"/>
          <w:kern w:val="0"/>
          <w:sz w:val="24"/>
          <w:highlight w:val="none"/>
          <w:lang w:val="zh-CN"/>
        </w:rPr>
        <w:t>、</w:t>
      </w:r>
      <w:r>
        <w:rPr>
          <w:rFonts w:hint="eastAsia" w:ascii="宋体" w:hAnsi="宋体" w:eastAsia="宋体" w:cs="宋体"/>
          <w:color w:val="auto"/>
          <w:kern w:val="0"/>
          <w:sz w:val="24"/>
          <w:highlight w:val="none"/>
          <w:lang w:val="zh-CN"/>
        </w:rPr>
        <w:t>有关本项目实施所涉及的一切费用均计入报价。</w:t>
      </w:r>
      <w:r>
        <w:rPr>
          <w:rFonts w:hint="eastAsia" w:ascii="宋体" w:hAnsi="宋体" w:eastAsia="宋体" w:cs="宋体"/>
          <w:b/>
          <w:bCs/>
          <w:color w:val="auto"/>
          <w:kern w:val="0"/>
          <w:sz w:val="24"/>
          <w:highlight w:val="none"/>
          <w:lang w:val="zh-CN"/>
        </w:rPr>
        <w:t>采购人将以合同形式有偿取得货物或服务，不接受供应商给予的赠品、回扣或者与采购无关的其他商品、服务，不得出现“0元”“免费赠送”等形式的无偿报价，否则视为最后报价文件含有采购人不能接受的附加条件，响应无效；采购内容未包含在《最后报价一览表》名称栏中，供应商不能作出合理解释的，视为响应文件含有采购人不能接受的附加条件的，响应无效。</w:t>
      </w:r>
    </w:p>
    <w:p w14:paraId="3E99D7A3">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、特别提示：采购代理机构将对项目名称和项目编号，成交供应商名称、地址和成交金额，主要成交标的名称、服务范围、服务要求、服务时间、服务标准等予以公示。</w:t>
      </w:r>
    </w:p>
    <w:p w14:paraId="73949471">
      <w:pPr>
        <w:spacing w:line="360" w:lineRule="auto"/>
        <w:ind w:firstLine="480" w:firstLineChars="200"/>
        <w:rPr>
          <w:rFonts w:hint="eastAsia" w:ascii="宋体" w:hAnsi="宋体" w:eastAsia="宋体" w:cs="宋体"/>
          <w:color w:val="auto"/>
          <w:kern w:val="0"/>
          <w:sz w:val="24"/>
          <w:highlight w:val="none"/>
          <w:u w:val="single"/>
          <w:lang w:val="zh-CN"/>
        </w:rPr>
      </w:pPr>
      <w:r>
        <w:rPr>
          <w:rFonts w:hint="eastAsia" w:ascii="宋体" w:hAnsi="宋体" w:eastAsia="宋体" w:cs="宋体"/>
          <w:color w:val="auto"/>
          <w:kern w:val="0"/>
          <w:sz w:val="24"/>
          <w:szCs w:val="22"/>
          <w:highlight w:val="none"/>
        </w:rPr>
        <w:t>4</w:t>
      </w:r>
      <w:r>
        <w:rPr>
          <w:rFonts w:hint="eastAsia" w:ascii="宋体" w:hAnsi="宋体" w:eastAsia="宋体" w:cs="宋体"/>
          <w:color w:val="auto"/>
          <w:kern w:val="0"/>
          <w:sz w:val="24"/>
          <w:szCs w:val="22"/>
          <w:highlight w:val="none"/>
          <w:lang w:val="zh-CN"/>
        </w:rPr>
        <w:t>、</w:t>
      </w:r>
      <w:r>
        <w:rPr>
          <w:rFonts w:hint="eastAsia" w:ascii="宋体" w:hAnsi="宋体" w:eastAsia="宋体" w:cs="宋体"/>
          <w:color w:val="auto"/>
          <w:kern w:val="0"/>
          <w:sz w:val="24"/>
          <w:highlight w:val="none"/>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6DCFDD58">
      <w:pPr>
        <w:spacing w:line="360" w:lineRule="auto"/>
        <w:ind w:right="-874" w:rightChars="-416"/>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供应商名称（电子签名）：</w:t>
      </w:r>
    </w:p>
    <w:p w14:paraId="656342F6">
      <w:pPr>
        <w:autoSpaceDE w:val="0"/>
        <w:autoSpaceDN w:val="0"/>
        <w:spacing w:line="360" w:lineRule="auto"/>
        <w:ind w:left="5040"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57EABBCB">
      <w:pPr>
        <w:pStyle w:val="2"/>
        <w:rPr>
          <w:rFonts w:hint="eastAsia" w:ascii="宋体" w:hAnsi="宋体" w:eastAsia="宋体" w:cs="宋体"/>
          <w:color w:val="auto"/>
          <w:highlight w:val="none"/>
        </w:rPr>
      </w:pPr>
    </w:p>
    <w:sectPr>
      <w:headerReference r:id="rId8" w:type="first"/>
      <w:footerReference r:id="rId11" w:type="first"/>
      <w:headerReference r:id="rId7" w:type="default"/>
      <w:footerReference r:id="rId9" w:type="default"/>
      <w:footerReference r:id="rId10" w:type="even"/>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A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panose1 w:val="020B0606020202030204"/>
    <w:charset w:val="00"/>
    <w:family w:val="swiss"/>
    <w:pitch w:val="default"/>
    <w:sig w:usb0="00000287" w:usb1="00000800" w:usb2="00000000" w:usb3="00000000" w:csb0="2000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Futura Hv">
    <w:altName w:val="Lucida Sans Unicode"/>
    <w:panose1 w:val="00000000000000000000"/>
    <w:charset w:val="00"/>
    <w:family w:val="swiss"/>
    <w:pitch w:val="default"/>
    <w:sig w:usb0="00000000" w:usb1="00000000" w:usb2="00000000" w:usb3="00000000" w:csb0="000001FB" w:csb1="00000000"/>
  </w:font>
  <w:font w:name="Lucida Sans Unicode">
    <w:panose1 w:val="020B0602030504020204"/>
    <w:charset w:val="00"/>
    <w:family w:val="auto"/>
    <w:pitch w:val="default"/>
    <w:sig w:usb0="80001AFF" w:usb1="0000396B" w:usb2="00000000" w:usb3="00000000" w:csb0="200000BF" w:csb1="D7F7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egoe Print"/>
    <w:panose1 w:val="000000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等线">
    <w:panose1 w:val="02010600030101010101"/>
    <w:charset w:val="86"/>
    <w:family w:val="auto"/>
    <w:pitch w:val="default"/>
    <w:sig w:usb0="A00002BF" w:usb1="38CF7CFA" w:usb2="00000016" w:usb3="00000000" w:csb0="0004000F"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2E7642">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93</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09674B">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93</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2411D">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93</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945A9E">
    <w:pPr>
      <w:pStyle w:val="39"/>
      <w:framePr w:wrap="around" w:vAnchor="text" w:hAnchor="margin" w:xAlign="right" w:y="1"/>
      <w:rPr>
        <w:rStyle w:val="64"/>
      </w:rPr>
    </w:pPr>
    <w:r>
      <w:fldChar w:fldCharType="begin"/>
    </w:r>
    <w:r>
      <w:rPr>
        <w:rStyle w:val="64"/>
      </w:rPr>
      <w:instrText xml:space="preserve">PAGE  </w:instrText>
    </w:r>
    <w:r>
      <w:fldChar w:fldCharType="end"/>
    </w:r>
  </w:p>
  <w:p w14:paraId="36F4E55D">
    <w:pPr>
      <w:pStyle w:val="39"/>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D3B591">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bookmarkStart w:id="135" w:name="_Toc36110187"/>
    <w:bookmarkStart w:id="136" w:name="_Toc164085800"/>
    <w:bookmarkStart w:id="137" w:name="_Toc91899912"/>
    <w:bookmarkStart w:id="138" w:name="_Toc131845147"/>
    <w:r>
      <w:rPr>
        <w:rFonts w:hint="eastAsia" w:ascii="仿宋_GB2312" w:eastAsia="仿宋_GB2312"/>
        <w:kern w:val="0"/>
        <w:szCs w:val="21"/>
      </w:rPr>
      <w:t xml:space="preserve"> 页</w:t>
    </w:r>
    <w:bookmarkEnd w:id="135"/>
    <w:bookmarkEnd w:id="136"/>
    <w:bookmarkEnd w:id="137"/>
    <w:bookmarkEnd w:id="13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2A15E8">
    <w:pPr>
      <w:pStyle w:val="57"/>
      <w:ind w:firstLine="180" w:firstLineChars="100"/>
      <w:jc w:val="both"/>
      <w:rPr>
        <w:rFonts w:ascii="仿宋_GB2312" w:eastAsia="仿宋_GB2312"/>
        <w:b w:val="0"/>
        <w:i/>
        <w:iCs/>
        <w:sz w:val="18"/>
        <w:szCs w:val="18"/>
        <w:u w:val="single"/>
      </w:rPr>
    </w:pPr>
    <w:r>
      <w:rPr>
        <w:rFonts w:hint="eastAsia" w:eastAsia="仿宋_GB2312"/>
        <w:b w:val="0"/>
        <w:i/>
        <w:iCs/>
        <w:sz w:val="18"/>
        <w:szCs w:val="18"/>
        <w:u w:val="single"/>
      </w:rPr>
      <w:t xml:space="preserve">                                                             政府采购竞争性磋商文件（服务类）</w:t>
    </w:r>
    <w:r>
      <w:rPr>
        <w:rFonts w:hint="eastAsia"/>
        <w:b w:val="0"/>
        <w:sz w:val="18"/>
        <w:szCs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0EFA30">
    <w:pPr>
      <w:pStyle w:val="40"/>
      <w:jc w:val="right"/>
      <w:rPr>
        <w:rFonts w:eastAsia="仿宋_GB2312"/>
      </w:rPr>
    </w:pPr>
    <w:r>
      <w:rPr>
        <w:rFonts w:hint="eastAsia" w:eastAsia="仿宋_GB2312"/>
        <w:i/>
        <w:iCs/>
      </w:rPr>
      <w:t>政府采购竞争性磋商文件（服务类）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671CAA">
    <w:pPr>
      <w:pStyle w:val="40"/>
      <w:jc w:val="right"/>
      <w:rPr>
        <w:rFonts w:eastAsia="仿宋_GB2312"/>
      </w:rPr>
    </w:pPr>
    <w:r>
      <w:rPr>
        <w:rFonts w:hint="eastAsia" w:eastAsia="仿宋_GB2312"/>
        <w:i/>
        <w:iCs/>
      </w:rPr>
      <w:t>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BF0216">
    <w:pPr>
      <w:pStyle w:val="40"/>
      <w:jc w:val="right"/>
      <w:rPr>
        <w:rFonts w:eastAsia="仿宋_GB2312"/>
      </w:rPr>
    </w:pPr>
    <w:r>
      <w:rPr>
        <w:rFonts w:hint="eastAsia" w:eastAsia="仿宋_GB2312"/>
        <w:i/>
        <w:iCs/>
      </w:rPr>
      <w:t>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E679FC"/>
    <w:multiLevelType w:val="singleLevel"/>
    <w:tmpl w:val="98E679FC"/>
    <w:lvl w:ilvl="0" w:tentative="0">
      <w:start w:val="1"/>
      <w:numFmt w:val="decimal"/>
      <w:lvlText w:val="(%1)"/>
      <w:lvlJc w:val="left"/>
      <w:pPr>
        <w:ind w:left="425" w:hanging="425"/>
      </w:pPr>
      <w:rPr>
        <w:rFonts w:hint="default"/>
      </w:rPr>
    </w:lvl>
  </w:abstractNum>
  <w:abstractNum w:abstractNumId="1">
    <w:nsid w:val="00000007"/>
    <w:multiLevelType w:val="multilevel"/>
    <w:tmpl w:val="00000007"/>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5"/>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068AD46D"/>
    <w:multiLevelType w:val="singleLevel"/>
    <w:tmpl w:val="068AD46D"/>
    <w:lvl w:ilvl="0" w:tentative="0">
      <w:start w:val="1"/>
      <w:numFmt w:val="decimal"/>
      <w:suff w:val="nothing"/>
      <w:lvlText w:val="%1、"/>
      <w:lvlJc w:val="left"/>
    </w:lvl>
  </w:abstractNum>
  <w:abstractNum w:abstractNumId="4">
    <w:nsid w:val="11744E57"/>
    <w:multiLevelType w:val="multilevel"/>
    <w:tmpl w:val="11744E57"/>
    <w:lvl w:ilvl="0" w:tentative="0">
      <w:start w:val="1"/>
      <w:numFmt w:val="decimal"/>
      <w:pStyle w:val="4"/>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7"/>
      <w:lvlText w:val="%1.%2.%3"/>
      <w:lvlJc w:val="left"/>
      <w:pPr>
        <w:tabs>
          <w:tab w:val="left" w:pos="900"/>
        </w:tabs>
        <w:ind w:left="900" w:hanging="720"/>
      </w:pPr>
    </w:lvl>
    <w:lvl w:ilvl="3" w:tentative="0">
      <w:start w:val="1"/>
      <w:numFmt w:val="decimal"/>
      <w:pStyle w:val="8"/>
      <w:lvlText w:val="%1.%2.%3.%4"/>
      <w:lvlJc w:val="left"/>
      <w:pPr>
        <w:tabs>
          <w:tab w:val="left" w:pos="864"/>
        </w:tabs>
        <w:ind w:left="864" w:hanging="864"/>
      </w:pPr>
    </w:lvl>
    <w:lvl w:ilvl="4" w:tentative="0">
      <w:start w:val="1"/>
      <w:numFmt w:val="decimal"/>
      <w:pStyle w:val="9"/>
      <w:lvlText w:val="%1.%2.%3.%4.%5"/>
      <w:lvlJc w:val="left"/>
      <w:pPr>
        <w:tabs>
          <w:tab w:val="left" w:pos="1008"/>
        </w:tabs>
        <w:ind w:left="1008" w:hanging="1008"/>
      </w:pPr>
    </w:lvl>
    <w:lvl w:ilvl="5" w:tentative="0">
      <w:start w:val="1"/>
      <w:numFmt w:val="decimal"/>
      <w:pStyle w:val="10"/>
      <w:lvlText w:val="%1.%2.%3.%4.%5.%6"/>
      <w:lvlJc w:val="left"/>
      <w:pPr>
        <w:tabs>
          <w:tab w:val="left" w:pos="1152"/>
        </w:tabs>
        <w:ind w:left="1152" w:hanging="1152"/>
      </w:pPr>
    </w:lvl>
    <w:lvl w:ilvl="6" w:tentative="0">
      <w:start w:val="1"/>
      <w:numFmt w:val="decimal"/>
      <w:pStyle w:val="11"/>
      <w:lvlText w:val="%1.%2.%3.%4.%5.%6.%7"/>
      <w:lvlJc w:val="left"/>
      <w:pPr>
        <w:tabs>
          <w:tab w:val="left" w:pos="1296"/>
        </w:tabs>
        <w:ind w:left="1296" w:hanging="1296"/>
      </w:pPr>
    </w:lvl>
    <w:lvl w:ilvl="7" w:tentative="0">
      <w:start w:val="1"/>
      <w:numFmt w:val="decimal"/>
      <w:pStyle w:val="12"/>
      <w:lvlText w:val="%1.%2.%3.%4.%5.%6.%7.%8"/>
      <w:lvlJc w:val="left"/>
      <w:pPr>
        <w:tabs>
          <w:tab w:val="left" w:pos="1440"/>
        </w:tabs>
        <w:ind w:left="1440" w:hanging="1440"/>
      </w:pPr>
    </w:lvl>
    <w:lvl w:ilvl="8" w:tentative="0">
      <w:start w:val="1"/>
      <w:numFmt w:val="decimal"/>
      <w:pStyle w:val="13"/>
      <w:lvlText w:val="%1.%2.%3.%4.%5.%6.%7.%8.%9"/>
      <w:lvlJc w:val="left"/>
      <w:pPr>
        <w:tabs>
          <w:tab w:val="left" w:pos="1584"/>
        </w:tabs>
        <w:ind w:left="1584" w:hanging="1584"/>
      </w:pPr>
    </w:lvl>
  </w:abstractNum>
  <w:abstractNum w:abstractNumId="5">
    <w:nsid w:val="18C56E7B"/>
    <w:multiLevelType w:val="singleLevel"/>
    <w:tmpl w:val="18C56E7B"/>
    <w:lvl w:ilvl="0" w:tentative="0">
      <w:start w:val="1"/>
      <w:numFmt w:val="decimal"/>
      <w:suff w:val="nothing"/>
      <w:lvlText w:val="%1、"/>
      <w:lvlJc w:val="left"/>
    </w:lvl>
  </w:abstractNum>
  <w:abstractNum w:abstractNumId="6">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7">
    <w:nsid w:val="36ED0084"/>
    <w:multiLevelType w:val="multilevel"/>
    <w:tmpl w:val="36ED0084"/>
    <w:lvl w:ilvl="0" w:tentative="0">
      <w:start w:val="3"/>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ascii="宋体" w:hAnsi="宋体" w:eastAsia="宋体" w:cs="宋体"/>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8">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9">
    <w:nsid w:val="52013C99"/>
    <w:multiLevelType w:val="singleLevel"/>
    <w:tmpl w:val="52013C99"/>
    <w:lvl w:ilvl="0" w:tentative="0">
      <w:start w:val="10"/>
      <w:numFmt w:val="chineseCounting"/>
      <w:suff w:val="space"/>
      <w:lvlText w:val="第%1条"/>
      <w:lvlJc w:val="left"/>
      <w:rPr>
        <w:rFonts w:hint="eastAsia"/>
      </w:rPr>
    </w:lvl>
  </w:abstractNum>
  <w:abstractNum w:abstractNumId="10">
    <w:nsid w:val="52B48799"/>
    <w:multiLevelType w:val="multilevel"/>
    <w:tmpl w:val="52B48799"/>
    <w:lvl w:ilvl="0" w:tentative="0">
      <w:start w:val="2"/>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ascii="宋体" w:hAnsi="宋体" w:eastAsia="宋体" w:cs="宋体"/>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1">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2">
    <w:nsid w:val="6D24840C"/>
    <w:multiLevelType w:val="singleLevel"/>
    <w:tmpl w:val="6D24840C"/>
    <w:lvl w:ilvl="0" w:tentative="0">
      <w:start w:val="1"/>
      <w:numFmt w:val="decimal"/>
      <w:lvlText w:val="(%1)"/>
      <w:lvlJc w:val="left"/>
      <w:pPr>
        <w:ind w:left="425" w:hanging="425"/>
      </w:pPr>
      <w:rPr>
        <w:rFonts w:hint="default"/>
      </w:rPr>
    </w:lvl>
  </w:abstractNum>
  <w:abstractNum w:abstractNumId="13">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4"/>
  </w:num>
  <w:num w:numId="2">
    <w:abstractNumId w:val="2"/>
  </w:num>
  <w:num w:numId="3">
    <w:abstractNumId w:val="13"/>
  </w:num>
  <w:num w:numId="4">
    <w:abstractNumId w:val="1"/>
  </w:num>
  <w:num w:numId="5">
    <w:abstractNumId w:val="5"/>
  </w:num>
  <w:num w:numId="6">
    <w:abstractNumId w:val="3"/>
  </w:num>
  <w:num w:numId="7">
    <w:abstractNumId w:val="6"/>
  </w:num>
  <w:num w:numId="8">
    <w:abstractNumId w:val="11"/>
  </w:num>
  <w:num w:numId="9">
    <w:abstractNumId w:val="9"/>
  </w:num>
  <w:num w:numId="10">
    <w:abstractNumId w:val="12"/>
  </w:num>
  <w:num w:numId="11">
    <w:abstractNumId w:val="8"/>
  </w:num>
  <w:num w:numId="12">
    <w:abstractNumId w:val="10"/>
  </w:num>
  <w:num w:numId="13">
    <w:abstractNumId w:val="7"/>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yNzY3ZTdjYTYwMTk5MTE5MjUzZTFlNWY2Y2EzY2Y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141"/>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226"/>
    <w:rsid w:val="00094342"/>
    <w:rsid w:val="00095546"/>
    <w:rsid w:val="000960BA"/>
    <w:rsid w:val="0009662A"/>
    <w:rsid w:val="000A1A52"/>
    <w:rsid w:val="000A1F98"/>
    <w:rsid w:val="000A23CE"/>
    <w:rsid w:val="000A49BB"/>
    <w:rsid w:val="000A4C67"/>
    <w:rsid w:val="000A5658"/>
    <w:rsid w:val="000A5674"/>
    <w:rsid w:val="000A5A46"/>
    <w:rsid w:val="000B0E04"/>
    <w:rsid w:val="000B4B56"/>
    <w:rsid w:val="000B53F1"/>
    <w:rsid w:val="000B54C1"/>
    <w:rsid w:val="000B62AC"/>
    <w:rsid w:val="000B6BDF"/>
    <w:rsid w:val="000C053E"/>
    <w:rsid w:val="000C0A43"/>
    <w:rsid w:val="000C1ADE"/>
    <w:rsid w:val="000C1B0A"/>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2794"/>
    <w:rsid w:val="001C31F5"/>
    <w:rsid w:val="001C44BC"/>
    <w:rsid w:val="001C5885"/>
    <w:rsid w:val="001C6698"/>
    <w:rsid w:val="001D1D55"/>
    <w:rsid w:val="001D21EF"/>
    <w:rsid w:val="001D330D"/>
    <w:rsid w:val="001D4AD3"/>
    <w:rsid w:val="001D5A94"/>
    <w:rsid w:val="001E1101"/>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641"/>
    <w:rsid w:val="00443EDE"/>
    <w:rsid w:val="0044739A"/>
    <w:rsid w:val="004475F7"/>
    <w:rsid w:val="00447DFB"/>
    <w:rsid w:val="00450B22"/>
    <w:rsid w:val="004533CE"/>
    <w:rsid w:val="004543AB"/>
    <w:rsid w:val="00455F71"/>
    <w:rsid w:val="00456272"/>
    <w:rsid w:val="00456A14"/>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3BCD"/>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5F3A"/>
    <w:rsid w:val="004C612E"/>
    <w:rsid w:val="004C6C0A"/>
    <w:rsid w:val="004C7180"/>
    <w:rsid w:val="004C77FF"/>
    <w:rsid w:val="004D0223"/>
    <w:rsid w:val="004D12E8"/>
    <w:rsid w:val="004D16A3"/>
    <w:rsid w:val="004D1E41"/>
    <w:rsid w:val="004D3C8C"/>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38C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45"/>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2CD0"/>
    <w:rsid w:val="00643F89"/>
    <w:rsid w:val="00644BED"/>
    <w:rsid w:val="00644E2E"/>
    <w:rsid w:val="00645CB4"/>
    <w:rsid w:val="0064723F"/>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4442"/>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349C"/>
    <w:rsid w:val="0076417E"/>
    <w:rsid w:val="007675DD"/>
    <w:rsid w:val="007705F0"/>
    <w:rsid w:val="00770A16"/>
    <w:rsid w:val="0077150D"/>
    <w:rsid w:val="00771CAC"/>
    <w:rsid w:val="00772036"/>
    <w:rsid w:val="007724E8"/>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4A74"/>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201E"/>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483"/>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928"/>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04FA"/>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11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0DB7"/>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13D"/>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0D64"/>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535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42B6"/>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527"/>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0B31"/>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479C"/>
    <w:rsid w:val="00DA6EE2"/>
    <w:rsid w:val="00DA78CF"/>
    <w:rsid w:val="00DA7A89"/>
    <w:rsid w:val="00DA7BF4"/>
    <w:rsid w:val="00DA7F8B"/>
    <w:rsid w:val="00DB03E8"/>
    <w:rsid w:val="00DB08F0"/>
    <w:rsid w:val="00DB0C0F"/>
    <w:rsid w:val="00DB102D"/>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B2D"/>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94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4604B"/>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5D39"/>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B25"/>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4996"/>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4DB5"/>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1D1"/>
    <w:rsid w:val="00FE44F5"/>
    <w:rsid w:val="00FE480D"/>
    <w:rsid w:val="00FE6227"/>
    <w:rsid w:val="00FE6A50"/>
    <w:rsid w:val="00FF0B4F"/>
    <w:rsid w:val="00FF1AD3"/>
    <w:rsid w:val="00FF49F4"/>
    <w:rsid w:val="00FF651D"/>
    <w:rsid w:val="00FF68CA"/>
    <w:rsid w:val="010651D9"/>
    <w:rsid w:val="02DA0C0E"/>
    <w:rsid w:val="03DD35E4"/>
    <w:rsid w:val="065A6178"/>
    <w:rsid w:val="075562B7"/>
    <w:rsid w:val="07F1190C"/>
    <w:rsid w:val="096B2097"/>
    <w:rsid w:val="0A5A3C45"/>
    <w:rsid w:val="0A5B7E63"/>
    <w:rsid w:val="0C87121B"/>
    <w:rsid w:val="0DB63DFD"/>
    <w:rsid w:val="0DF702FE"/>
    <w:rsid w:val="0E3F698B"/>
    <w:rsid w:val="0F21508F"/>
    <w:rsid w:val="0F816ACD"/>
    <w:rsid w:val="10B047CF"/>
    <w:rsid w:val="10FC16EA"/>
    <w:rsid w:val="118963A1"/>
    <w:rsid w:val="127723A9"/>
    <w:rsid w:val="13072A44"/>
    <w:rsid w:val="130B6C68"/>
    <w:rsid w:val="13F91D31"/>
    <w:rsid w:val="145044FA"/>
    <w:rsid w:val="16C82BF1"/>
    <w:rsid w:val="170C3CE0"/>
    <w:rsid w:val="1B2A271F"/>
    <w:rsid w:val="1B890139"/>
    <w:rsid w:val="1D266CE1"/>
    <w:rsid w:val="1D3963AF"/>
    <w:rsid w:val="1E714A66"/>
    <w:rsid w:val="1FE868A9"/>
    <w:rsid w:val="211E26D6"/>
    <w:rsid w:val="21283D08"/>
    <w:rsid w:val="214B2529"/>
    <w:rsid w:val="25B440B3"/>
    <w:rsid w:val="2AA1365A"/>
    <w:rsid w:val="2C7C25C7"/>
    <w:rsid w:val="2DD15014"/>
    <w:rsid w:val="2FD25781"/>
    <w:rsid w:val="319C6071"/>
    <w:rsid w:val="32BC65B9"/>
    <w:rsid w:val="32DB72BE"/>
    <w:rsid w:val="33A30535"/>
    <w:rsid w:val="342E63AB"/>
    <w:rsid w:val="345D260B"/>
    <w:rsid w:val="365302AE"/>
    <w:rsid w:val="39A13F14"/>
    <w:rsid w:val="39CA16D6"/>
    <w:rsid w:val="3C5F759A"/>
    <w:rsid w:val="3D5C78D4"/>
    <w:rsid w:val="3FDC48DC"/>
    <w:rsid w:val="42E1381E"/>
    <w:rsid w:val="435677F3"/>
    <w:rsid w:val="43FB717C"/>
    <w:rsid w:val="446D4B35"/>
    <w:rsid w:val="451E447A"/>
    <w:rsid w:val="45345B76"/>
    <w:rsid w:val="4575469D"/>
    <w:rsid w:val="459A34AB"/>
    <w:rsid w:val="45C034EC"/>
    <w:rsid w:val="47307808"/>
    <w:rsid w:val="486F747C"/>
    <w:rsid w:val="4A353800"/>
    <w:rsid w:val="4B0D17CD"/>
    <w:rsid w:val="4D861CF6"/>
    <w:rsid w:val="4FD67EE1"/>
    <w:rsid w:val="51A0432A"/>
    <w:rsid w:val="520873A6"/>
    <w:rsid w:val="527140E5"/>
    <w:rsid w:val="5292508F"/>
    <w:rsid w:val="52A96B6F"/>
    <w:rsid w:val="550764A4"/>
    <w:rsid w:val="551926E0"/>
    <w:rsid w:val="55BF316C"/>
    <w:rsid w:val="56515F3B"/>
    <w:rsid w:val="57271444"/>
    <w:rsid w:val="572B71CA"/>
    <w:rsid w:val="586761E0"/>
    <w:rsid w:val="58AE4F0C"/>
    <w:rsid w:val="58EB60C3"/>
    <w:rsid w:val="5A2A7C7B"/>
    <w:rsid w:val="5C80234E"/>
    <w:rsid w:val="5CE00A46"/>
    <w:rsid w:val="5D635571"/>
    <w:rsid w:val="5E261785"/>
    <w:rsid w:val="5FC760A8"/>
    <w:rsid w:val="5FCC5339"/>
    <w:rsid w:val="60E53485"/>
    <w:rsid w:val="61054A27"/>
    <w:rsid w:val="611D2366"/>
    <w:rsid w:val="62885958"/>
    <w:rsid w:val="630B6C0B"/>
    <w:rsid w:val="64093F3E"/>
    <w:rsid w:val="64CE2EAA"/>
    <w:rsid w:val="65143EAE"/>
    <w:rsid w:val="656F7435"/>
    <w:rsid w:val="662E75B1"/>
    <w:rsid w:val="66342C2E"/>
    <w:rsid w:val="663E784C"/>
    <w:rsid w:val="685867EC"/>
    <w:rsid w:val="68605D19"/>
    <w:rsid w:val="6E8E12EF"/>
    <w:rsid w:val="6EB02F99"/>
    <w:rsid w:val="702C0D39"/>
    <w:rsid w:val="71D43752"/>
    <w:rsid w:val="73881FAC"/>
    <w:rsid w:val="73DD6243"/>
    <w:rsid w:val="749C4185"/>
    <w:rsid w:val="75DA2C18"/>
    <w:rsid w:val="775319EF"/>
    <w:rsid w:val="777061E5"/>
    <w:rsid w:val="790F1C77"/>
    <w:rsid w:val="7A67303B"/>
    <w:rsid w:val="7AAB1D04"/>
    <w:rsid w:val="7ABA4368"/>
    <w:rsid w:val="7B257FFD"/>
    <w:rsid w:val="7C2B1DA5"/>
    <w:rsid w:val="7DF4317E"/>
    <w:rsid w:val="7E64308B"/>
    <w:rsid w:val="7E6F78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74"/>
    <w:qFormat/>
    <w:uiPriority w:val="0"/>
    <w:pPr>
      <w:keepNext/>
      <w:keepLines/>
      <w:numPr>
        <w:ilvl w:val="0"/>
        <w:numId w:val="1"/>
      </w:numPr>
      <w:spacing w:before="340" w:after="330" w:line="578" w:lineRule="auto"/>
      <w:outlineLvl w:val="0"/>
    </w:pPr>
    <w:rPr>
      <w:b/>
      <w:bCs/>
      <w:kern w:val="44"/>
      <w:sz w:val="44"/>
      <w:szCs w:val="44"/>
    </w:rPr>
  </w:style>
  <w:style w:type="paragraph" w:styleId="5">
    <w:name w:val="heading 2"/>
    <w:basedOn w:val="1"/>
    <w:next w:val="6"/>
    <w:link w:val="632"/>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7">
    <w:name w:val="heading 3"/>
    <w:basedOn w:val="1"/>
    <w:next w:val="1"/>
    <w:link w:val="633"/>
    <w:qFormat/>
    <w:uiPriority w:val="0"/>
    <w:pPr>
      <w:keepNext/>
      <w:keepLines/>
      <w:numPr>
        <w:ilvl w:val="2"/>
        <w:numId w:val="1"/>
      </w:numPr>
      <w:spacing w:before="260" w:after="260" w:line="416" w:lineRule="auto"/>
      <w:outlineLvl w:val="2"/>
    </w:pPr>
    <w:rPr>
      <w:b/>
      <w:bCs/>
      <w:sz w:val="32"/>
      <w:szCs w:val="32"/>
    </w:rPr>
  </w:style>
  <w:style w:type="paragraph" w:styleId="8">
    <w:name w:val="heading 4"/>
    <w:basedOn w:val="1"/>
    <w:next w:val="1"/>
    <w:link w:val="76"/>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9">
    <w:name w:val="heading 5"/>
    <w:basedOn w:val="1"/>
    <w:next w:val="1"/>
    <w:link w:val="77"/>
    <w:qFormat/>
    <w:uiPriority w:val="0"/>
    <w:pPr>
      <w:keepNext/>
      <w:keepLines/>
      <w:numPr>
        <w:ilvl w:val="4"/>
        <w:numId w:val="1"/>
      </w:numPr>
      <w:spacing w:before="280" w:after="290" w:line="376" w:lineRule="auto"/>
      <w:outlineLvl w:val="4"/>
    </w:pPr>
    <w:rPr>
      <w:b/>
      <w:bCs/>
      <w:sz w:val="28"/>
      <w:szCs w:val="28"/>
    </w:rPr>
  </w:style>
  <w:style w:type="paragraph" w:styleId="10">
    <w:name w:val="heading 6"/>
    <w:basedOn w:val="1"/>
    <w:next w:val="1"/>
    <w:link w:val="78"/>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11">
    <w:name w:val="heading 7"/>
    <w:basedOn w:val="1"/>
    <w:next w:val="1"/>
    <w:link w:val="79"/>
    <w:qFormat/>
    <w:uiPriority w:val="0"/>
    <w:pPr>
      <w:keepNext/>
      <w:keepLines/>
      <w:numPr>
        <w:ilvl w:val="6"/>
        <w:numId w:val="1"/>
      </w:numPr>
      <w:spacing w:before="240" w:after="64" w:line="320" w:lineRule="auto"/>
      <w:outlineLvl w:val="6"/>
    </w:pPr>
    <w:rPr>
      <w:b/>
      <w:bCs/>
      <w:sz w:val="24"/>
    </w:rPr>
  </w:style>
  <w:style w:type="paragraph" w:styleId="12">
    <w:name w:val="heading 8"/>
    <w:basedOn w:val="1"/>
    <w:next w:val="1"/>
    <w:link w:val="80"/>
    <w:qFormat/>
    <w:uiPriority w:val="0"/>
    <w:pPr>
      <w:keepNext/>
      <w:keepLines/>
      <w:numPr>
        <w:ilvl w:val="7"/>
        <w:numId w:val="1"/>
      </w:numPr>
      <w:spacing w:before="240" w:after="64" w:line="320" w:lineRule="auto"/>
      <w:outlineLvl w:val="7"/>
    </w:pPr>
    <w:rPr>
      <w:rFonts w:ascii="Arial" w:hAnsi="Arial" w:eastAsia="黑体"/>
      <w:sz w:val="24"/>
    </w:rPr>
  </w:style>
  <w:style w:type="paragraph" w:styleId="13">
    <w:name w:val="heading 9"/>
    <w:basedOn w:val="1"/>
    <w:next w:val="1"/>
    <w:link w:val="81"/>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85"/>
    <w:qFormat/>
    <w:uiPriority w:val="0"/>
    <w:pPr>
      <w:autoSpaceDE w:val="0"/>
      <w:autoSpaceDN w:val="0"/>
      <w:spacing w:line="360" w:lineRule="auto"/>
    </w:pPr>
    <w:rPr>
      <w:rFonts w:ascii="宋体"/>
      <w:sz w:val="24"/>
      <w:szCs w:val="21"/>
      <w:lang w:val="zh-CN"/>
    </w:rPr>
  </w:style>
  <w:style w:type="paragraph" w:styleId="3">
    <w:name w:val="Body Text First Indent"/>
    <w:basedOn w:val="2"/>
    <w:next w:val="1"/>
    <w:link w:val="96"/>
    <w:qFormat/>
    <w:uiPriority w:val="0"/>
    <w:pPr>
      <w:ind w:firstLine="420"/>
    </w:pPr>
    <w:rPr>
      <w:szCs w:val="20"/>
    </w:rPr>
  </w:style>
  <w:style w:type="paragraph" w:styleId="6">
    <w:name w:val="Normal Indent"/>
    <w:basedOn w:val="1"/>
    <w:link w:val="75"/>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semiHidden/>
    <w:qFormat/>
    <w:uiPriority w:val="0"/>
    <w:pPr>
      <w:shd w:val="clear" w:color="auto" w:fill="000080"/>
    </w:pPr>
  </w:style>
  <w:style w:type="paragraph" w:styleId="21">
    <w:name w:val="annotation text"/>
    <w:basedOn w:val="1"/>
    <w:link w:val="82"/>
    <w:qFormat/>
    <w:uiPriority w:val="0"/>
    <w:pPr>
      <w:jc w:val="left"/>
    </w:pPr>
  </w:style>
  <w:style w:type="paragraph" w:styleId="22">
    <w:name w:val="Salutation"/>
    <w:basedOn w:val="1"/>
    <w:next w:val="1"/>
    <w:link w:val="83"/>
    <w:qFormat/>
    <w:uiPriority w:val="0"/>
    <w:rPr>
      <w:rFonts w:ascii="仿宋_GB2312" w:eastAsia="仿宋_GB2312"/>
      <w:sz w:val="28"/>
      <w:szCs w:val="20"/>
    </w:rPr>
  </w:style>
  <w:style w:type="paragraph" w:styleId="23">
    <w:name w:val="Body Text 3"/>
    <w:basedOn w:val="1"/>
    <w:link w:val="84"/>
    <w:qFormat/>
    <w:uiPriority w:val="0"/>
    <w:pPr>
      <w:jc w:val="center"/>
    </w:pPr>
    <w:rPr>
      <w:szCs w:val="20"/>
    </w:rPr>
  </w:style>
  <w:style w:type="paragraph" w:styleId="24">
    <w:name w:val="Body Text Indent"/>
    <w:basedOn w:val="1"/>
    <w:link w:val="72"/>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86"/>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33"/>
    <w:link w:val="87"/>
    <w:qFormat/>
    <w:uiPriority w:val="0"/>
    <w:rPr>
      <w:rFonts w:ascii="宋体" w:hAnsi="Courier New"/>
      <w:szCs w:val="20"/>
    </w:rPr>
  </w:style>
  <w:style w:type="paragraph" w:styleId="33">
    <w:name w:val="toc 2"/>
    <w:basedOn w:val="1"/>
    <w:next w:val="1"/>
    <w:qFormat/>
    <w:uiPriority w:val="0"/>
    <w:pPr>
      <w:ind w:left="420" w:leftChars="200"/>
    </w:p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88"/>
    <w:qFormat/>
    <w:uiPriority w:val="0"/>
    <w:pPr>
      <w:ind w:left="100" w:leftChars="2500"/>
    </w:pPr>
    <w:rPr>
      <w:rFonts w:ascii="宋体"/>
      <w:sz w:val="24"/>
      <w:szCs w:val="21"/>
      <w:lang w:val="zh-CN"/>
    </w:rPr>
  </w:style>
  <w:style w:type="paragraph" w:styleId="37">
    <w:name w:val="Body Text Indent 2"/>
    <w:basedOn w:val="1"/>
    <w:link w:val="89"/>
    <w:qFormat/>
    <w:uiPriority w:val="0"/>
    <w:pPr>
      <w:spacing w:line="360" w:lineRule="auto"/>
      <w:ind w:firstLine="601"/>
      <w:textAlignment w:val="baseline"/>
    </w:pPr>
    <w:rPr>
      <w:rFonts w:ascii="宋体"/>
      <w:kern w:val="0"/>
      <w:sz w:val="28"/>
      <w:szCs w:val="20"/>
    </w:rPr>
  </w:style>
  <w:style w:type="paragraph" w:styleId="38">
    <w:name w:val="Balloon Text"/>
    <w:basedOn w:val="1"/>
    <w:link w:val="90"/>
    <w:semiHidden/>
    <w:qFormat/>
    <w:uiPriority w:val="0"/>
    <w:rPr>
      <w:sz w:val="18"/>
      <w:szCs w:val="18"/>
    </w:rPr>
  </w:style>
  <w:style w:type="paragraph" w:styleId="39">
    <w:name w:val="footer"/>
    <w:basedOn w:val="1"/>
    <w:qFormat/>
    <w:uiPriority w:val="0"/>
    <w:pPr>
      <w:tabs>
        <w:tab w:val="center" w:pos="4153"/>
        <w:tab w:val="right" w:pos="8306"/>
      </w:tabs>
      <w:snapToGrid w:val="0"/>
      <w:jc w:val="left"/>
    </w:pPr>
    <w:rPr>
      <w:sz w:val="18"/>
      <w:szCs w:val="18"/>
    </w:rPr>
  </w:style>
  <w:style w:type="paragraph" w:styleId="4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1">
    <w:name w:val="Signature"/>
    <w:basedOn w:val="1"/>
    <w:link w:val="91"/>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9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6"/>
    <w:link w:val="93"/>
    <w:qFormat/>
    <w:uiPriority w:val="0"/>
    <w:pPr>
      <w:adjustRightInd/>
      <w:snapToGrid/>
      <w:spacing w:before="60" w:after="60" w:line="300" w:lineRule="exact"/>
      <w:ind w:firstLine="0"/>
    </w:pPr>
    <w:rPr>
      <w:rFonts w:ascii="Times New Roman"/>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94"/>
    <w:qFormat/>
    <w:uiPriority w:val="0"/>
    <w:pPr>
      <w:spacing w:line="360" w:lineRule="auto"/>
      <w:ind w:firstLine="420"/>
    </w:pPr>
    <w:rPr>
      <w:sz w:val="24"/>
      <w:szCs w:val="20"/>
    </w:rPr>
  </w:style>
  <w:style w:type="paragraph" w:styleId="53">
    <w:name w:val="toc 9"/>
    <w:basedOn w:val="1"/>
    <w:next w:val="1"/>
    <w:qFormat/>
    <w:uiPriority w:val="0"/>
    <w:pPr>
      <w:ind w:left="3360" w:leftChars="1600"/>
    </w:pPr>
  </w:style>
  <w:style w:type="paragraph" w:styleId="54">
    <w:name w:val="Body Text 2"/>
    <w:basedOn w:val="1"/>
    <w:qFormat/>
    <w:uiPriority w:val="0"/>
    <w:pPr>
      <w:spacing w:after="120" w:line="480" w:lineRule="auto"/>
    </w:pPr>
  </w:style>
  <w:style w:type="paragraph" w:styleId="55">
    <w:name w:val="HTML Preformatted"/>
    <w:basedOn w:val="1"/>
    <w:link w:val="9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100" w:beforeAutospacing="1" w:after="100" w:afterAutospacing="1"/>
      <w:jc w:val="left"/>
    </w:pPr>
    <w:rPr>
      <w:rFonts w:ascii="宋体" w:hAnsi="宋体"/>
      <w:kern w:val="0"/>
      <w:sz w:val="24"/>
    </w:rPr>
  </w:style>
  <w:style w:type="paragraph" w:styleId="57">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21"/>
    <w:next w:val="21"/>
    <w:semiHidden/>
    <w:qFormat/>
    <w:uiPriority w:val="0"/>
    <w:rPr>
      <w:b/>
      <w:bCs/>
    </w:rPr>
  </w:style>
  <w:style w:type="paragraph" w:styleId="59">
    <w:name w:val="Body Text First Indent 2"/>
    <w:basedOn w:val="24"/>
    <w:next w:val="1"/>
    <w:link w:val="73"/>
    <w:qFormat/>
    <w:uiPriority w:val="0"/>
    <w:pPr>
      <w:adjustRightInd/>
      <w:spacing w:after="120" w:line="240" w:lineRule="auto"/>
      <w:ind w:left="420" w:leftChars="200" w:firstLine="210"/>
    </w:pPr>
    <w:rPr>
      <w:sz w:val="21"/>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表格文字"/>
    <w:basedOn w:val="32"/>
    <w:next w:val="2"/>
    <w:qFormat/>
    <w:uiPriority w:val="0"/>
    <w:pPr>
      <w:adjustRightInd/>
      <w:ind w:firstLine="200" w:firstLineChars="200"/>
    </w:pPr>
    <w:rPr>
      <w:rFonts w:ascii="Arial" w:hAnsi="Arial"/>
      <w:spacing w:val="-5"/>
      <w:kern w:val="0"/>
      <w:sz w:val="24"/>
      <w:szCs w:val="20"/>
    </w:rPr>
  </w:style>
  <w:style w:type="character" w:customStyle="1" w:styleId="72">
    <w:name w:val="正文文本缩进 Char1"/>
    <w:link w:val="24"/>
    <w:qFormat/>
    <w:uiPriority w:val="0"/>
    <w:rPr>
      <w:rFonts w:ascii="宋体" w:hAnsi="宋体"/>
      <w:kern w:val="2"/>
      <w:sz w:val="24"/>
      <w:szCs w:val="24"/>
    </w:rPr>
  </w:style>
  <w:style w:type="character" w:customStyle="1" w:styleId="73">
    <w:name w:val="正文首行缩进 2 Char"/>
    <w:link w:val="59"/>
    <w:qFormat/>
    <w:uiPriority w:val="0"/>
    <w:rPr>
      <w:rFonts w:ascii="宋体" w:hAnsi="宋体"/>
      <w:kern w:val="2"/>
      <w:sz w:val="21"/>
      <w:szCs w:val="24"/>
    </w:rPr>
  </w:style>
  <w:style w:type="character" w:customStyle="1" w:styleId="74">
    <w:name w:val="标题 1 Char"/>
    <w:link w:val="4"/>
    <w:qFormat/>
    <w:uiPriority w:val="0"/>
    <w:rPr>
      <w:b/>
      <w:bCs/>
      <w:kern w:val="44"/>
      <w:sz w:val="44"/>
      <w:szCs w:val="44"/>
    </w:rPr>
  </w:style>
  <w:style w:type="character" w:customStyle="1" w:styleId="75">
    <w:name w:val="正文缩进 Char2"/>
    <w:link w:val="6"/>
    <w:qFormat/>
    <w:uiPriority w:val="0"/>
    <w:rPr>
      <w:rFonts w:ascii="宋体" w:eastAsia="宋体"/>
      <w:snapToGrid w:val="0"/>
      <w:color w:val="000000"/>
      <w:kern w:val="28"/>
      <w:sz w:val="28"/>
      <w:lang w:val="en-US" w:eastAsia="zh-CN" w:bidi="ar-SA"/>
    </w:rPr>
  </w:style>
  <w:style w:type="character" w:customStyle="1" w:styleId="76">
    <w:name w:val="标题 4 Char"/>
    <w:link w:val="8"/>
    <w:qFormat/>
    <w:uiPriority w:val="0"/>
    <w:rPr>
      <w:rFonts w:ascii="Arial" w:hAnsi="Arial" w:eastAsia="黑体"/>
      <w:b/>
      <w:bCs/>
      <w:kern w:val="2"/>
      <w:sz w:val="28"/>
      <w:szCs w:val="28"/>
      <w:lang w:val="zh-CN"/>
    </w:rPr>
  </w:style>
  <w:style w:type="character" w:customStyle="1" w:styleId="77">
    <w:name w:val="标题 5 Char"/>
    <w:link w:val="9"/>
    <w:qFormat/>
    <w:uiPriority w:val="0"/>
    <w:rPr>
      <w:b/>
      <w:bCs/>
      <w:kern w:val="2"/>
      <w:sz w:val="28"/>
      <w:szCs w:val="28"/>
    </w:rPr>
  </w:style>
  <w:style w:type="character" w:customStyle="1" w:styleId="78">
    <w:name w:val="标题 6 Char"/>
    <w:link w:val="10"/>
    <w:qFormat/>
    <w:uiPriority w:val="0"/>
    <w:rPr>
      <w:rFonts w:ascii="Arial" w:hAnsi="Arial" w:eastAsia="黑体"/>
      <w:b/>
      <w:bCs/>
      <w:kern w:val="2"/>
      <w:sz w:val="24"/>
      <w:szCs w:val="24"/>
    </w:rPr>
  </w:style>
  <w:style w:type="character" w:customStyle="1" w:styleId="79">
    <w:name w:val="标题 7 Char"/>
    <w:link w:val="11"/>
    <w:qFormat/>
    <w:uiPriority w:val="0"/>
    <w:rPr>
      <w:b/>
      <w:bCs/>
      <w:kern w:val="2"/>
      <w:sz w:val="24"/>
      <w:szCs w:val="24"/>
    </w:rPr>
  </w:style>
  <w:style w:type="character" w:customStyle="1" w:styleId="80">
    <w:name w:val="标题 8 Char"/>
    <w:link w:val="12"/>
    <w:qFormat/>
    <w:uiPriority w:val="0"/>
    <w:rPr>
      <w:rFonts w:ascii="Arial" w:hAnsi="Arial" w:eastAsia="黑体"/>
      <w:kern w:val="2"/>
      <w:sz w:val="24"/>
      <w:szCs w:val="24"/>
    </w:rPr>
  </w:style>
  <w:style w:type="character" w:customStyle="1" w:styleId="81">
    <w:name w:val="标题 9 Char"/>
    <w:link w:val="13"/>
    <w:qFormat/>
    <w:uiPriority w:val="0"/>
    <w:rPr>
      <w:rFonts w:ascii="Arial" w:hAnsi="Arial" w:eastAsia="黑体"/>
      <w:kern w:val="2"/>
      <w:sz w:val="21"/>
      <w:szCs w:val="21"/>
    </w:rPr>
  </w:style>
  <w:style w:type="character" w:customStyle="1" w:styleId="82">
    <w:name w:val="批注文字 Char1"/>
    <w:link w:val="21"/>
    <w:qFormat/>
    <w:uiPriority w:val="0"/>
    <w:rPr>
      <w:kern w:val="2"/>
      <w:sz w:val="21"/>
      <w:szCs w:val="24"/>
    </w:rPr>
  </w:style>
  <w:style w:type="character" w:customStyle="1" w:styleId="83">
    <w:name w:val="称呼 Char"/>
    <w:link w:val="22"/>
    <w:qFormat/>
    <w:uiPriority w:val="0"/>
    <w:rPr>
      <w:rFonts w:ascii="仿宋_GB2312" w:eastAsia="仿宋_GB2312"/>
      <w:kern w:val="2"/>
      <w:sz w:val="28"/>
    </w:rPr>
  </w:style>
  <w:style w:type="character" w:customStyle="1" w:styleId="84">
    <w:name w:val="正文文本 3 Char"/>
    <w:link w:val="23"/>
    <w:qFormat/>
    <w:uiPriority w:val="0"/>
    <w:rPr>
      <w:kern w:val="2"/>
      <w:sz w:val="21"/>
    </w:rPr>
  </w:style>
  <w:style w:type="character" w:customStyle="1" w:styleId="85">
    <w:name w:val="正文文本 Char1"/>
    <w:link w:val="2"/>
    <w:qFormat/>
    <w:uiPriority w:val="0"/>
    <w:rPr>
      <w:rFonts w:ascii="宋体" w:hAnsi="Arial" w:eastAsia="宋体" w:cs="Arial"/>
      <w:snapToGrid w:val="0"/>
      <w:kern w:val="2"/>
      <w:sz w:val="24"/>
      <w:szCs w:val="21"/>
      <w:lang w:val="zh-CN" w:eastAsia="zh-CN" w:bidi="ar-SA"/>
    </w:rPr>
  </w:style>
  <w:style w:type="character" w:customStyle="1" w:styleId="86">
    <w:name w:val="HTML 地址 Char"/>
    <w:link w:val="29"/>
    <w:qFormat/>
    <w:uiPriority w:val="0"/>
    <w:rPr>
      <w:rFonts w:ascii="宋体" w:hAnsi="宋体"/>
      <w:i/>
      <w:iCs/>
      <w:sz w:val="24"/>
      <w:szCs w:val="24"/>
    </w:rPr>
  </w:style>
  <w:style w:type="character" w:customStyle="1" w:styleId="87">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88">
    <w:name w:val="日期 Char"/>
    <w:link w:val="36"/>
    <w:qFormat/>
    <w:uiPriority w:val="0"/>
    <w:rPr>
      <w:rFonts w:ascii="宋体"/>
      <w:kern w:val="2"/>
      <w:sz w:val="24"/>
      <w:szCs w:val="21"/>
      <w:lang w:val="zh-CN"/>
    </w:rPr>
  </w:style>
  <w:style w:type="character" w:customStyle="1" w:styleId="89">
    <w:name w:val="正文文本缩进 2 Char"/>
    <w:link w:val="37"/>
    <w:qFormat/>
    <w:uiPriority w:val="0"/>
    <w:rPr>
      <w:rFonts w:ascii="宋体"/>
      <w:sz w:val="28"/>
    </w:rPr>
  </w:style>
  <w:style w:type="character" w:customStyle="1" w:styleId="90">
    <w:name w:val="批注框文本 Char"/>
    <w:link w:val="38"/>
    <w:semiHidden/>
    <w:qFormat/>
    <w:uiPriority w:val="0"/>
    <w:rPr>
      <w:kern w:val="2"/>
      <w:sz w:val="18"/>
      <w:szCs w:val="18"/>
    </w:rPr>
  </w:style>
  <w:style w:type="character" w:customStyle="1" w:styleId="91">
    <w:name w:val="签名 Char"/>
    <w:link w:val="41"/>
    <w:qFormat/>
    <w:uiPriority w:val="0"/>
    <w:rPr>
      <w:rFonts w:eastAsia="仿宋_GB2312"/>
      <w:sz w:val="24"/>
    </w:rPr>
  </w:style>
  <w:style w:type="character" w:customStyle="1" w:styleId="92">
    <w:name w:val="副标题 Char"/>
    <w:link w:val="46"/>
    <w:qFormat/>
    <w:uiPriority w:val="0"/>
    <w:rPr>
      <w:rFonts w:ascii="Arial" w:hAnsi="Arial" w:eastAsia="隶书"/>
      <w:b/>
      <w:bCs/>
      <w:kern w:val="28"/>
      <w:sz w:val="44"/>
      <w:szCs w:val="32"/>
      <w:lang w:val="en-US" w:eastAsia="zh-CN" w:bidi="ar-SA"/>
    </w:rPr>
  </w:style>
  <w:style w:type="character" w:customStyle="1" w:styleId="93">
    <w:name w:val="脚注文本 Char"/>
    <w:link w:val="49"/>
    <w:qFormat/>
    <w:uiPriority w:val="0"/>
    <w:rPr>
      <w:color w:val="0000FF"/>
      <w:sz w:val="21"/>
    </w:rPr>
  </w:style>
  <w:style w:type="character" w:customStyle="1" w:styleId="94">
    <w:name w:val="正文文本缩进 3 Char"/>
    <w:link w:val="52"/>
    <w:qFormat/>
    <w:uiPriority w:val="0"/>
    <w:rPr>
      <w:kern w:val="2"/>
      <w:sz w:val="24"/>
    </w:rPr>
  </w:style>
  <w:style w:type="character" w:customStyle="1" w:styleId="95">
    <w:name w:val="HTML 预设格式 Char"/>
    <w:link w:val="55"/>
    <w:qFormat/>
    <w:uiPriority w:val="0"/>
    <w:rPr>
      <w:rFonts w:ascii="黑体" w:hAnsi="Courier New" w:eastAsia="黑体"/>
    </w:rPr>
  </w:style>
  <w:style w:type="character" w:customStyle="1" w:styleId="96">
    <w:name w:val="正文首行缩进 Char"/>
    <w:link w:val="3"/>
    <w:qFormat/>
    <w:uiPriority w:val="0"/>
    <w:rPr>
      <w:rFonts w:ascii="宋体"/>
      <w:kern w:val="2"/>
      <w:sz w:val="24"/>
      <w:lang w:val="zh-CN"/>
    </w:rPr>
  </w:style>
  <w:style w:type="paragraph" w:styleId="97">
    <w:name w:val="List Paragraph"/>
    <w:basedOn w:val="1"/>
    <w:qFormat/>
    <w:uiPriority w:val="0"/>
    <w:pPr>
      <w:spacing w:line="360" w:lineRule="auto"/>
      <w:ind w:firstLine="200" w:firstLineChars="200"/>
    </w:pPr>
    <w:rPr>
      <w:rFonts w:eastAsia="楷体_GB2312" w:cs="Lucida Sans"/>
      <w:sz w:val="24"/>
    </w:rPr>
  </w:style>
  <w:style w:type="paragraph" w:customStyle="1" w:styleId="98">
    <w:name w:val="Default"/>
    <w:next w:val="99"/>
    <w:link w:val="100"/>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9">
    <w:name w:val="目录 71"/>
    <w:next w:val="1"/>
    <w:qFormat/>
    <w:uiPriority w:val="0"/>
    <w:pPr>
      <w:wordWrap w:val="0"/>
      <w:ind w:left="2550"/>
      <w:jc w:val="both"/>
    </w:pPr>
    <w:rPr>
      <w:rFonts w:ascii="Calibri" w:hAnsi="Calibri" w:eastAsia="宋体" w:cs="Times New Roman"/>
      <w:sz w:val="21"/>
      <w:lang w:val="en-US" w:eastAsia="zh-CN" w:bidi="ar-SA"/>
    </w:rPr>
  </w:style>
  <w:style w:type="character" w:customStyle="1" w:styleId="100">
    <w:name w:val="Default Char"/>
    <w:link w:val="98"/>
    <w:qFormat/>
    <w:uiPriority w:val="0"/>
    <w:rPr>
      <w:rFonts w:ascii="仿宋_GB2312" w:eastAsia="仿宋_GB2312" w:cs="仿宋_GB2312"/>
      <w:color w:val="000000"/>
      <w:sz w:val="24"/>
      <w:szCs w:val="24"/>
    </w:rPr>
  </w:style>
  <w:style w:type="paragraph" w:customStyle="1" w:styleId="10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102">
    <w:name w:val="冯"/>
    <w:basedOn w:val="1"/>
    <w:link w:val="103"/>
    <w:qFormat/>
    <w:uiPriority w:val="0"/>
    <w:pPr>
      <w:widowControl/>
      <w:adjustRightInd/>
      <w:spacing w:line="360" w:lineRule="auto"/>
      <w:ind w:firstLine="480" w:firstLineChars="200"/>
    </w:pPr>
    <w:rPr>
      <w:rFonts w:ascii="宋体" w:hAnsi="宋体"/>
      <w:color w:val="000000"/>
      <w:kern w:val="0"/>
      <w:sz w:val="24"/>
    </w:rPr>
  </w:style>
  <w:style w:type="character" w:customStyle="1" w:styleId="103">
    <w:name w:val="冯 Char"/>
    <w:link w:val="102"/>
    <w:qFormat/>
    <w:uiPriority w:val="0"/>
    <w:rPr>
      <w:rFonts w:ascii="宋体" w:hAnsi="宋体"/>
      <w:color w:val="000000"/>
      <w:sz w:val="24"/>
      <w:szCs w:val="24"/>
    </w:rPr>
  </w:style>
  <w:style w:type="paragraph" w:customStyle="1" w:styleId="104">
    <w:name w:val="样式3"/>
    <w:basedOn w:val="105"/>
    <w:qFormat/>
    <w:uiPriority w:val="0"/>
    <w:pPr>
      <w:tabs>
        <w:tab w:val="left" w:pos="2790"/>
        <w:tab w:val="left" w:pos="4230"/>
      </w:tabs>
      <w:spacing w:before="312" w:beforeLines="100"/>
      <w:jc w:val="left"/>
    </w:pPr>
  </w:style>
  <w:style w:type="paragraph" w:customStyle="1" w:styleId="105">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06">
    <w:name w:val="P1"/>
    <w:basedOn w:val="1"/>
    <w:qFormat/>
    <w:uiPriority w:val="0"/>
    <w:pPr>
      <w:adjustRightInd/>
      <w:spacing w:line="288" w:lineRule="auto"/>
      <w:ind w:firstLine="425" w:firstLineChars="200"/>
    </w:pPr>
  </w:style>
  <w:style w:type="paragraph" w:customStyle="1" w:styleId="107">
    <w:name w:val="Char1 Char Char Char"/>
    <w:basedOn w:val="1"/>
    <w:qFormat/>
    <w:uiPriority w:val="0"/>
    <w:rPr>
      <w:rFonts w:ascii="Tahoma" w:hAnsi="Tahoma"/>
      <w:sz w:val="24"/>
      <w:szCs w:val="20"/>
    </w:rPr>
  </w:style>
  <w:style w:type="paragraph" w:customStyle="1" w:styleId="1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0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1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111">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112">
    <w:name w:val="样式7"/>
    <w:basedOn w:val="113"/>
    <w:next w:val="1"/>
    <w:qFormat/>
    <w:uiPriority w:val="0"/>
    <w:pPr>
      <w:spacing w:after="156" w:afterLines="50"/>
      <w:jc w:val="left"/>
      <w:outlineLvl w:val="3"/>
    </w:pPr>
    <w:rPr>
      <w:sz w:val="24"/>
      <w:szCs w:val="24"/>
    </w:rPr>
  </w:style>
  <w:style w:type="paragraph" w:customStyle="1" w:styleId="113">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114">
    <w:name w:val="Bulleted List"/>
    <w:basedOn w:val="1"/>
    <w:qFormat/>
    <w:uiPriority w:val="0"/>
    <w:pPr>
      <w:tabs>
        <w:tab w:val="left" w:pos="1260"/>
      </w:tabs>
      <w:adjustRightInd/>
      <w:ind w:left="1260" w:hanging="420"/>
    </w:pPr>
  </w:style>
  <w:style w:type="paragraph" w:customStyle="1" w:styleId="115">
    <w:name w:val="Char3"/>
    <w:basedOn w:val="1"/>
    <w:qFormat/>
    <w:uiPriority w:val="0"/>
    <w:pPr>
      <w:adjustRightInd/>
    </w:pPr>
    <w:rPr>
      <w:rFonts w:ascii="仿宋_GB2312" w:eastAsia="仿宋_GB2312"/>
      <w:b/>
      <w:sz w:val="32"/>
      <w:szCs w:val="32"/>
    </w:rPr>
  </w:style>
  <w:style w:type="paragraph" w:customStyle="1" w:styleId="116">
    <w:name w:val="Char Char1 Char Char Char Char Char Char"/>
    <w:basedOn w:val="1"/>
    <w:qFormat/>
    <w:uiPriority w:val="0"/>
    <w:rPr>
      <w:rFonts w:ascii="仿宋_GB2312" w:eastAsia="仿宋_GB2312"/>
      <w:b/>
      <w:sz w:val="32"/>
      <w:szCs w:val="20"/>
    </w:rPr>
  </w:style>
  <w:style w:type="paragraph" w:customStyle="1" w:styleId="117">
    <w:name w:val="文本正文 Char"/>
    <w:basedOn w:val="1"/>
    <w:qFormat/>
    <w:uiPriority w:val="0"/>
    <w:pPr>
      <w:spacing w:line="360" w:lineRule="auto"/>
      <w:ind w:firstLine="200" w:firstLineChars="200"/>
    </w:pPr>
    <w:rPr>
      <w:kern w:val="0"/>
      <w:sz w:val="24"/>
      <w:szCs w:val="20"/>
    </w:rPr>
  </w:style>
  <w:style w:type="paragraph" w:customStyle="1" w:styleId="11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1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2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121">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122">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23">
    <w:name w:val="样式 标题 22h2L1 Heading 2H2sect 1.2H21sect 1.21H22sect 1.2..."/>
    <w:basedOn w:val="5"/>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124">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125">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2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127">
    <w:name w:val="Char1"/>
    <w:basedOn w:val="1"/>
    <w:qFormat/>
    <w:uiPriority w:val="0"/>
    <w:rPr>
      <w:rFonts w:ascii="仿宋_GB2312" w:eastAsia="仿宋_GB2312"/>
      <w:b/>
      <w:sz w:val="32"/>
      <w:szCs w:val="32"/>
    </w:rPr>
  </w:style>
  <w:style w:type="paragraph" w:customStyle="1" w:styleId="128">
    <w:name w:val="CM14"/>
    <w:basedOn w:val="98"/>
    <w:next w:val="98"/>
    <w:qFormat/>
    <w:uiPriority w:val="0"/>
    <w:pPr>
      <w:spacing w:after="68"/>
    </w:pPr>
    <w:rPr>
      <w:rFonts w:ascii="FHLHE E+ Futura Bk" w:eastAsia="FHLHE E+ Futura Bk" w:cs="Times New Roman"/>
      <w:color w:val="auto"/>
    </w:rPr>
  </w:style>
  <w:style w:type="paragraph" w:customStyle="1" w:styleId="129">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130">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3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3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33">
    <w:name w:val="标书标题4"/>
    <w:basedOn w:val="8"/>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134">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35">
    <w:name w:val="Char2 Char Char Char"/>
    <w:basedOn w:val="1"/>
    <w:qFormat/>
    <w:uiPriority w:val="0"/>
    <w:rPr>
      <w:rFonts w:ascii="仿宋_GB2312" w:eastAsia="仿宋_GB2312"/>
      <w:b/>
      <w:sz w:val="32"/>
      <w:szCs w:val="32"/>
    </w:rPr>
  </w:style>
  <w:style w:type="paragraph" w:customStyle="1" w:styleId="13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37">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38">
    <w:name w:val="Char Char Char"/>
    <w:basedOn w:val="1"/>
    <w:qFormat/>
    <w:uiPriority w:val="0"/>
    <w:rPr>
      <w:rFonts w:ascii="Tahoma" w:hAnsi="Tahoma"/>
      <w:sz w:val="24"/>
      <w:szCs w:val="20"/>
    </w:rPr>
  </w:style>
  <w:style w:type="paragraph" w:customStyle="1" w:styleId="13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4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41">
    <w:name w:val="样式 正文缩进 + 首行缩进:  2 字符"/>
    <w:basedOn w:val="6"/>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42">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4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44">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45">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4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47">
    <w:name w:val="FA正文"/>
    <w:basedOn w:val="1"/>
    <w:qFormat/>
    <w:uiPriority w:val="0"/>
    <w:pPr>
      <w:spacing w:line="360" w:lineRule="auto"/>
      <w:ind w:firstLine="480" w:firstLineChars="200"/>
    </w:pPr>
    <w:rPr>
      <w:rFonts w:hAnsi="宋体"/>
      <w:sz w:val="24"/>
      <w:szCs w:val="20"/>
    </w:rPr>
  </w:style>
  <w:style w:type="paragraph" w:customStyle="1" w:styleId="148">
    <w:name w:val="MM Topic 4"/>
    <w:basedOn w:val="8"/>
    <w:qFormat/>
    <w:uiPriority w:val="0"/>
    <w:pPr>
      <w:numPr>
        <w:ilvl w:val="0"/>
        <w:numId w:val="0"/>
      </w:numPr>
      <w:tabs>
        <w:tab w:val="left" w:pos="2100"/>
        <w:tab w:val="clear" w:pos="864"/>
      </w:tabs>
      <w:adjustRightInd/>
      <w:ind w:left="2100" w:hanging="420"/>
    </w:pPr>
    <w:rPr>
      <w:lang w:val="en-US"/>
    </w:rPr>
  </w:style>
  <w:style w:type="paragraph" w:customStyle="1" w:styleId="149">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50">
    <w:name w:val="有符号正文"/>
    <w:basedOn w:val="1"/>
    <w:qFormat/>
    <w:uiPriority w:val="0"/>
    <w:pPr>
      <w:adjustRightInd/>
      <w:spacing w:line="400" w:lineRule="exact"/>
      <w:ind w:firstLine="200" w:firstLineChars="200"/>
    </w:pPr>
    <w:rPr>
      <w:rFonts w:ascii="Arial" w:hAnsi="Arial"/>
    </w:rPr>
  </w:style>
  <w:style w:type="paragraph" w:customStyle="1" w:styleId="151">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52">
    <w:name w:val="默认段落字体 Para Char"/>
    <w:basedOn w:val="1"/>
    <w:qFormat/>
    <w:uiPriority w:val="0"/>
    <w:rPr>
      <w:rFonts w:ascii="Tahoma" w:hAnsi="Tahoma"/>
      <w:sz w:val="24"/>
      <w:szCs w:val="20"/>
    </w:rPr>
  </w:style>
  <w:style w:type="paragraph" w:customStyle="1" w:styleId="153">
    <w:name w:val="Char1 Char Char Char2"/>
    <w:basedOn w:val="1"/>
    <w:qFormat/>
    <w:uiPriority w:val="0"/>
    <w:pPr>
      <w:adjustRightInd/>
      <w:ind w:firstLine="200" w:firstLineChars="200"/>
    </w:pPr>
    <w:rPr>
      <w:rFonts w:ascii="Tahoma" w:hAnsi="Tahoma"/>
      <w:sz w:val="24"/>
      <w:szCs w:val="20"/>
    </w:rPr>
  </w:style>
  <w:style w:type="paragraph" w:customStyle="1" w:styleId="15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5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56">
    <w:name w:val="注释"/>
    <w:basedOn w:val="1"/>
    <w:qFormat/>
    <w:uiPriority w:val="0"/>
    <w:pPr>
      <w:adjustRightInd/>
      <w:spacing w:line="360" w:lineRule="auto"/>
      <w:ind w:firstLine="480"/>
    </w:pPr>
    <w:rPr>
      <w:sz w:val="24"/>
    </w:rPr>
  </w:style>
  <w:style w:type="paragraph" w:customStyle="1" w:styleId="15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58">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59">
    <w:name w:val="trademark"/>
    <w:qFormat/>
    <w:uiPriority w:val="0"/>
    <w:pPr>
      <w:spacing w:after="60"/>
    </w:pPr>
    <w:rPr>
      <w:rFonts w:ascii="Futura Bk" w:hAnsi="Futura Bk" w:eastAsia="宋体" w:cs="Times New Roman"/>
      <w:sz w:val="15"/>
      <w:lang w:val="en-US" w:eastAsia="en-US" w:bidi="ar-SA"/>
    </w:rPr>
  </w:style>
  <w:style w:type="paragraph" w:customStyle="1" w:styleId="160">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61">
    <w:name w:val="EB_表格"/>
    <w:basedOn w:val="1"/>
    <w:qFormat/>
    <w:uiPriority w:val="0"/>
    <w:pPr>
      <w:adjustRightInd/>
      <w:spacing w:line="300" w:lineRule="auto"/>
      <w:jc w:val="center"/>
    </w:pPr>
  </w:style>
  <w:style w:type="paragraph" w:customStyle="1" w:styleId="162">
    <w:name w:val="Char Char Char1 Char"/>
    <w:basedOn w:val="1"/>
    <w:qFormat/>
    <w:uiPriority w:val="0"/>
    <w:rPr>
      <w:szCs w:val="20"/>
    </w:rPr>
  </w:style>
  <w:style w:type="paragraph" w:customStyle="1" w:styleId="16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64">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65">
    <w:name w:val="章标题"/>
    <w:next w:val="166"/>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66">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6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68">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6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70">
    <w:name w:val="表文字"/>
    <w:qFormat/>
    <w:uiPriority w:val="0"/>
    <w:rPr>
      <w:rFonts w:ascii="宋体" w:hAnsi="Times New Roman" w:eastAsia="宋体" w:cs="Times New Roman"/>
      <w:kern w:val="2"/>
      <w:lang w:val="en-US" w:eastAsia="zh-CN" w:bidi="ar-SA"/>
    </w:rPr>
  </w:style>
  <w:style w:type="paragraph" w:customStyle="1" w:styleId="17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7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73">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74">
    <w:name w:val="列表内容"/>
    <w:basedOn w:val="1"/>
    <w:next w:val="1"/>
    <w:qFormat/>
    <w:uiPriority w:val="0"/>
    <w:pPr>
      <w:widowControl/>
      <w:tabs>
        <w:tab w:val="left" w:pos="840"/>
      </w:tabs>
      <w:ind w:left="840" w:hanging="420"/>
      <w:jc w:val="left"/>
    </w:pPr>
    <w:rPr>
      <w:kern w:val="0"/>
      <w:sz w:val="18"/>
    </w:rPr>
  </w:style>
  <w:style w:type="paragraph" w:customStyle="1" w:styleId="17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7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7">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78">
    <w:name w:val="Char2 Char Char"/>
    <w:basedOn w:val="1"/>
    <w:qFormat/>
    <w:uiPriority w:val="0"/>
    <w:pPr>
      <w:adjustRightInd/>
    </w:pPr>
    <w:rPr>
      <w:rFonts w:ascii="Tahoma" w:hAnsi="Tahoma"/>
      <w:sz w:val="24"/>
      <w:szCs w:val="20"/>
    </w:rPr>
  </w:style>
  <w:style w:type="paragraph" w:customStyle="1" w:styleId="17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8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81">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82">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83">
    <w:name w:val="Char Char1 Char Char Char"/>
    <w:basedOn w:val="1"/>
    <w:qFormat/>
    <w:uiPriority w:val="0"/>
    <w:rPr>
      <w:rFonts w:ascii="仿宋_GB2312" w:eastAsia="仿宋_GB2312"/>
      <w:b/>
      <w:sz w:val="32"/>
      <w:szCs w:val="20"/>
    </w:rPr>
  </w:style>
  <w:style w:type="paragraph" w:customStyle="1" w:styleId="18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85">
    <w:name w:val="WW-正文文字缩进 2"/>
    <w:basedOn w:val="1"/>
    <w:qFormat/>
    <w:uiPriority w:val="0"/>
    <w:pPr>
      <w:suppressAutoHyphens/>
      <w:adjustRightInd/>
      <w:ind w:firstLine="420"/>
    </w:pPr>
    <w:rPr>
      <w:kern w:val="1"/>
      <w:szCs w:val="20"/>
    </w:rPr>
  </w:style>
  <w:style w:type="paragraph" w:customStyle="1" w:styleId="186">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87">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88">
    <w:name w:val="默认段落字体 Para Char Char Char Char"/>
    <w:basedOn w:val="1"/>
    <w:qFormat/>
    <w:uiPriority w:val="0"/>
    <w:pPr>
      <w:spacing w:line="360" w:lineRule="auto"/>
    </w:pPr>
    <w:rPr>
      <w:szCs w:val="20"/>
    </w:rPr>
  </w:style>
  <w:style w:type="paragraph" w:customStyle="1" w:styleId="189">
    <w:name w:val="Char Char11 Char Char Char"/>
    <w:basedOn w:val="1"/>
    <w:qFormat/>
    <w:uiPriority w:val="0"/>
    <w:pPr>
      <w:spacing w:line="360" w:lineRule="auto"/>
    </w:pPr>
    <w:rPr>
      <w:szCs w:val="20"/>
    </w:rPr>
  </w:style>
  <w:style w:type="paragraph" w:customStyle="1" w:styleId="190">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9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92">
    <w:name w:val="左对齐表格文字"/>
    <w:basedOn w:val="1"/>
    <w:qFormat/>
    <w:uiPriority w:val="0"/>
    <w:pPr>
      <w:adjustRightInd/>
      <w:ind w:firstLine="200" w:firstLineChars="200"/>
      <w:jc w:val="right"/>
    </w:pPr>
  </w:style>
  <w:style w:type="paragraph" w:customStyle="1" w:styleId="193">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9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9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96">
    <w:name w:val="无间隔1"/>
    <w:link w:val="197"/>
    <w:qFormat/>
    <w:uiPriority w:val="1"/>
    <w:rPr>
      <w:rFonts w:ascii="Calibri" w:hAnsi="Calibri" w:eastAsia="宋体" w:cs="Times New Roman"/>
      <w:sz w:val="22"/>
      <w:szCs w:val="22"/>
      <w:lang w:val="en-US" w:eastAsia="zh-CN" w:bidi="ar-SA"/>
    </w:rPr>
  </w:style>
  <w:style w:type="character" w:customStyle="1" w:styleId="197">
    <w:name w:val="No Spacing Char"/>
    <w:link w:val="196"/>
    <w:qFormat/>
    <w:uiPriority w:val="1"/>
    <w:rPr>
      <w:rFonts w:ascii="Calibri" w:hAnsi="Calibri"/>
      <w:sz w:val="22"/>
      <w:szCs w:val="22"/>
      <w:lang w:val="en-US" w:eastAsia="zh-CN" w:bidi="ar-SA"/>
    </w:rPr>
  </w:style>
  <w:style w:type="paragraph" w:customStyle="1" w:styleId="198">
    <w:name w:val="样式 样式 标题 4h4H4Fab-4T5Ref Heading 1rh1Heading sqlsect 1.2.3.... +..."/>
    <w:basedOn w:val="199"/>
    <w:link w:val="201"/>
    <w:qFormat/>
    <w:uiPriority w:val="0"/>
    <w:pPr>
      <w:tabs>
        <w:tab w:val="left" w:pos="2356"/>
      </w:tabs>
    </w:pPr>
  </w:style>
  <w:style w:type="paragraph" w:customStyle="1" w:styleId="199">
    <w:name w:val="样式 标题 4h4H4Fab-4T5Ref Heading 1rh1Heading sqlsect 1.2.3...."/>
    <w:basedOn w:val="8"/>
    <w:link w:val="200"/>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200">
    <w:name w:val="样式 标题 4h4H4Fab-4T5Ref Heading 1rh1Heading sqlsect 1.2.3.... Char"/>
    <w:link w:val="199"/>
    <w:qFormat/>
    <w:uiPriority w:val="0"/>
    <w:rPr>
      <w:rFonts w:ascii="微软雅黑" w:hAnsi="微软雅黑" w:eastAsia="微软雅黑"/>
      <w:b/>
      <w:bCs/>
      <w:kern w:val="2"/>
      <w:sz w:val="24"/>
      <w:szCs w:val="28"/>
    </w:rPr>
  </w:style>
  <w:style w:type="character" w:customStyle="1" w:styleId="201">
    <w:name w:val="样式 样式 标题 4h4H4Fab-4T5Ref Heading 1rh1Heading sqlsect 1.2.3.... +... Char"/>
    <w:link w:val="198"/>
    <w:qFormat/>
    <w:uiPriority w:val="0"/>
    <w:rPr>
      <w:rFonts w:ascii="微软雅黑" w:hAnsi="微软雅黑" w:eastAsia="微软雅黑"/>
      <w:b/>
      <w:bCs/>
      <w:kern w:val="2"/>
      <w:sz w:val="24"/>
      <w:szCs w:val="28"/>
    </w:rPr>
  </w:style>
  <w:style w:type="paragraph" w:customStyle="1" w:styleId="202">
    <w:name w:val="四级条标题"/>
    <w:basedOn w:val="203"/>
    <w:next w:val="166"/>
    <w:qFormat/>
    <w:uiPriority w:val="0"/>
    <w:pPr>
      <w:tabs>
        <w:tab w:val="left" w:pos="1680"/>
        <w:tab w:val="left" w:pos="2100"/>
        <w:tab w:val="left" w:pos="2520"/>
        <w:tab w:val="left" w:pos="2940"/>
      </w:tabs>
      <w:ind w:left="2940"/>
      <w:outlineLvl w:val="5"/>
    </w:pPr>
  </w:style>
  <w:style w:type="paragraph" w:customStyle="1" w:styleId="203">
    <w:name w:val="三级条标题"/>
    <w:basedOn w:val="204"/>
    <w:next w:val="166"/>
    <w:qFormat/>
    <w:uiPriority w:val="0"/>
    <w:pPr>
      <w:tabs>
        <w:tab w:val="left" w:pos="1680"/>
        <w:tab w:val="left" w:pos="2100"/>
        <w:tab w:val="left" w:pos="2520"/>
      </w:tabs>
      <w:ind w:left="2520"/>
      <w:outlineLvl w:val="4"/>
    </w:pPr>
  </w:style>
  <w:style w:type="paragraph" w:customStyle="1" w:styleId="204">
    <w:name w:val="二级条标题"/>
    <w:basedOn w:val="205"/>
    <w:next w:val="166"/>
    <w:qFormat/>
    <w:uiPriority w:val="0"/>
    <w:pPr>
      <w:tabs>
        <w:tab w:val="left" w:pos="1680"/>
        <w:tab w:val="left" w:pos="2100"/>
      </w:tabs>
      <w:ind w:left="0"/>
      <w:outlineLvl w:val="3"/>
    </w:pPr>
  </w:style>
  <w:style w:type="paragraph" w:customStyle="1" w:styleId="205">
    <w:name w:val="一级条标题"/>
    <w:basedOn w:val="165"/>
    <w:next w:val="166"/>
    <w:qFormat/>
    <w:uiPriority w:val="0"/>
    <w:pPr>
      <w:tabs>
        <w:tab w:val="left" w:pos="1680"/>
        <w:tab w:val="clear" w:pos="1260"/>
      </w:tabs>
      <w:spacing w:before="0" w:beforeLines="0" w:after="0" w:afterLines="0"/>
      <w:ind w:left="1680"/>
      <w:outlineLvl w:val="2"/>
    </w:pPr>
  </w:style>
  <w:style w:type="paragraph" w:customStyle="1" w:styleId="20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07">
    <w:name w:val="标准小四"/>
    <w:basedOn w:val="1"/>
    <w:qFormat/>
    <w:uiPriority w:val="0"/>
    <w:pPr>
      <w:spacing w:line="360" w:lineRule="auto"/>
      <w:ind w:firstLine="480" w:firstLineChars="200"/>
    </w:pPr>
    <w:rPr>
      <w:rFonts w:ascii="Arial" w:hAnsi="Arial"/>
      <w:sz w:val="24"/>
      <w:szCs w:val="21"/>
    </w:rPr>
  </w:style>
  <w:style w:type="paragraph" w:customStyle="1" w:styleId="208">
    <w:name w:val="表格"/>
    <w:basedOn w:val="1"/>
    <w:qFormat/>
    <w:uiPriority w:val="0"/>
    <w:pPr>
      <w:snapToGrid w:val="0"/>
      <w:ind w:firstLine="42" w:firstLineChars="21"/>
    </w:pPr>
    <w:rPr>
      <w:rFonts w:ascii="宋体" w:hAnsi="宋体"/>
      <w:kern w:val="0"/>
      <w:sz w:val="20"/>
      <w:szCs w:val="20"/>
    </w:rPr>
  </w:style>
  <w:style w:type="paragraph" w:customStyle="1" w:styleId="20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10">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21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212">
    <w:name w:val="封面公司名"/>
    <w:qFormat/>
    <w:uiPriority w:val="0"/>
    <w:pPr>
      <w:jc w:val="center"/>
    </w:pPr>
    <w:rPr>
      <w:rFonts w:ascii="Arial" w:hAnsi="Arial" w:eastAsia="楷体_GB2312" w:cs="宋体"/>
      <w:bCs/>
      <w:kern w:val="2"/>
      <w:sz w:val="28"/>
      <w:lang w:val="en-US" w:eastAsia="zh-CN" w:bidi="ar-SA"/>
    </w:rPr>
  </w:style>
  <w:style w:type="paragraph" w:customStyle="1" w:styleId="213">
    <w:name w:val="Char2 Char Char Char1"/>
    <w:basedOn w:val="1"/>
    <w:qFormat/>
    <w:uiPriority w:val="0"/>
    <w:rPr>
      <w:rFonts w:ascii="仿宋_GB2312" w:eastAsia="仿宋_GB2312"/>
      <w:b/>
      <w:sz w:val="32"/>
      <w:szCs w:val="32"/>
    </w:rPr>
  </w:style>
  <w:style w:type="paragraph" w:customStyle="1" w:styleId="21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21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21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217">
    <w:name w:val="Char2"/>
    <w:basedOn w:val="1"/>
    <w:qFormat/>
    <w:uiPriority w:val="0"/>
    <w:rPr>
      <w:rFonts w:ascii="仿宋_GB2312" w:eastAsia="仿宋_GB2312"/>
      <w:b/>
      <w:sz w:val="32"/>
      <w:szCs w:val="32"/>
    </w:rPr>
  </w:style>
  <w:style w:type="paragraph" w:customStyle="1" w:styleId="21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219">
    <w:name w:val="小节"/>
    <w:basedOn w:val="7"/>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22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21">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222">
    <w:name w:val="!大节"/>
    <w:basedOn w:val="5"/>
    <w:qFormat/>
    <w:uiPriority w:val="0"/>
    <w:pPr>
      <w:numPr>
        <w:numId w:val="0"/>
      </w:numPr>
      <w:spacing w:before="260" w:after="260" w:line="415" w:lineRule="auto"/>
      <w:ind w:left="420" w:hanging="420"/>
    </w:pPr>
    <w:rPr>
      <w:rFonts w:ascii="Arial" w:hAnsi="Arial" w:eastAsia="微软雅黑"/>
      <w:lang w:val="en-US"/>
    </w:rPr>
  </w:style>
  <w:style w:type="paragraph" w:customStyle="1" w:styleId="223">
    <w:name w:val="Char Char4 Char Char"/>
    <w:basedOn w:val="1"/>
    <w:qFormat/>
    <w:uiPriority w:val="0"/>
    <w:pPr>
      <w:widowControl/>
      <w:adjustRightInd/>
      <w:spacing w:after="160" w:line="240" w:lineRule="exact"/>
      <w:jc w:val="left"/>
    </w:pPr>
  </w:style>
  <w:style w:type="paragraph" w:customStyle="1" w:styleId="224">
    <w:name w:val="Char2 Char Char1"/>
    <w:basedOn w:val="1"/>
    <w:qFormat/>
    <w:uiPriority w:val="0"/>
    <w:pPr>
      <w:adjustRightInd/>
    </w:pPr>
    <w:rPr>
      <w:rFonts w:ascii="Tahoma" w:hAnsi="Tahoma"/>
      <w:sz w:val="24"/>
      <w:szCs w:val="20"/>
    </w:rPr>
  </w:style>
  <w:style w:type="paragraph" w:customStyle="1" w:styleId="225">
    <w:name w:val="默认段落字体 Para Char Char Char Char Char Char Char"/>
    <w:basedOn w:val="1"/>
    <w:qFormat/>
    <w:uiPriority w:val="0"/>
    <w:rPr>
      <w:rFonts w:eastAsia="仿宋_GB2312"/>
      <w:sz w:val="28"/>
      <w:szCs w:val="20"/>
    </w:rPr>
  </w:style>
  <w:style w:type="paragraph" w:customStyle="1" w:styleId="226">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227">
    <w:name w:val="正文21"/>
    <w:basedOn w:val="1"/>
    <w:qFormat/>
    <w:uiPriority w:val="0"/>
    <w:pPr>
      <w:adjustRightInd/>
      <w:spacing w:before="156" w:line="360" w:lineRule="auto"/>
      <w:ind w:firstLine="510" w:firstLineChars="200"/>
    </w:pPr>
    <w:rPr>
      <w:sz w:val="24"/>
      <w:szCs w:val="20"/>
    </w:rPr>
  </w:style>
  <w:style w:type="paragraph" w:customStyle="1" w:styleId="228">
    <w:name w:val="标题4_自定义"/>
    <w:basedOn w:val="8"/>
    <w:qFormat/>
    <w:uiPriority w:val="0"/>
    <w:pPr>
      <w:numPr>
        <w:numId w:val="0"/>
      </w:numPr>
      <w:adjustRightInd/>
      <w:spacing w:before="0" w:after="0" w:line="360" w:lineRule="auto"/>
    </w:pPr>
    <w:rPr>
      <w:rFonts w:ascii="Verdana" w:eastAsia="Verdana"/>
      <w:sz w:val="21"/>
      <w:lang w:val="en-US"/>
    </w:rPr>
  </w:style>
  <w:style w:type="paragraph" w:customStyle="1" w:styleId="229">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30">
    <w:name w:val="标题五"/>
    <w:basedOn w:val="1"/>
    <w:qFormat/>
    <w:uiPriority w:val="0"/>
    <w:pPr>
      <w:adjustRightInd/>
      <w:spacing w:before="156" w:beforeLines="50" w:line="360" w:lineRule="auto"/>
    </w:pPr>
    <w:rPr>
      <w:b/>
      <w:sz w:val="24"/>
    </w:rPr>
  </w:style>
  <w:style w:type="paragraph" w:customStyle="1" w:styleId="231">
    <w:name w:val="样式 标题 3H3 + 两端对齐"/>
    <w:basedOn w:val="7"/>
    <w:qFormat/>
    <w:uiPriority w:val="0"/>
    <w:pPr>
      <w:keepLines w:val="0"/>
      <w:numPr>
        <w:numId w:val="0"/>
      </w:numPr>
      <w:spacing w:before="0" w:after="0" w:line="240" w:lineRule="auto"/>
      <w:jc w:val="left"/>
    </w:pPr>
    <w:rPr>
      <w:rFonts w:cs="宋体"/>
      <w:sz w:val="21"/>
      <w:szCs w:val="20"/>
    </w:rPr>
  </w:style>
  <w:style w:type="paragraph" w:customStyle="1" w:styleId="232">
    <w:name w:val="Char Char11"/>
    <w:basedOn w:val="1"/>
    <w:qFormat/>
    <w:uiPriority w:val="0"/>
    <w:pPr>
      <w:spacing w:line="360" w:lineRule="auto"/>
    </w:pPr>
    <w:rPr>
      <w:szCs w:val="20"/>
    </w:rPr>
  </w:style>
  <w:style w:type="paragraph" w:customStyle="1" w:styleId="23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34">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235">
    <w:name w:val="样式 标题 1章节第一层h1H"/>
    <w:basedOn w:val="4"/>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3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3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38">
    <w:name w:val="Char Char11 Char Char Char Char Char Char Char Char Char"/>
    <w:basedOn w:val="1"/>
    <w:qFormat/>
    <w:uiPriority w:val="0"/>
    <w:pPr>
      <w:spacing w:line="360" w:lineRule="auto"/>
    </w:pPr>
    <w:rPr>
      <w:szCs w:val="20"/>
    </w:rPr>
  </w:style>
  <w:style w:type="paragraph" w:customStyle="1" w:styleId="239">
    <w:name w:val="Char Char1 Char Char Char1"/>
    <w:basedOn w:val="1"/>
    <w:qFormat/>
    <w:uiPriority w:val="0"/>
    <w:rPr>
      <w:rFonts w:ascii="仿宋_GB2312" w:eastAsia="仿宋_GB2312"/>
      <w:b/>
      <w:sz w:val="32"/>
      <w:szCs w:val="32"/>
    </w:rPr>
  </w:style>
  <w:style w:type="paragraph" w:customStyle="1" w:styleId="240">
    <w:name w:val="样式 标题 4PIM 4H4h4bulletblbbH41H42H43H44H45H46H47H48...1"/>
    <w:basedOn w:val="8"/>
    <w:qFormat/>
    <w:uiPriority w:val="0"/>
    <w:pPr>
      <w:widowControl/>
      <w:jc w:val="left"/>
    </w:pPr>
    <w:rPr>
      <w:rFonts w:cs="宋体"/>
      <w:sz w:val="24"/>
      <w:szCs w:val="20"/>
    </w:rPr>
  </w:style>
  <w:style w:type="paragraph" w:customStyle="1" w:styleId="24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42">
    <w:name w:val="表格标题2"/>
    <w:basedOn w:val="243"/>
    <w:qFormat/>
    <w:uiPriority w:val="0"/>
    <w:rPr>
      <w:b/>
    </w:rPr>
  </w:style>
  <w:style w:type="paragraph" w:customStyle="1" w:styleId="243">
    <w:name w:val="表格内文"/>
    <w:basedOn w:val="1"/>
    <w:qFormat/>
    <w:uiPriority w:val="0"/>
    <w:pPr>
      <w:adjustRightInd/>
      <w:spacing w:line="360" w:lineRule="auto"/>
    </w:pPr>
    <w:rPr>
      <w:rFonts w:ascii="宋体" w:hAnsi="宋体" w:cs="宋体"/>
      <w:color w:val="000000"/>
      <w:szCs w:val="20"/>
    </w:rPr>
  </w:style>
  <w:style w:type="paragraph" w:customStyle="1" w:styleId="244">
    <w:name w:val="Char Char Char Char Char Char Char"/>
    <w:basedOn w:val="1"/>
    <w:qFormat/>
    <w:uiPriority w:val="0"/>
    <w:rPr>
      <w:rFonts w:ascii="仿宋_GB2312" w:eastAsia="仿宋_GB2312"/>
      <w:b/>
      <w:sz w:val="32"/>
      <w:szCs w:val="32"/>
    </w:rPr>
  </w:style>
  <w:style w:type="paragraph" w:customStyle="1" w:styleId="24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46">
    <w:name w:val="数字标题6"/>
    <w:basedOn w:val="10"/>
    <w:next w:val="1"/>
    <w:qFormat/>
    <w:uiPriority w:val="0"/>
    <w:pPr>
      <w:numPr>
        <w:ilvl w:val="0"/>
        <w:numId w:val="0"/>
      </w:numPr>
      <w:tabs>
        <w:tab w:val="left" w:pos="480"/>
        <w:tab w:val="left" w:pos="1080"/>
        <w:tab w:val="clear" w:pos="1152"/>
      </w:tabs>
      <w:ind w:left="1080" w:hanging="1080"/>
    </w:pPr>
    <w:rPr>
      <w:rFonts w:ascii="Times New Roman" w:hAnsi="Times New Roman" w:eastAsia="宋体"/>
      <w:i/>
    </w:rPr>
  </w:style>
  <w:style w:type="paragraph" w:customStyle="1" w:styleId="24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48">
    <w:name w:val="列出段落2"/>
    <w:basedOn w:val="1"/>
    <w:qFormat/>
    <w:uiPriority w:val="0"/>
    <w:pPr>
      <w:adjustRightInd/>
      <w:ind w:firstLine="420" w:firstLineChars="200"/>
    </w:pPr>
    <w:rPr>
      <w:rFonts w:ascii="宋体" w:hAnsi="宋体"/>
      <w:sz w:val="24"/>
    </w:rPr>
  </w:style>
  <w:style w:type="paragraph" w:customStyle="1" w:styleId="24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50">
    <w:name w:val="TOC 标题1"/>
    <w:basedOn w:val="4"/>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5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52">
    <w:name w:val="正文 首行缩进:  2 字符 Char"/>
    <w:basedOn w:val="1"/>
    <w:qFormat/>
    <w:uiPriority w:val="0"/>
    <w:pPr>
      <w:adjustRightInd/>
      <w:spacing w:line="360" w:lineRule="auto"/>
      <w:ind w:firstLine="480"/>
    </w:pPr>
    <w:rPr>
      <w:rFonts w:cs="宋体"/>
      <w:sz w:val="24"/>
      <w:szCs w:val="20"/>
    </w:rPr>
  </w:style>
  <w:style w:type="paragraph" w:customStyle="1" w:styleId="25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54">
    <w:name w:val="Table Text"/>
    <w:basedOn w:val="1"/>
    <w:qFormat/>
    <w:uiPriority w:val="0"/>
    <w:pPr>
      <w:widowControl/>
      <w:spacing w:before="60" w:after="60"/>
      <w:jc w:val="left"/>
    </w:pPr>
    <w:rPr>
      <w:kern w:val="0"/>
      <w:sz w:val="24"/>
    </w:rPr>
  </w:style>
  <w:style w:type="paragraph" w:customStyle="1" w:styleId="25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5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57">
    <w:name w:val="Char Char Char Char Char Char Char Char Char Char"/>
    <w:basedOn w:val="1"/>
    <w:qFormat/>
    <w:uiPriority w:val="0"/>
    <w:rPr>
      <w:rFonts w:ascii="仿宋_GB2312" w:eastAsia="仿宋_GB2312"/>
      <w:b/>
      <w:sz w:val="32"/>
      <w:szCs w:val="32"/>
    </w:rPr>
  </w:style>
  <w:style w:type="paragraph" w:customStyle="1" w:styleId="258">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59">
    <w:name w:val="正文文字表格居中"/>
    <w:basedOn w:val="1"/>
    <w:next w:val="54"/>
    <w:qFormat/>
    <w:uiPriority w:val="0"/>
    <w:pPr>
      <w:snapToGrid w:val="0"/>
      <w:spacing w:line="360" w:lineRule="auto"/>
    </w:pPr>
    <w:rPr>
      <w:rFonts w:ascii="宋体"/>
      <w:b/>
      <w:sz w:val="24"/>
      <w:szCs w:val="20"/>
    </w:rPr>
  </w:style>
  <w:style w:type="paragraph" w:customStyle="1" w:styleId="260">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61">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6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6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64">
    <w:name w:val="Char"/>
    <w:basedOn w:val="1"/>
    <w:qFormat/>
    <w:uiPriority w:val="0"/>
    <w:rPr>
      <w:rFonts w:ascii="仿宋_GB2312" w:eastAsia="仿宋_GB2312"/>
      <w:b/>
      <w:sz w:val="32"/>
      <w:szCs w:val="32"/>
    </w:rPr>
  </w:style>
  <w:style w:type="paragraph" w:customStyle="1" w:styleId="265">
    <w:name w:val="冯广丽"/>
    <w:basedOn w:val="1"/>
    <w:link w:val="266"/>
    <w:qFormat/>
    <w:uiPriority w:val="0"/>
    <w:pPr>
      <w:adjustRightInd/>
      <w:spacing w:line="360" w:lineRule="auto"/>
      <w:ind w:firstLine="480" w:firstLineChars="200"/>
    </w:pPr>
    <w:rPr>
      <w:rFonts w:ascii="宋体" w:hAnsi="宋体"/>
      <w:sz w:val="24"/>
      <w:szCs w:val="22"/>
    </w:rPr>
  </w:style>
  <w:style w:type="character" w:customStyle="1" w:styleId="266">
    <w:name w:val="冯广丽 Char"/>
    <w:link w:val="265"/>
    <w:qFormat/>
    <w:uiPriority w:val="0"/>
    <w:rPr>
      <w:rFonts w:ascii="宋体" w:hAnsi="宋体"/>
      <w:kern w:val="2"/>
      <w:sz w:val="24"/>
      <w:szCs w:val="22"/>
    </w:rPr>
  </w:style>
  <w:style w:type="paragraph" w:customStyle="1" w:styleId="267">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68">
    <w:name w:val="Char31"/>
    <w:basedOn w:val="1"/>
    <w:qFormat/>
    <w:uiPriority w:val="0"/>
    <w:pPr>
      <w:adjustRightInd/>
      <w:ind w:firstLine="200" w:firstLineChars="200"/>
    </w:pPr>
    <w:rPr>
      <w:rFonts w:ascii="Tahoma" w:hAnsi="Tahoma"/>
      <w:sz w:val="24"/>
      <w:szCs w:val="20"/>
    </w:rPr>
  </w:style>
  <w:style w:type="paragraph" w:customStyle="1" w:styleId="269">
    <w:name w:val="Char Char11 Char Char Char1"/>
    <w:basedOn w:val="1"/>
    <w:qFormat/>
    <w:uiPriority w:val="0"/>
    <w:pPr>
      <w:spacing w:line="360" w:lineRule="auto"/>
    </w:pPr>
    <w:rPr>
      <w:szCs w:val="20"/>
    </w:rPr>
  </w:style>
  <w:style w:type="paragraph" w:customStyle="1" w:styleId="270">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71">
    <w:name w:val="_Style 236"/>
    <w:qFormat/>
    <w:uiPriority w:val="0"/>
    <w:rPr>
      <w:rFonts w:ascii="Times New Roman" w:hAnsi="Times New Roman" w:eastAsia="宋体" w:cs="Times New Roman"/>
      <w:kern w:val="2"/>
      <w:sz w:val="21"/>
      <w:lang w:val="en-US" w:eastAsia="zh-CN" w:bidi="ar-SA"/>
    </w:rPr>
  </w:style>
  <w:style w:type="paragraph" w:customStyle="1" w:styleId="27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74">
    <w:name w:val="正文文字缩进项目"/>
    <w:basedOn w:val="24"/>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7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7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77">
    <w:name w:val="文章标题"/>
    <w:next w:val="21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78">
    <w:name w:val="4"/>
    <w:basedOn w:val="1"/>
    <w:next w:val="37"/>
    <w:qFormat/>
    <w:uiPriority w:val="0"/>
    <w:pPr>
      <w:spacing w:after="120" w:line="480" w:lineRule="auto"/>
      <w:ind w:left="420" w:leftChars="200"/>
    </w:pPr>
    <w:rPr>
      <w:sz w:val="24"/>
      <w:szCs w:val="20"/>
    </w:rPr>
  </w:style>
  <w:style w:type="paragraph" w:customStyle="1" w:styleId="279">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80">
    <w:name w:val="Char Char Char Char Char Char Char Char Char Char Char1 Char"/>
    <w:basedOn w:val="1"/>
    <w:qFormat/>
    <w:uiPriority w:val="0"/>
    <w:pPr>
      <w:adjustRightInd/>
    </w:pPr>
    <w:rPr>
      <w:rFonts w:ascii="Tahoma" w:hAnsi="Tahoma"/>
      <w:sz w:val="24"/>
    </w:rPr>
  </w:style>
  <w:style w:type="paragraph" w:customStyle="1" w:styleId="28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82">
    <w:name w:val="标书表格字体格式"/>
    <w:next w:val="182"/>
    <w:qFormat/>
    <w:uiPriority w:val="0"/>
    <w:rPr>
      <w:rFonts w:ascii="Times New Roman" w:hAnsi="Times New Roman" w:eastAsia="宋体" w:cs="Times New Roman"/>
      <w:kern w:val="2"/>
      <w:sz w:val="21"/>
      <w:szCs w:val="24"/>
      <w:lang w:val="en-US" w:eastAsia="zh-CN" w:bidi="ar-SA"/>
    </w:rPr>
  </w:style>
  <w:style w:type="paragraph" w:customStyle="1" w:styleId="28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84">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85">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286">
    <w:name w:val="带编号样式"/>
    <w:basedOn w:val="117"/>
    <w:qFormat/>
    <w:uiPriority w:val="0"/>
    <w:pPr>
      <w:tabs>
        <w:tab w:val="left" w:pos="840"/>
      </w:tabs>
      <w:snapToGrid w:val="0"/>
      <w:ind w:left="840" w:firstLine="0" w:firstLineChars="0"/>
    </w:pPr>
    <w:rPr>
      <w:rFonts w:ascii="仿宋_GB2312" w:eastAsia="仿宋_GB2312"/>
      <w:color w:val="000000"/>
    </w:rPr>
  </w:style>
  <w:style w:type="paragraph" w:customStyle="1" w:styleId="287">
    <w:name w:val="正文文字 2"/>
    <w:basedOn w:val="98"/>
    <w:next w:val="98"/>
    <w:qFormat/>
    <w:uiPriority w:val="0"/>
    <w:rPr>
      <w:rFonts w:ascii="宋体" w:eastAsia="宋体" w:cs="Times New Roman"/>
      <w:color w:val="auto"/>
    </w:rPr>
  </w:style>
  <w:style w:type="paragraph" w:customStyle="1" w:styleId="288">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89">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290">
    <w:name w:val="Char5"/>
    <w:basedOn w:val="1"/>
    <w:qFormat/>
    <w:uiPriority w:val="0"/>
    <w:rPr>
      <w:rFonts w:ascii="仿宋_GB2312" w:eastAsia="仿宋_GB2312"/>
      <w:b/>
      <w:sz w:val="32"/>
      <w:szCs w:val="32"/>
    </w:rPr>
  </w:style>
  <w:style w:type="paragraph" w:customStyle="1" w:styleId="29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9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93">
    <w:name w:val="Item List"/>
    <w:link w:val="29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294">
    <w:name w:val="Item List Char"/>
    <w:link w:val="293"/>
    <w:qFormat/>
    <w:uiPriority w:val="0"/>
    <w:rPr>
      <w:rFonts w:ascii="Arial"/>
      <w:bCs/>
      <w:sz w:val="21"/>
      <w:szCs w:val="21"/>
      <w:lang w:val="en-US" w:eastAsia="zh-CN" w:bidi="ar-SA"/>
    </w:rPr>
  </w:style>
  <w:style w:type="paragraph" w:customStyle="1" w:styleId="2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96">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29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9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99">
    <w:name w:val="Char Char1 Char Char Char Char Char Char1"/>
    <w:basedOn w:val="1"/>
    <w:qFormat/>
    <w:uiPriority w:val="0"/>
    <w:rPr>
      <w:rFonts w:ascii="仿宋_GB2312" w:eastAsia="仿宋_GB2312"/>
      <w:b/>
      <w:sz w:val="32"/>
      <w:szCs w:val="20"/>
    </w:rPr>
  </w:style>
  <w:style w:type="paragraph" w:customStyle="1" w:styleId="300">
    <w:name w:val="Char Char Char Char Char Char Char Char Char Char Char Char1 Char"/>
    <w:basedOn w:val="1"/>
    <w:qFormat/>
    <w:uiPriority w:val="0"/>
    <w:rPr>
      <w:rFonts w:ascii="Tahoma" w:hAnsi="Tahoma" w:cs="仿宋_GB2312"/>
      <w:sz w:val="24"/>
      <w:szCs w:val="20"/>
    </w:rPr>
  </w:style>
  <w:style w:type="paragraph" w:customStyle="1" w:styleId="301">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30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303">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30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05">
    <w:name w:val="样式 正文文本缩进 + 段前: 2 字符"/>
    <w:basedOn w:val="1"/>
    <w:qFormat/>
    <w:uiPriority w:val="0"/>
    <w:pPr>
      <w:adjustRightInd/>
      <w:ind w:left="420" w:leftChars="200"/>
      <w:jc w:val="left"/>
    </w:pPr>
    <w:rPr>
      <w:sz w:val="28"/>
      <w:szCs w:val="20"/>
      <w:lang w:eastAsia="zh-TW"/>
    </w:rPr>
  </w:style>
  <w:style w:type="paragraph" w:customStyle="1" w:styleId="306">
    <w:name w:val="Char1 Char Char Char3"/>
    <w:basedOn w:val="1"/>
    <w:qFormat/>
    <w:uiPriority w:val="0"/>
    <w:pPr>
      <w:adjustRightInd/>
      <w:ind w:firstLine="200" w:firstLineChars="200"/>
    </w:pPr>
    <w:rPr>
      <w:rFonts w:ascii="Tahoma" w:hAnsi="Tahoma"/>
      <w:sz w:val="24"/>
      <w:szCs w:val="20"/>
    </w:rPr>
  </w:style>
  <w:style w:type="paragraph" w:customStyle="1" w:styleId="307">
    <w:name w:val="_Style 271"/>
    <w:basedOn w:val="4"/>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308">
    <w:name w:val="Char Char Char Char Char Char Char Char Char Char Char Char1 Char1"/>
    <w:basedOn w:val="1"/>
    <w:qFormat/>
    <w:uiPriority w:val="0"/>
    <w:rPr>
      <w:rFonts w:ascii="Tahoma" w:hAnsi="Tahoma" w:cs="仿宋_GB2312"/>
      <w:sz w:val="24"/>
      <w:szCs w:val="20"/>
    </w:rPr>
  </w:style>
  <w:style w:type="paragraph" w:customStyle="1" w:styleId="309">
    <w:name w:val="Char Char1 Char1"/>
    <w:basedOn w:val="1"/>
    <w:qFormat/>
    <w:uiPriority w:val="0"/>
    <w:rPr>
      <w:rFonts w:ascii="仿宋_GB2312" w:eastAsia="仿宋_GB2312"/>
      <w:b/>
      <w:sz w:val="32"/>
      <w:szCs w:val="32"/>
    </w:rPr>
  </w:style>
  <w:style w:type="paragraph" w:customStyle="1" w:styleId="310">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31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12">
    <w:name w:val="Bulleting First Indent 1"/>
    <w:basedOn w:val="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313">
    <w:name w:val="Char Char1"/>
    <w:basedOn w:val="1"/>
    <w:qFormat/>
    <w:uiPriority w:val="0"/>
    <w:pPr>
      <w:widowControl/>
      <w:spacing w:after="160" w:line="240" w:lineRule="exact"/>
      <w:jc w:val="left"/>
    </w:pPr>
    <w:rPr>
      <w:rFonts w:eastAsia="仿宋_GB2312"/>
      <w:sz w:val="28"/>
    </w:rPr>
  </w:style>
  <w:style w:type="paragraph" w:customStyle="1" w:styleId="314">
    <w:name w:val="单元格居中"/>
    <w:basedOn w:val="1"/>
    <w:qFormat/>
    <w:uiPriority w:val="0"/>
    <w:pPr>
      <w:adjustRightInd/>
      <w:spacing w:line="360" w:lineRule="auto"/>
      <w:jc w:val="center"/>
    </w:pPr>
    <w:rPr>
      <w:sz w:val="24"/>
    </w:rPr>
  </w:style>
  <w:style w:type="paragraph" w:customStyle="1" w:styleId="315">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16">
    <w:name w:val="样式 标题 1Level 1 HeadPIM 1Section Headh1l11Heading 0Datash..."/>
    <w:basedOn w:val="4"/>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317">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318">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319">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20">
    <w:name w:val="MM Empty"/>
    <w:basedOn w:val="1"/>
    <w:qFormat/>
    <w:uiPriority w:val="0"/>
    <w:pPr>
      <w:adjustRightInd/>
    </w:pPr>
  </w:style>
  <w:style w:type="paragraph" w:customStyle="1" w:styleId="321">
    <w:name w:val="文档正文"/>
    <w:basedOn w:val="1"/>
    <w:qFormat/>
    <w:uiPriority w:val="0"/>
    <w:pPr>
      <w:spacing w:line="480" w:lineRule="atLeast"/>
      <w:ind w:firstLine="567"/>
      <w:textAlignment w:val="baseline"/>
    </w:pPr>
    <w:rPr>
      <w:kern w:val="0"/>
      <w:sz w:val="24"/>
      <w:szCs w:val="20"/>
    </w:rPr>
  </w:style>
  <w:style w:type="paragraph" w:customStyle="1" w:styleId="322">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23">
    <w:name w:val="Char Char1 Char Char1 Char Char1"/>
    <w:basedOn w:val="1"/>
    <w:qFormat/>
    <w:uiPriority w:val="0"/>
    <w:pPr>
      <w:tabs>
        <w:tab w:val="left" w:pos="840"/>
      </w:tabs>
      <w:ind w:left="840" w:hanging="420"/>
    </w:pPr>
    <w:rPr>
      <w:rFonts w:ascii="Tahoma" w:hAnsi="Tahoma"/>
      <w:sz w:val="24"/>
    </w:rPr>
  </w:style>
  <w:style w:type="paragraph" w:customStyle="1" w:styleId="324">
    <w:name w:val="样式 标题 2H2h2Underrubrik1prop2l2Chapter Titlesect 1.2DO NO..."/>
    <w:basedOn w:val="5"/>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325">
    <w:name w:val="Char Char Char Char Char Char Char Char Char Char1"/>
    <w:basedOn w:val="1"/>
    <w:qFormat/>
    <w:uiPriority w:val="0"/>
    <w:rPr>
      <w:rFonts w:ascii="仿宋_GB2312" w:eastAsia="仿宋_GB2312"/>
      <w:b/>
      <w:sz w:val="32"/>
      <w:szCs w:val="32"/>
    </w:rPr>
  </w:style>
  <w:style w:type="paragraph" w:customStyle="1" w:styleId="326">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327">
    <w:name w:val="默认段落字体 Para Char Char Char1 Char"/>
    <w:basedOn w:val="1"/>
    <w:qFormat/>
    <w:uiPriority w:val="0"/>
    <w:pPr>
      <w:spacing w:line="240" w:lineRule="atLeast"/>
      <w:ind w:left="420" w:firstLine="420"/>
    </w:pPr>
    <w:rPr>
      <w:sz w:val="24"/>
    </w:rPr>
  </w:style>
  <w:style w:type="paragraph" w:styleId="328">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32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30">
    <w:name w:val="Char1 Char Char Char5"/>
    <w:basedOn w:val="1"/>
    <w:qFormat/>
    <w:uiPriority w:val="0"/>
    <w:pPr>
      <w:adjustRightInd/>
      <w:ind w:firstLine="200" w:firstLineChars="200"/>
    </w:pPr>
    <w:rPr>
      <w:rFonts w:ascii="Tahoma" w:hAnsi="Tahoma"/>
      <w:sz w:val="24"/>
      <w:szCs w:val="20"/>
    </w:rPr>
  </w:style>
  <w:style w:type="paragraph" w:customStyle="1" w:styleId="331">
    <w:name w:val="Char Char Char Char Char Char Char1"/>
    <w:basedOn w:val="1"/>
    <w:qFormat/>
    <w:uiPriority w:val="0"/>
    <w:rPr>
      <w:rFonts w:ascii="仿宋_GB2312" w:eastAsia="仿宋_GB2312"/>
      <w:b/>
      <w:sz w:val="32"/>
      <w:szCs w:val="32"/>
    </w:rPr>
  </w:style>
  <w:style w:type="paragraph" w:customStyle="1" w:styleId="33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33">
    <w:name w:val="正文表标题"/>
    <w:next w:val="166"/>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34">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35">
    <w:name w:val="四号　首行缩进"/>
    <w:basedOn w:val="1"/>
    <w:qFormat/>
    <w:uiPriority w:val="0"/>
    <w:pPr>
      <w:adjustRightInd/>
      <w:spacing w:line="360" w:lineRule="auto"/>
    </w:pPr>
    <w:rPr>
      <w:rFonts w:ascii="宋体" w:hAnsi="宋体"/>
      <w:szCs w:val="20"/>
    </w:rPr>
  </w:style>
  <w:style w:type="paragraph" w:customStyle="1" w:styleId="336">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3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38">
    <w:name w:val="首行缩进"/>
    <w:basedOn w:val="1"/>
    <w:qFormat/>
    <w:uiPriority w:val="0"/>
    <w:pPr>
      <w:spacing w:line="360" w:lineRule="auto"/>
      <w:ind w:firstLine="480" w:firstLineChars="200"/>
    </w:pPr>
    <w:rPr>
      <w:rFonts w:ascii="宋体"/>
      <w:sz w:val="24"/>
      <w:szCs w:val="20"/>
    </w:rPr>
  </w:style>
  <w:style w:type="paragraph" w:customStyle="1" w:styleId="339">
    <w:name w:val="Char1 Char Char Char1"/>
    <w:basedOn w:val="1"/>
    <w:qFormat/>
    <w:uiPriority w:val="0"/>
    <w:pPr>
      <w:adjustRightInd/>
      <w:ind w:firstLine="200" w:firstLineChars="200"/>
    </w:pPr>
    <w:rPr>
      <w:rFonts w:ascii="Tahoma" w:hAnsi="Tahoma"/>
      <w:sz w:val="24"/>
      <w:szCs w:val="20"/>
    </w:rPr>
  </w:style>
  <w:style w:type="paragraph" w:customStyle="1" w:styleId="340">
    <w:name w:val="MM Topic 2"/>
    <w:basedOn w:val="5"/>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41">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42">
    <w:name w:val="样式 样式2 + 左侧:  1 字符 右侧:  1 字符"/>
    <w:basedOn w:val="105"/>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43">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4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45">
    <w:name w:val="哈哈正文"/>
    <w:basedOn w:val="1"/>
    <w:link w:val="346"/>
    <w:qFormat/>
    <w:uiPriority w:val="0"/>
    <w:pPr>
      <w:adjustRightInd/>
      <w:spacing w:line="360" w:lineRule="auto"/>
      <w:ind w:firstLine="200" w:firstLineChars="200"/>
    </w:pPr>
    <w:rPr>
      <w:rFonts w:ascii="宋体" w:hAnsi="宋体"/>
      <w:sz w:val="24"/>
      <w:szCs w:val="20"/>
    </w:rPr>
  </w:style>
  <w:style w:type="character" w:customStyle="1" w:styleId="346">
    <w:name w:val="哈哈正文 Char"/>
    <w:link w:val="345"/>
    <w:qFormat/>
    <w:uiPriority w:val="0"/>
    <w:rPr>
      <w:rFonts w:ascii="宋体" w:hAnsi="宋体" w:eastAsia="宋体"/>
      <w:kern w:val="2"/>
      <w:sz w:val="24"/>
      <w:lang w:bidi="ar-SA"/>
    </w:rPr>
  </w:style>
  <w:style w:type="paragraph" w:customStyle="1" w:styleId="347">
    <w:name w:val="List Paragraph1"/>
    <w:basedOn w:val="1"/>
    <w:qFormat/>
    <w:uiPriority w:val="34"/>
    <w:pPr>
      <w:spacing w:line="360" w:lineRule="auto"/>
      <w:ind w:firstLine="200" w:firstLineChars="200"/>
    </w:pPr>
    <w:rPr>
      <w:rFonts w:eastAsia="楷体_GB2312" w:cs="Lucida Sans"/>
      <w:sz w:val="24"/>
    </w:rPr>
  </w:style>
  <w:style w:type="paragraph" w:customStyle="1" w:styleId="348">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49">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5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51">
    <w:name w:val="Char Char11 Char Char Char Char Char Char Char Char Char1"/>
    <w:basedOn w:val="1"/>
    <w:qFormat/>
    <w:uiPriority w:val="0"/>
    <w:pPr>
      <w:spacing w:line="360" w:lineRule="auto"/>
    </w:pPr>
    <w:rPr>
      <w:szCs w:val="20"/>
    </w:rPr>
  </w:style>
  <w:style w:type="paragraph" w:customStyle="1" w:styleId="352">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53">
    <w:name w:val="正文 项目2"/>
    <w:basedOn w:val="354"/>
    <w:qFormat/>
    <w:uiPriority w:val="0"/>
    <w:pPr>
      <w:tabs>
        <w:tab w:val="left" w:pos="840"/>
      </w:tabs>
      <w:spacing w:after="0"/>
      <w:ind w:left="900"/>
    </w:pPr>
  </w:style>
  <w:style w:type="paragraph" w:customStyle="1" w:styleId="35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5">
    <w:name w:val="Char Char Char1 Char1"/>
    <w:basedOn w:val="1"/>
    <w:qFormat/>
    <w:uiPriority w:val="0"/>
    <w:rPr>
      <w:szCs w:val="20"/>
    </w:rPr>
  </w:style>
  <w:style w:type="paragraph" w:customStyle="1" w:styleId="356">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5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58">
    <w:name w:val="封面"/>
    <w:basedOn w:val="1"/>
    <w:qFormat/>
    <w:uiPriority w:val="0"/>
    <w:pPr>
      <w:spacing w:line="360" w:lineRule="atLeast"/>
      <w:jc w:val="right"/>
      <w:textAlignment w:val="baseline"/>
    </w:pPr>
    <w:rPr>
      <w:rFonts w:ascii="Symbol" w:hAnsi="Symbol"/>
      <w:kern w:val="0"/>
      <w:szCs w:val="20"/>
    </w:rPr>
  </w:style>
  <w:style w:type="paragraph" w:customStyle="1" w:styleId="359">
    <w:name w:val="正文（缩进2汉字）"/>
    <w:basedOn w:val="1"/>
    <w:link w:val="360"/>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正文（缩进2汉字） Char"/>
    <w:link w:val="359"/>
    <w:qFormat/>
    <w:uiPriority w:val="0"/>
    <w:rPr>
      <w:rFonts w:ascii="宋体"/>
    </w:rPr>
  </w:style>
  <w:style w:type="paragraph" w:customStyle="1" w:styleId="361">
    <w:name w:val="数字标题3"/>
    <w:basedOn w:val="7"/>
    <w:next w:val="1"/>
    <w:qFormat/>
    <w:uiPriority w:val="0"/>
    <w:pPr>
      <w:numPr>
        <w:numId w:val="0"/>
      </w:numPr>
      <w:spacing w:line="240" w:lineRule="auto"/>
    </w:pPr>
    <w:rPr>
      <w:sz w:val="28"/>
      <w:szCs w:val="28"/>
    </w:rPr>
  </w:style>
  <w:style w:type="paragraph" w:customStyle="1" w:styleId="36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3">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64">
    <w:name w:val="正文（首行缩进2字符）"/>
    <w:basedOn w:val="1"/>
    <w:qFormat/>
    <w:uiPriority w:val="0"/>
    <w:pPr>
      <w:adjustRightInd/>
      <w:spacing w:line="360" w:lineRule="auto"/>
      <w:ind w:firstLine="480" w:firstLineChars="200"/>
    </w:pPr>
    <w:rPr>
      <w:sz w:val="24"/>
      <w:szCs w:val="20"/>
    </w:rPr>
  </w:style>
  <w:style w:type="paragraph" w:customStyle="1" w:styleId="36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66">
    <w:name w:val="正文段"/>
    <w:basedOn w:val="1"/>
    <w:qFormat/>
    <w:uiPriority w:val="0"/>
    <w:pPr>
      <w:widowControl/>
      <w:snapToGrid w:val="0"/>
      <w:spacing w:after="156" w:afterLines="50"/>
      <w:ind w:firstLine="200" w:firstLineChars="200"/>
    </w:pPr>
    <w:rPr>
      <w:kern w:val="0"/>
      <w:sz w:val="24"/>
      <w:szCs w:val="20"/>
    </w:rPr>
  </w:style>
  <w:style w:type="paragraph" w:customStyle="1" w:styleId="367">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68">
    <w:name w:val="数字标题2"/>
    <w:basedOn w:val="5"/>
    <w:next w:val="1"/>
    <w:qFormat/>
    <w:uiPriority w:val="0"/>
    <w:pPr>
      <w:numPr>
        <w:numId w:val="0"/>
      </w:numPr>
      <w:tabs>
        <w:tab w:val="left" w:pos="480"/>
        <w:tab w:val="left" w:pos="860"/>
        <w:tab w:val="clear" w:pos="432"/>
      </w:tabs>
      <w:ind w:left="480" w:hanging="480"/>
    </w:pPr>
    <w:rPr>
      <w:rFonts w:ascii="Times New Roman" w:eastAsia="宋体"/>
      <w:i/>
      <w:sz w:val="36"/>
      <w:szCs w:val="36"/>
      <w:lang w:val="en-US"/>
    </w:rPr>
  </w:style>
  <w:style w:type="paragraph" w:customStyle="1" w:styleId="369">
    <w:name w:val="彩色列表 - 强调文字颜色 11"/>
    <w:basedOn w:val="1"/>
    <w:qFormat/>
    <w:uiPriority w:val="0"/>
    <w:pPr>
      <w:adjustRightInd/>
      <w:ind w:firstLine="420" w:firstLineChars="200"/>
    </w:pPr>
    <w:rPr>
      <w:rFonts w:ascii="Calibri" w:hAnsi="Calibri"/>
      <w:szCs w:val="22"/>
    </w:rPr>
  </w:style>
  <w:style w:type="paragraph" w:customStyle="1" w:styleId="370">
    <w:name w:val="数字标题4"/>
    <w:basedOn w:val="8"/>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72">
    <w:name w:val="样式1 + (中宋体"/>
    <w:basedOn w:val="187"/>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73">
    <w:name w:val="仿宋正文"/>
    <w:basedOn w:val="1"/>
    <w:link w:val="374"/>
    <w:qFormat/>
    <w:uiPriority w:val="0"/>
    <w:pPr>
      <w:adjustRightInd/>
      <w:spacing w:line="360" w:lineRule="auto"/>
      <w:ind w:firstLine="480" w:firstLineChars="200"/>
    </w:pPr>
    <w:rPr>
      <w:rFonts w:ascii="仿宋_GB2312" w:eastAsia="仿宋_GB2312"/>
      <w:sz w:val="24"/>
      <w:szCs w:val="20"/>
    </w:rPr>
  </w:style>
  <w:style w:type="character" w:customStyle="1" w:styleId="374">
    <w:name w:val="仿宋正文 Char"/>
    <w:link w:val="373"/>
    <w:qFormat/>
    <w:uiPriority w:val="0"/>
    <w:rPr>
      <w:rFonts w:ascii="仿宋_GB2312" w:eastAsia="仿宋_GB2312"/>
      <w:kern w:val="2"/>
      <w:sz w:val="24"/>
      <w:lang w:val="en-US" w:eastAsia="zh-CN" w:bidi="ar-SA"/>
    </w:rPr>
  </w:style>
  <w:style w:type="paragraph" w:customStyle="1" w:styleId="375">
    <w:name w:val="正文（标题三）"/>
    <w:basedOn w:val="1"/>
    <w:qFormat/>
    <w:uiPriority w:val="0"/>
    <w:pPr>
      <w:spacing w:line="360" w:lineRule="auto"/>
      <w:ind w:firstLine="200" w:firstLineChars="200"/>
    </w:pPr>
    <w:rPr>
      <w:sz w:val="24"/>
    </w:rPr>
  </w:style>
  <w:style w:type="paragraph" w:customStyle="1" w:styleId="376">
    <w:name w:val="MM Topic 3"/>
    <w:basedOn w:val="7"/>
    <w:qFormat/>
    <w:uiPriority w:val="0"/>
    <w:pPr>
      <w:numPr>
        <w:ilvl w:val="0"/>
        <w:numId w:val="0"/>
      </w:numPr>
      <w:tabs>
        <w:tab w:val="left" w:pos="840"/>
        <w:tab w:val="left" w:pos="1680"/>
        <w:tab w:val="clear" w:pos="900"/>
      </w:tabs>
      <w:adjustRightInd/>
      <w:ind w:left="1680" w:hanging="420"/>
    </w:pPr>
  </w:style>
  <w:style w:type="paragraph" w:customStyle="1" w:styleId="37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78">
    <w:name w:val="图中文字"/>
    <w:basedOn w:val="1"/>
    <w:qFormat/>
    <w:uiPriority w:val="0"/>
    <w:pPr>
      <w:snapToGrid w:val="0"/>
      <w:spacing w:line="0" w:lineRule="atLeast"/>
      <w:ind w:firstLine="200" w:firstLineChars="200"/>
      <w:jc w:val="center"/>
    </w:pPr>
    <w:rPr>
      <w:sz w:val="24"/>
      <w:szCs w:val="20"/>
    </w:rPr>
  </w:style>
  <w:style w:type="paragraph" w:customStyle="1" w:styleId="379">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80">
    <w:name w:val="Char21"/>
    <w:basedOn w:val="1"/>
    <w:qFormat/>
    <w:uiPriority w:val="0"/>
    <w:pPr>
      <w:adjustRightInd/>
      <w:ind w:firstLine="200" w:firstLineChars="200"/>
    </w:pPr>
    <w:rPr>
      <w:rFonts w:ascii="仿宋_GB2312" w:eastAsia="仿宋_GB2312"/>
      <w:b/>
      <w:sz w:val="32"/>
      <w:szCs w:val="32"/>
    </w:rPr>
  </w:style>
  <w:style w:type="paragraph" w:customStyle="1" w:styleId="38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2">
    <w:name w:val="标题4-dyf"/>
    <w:basedOn w:val="8"/>
    <w:link w:val="383"/>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383">
    <w:name w:val="标题4-dyf Char"/>
    <w:link w:val="382"/>
    <w:qFormat/>
    <w:uiPriority w:val="0"/>
    <w:rPr>
      <w:rFonts w:ascii="Cambria" w:hAnsi="Cambria"/>
      <w:b/>
      <w:bCs/>
      <w:color w:val="000000"/>
      <w:kern w:val="2"/>
      <w:sz w:val="21"/>
      <w:szCs w:val="21"/>
    </w:rPr>
  </w:style>
  <w:style w:type="paragraph" w:customStyle="1" w:styleId="384">
    <w:name w:val="Char1 Char Char Char4"/>
    <w:basedOn w:val="1"/>
    <w:qFormat/>
    <w:uiPriority w:val="0"/>
    <w:pPr>
      <w:adjustRightInd/>
      <w:ind w:firstLine="200" w:firstLineChars="200"/>
    </w:pPr>
    <w:rPr>
      <w:rFonts w:ascii="Tahoma" w:hAnsi="Tahoma"/>
      <w:sz w:val="24"/>
      <w:szCs w:val="20"/>
    </w:rPr>
  </w:style>
  <w:style w:type="paragraph" w:customStyle="1" w:styleId="385">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86">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87">
    <w:name w:val="Char23"/>
    <w:basedOn w:val="1"/>
    <w:qFormat/>
    <w:uiPriority w:val="0"/>
    <w:rPr>
      <w:rFonts w:ascii="仿宋_GB2312" w:eastAsia="仿宋_GB2312"/>
      <w:b/>
      <w:sz w:val="32"/>
      <w:szCs w:val="32"/>
    </w:rPr>
  </w:style>
  <w:style w:type="paragraph" w:customStyle="1" w:styleId="388">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89">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9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91">
    <w:name w:val="此正文"/>
    <w:basedOn w:val="1"/>
    <w:link w:val="392"/>
    <w:qFormat/>
    <w:uiPriority w:val="0"/>
    <w:pPr>
      <w:adjustRightInd/>
      <w:spacing w:line="360" w:lineRule="auto"/>
      <w:ind w:firstLine="200" w:firstLineChars="200"/>
    </w:pPr>
    <w:rPr>
      <w:sz w:val="24"/>
    </w:rPr>
  </w:style>
  <w:style w:type="character" w:customStyle="1" w:styleId="392">
    <w:name w:val="此正文 Char"/>
    <w:link w:val="391"/>
    <w:qFormat/>
    <w:uiPriority w:val="0"/>
    <w:rPr>
      <w:kern w:val="2"/>
      <w:sz w:val="24"/>
      <w:szCs w:val="24"/>
    </w:rPr>
  </w:style>
  <w:style w:type="paragraph" w:customStyle="1" w:styleId="39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9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95">
    <w:name w:val="Char3 Char Char Char"/>
    <w:basedOn w:val="1"/>
    <w:qFormat/>
    <w:uiPriority w:val="0"/>
    <w:pPr>
      <w:widowControl/>
      <w:adjustRightInd/>
      <w:spacing w:after="160" w:line="240" w:lineRule="exact"/>
      <w:jc w:val="left"/>
    </w:pPr>
    <w:rPr>
      <w:szCs w:val="20"/>
    </w:rPr>
  </w:style>
  <w:style w:type="paragraph" w:customStyle="1" w:styleId="39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97">
    <w:name w:val="Normal0"/>
    <w:qFormat/>
    <w:uiPriority w:val="0"/>
    <w:rPr>
      <w:rFonts w:ascii="Times New Roman" w:hAnsi="Times New Roman" w:eastAsia="宋体" w:cs="Times New Roman"/>
      <w:lang w:val="en-US" w:eastAsia="en-US" w:bidi="ar-SA"/>
    </w:rPr>
  </w:style>
  <w:style w:type="paragraph" w:customStyle="1" w:styleId="398">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99">
    <w:name w:val="a1"/>
    <w:basedOn w:val="1"/>
    <w:qFormat/>
    <w:uiPriority w:val="0"/>
    <w:pPr>
      <w:widowControl/>
      <w:spacing w:line="300" w:lineRule="atLeast"/>
      <w:jc w:val="left"/>
    </w:pPr>
    <w:rPr>
      <w:rFonts w:ascii="宋体" w:hAnsi="宋体"/>
      <w:kern w:val="0"/>
      <w:sz w:val="18"/>
      <w:szCs w:val="20"/>
    </w:rPr>
  </w:style>
  <w:style w:type="paragraph" w:customStyle="1" w:styleId="40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40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402">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403">
    <w:name w:val="Thf"/>
    <w:basedOn w:val="120"/>
    <w:qFormat/>
    <w:uiPriority w:val="0"/>
    <w:pPr>
      <w:ind w:left="0"/>
    </w:pPr>
  </w:style>
  <w:style w:type="paragraph" w:customStyle="1" w:styleId="404">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05">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0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0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408">
    <w:name w:val="_Style 12"/>
    <w:basedOn w:val="20"/>
    <w:qFormat/>
    <w:uiPriority w:val="0"/>
    <w:pPr>
      <w:snapToGrid w:val="0"/>
      <w:spacing w:line="360" w:lineRule="auto"/>
    </w:pPr>
  </w:style>
  <w:style w:type="paragraph" w:customStyle="1" w:styleId="40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11">
    <w:name w:val="标书标题2"/>
    <w:basedOn w:val="5"/>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12">
    <w:name w:val="Char Char"/>
    <w:basedOn w:val="1"/>
    <w:qFormat/>
    <w:uiPriority w:val="0"/>
    <w:pPr>
      <w:spacing w:line="360" w:lineRule="auto"/>
    </w:pPr>
    <w:rPr>
      <w:rFonts w:ascii="Tahoma" w:hAnsi="Tahoma"/>
      <w:sz w:val="24"/>
      <w:szCs w:val="20"/>
    </w:rPr>
  </w:style>
  <w:style w:type="paragraph" w:customStyle="1" w:styleId="41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14">
    <w:name w:val="样式 标题 1 + 黑色 段前: 0.5 行 段后: 0.5 行1"/>
    <w:basedOn w:val="4"/>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15">
    <w:name w:val="彩色列表 - 强调文字颜色 12"/>
    <w:basedOn w:val="1"/>
    <w:qFormat/>
    <w:uiPriority w:val="0"/>
    <w:pPr>
      <w:adjustRightInd/>
      <w:ind w:firstLine="420" w:firstLineChars="200"/>
    </w:pPr>
    <w:rPr>
      <w:rFonts w:ascii="Calibri" w:hAnsi="Calibri"/>
      <w:szCs w:val="22"/>
    </w:rPr>
  </w:style>
  <w:style w:type="paragraph" w:customStyle="1" w:styleId="416">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17">
    <w:name w:val="Char19"/>
    <w:basedOn w:val="1"/>
    <w:qFormat/>
    <w:uiPriority w:val="0"/>
    <w:pPr>
      <w:adjustRightInd/>
    </w:pPr>
    <w:rPr>
      <w:szCs w:val="20"/>
    </w:rPr>
  </w:style>
  <w:style w:type="paragraph" w:customStyle="1" w:styleId="418">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419">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420">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421">
    <w:name w:val="表格（小）"/>
    <w:basedOn w:val="1"/>
    <w:qFormat/>
    <w:uiPriority w:val="0"/>
    <w:pPr>
      <w:adjustRightInd/>
      <w:snapToGrid w:val="0"/>
      <w:spacing w:line="300" w:lineRule="auto"/>
    </w:pPr>
    <w:rPr>
      <w:rFonts w:eastAsia="仿宋"/>
      <w:szCs w:val="21"/>
    </w:rPr>
  </w:style>
  <w:style w:type="paragraph" w:customStyle="1" w:styleId="422">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423">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2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425">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426">
    <w:name w:val="Char Char Char Char2"/>
    <w:basedOn w:val="1"/>
    <w:qFormat/>
    <w:uiPriority w:val="0"/>
    <w:rPr>
      <w:rFonts w:ascii="Tahoma" w:hAnsi="Tahoma"/>
      <w:sz w:val="24"/>
      <w:szCs w:val="20"/>
    </w:rPr>
  </w:style>
  <w:style w:type="paragraph" w:customStyle="1" w:styleId="427">
    <w:name w:val="p0"/>
    <w:basedOn w:val="1"/>
    <w:qFormat/>
    <w:uiPriority w:val="0"/>
    <w:pPr>
      <w:widowControl/>
      <w:adjustRightInd/>
    </w:pPr>
    <w:rPr>
      <w:kern w:val="0"/>
      <w:szCs w:val="21"/>
    </w:rPr>
  </w:style>
  <w:style w:type="paragraph" w:customStyle="1" w:styleId="428">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29">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430">
    <w:name w:val="默认段落样式"/>
    <w:basedOn w:val="431"/>
    <w:qFormat/>
    <w:uiPriority w:val="0"/>
    <w:pPr>
      <w:spacing w:before="0"/>
      <w:ind w:firstLine="480"/>
      <w:outlineLvl w:val="2"/>
    </w:pPr>
    <w:rPr>
      <w:rFonts w:ascii="仿宋_GB2312" w:hAnsi="宋体" w:eastAsia="仿宋_GB2312"/>
      <w:color w:val="000000"/>
      <w:szCs w:val="24"/>
    </w:rPr>
  </w:style>
  <w:style w:type="paragraph" w:customStyle="1" w:styleId="431">
    <w:name w:val="正文2"/>
    <w:basedOn w:val="1"/>
    <w:link w:val="432"/>
    <w:qFormat/>
    <w:uiPriority w:val="0"/>
    <w:pPr>
      <w:spacing w:before="156" w:line="360" w:lineRule="auto"/>
      <w:ind w:firstLine="510" w:firstLineChars="200"/>
    </w:pPr>
    <w:rPr>
      <w:sz w:val="24"/>
      <w:szCs w:val="20"/>
    </w:rPr>
  </w:style>
  <w:style w:type="character" w:customStyle="1" w:styleId="432">
    <w:name w:val="正文2 Char Char"/>
    <w:link w:val="431"/>
    <w:qFormat/>
    <w:uiPriority w:val="0"/>
    <w:rPr>
      <w:rFonts w:eastAsia="宋体"/>
      <w:kern w:val="2"/>
      <w:sz w:val="24"/>
      <w:lang w:val="en-US" w:eastAsia="zh-CN" w:bidi="ar-SA"/>
    </w:rPr>
  </w:style>
  <w:style w:type="paragraph" w:customStyle="1" w:styleId="43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3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bullet"/>
    <w:basedOn w:val="1"/>
    <w:qFormat/>
    <w:uiPriority w:val="0"/>
    <w:pPr>
      <w:tabs>
        <w:tab w:val="left" w:pos="840"/>
      </w:tabs>
      <w:adjustRightInd/>
      <w:ind w:left="840" w:hanging="420"/>
    </w:pPr>
  </w:style>
  <w:style w:type="paragraph" w:customStyle="1" w:styleId="437">
    <w:name w:val="五级条标题"/>
    <w:basedOn w:val="202"/>
    <w:next w:val="166"/>
    <w:qFormat/>
    <w:uiPriority w:val="0"/>
    <w:pPr>
      <w:tabs>
        <w:tab w:val="clear" w:pos="2940"/>
      </w:tabs>
      <w:ind w:left="2940" w:hanging="420"/>
      <w:outlineLvl w:val="6"/>
    </w:pPr>
  </w:style>
  <w:style w:type="paragraph" w:customStyle="1" w:styleId="438">
    <w:name w:val="Char Char Char Char Char Char Char Char"/>
    <w:basedOn w:val="1"/>
    <w:qFormat/>
    <w:uiPriority w:val="0"/>
    <w:pPr>
      <w:tabs>
        <w:tab w:val="left" w:pos="360"/>
      </w:tabs>
    </w:pPr>
    <w:rPr>
      <w:sz w:val="24"/>
      <w:szCs w:val="20"/>
    </w:rPr>
  </w:style>
  <w:style w:type="paragraph" w:customStyle="1" w:styleId="43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40">
    <w:name w:val="数字标题5"/>
    <w:basedOn w:val="9"/>
    <w:next w:val="1"/>
    <w:qFormat/>
    <w:uiPriority w:val="0"/>
    <w:pPr>
      <w:numPr>
        <w:ilvl w:val="0"/>
        <w:numId w:val="0"/>
      </w:numPr>
      <w:tabs>
        <w:tab w:val="left" w:pos="480"/>
        <w:tab w:val="left" w:pos="1080"/>
        <w:tab w:val="clear" w:pos="1008"/>
      </w:tabs>
      <w:ind w:left="1080" w:hanging="1080"/>
    </w:pPr>
  </w:style>
  <w:style w:type="paragraph" w:customStyle="1" w:styleId="44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42">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4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44">
    <w:name w:val="0"/>
    <w:basedOn w:val="1"/>
    <w:qFormat/>
    <w:uiPriority w:val="0"/>
    <w:pPr>
      <w:widowControl/>
    </w:pPr>
    <w:rPr>
      <w:kern w:val="0"/>
      <w:sz w:val="24"/>
      <w:szCs w:val="20"/>
    </w:rPr>
  </w:style>
  <w:style w:type="paragraph" w:customStyle="1" w:styleId="445">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46">
    <w:name w:val="b11_01b"/>
    <w:basedOn w:val="1"/>
    <w:next w:val="1"/>
    <w:link w:val="44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447">
    <w:name w:val="b11_01b Char"/>
    <w:link w:val="446"/>
    <w:qFormat/>
    <w:uiPriority w:val="0"/>
    <w:rPr>
      <w:rFonts w:ascii="Verdana" w:hAnsi="Verdana"/>
      <w:b/>
      <w:bCs/>
      <w:color w:val="4A82CA"/>
      <w:sz w:val="17"/>
      <w:szCs w:val="17"/>
    </w:rPr>
  </w:style>
  <w:style w:type="paragraph" w:customStyle="1" w:styleId="448">
    <w:name w:val="MM Topic 5"/>
    <w:basedOn w:val="9"/>
    <w:qFormat/>
    <w:uiPriority w:val="0"/>
    <w:pPr>
      <w:numPr>
        <w:ilvl w:val="0"/>
        <w:numId w:val="0"/>
      </w:numPr>
      <w:tabs>
        <w:tab w:val="left" w:pos="840"/>
        <w:tab w:val="left" w:pos="2520"/>
        <w:tab w:val="clear" w:pos="1008"/>
      </w:tabs>
      <w:adjustRightInd/>
      <w:ind w:left="2520" w:hanging="420"/>
    </w:pPr>
  </w:style>
  <w:style w:type="paragraph" w:customStyle="1" w:styleId="449">
    <w:name w:val="样式 标题 3标题 3 Char第二层条h33Bold Headbh章标题1小标题level_3PIM 3..."/>
    <w:basedOn w:val="7"/>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5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51">
    <w:name w:val="数字标题1"/>
    <w:basedOn w:val="4"/>
    <w:next w:val="1"/>
    <w:qFormat/>
    <w:uiPriority w:val="0"/>
    <w:pPr>
      <w:numPr>
        <w:numId w:val="0"/>
      </w:numPr>
      <w:tabs>
        <w:tab w:val="left" w:pos="480"/>
        <w:tab w:val="clear" w:pos="432"/>
      </w:tabs>
      <w:ind w:left="480" w:hanging="480"/>
    </w:pPr>
  </w:style>
  <w:style w:type="paragraph" w:customStyle="1" w:styleId="452">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53">
    <w:name w:val="标书标题3"/>
    <w:basedOn w:val="7"/>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5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5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5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5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5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59">
    <w:name w:val="MM Topic 1"/>
    <w:basedOn w:val="4"/>
    <w:qFormat/>
    <w:uiPriority w:val="0"/>
    <w:pPr>
      <w:numPr>
        <w:numId w:val="0"/>
      </w:numPr>
      <w:tabs>
        <w:tab w:val="left" w:pos="840"/>
        <w:tab w:val="clear" w:pos="432"/>
      </w:tabs>
      <w:adjustRightInd/>
      <w:ind w:left="840" w:hanging="420"/>
    </w:pPr>
  </w:style>
  <w:style w:type="paragraph" w:customStyle="1" w:styleId="460">
    <w:name w:val="Char Char Char Char Char Char Char Char1"/>
    <w:basedOn w:val="1"/>
    <w:qFormat/>
    <w:uiPriority w:val="0"/>
    <w:pPr>
      <w:tabs>
        <w:tab w:val="left" w:pos="360"/>
      </w:tabs>
    </w:pPr>
    <w:rPr>
      <w:sz w:val="24"/>
      <w:szCs w:val="20"/>
    </w:rPr>
  </w:style>
  <w:style w:type="paragraph" w:customStyle="1" w:styleId="4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62">
    <w:name w:val="Char3 Char Char Char1"/>
    <w:basedOn w:val="1"/>
    <w:qFormat/>
    <w:uiPriority w:val="0"/>
    <w:pPr>
      <w:widowControl/>
      <w:adjustRightInd/>
      <w:spacing w:after="160" w:line="240" w:lineRule="exact"/>
      <w:jc w:val="left"/>
    </w:pPr>
    <w:rPr>
      <w:szCs w:val="20"/>
    </w:rPr>
  </w:style>
  <w:style w:type="paragraph" w:customStyle="1" w:styleId="463">
    <w:name w:val="Char Char12"/>
    <w:basedOn w:val="1"/>
    <w:qFormat/>
    <w:uiPriority w:val="0"/>
    <w:pPr>
      <w:widowControl/>
      <w:spacing w:after="160" w:line="240" w:lineRule="exact"/>
      <w:jc w:val="left"/>
    </w:pPr>
    <w:rPr>
      <w:rFonts w:eastAsia="仿宋_GB2312"/>
      <w:sz w:val="28"/>
    </w:rPr>
  </w:style>
  <w:style w:type="paragraph" w:customStyle="1" w:styleId="46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6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66">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67">
    <w:name w:val="单元格左对齐"/>
    <w:basedOn w:val="1"/>
    <w:qFormat/>
    <w:uiPriority w:val="0"/>
    <w:pPr>
      <w:adjustRightInd/>
      <w:spacing w:line="360" w:lineRule="auto"/>
    </w:pPr>
    <w:rPr>
      <w:sz w:val="24"/>
    </w:rPr>
  </w:style>
  <w:style w:type="paragraph" w:customStyle="1" w:styleId="46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6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70">
    <w:name w:val="正文文本 Char"/>
    <w:qFormat/>
    <w:uiPriority w:val="0"/>
    <w:rPr>
      <w:rFonts w:eastAsia="宋体"/>
      <w:kern w:val="2"/>
      <w:sz w:val="24"/>
      <w:szCs w:val="24"/>
      <w:lang w:val="en-US" w:eastAsia="zh-CN" w:bidi="ar-SA"/>
    </w:rPr>
  </w:style>
  <w:style w:type="character" w:customStyle="1" w:styleId="471">
    <w:name w:val="myp1111"/>
    <w:qFormat/>
    <w:uiPriority w:val="0"/>
    <w:rPr>
      <w:rFonts w:hint="default" w:ascii="ˎ̥" w:hAnsi="ˎ̥"/>
      <w:color w:val="000000"/>
      <w:sz w:val="20"/>
      <w:szCs w:val="20"/>
      <w:u w:val="none"/>
    </w:rPr>
  </w:style>
  <w:style w:type="character" w:customStyle="1" w:styleId="472">
    <w:name w:val="mdeck"/>
    <w:qFormat/>
    <w:uiPriority w:val="0"/>
    <w:rPr>
      <w:rFonts w:ascii="仿宋_GB2312" w:eastAsia="微软雅黑"/>
      <w:b/>
      <w:kern w:val="2"/>
      <w:sz w:val="32"/>
      <w:szCs w:val="32"/>
      <w:lang w:val="en-US" w:eastAsia="zh-CN" w:bidi="ar-SA"/>
    </w:rPr>
  </w:style>
  <w:style w:type="character" w:customStyle="1" w:styleId="473">
    <w:name w:val="tw4winMark"/>
    <w:qFormat/>
    <w:uiPriority w:val="0"/>
    <w:rPr>
      <w:rFonts w:ascii="Courier New" w:hAnsi="Courier New" w:cs="Courier New"/>
      <w:vanish/>
      <w:color w:val="800080"/>
      <w:sz w:val="24"/>
      <w:szCs w:val="24"/>
      <w:vertAlign w:val="subscript"/>
    </w:rPr>
  </w:style>
  <w:style w:type="character" w:customStyle="1" w:styleId="474">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75">
    <w:name w:val="Balloon Text Char"/>
    <w:semiHidden/>
    <w:qFormat/>
    <w:locked/>
    <w:uiPriority w:val="0"/>
    <w:rPr>
      <w:rFonts w:eastAsia="宋体"/>
      <w:kern w:val="2"/>
      <w:sz w:val="18"/>
      <w:szCs w:val="18"/>
      <w:lang w:val="en-US" w:eastAsia="zh-CN" w:bidi="ar-SA"/>
    </w:rPr>
  </w:style>
  <w:style w:type="character" w:customStyle="1" w:styleId="476">
    <w:name w:val="正文非缩进 Char"/>
    <w:qFormat/>
    <w:uiPriority w:val="0"/>
    <w:rPr>
      <w:rFonts w:ascii="宋体" w:eastAsia="宋体"/>
      <w:snapToGrid w:val="0"/>
      <w:color w:val="000000"/>
      <w:kern w:val="28"/>
      <w:sz w:val="28"/>
      <w:lang w:val="en-US" w:eastAsia="zh-CN" w:bidi="ar-SA"/>
    </w:rPr>
  </w:style>
  <w:style w:type="character" w:customStyle="1" w:styleId="477">
    <w:name w:val="Ò³Ã¼ Char Char"/>
    <w:qFormat/>
    <w:uiPriority w:val="0"/>
    <w:rPr>
      <w:rFonts w:eastAsia="宋体"/>
      <w:kern w:val="2"/>
      <w:sz w:val="18"/>
      <w:lang w:val="en-US" w:eastAsia="zh-CN" w:bidi="ar-SA"/>
    </w:rPr>
  </w:style>
  <w:style w:type="character" w:customStyle="1" w:styleId="478">
    <w:name w:val="style91"/>
    <w:qFormat/>
    <w:uiPriority w:val="0"/>
    <w:rPr>
      <w:color w:val="333333"/>
    </w:rPr>
  </w:style>
  <w:style w:type="character" w:customStyle="1" w:styleId="479">
    <w:name w:val="标书1 Char"/>
    <w:qFormat/>
    <w:uiPriority w:val="0"/>
    <w:rPr>
      <w:rFonts w:eastAsia="宋体"/>
      <w:b/>
      <w:bCs/>
      <w:kern w:val="44"/>
      <w:sz w:val="44"/>
      <w:szCs w:val="44"/>
      <w:lang w:val="en-US" w:eastAsia="zh-CN" w:bidi="ar-SA"/>
    </w:rPr>
  </w:style>
  <w:style w:type="character" w:customStyle="1" w:styleId="480">
    <w:name w:val="ca-131"/>
    <w:qFormat/>
    <w:uiPriority w:val="0"/>
    <w:rPr>
      <w:rFonts w:hint="eastAsia" w:ascii="仿宋_GB2312" w:eastAsia="仿宋_GB2312"/>
      <w:b/>
      <w:bCs/>
      <w:color w:val="000000"/>
      <w:spacing w:val="-20"/>
      <w:sz w:val="24"/>
      <w:szCs w:val="24"/>
    </w:rPr>
  </w:style>
  <w:style w:type="character" w:customStyle="1" w:styleId="481">
    <w:name w:val="标书正文格式 Char"/>
    <w:qFormat/>
    <w:uiPriority w:val="0"/>
    <w:rPr>
      <w:rFonts w:eastAsia="楷体_GB2312"/>
      <w:kern w:val="2"/>
      <w:sz w:val="24"/>
      <w:szCs w:val="24"/>
      <w:lang w:bidi="ar-SA"/>
    </w:rPr>
  </w:style>
  <w:style w:type="character" w:customStyle="1" w:styleId="482">
    <w:name w:val="Char Char6"/>
    <w:qFormat/>
    <w:uiPriority w:val="0"/>
    <w:rPr>
      <w:rFonts w:eastAsia="宋体"/>
      <w:kern w:val="2"/>
      <w:sz w:val="21"/>
      <w:szCs w:val="24"/>
      <w:lang w:val="en-US" w:eastAsia="zh-CN" w:bidi="ar-SA"/>
    </w:rPr>
  </w:style>
  <w:style w:type="character" w:customStyle="1" w:styleId="483">
    <w:name w:val="content"/>
    <w:qFormat/>
    <w:uiPriority w:val="0"/>
  </w:style>
  <w:style w:type="character" w:customStyle="1" w:styleId="484">
    <w:name w:val="正文文本 2 Char"/>
    <w:qFormat/>
    <w:uiPriority w:val="0"/>
    <w:rPr>
      <w:rFonts w:eastAsia="宋体"/>
      <w:kern w:val="2"/>
      <w:sz w:val="21"/>
      <w:szCs w:val="24"/>
      <w:lang w:val="en-US" w:eastAsia="zh-CN" w:bidi="ar-SA"/>
    </w:rPr>
  </w:style>
  <w:style w:type="character" w:customStyle="1" w:styleId="485">
    <w:name w:val="Heading 2 Hidden Char"/>
    <w:qFormat/>
    <w:uiPriority w:val="0"/>
    <w:rPr>
      <w:rFonts w:ascii="仿宋_GB2312" w:eastAsia="仿宋_GB2312"/>
      <w:b/>
      <w:bCs/>
      <w:kern w:val="2"/>
      <w:sz w:val="24"/>
      <w:szCs w:val="24"/>
      <w:lang w:val="zh-CN" w:eastAsia="zh-CN" w:bidi="ar-SA"/>
    </w:rPr>
  </w:style>
  <w:style w:type="character" w:customStyle="1" w:styleId="486">
    <w:name w:val="首行缩进 Char"/>
    <w:qFormat/>
    <w:uiPriority w:val="0"/>
    <w:rPr>
      <w:rFonts w:ascii="宋体" w:eastAsia="宋体"/>
      <w:kern w:val="2"/>
      <w:sz w:val="24"/>
      <w:lang w:val="en-US" w:eastAsia="zh-CN" w:bidi="ar-SA"/>
    </w:rPr>
  </w:style>
  <w:style w:type="character" w:customStyle="1" w:styleId="48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88">
    <w:name w:val="普通文字 Char Char1"/>
    <w:qFormat/>
    <w:uiPriority w:val="0"/>
    <w:rPr>
      <w:rFonts w:ascii="宋体" w:hAnsi="Courier New"/>
      <w:kern w:val="2"/>
      <w:sz w:val="21"/>
    </w:rPr>
  </w:style>
  <w:style w:type="character" w:customStyle="1" w:styleId="489">
    <w:name w:val="Footer-Even Char"/>
    <w:qFormat/>
    <w:uiPriority w:val="0"/>
    <w:rPr>
      <w:rFonts w:eastAsia="宋体"/>
      <w:kern w:val="2"/>
      <w:sz w:val="18"/>
      <w:lang w:val="en-US" w:eastAsia="zh-CN" w:bidi="ar-SA"/>
    </w:rPr>
  </w:style>
  <w:style w:type="character" w:customStyle="1" w:styleId="490">
    <w:name w:val="dandyren_title1"/>
    <w:qFormat/>
    <w:uiPriority w:val="0"/>
    <w:rPr>
      <w:b/>
      <w:bCs/>
      <w:color w:val="FF6633"/>
      <w:sz w:val="18"/>
      <w:szCs w:val="18"/>
    </w:rPr>
  </w:style>
  <w:style w:type="character" w:customStyle="1" w:styleId="491">
    <w:name w:val="标题 3 Char2"/>
    <w:qFormat/>
    <w:uiPriority w:val="0"/>
    <w:rPr>
      <w:rFonts w:eastAsia="宋体"/>
      <w:b/>
      <w:bCs/>
      <w:kern w:val="2"/>
      <w:sz w:val="32"/>
      <w:szCs w:val="32"/>
      <w:lang w:val="en-US" w:eastAsia="zh-CN" w:bidi="ar-SA"/>
    </w:rPr>
  </w:style>
  <w:style w:type="character" w:customStyle="1" w:styleId="492">
    <w:name w:val="gray6"/>
    <w:basedOn w:val="62"/>
    <w:qFormat/>
    <w:uiPriority w:val="0"/>
  </w:style>
  <w:style w:type="character" w:customStyle="1" w:styleId="493">
    <w:name w:val="标准正文格式 Char"/>
    <w:qFormat/>
    <w:uiPriority w:val="0"/>
    <w:rPr>
      <w:rFonts w:ascii="宋体" w:eastAsia="仿宋_GB2312" w:cs="宋体"/>
      <w:color w:val="000000"/>
      <w:sz w:val="24"/>
      <w:lang w:val="en-US" w:eastAsia="zh-CN" w:bidi="ar-SA"/>
    </w:rPr>
  </w:style>
  <w:style w:type="character" w:customStyle="1" w:styleId="494">
    <w:name w:val="Char Char3"/>
    <w:qFormat/>
    <w:uiPriority w:val="0"/>
    <w:rPr>
      <w:rFonts w:eastAsia="宋体"/>
      <w:kern w:val="2"/>
      <w:sz w:val="21"/>
      <w:szCs w:val="24"/>
      <w:lang w:val="en-US" w:eastAsia="zh-CN" w:bidi="ar-SA"/>
    </w:rPr>
  </w:style>
  <w:style w:type="character" w:customStyle="1" w:styleId="495">
    <w:name w:val="px14"/>
    <w:qFormat/>
    <w:uiPriority w:val="0"/>
    <w:rPr>
      <w:rFonts w:ascii="仿宋_GB2312" w:eastAsia="微软雅黑" w:cs="Times New Roman"/>
      <w:b/>
      <w:kern w:val="2"/>
      <w:sz w:val="32"/>
      <w:szCs w:val="32"/>
      <w:lang w:val="en-US" w:eastAsia="zh-CN" w:bidi="ar-SA"/>
    </w:rPr>
  </w:style>
  <w:style w:type="character" w:customStyle="1" w:styleId="496">
    <w:name w:val="txt"/>
    <w:qFormat/>
    <w:uiPriority w:val="0"/>
    <w:rPr>
      <w:rFonts w:ascii="仿宋_GB2312" w:eastAsia="微软雅黑"/>
      <w:b/>
      <w:kern w:val="2"/>
      <w:sz w:val="32"/>
      <w:szCs w:val="32"/>
      <w:lang w:val="en-US" w:eastAsia="zh-CN" w:bidi="ar-SA"/>
    </w:rPr>
  </w:style>
  <w:style w:type="character" w:customStyle="1" w:styleId="497">
    <w:name w:val="Comment Text Char"/>
    <w:semiHidden/>
    <w:qFormat/>
    <w:locked/>
    <w:uiPriority w:val="0"/>
    <w:rPr>
      <w:rFonts w:ascii="宋体" w:hAnsi="宋体" w:eastAsia="宋体"/>
      <w:kern w:val="2"/>
      <w:sz w:val="24"/>
      <w:lang w:val="en-US" w:eastAsia="zh-CN" w:bidi="ar-SA"/>
    </w:rPr>
  </w:style>
  <w:style w:type="character" w:customStyle="1" w:styleId="498">
    <w:name w:val="tw4winExternal"/>
    <w:qFormat/>
    <w:uiPriority w:val="0"/>
    <w:rPr>
      <w:rFonts w:ascii="Courier New" w:hAnsi="Courier New" w:cs="Courier New"/>
      <w:color w:val="808080"/>
    </w:rPr>
  </w:style>
  <w:style w:type="character" w:customStyle="1" w:styleId="499">
    <w:name w:val="Char Char10"/>
    <w:semiHidden/>
    <w:qFormat/>
    <w:uiPriority w:val="0"/>
    <w:rPr>
      <w:rFonts w:ascii="宋体" w:hAnsi="宋体"/>
      <w:kern w:val="2"/>
      <w:sz w:val="21"/>
      <w:szCs w:val="24"/>
    </w:rPr>
  </w:style>
  <w:style w:type="character" w:customStyle="1" w:styleId="500">
    <w:name w:val="Bold"/>
    <w:qFormat/>
    <w:uiPriority w:val="0"/>
    <w:rPr>
      <w:rFonts w:ascii="Arial" w:hAnsi="Arial" w:eastAsia="黑体" w:cs="Times New Roman"/>
      <w:b/>
      <w:kern w:val="2"/>
      <w:sz w:val="32"/>
      <w:szCs w:val="32"/>
      <w:lang w:val="en-US" w:eastAsia="zh-CN" w:bidi="ar-SA"/>
    </w:rPr>
  </w:style>
  <w:style w:type="character" w:customStyle="1" w:styleId="501">
    <w:name w:val="Font Style82"/>
    <w:qFormat/>
    <w:uiPriority w:val="99"/>
    <w:rPr>
      <w:rFonts w:ascii="宋体" w:eastAsia="宋体" w:cs="宋体"/>
      <w:color w:val="000000"/>
      <w:sz w:val="14"/>
      <w:szCs w:val="14"/>
    </w:rPr>
  </w:style>
  <w:style w:type="character" w:customStyle="1" w:styleId="502">
    <w:name w:val="标题 2 Char"/>
    <w:qFormat/>
    <w:uiPriority w:val="0"/>
    <w:rPr>
      <w:rFonts w:ascii="Arial" w:hAnsi="Arial" w:eastAsia="黑体"/>
      <w:b/>
      <w:kern w:val="2"/>
      <w:sz w:val="32"/>
      <w:lang w:val="en-US" w:eastAsia="zh-CN"/>
    </w:rPr>
  </w:style>
  <w:style w:type="character" w:customStyle="1" w:styleId="503">
    <w:name w:val="h3 Char"/>
    <w:qFormat/>
    <w:uiPriority w:val="0"/>
    <w:rPr>
      <w:rFonts w:eastAsia="宋体"/>
      <w:b/>
      <w:kern w:val="2"/>
      <w:sz w:val="32"/>
      <w:lang w:val="en-US" w:eastAsia="zh-CN" w:bidi="ar-SA"/>
    </w:rPr>
  </w:style>
  <w:style w:type="character" w:customStyle="1" w:styleId="504">
    <w:name w:val="页眉 Char1"/>
    <w:qFormat/>
    <w:uiPriority w:val="0"/>
    <w:rPr>
      <w:rFonts w:eastAsia="宋体"/>
      <w:kern w:val="2"/>
      <w:sz w:val="18"/>
      <w:szCs w:val="18"/>
      <w:lang w:val="en-US" w:eastAsia="zh-CN" w:bidi="ar-SA"/>
    </w:rPr>
  </w:style>
  <w:style w:type="character" w:customStyle="1" w:styleId="505">
    <w:name w:val="font12gray1"/>
    <w:qFormat/>
    <w:uiPriority w:val="0"/>
    <w:rPr>
      <w:rFonts w:ascii="仿宋_GB2312" w:eastAsia="微软雅黑"/>
      <w:b/>
      <w:spacing w:val="300"/>
      <w:kern w:val="2"/>
      <w:sz w:val="18"/>
      <w:szCs w:val="18"/>
      <w:lang w:val="en-US" w:eastAsia="zh-CN" w:bidi="ar-SA"/>
    </w:rPr>
  </w:style>
  <w:style w:type="character" w:customStyle="1" w:styleId="506">
    <w:name w:val="方案正文 Char"/>
    <w:qFormat/>
    <w:uiPriority w:val="0"/>
    <w:rPr>
      <w:rFonts w:ascii="仿宋_GB2312" w:eastAsia="仿宋_GB2312"/>
      <w:b/>
      <w:color w:val="000000"/>
      <w:kern w:val="2"/>
      <w:sz w:val="24"/>
      <w:lang w:val="en-US" w:eastAsia="zh-CN" w:bidi="ar-SA"/>
    </w:rPr>
  </w:style>
  <w:style w:type="character" w:customStyle="1" w:styleId="507">
    <w:name w:val="Normal Indent Char Char"/>
    <w:qFormat/>
    <w:uiPriority w:val="0"/>
    <w:rPr>
      <w:rFonts w:eastAsia="宋体"/>
      <w:kern w:val="2"/>
      <w:sz w:val="21"/>
      <w:lang w:val="en-US" w:eastAsia="zh-CN" w:bidi="ar-SA"/>
    </w:rPr>
  </w:style>
  <w:style w:type="character" w:customStyle="1" w:styleId="508">
    <w:name w:val="t21"/>
    <w:qFormat/>
    <w:uiPriority w:val="0"/>
    <w:rPr>
      <w:rFonts w:ascii="仿宋_GB2312" w:eastAsia="微软雅黑"/>
      <w:b/>
      <w:kern w:val="2"/>
      <w:sz w:val="23"/>
      <w:szCs w:val="23"/>
      <w:lang w:val="en-US" w:eastAsia="zh-CN" w:bidi="ar-SA"/>
    </w:rPr>
  </w:style>
  <w:style w:type="character" w:customStyle="1" w:styleId="509">
    <w:name w:val="Char Char121"/>
    <w:qFormat/>
    <w:uiPriority w:val="0"/>
    <w:rPr>
      <w:rFonts w:ascii="仿宋_GB2312" w:eastAsia="仿宋_GB2312"/>
      <w:b/>
      <w:bCs/>
      <w:kern w:val="2"/>
      <w:sz w:val="24"/>
      <w:szCs w:val="24"/>
      <w:lang w:val="zh-CN" w:eastAsia="zh-CN" w:bidi="ar-SA"/>
    </w:rPr>
  </w:style>
  <w:style w:type="character" w:customStyle="1" w:styleId="510">
    <w:name w:val="正文 项目 Char"/>
    <w:qFormat/>
    <w:uiPriority w:val="0"/>
    <w:rPr>
      <w:rFonts w:ascii="仿宋_GB2312" w:hAnsi="仿宋_GB2312" w:eastAsia="仿宋_GB2312"/>
      <w:kern w:val="2"/>
      <w:sz w:val="24"/>
      <w:lang w:bidi="ar-SA"/>
    </w:rPr>
  </w:style>
  <w:style w:type="character" w:customStyle="1" w:styleId="511">
    <w:name w:val="普通文字 Char1"/>
    <w:qFormat/>
    <w:uiPriority w:val="0"/>
    <w:rPr>
      <w:rFonts w:ascii="宋体" w:hAnsi="Courier New" w:eastAsia="宋体"/>
      <w:kern w:val="2"/>
      <w:sz w:val="21"/>
      <w:lang w:val="en-US" w:eastAsia="zh-CN"/>
    </w:rPr>
  </w:style>
  <w:style w:type="character" w:customStyle="1" w:styleId="512">
    <w:name w:val="正文1 Char1"/>
    <w:qFormat/>
    <w:uiPriority w:val="0"/>
    <w:rPr>
      <w:rFonts w:ascii="仿宋_GB2312" w:hAnsi="Courier New" w:eastAsia="仿宋_GB2312"/>
      <w:kern w:val="28"/>
      <w:sz w:val="24"/>
      <w:szCs w:val="24"/>
    </w:rPr>
  </w:style>
  <w:style w:type="character" w:customStyle="1" w:styleId="513">
    <w:name w:val="hei16b1"/>
    <w:qFormat/>
    <w:uiPriority w:val="0"/>
    <w:rPr>
      <w:rFonts w:hint="default" w:ascii="Arial" w:hAnsi="Arial" w:cs="Arial"/>
      <w:b/>
      <w:bCs/>
      <w:color w:val="000000"/>
      <w:sz w:val="24"/>
      <w:szCs w:val="24"/>
    </w:rPr>
  </w:style>
  <w:style w:type="character" w:customStyle="1" w:styleId="514">
    <w:name w:val="c7 style3"/>
    <w:qFormat/>
    <w:uiPriority w:val="0"/>
  </w:style>
  <w:style w:type="character" w:customStyle="1" w:styleId="515">
    <w:name w:val="表正文 Char1"/>
    <w:qFormat/>
    <w:uiPriority w:val="0"/>
    <w:rPr>
      <w:rFonts w:ascii="宋体" w:eastAsia="宋体"/>
      <w:snapToGrid w:val="0"/>
      <w:color w:val="000000"/>
      <w:kern w:val="28"/>
      <w:sz w:val="28"/>
    </w:rPr>
  </w:style>
  <w:style w:type="character" w:customStyle="1" w:styleId="516">
    <w:name w:val="Char Char5"/>
    <w:qFormat/>
    <w:uiPriority w:val="0"/>
    <w:rPr>
      <w:rFonts w:ascii="宋体" w:hAnsi="Courier New" w:eastAsia="宋体"/>
      <w:kern w:val="2"/>
      <w:sz w:val="21"/>
      <w:lang w:val="en-US" w:eastAsia="zh-CN"/>
    </w:rPr>
  </w:style>
  <w:style w:type="character" w:customStyle="1" w:styleId="517">
    <w:name w:val="标题 1 Char Char"/>
    <w:qFormat/>
    <w:uiPriority w:val="0"/>
    <w:rPr>
      <w:rFonts w:hint="eastAsia" w:ascii="宋体" w:hAnsi="宋体" w:eastAsia="宋体"/>
      <w:b/>
      <w:spacing w:val="-2"/>
      <w:sz w:val="24"/>
      <w:lang w:val="en-US" w:eastAsia="zh-CN" w:bidi="ar-SA"/>
    </w:rPr>
  </w:style>
  <w:style w:type="character" w:customStyle="1" w:styleId="518">
    <w:name w:val="Char Char4"/>
    <w:qFormat/>
    <w:uiPriority w:val="0"/>
    <w:rPr>
      <w:rFonts w:eastAsia="宋体"/>
      <w:b/>
      <w:sz w:val="24"/>
      <w:lang w:val="en-GB" w:eastAsia="zh-CN" w:bidi="ar-SA"/>
    </w:rPr>
  </w:style>
  <w:style w:type="character" w:customStyle="1" w:styleId="519">
    <w:name w:val="zbggmain style9"/>
    <w:qFormat/>
    <w:uiPriority w:val="0"/>
  </w:style>
  <w:style w:type="character" w:customStyle="1" w:styleId="520">
    <w:name w:val="Header Char"/>
    <w:semiHidden/>
    <w:qFormat/>
    <w:locked/>
    <w:uiPriority w:val="0"/>
    <w:rPr>
      <w:rFonts w:eastAsia="宋体"/>
      <w:kern w:val="2"/>
      <w:sz w:val="18"/>
      <w:szCs w:val="18"/>
      <w:lang w:val="en-US" w:eastAsia="zh-CN" w:bidi="ar-SA"/>
    </w:rPr>
  </w:style>
  <w:style w:type="character" w:customStyle="1" w:styleId="521">
    <w:name w:val="样式 宋体"/>
    <w:qFormat/>
    <w:uiPriority w:val="0"/>
    <w:rPr>
      <w:rFonts w:ascii="宋体" w:hAnsi="宋体"/>
      <w:sz w:val="24"/>
    </w:rPr>
  </w:style>
  <w:style w:type="character" w:customStyle="1" w:styleId="522">
    <w:name w:val="标题 Char"/>
    <w:qFormat/>
    <w:uiPriority w:val="0"/>
    <w:rPr>
      <w:rFonts w:eastAsia="宋体"/>
      <w:b/>
      <w:sz w:val="24"/>
      <w:lang w:val="en-GB" w:eastAsia="zh-CN" w:bidi="ar-SA"/>
    </w:rPr>
  </w:style>
  <w:style w:type="character" w:customStyle="1" w:styleId="523">
    <w:name w:val="纯文本 Char Char Char"/>
    <w:qFormat/>
    <w:uiPriority w:val="0"/>
    <w:rPr>
      <w:rFonts w:ascii="宋体" w:hAnsi="Courier New" w:eastAsia="宋体"/>
      <w:kern w:val="2"/>
      <w:sz w:val="21"/>
      <w:lang w:val="en-US" w:eastAsia="zh-CN" w:bidi="ar-SA"/>
    </w:rPr>
  </w:style>
  <w:style w:type="character" w:customStyle="1" w:styleId="524">
    <w:name w:val="正文 编号 Char"/>
    <w:qFormat/>
    <w:uiPriority w:val="0"/>
    <w:rPr>
      <w:rFonts w:ascii="仿宋_GB2312" w:hAnsi="仿宋_GB2312" w:eastAsia="仿宋_GB2312"/>
      <w:kern w:val="2"/>
      <w:sz w:val="24"/>
      <w:lang w:bidi="ar-SA"/>
    </w:rPr>
  </w:style>
  <w:style w:type="character" w:customStyle="1" w:styleId="525">
    <w:name w:val="插图说明 Char"/>
    <w:qFormat/>
    <w:uiPriority w:val="0"/>
    <w:rPr>
      <w:rFonts w:eastAsia="黑体"/>
      <w:sz w:val="24"/>
      <w:lang w:val="en-US" w:eastAsia="zh-CN"/>
    </w:rPr>
  </w:style>
  <w:style w:type="character" w:customStyle="1" w:styleId="526">
    <w:name w:val="公文正文 Char"/>
    <w:qFormat/>
    <w:uiPriority w:val="0"/>
    <w:rPr>
      <w:rFonts w:ascii="仿宋_GB2312" w:eastAsia="仿宋_GB2312"/>
      <w:kern w:val="2"/>
      <w:sz w:val="24"/>
      <w:szCs w:val="24"/>
      <w:lang w:val="en-US" w:eastAsia="zh-CN" w:bidi="ar-SA"/>
    </w:rPr>
  </w:style>
  <w:style w:type="character" w:customStyle="1" w:styleId="527">
    <w:name w:val="Char Char41"/>
    <w:qFormat/>
    <w:uiPriority w:val="0"/>
    <w:rPr>
      <w:rFonts w:eastAsia="宋体"/>
      <w:b/>
      <w:sz w:val="24"/>
      <w:lang w:val="en-GB" w:eastAsia="zh-CN" w:bidi="ar-SA"/>
    </w:rPr>
  </w:style>
  <w:style w:type="character" w:customStyle="1" w:styleId="528">
    <w:name w:val="unnamed31"/>
    <w:qFormat/>
    <w:uiPriority w:val="0"/>
    <w:rPr>
      <w:rFonts w:ascii="Tahoma" w:hAnsi="Tahoma" w:eastAsia="宋体"/>
      <w:b/>
      <w:kern w:val="2"/>
      <w:sz w:val="24"/>
      <w:szCs w:val="32"/>
      <w:u w:val="none"/>
      <w:lang w:val="en-US" w:eastAsia="zh-CN" w:bidi="ar-SA"/>
    </w:rPr>
  </w:style>
  <w:style w:type="character" w:customStyle="1" w:styleId="529">
    <w:name w:val="Char Char91"/>
    <w:qFormat/>
    <w:uiPriority w:val="0"/>
    <w:rPr>
      <w:rFonts w:eastAsia="宋体"/>
      <w:kern w:val="2"/>
      <w:sz w:val="18"/>
      <w:szCs w:val="18"/>
      <w:lang w:val="en-US" w:eastAsia="zh-CN" w:bidi="ar-SA"/>
    </w:rPr>
  </w:style>
  <w:style w:type="character" w:customStyle="1" w:styleId="530">
    <w:name w:val="Footer-Even Char1"/>
    <w:qFormat/>
    <w:uiPriority w:val="0"/>
    <w:rPr>
      <w:rFonts w:eastAsia="宋体"/>
      <w:kern w:val="2"/>
      <w:sz w:val="18"/>
      <w:szCs w:val="18"/>
      <w:lang w:val="en-US" w:eastAsia="zh-CN" w:bidi="ar-SA"/>
    </w:rPr>
  </w:style>
  <w:style w:type="character" w:customStyle="1" w:styleId="531">
    <w:name w:val="gf正文1 Char"/>
    <w:qFormat/>
    <w:uiPriority w:val="0"/>
    <w:rPr>
      <w:rFonts w:ascii="宋体" w:hAnsi="宋体" w:eastAsia="宋体" w:cs="宋体"/>
      <w:kern w:val="2"/>
      <w:sz w:val="24"/>
      <w:szCs w:val="24"/>
      <w:lang w:val="en-US" w:eastAsia="zh-CN" w:bidi="ar-SA"/>
    </w:rPr>
  </w:style>
  <w:style w:type="character" w:customStyle="1" w:styleId="532">
    <w:name w:val="javascript"/>
    <w:qFormat/>
    <w:uiPriority w:val="0"/>
  </w:style>
  <w:style w:type="character" w:customStyle="1" w:styleId="533">
    <w:name w:val="列出段落 Char"/>
    <w:qFormat/>
    <w:uiPriority w:val="34"/>
    <w:rPr>
      <w:rFonts w:eastAsia="楷体_GB2312" w:cs="Lucida Sans"/>
      <w:kern w:val="2"/>
      <w:sz w:val="24"/>
      <w:szCs w:val="24"/>
      <w:lang w:val="en-US" w:eastAsia="zh-CN" w:bidi="ar-SA"/>
    </w:rPr>
  </w:style>
  <w:style w:type="character" w:customStyle="1" w:styleId="534">
    <w:name w:val="标书表格字体格式 Char"/>
    <w:qFormat/>
    <w:uiPriority w:val="0"/>
    <w:rPr>
      <w:kern w:val="2"/>
      <w:sz w:val="21"/>
      <w:szCs w:val="24"/>
      <w:lang w:bidi="ar-SA"/>
    </w:rPr>
  </w:style>
  <w:style w:type="character" w:customStyle="1" w:styleId="535">
    <w:name w:val="普通文字 Char3"/>
    <w:qFormat/>
    <w:uiPriority w:val="0"/>
    <w:rPr>
      <w:rFonts w:ascii="宋体" w:hAnsi="Courier New" w:eastAsia="宋体"/>
      <w:kern w:val="2"/>
      <w:sz w:val="21"/>
      <w:lang w:val="en-US" w:eastAsia="zh-CN" w:bidi="ar-SA"/>
    </w:rPr>
  </w:style>
  <w:style w:type="character" w:customStyle="1" w:styleId="536">
    <w:name w:val="h Char Char1"/>
    <w:qFormat/>
    <w:uiPriority w:val="0"/>
    <w:rPr>
      <w:rFonts w:eastAsia="宋体"/>
      <w:kern w:val="2"/>
      <w:sz w:val="18"/>
      <w:szCs w:val="18"/>
      <w:lang w:val="en-US" w:eastAsia="zh-CN" w:bidi="ar-SA"/>
    </w:rPr>
  </w:style>
  <w:style w:type="character" w:customStyle="1" w:styleId="537">
    <w:name w:val="highlight1"/>
    <w:qFormat/>
    <w:uiPriority w:val="0"/>
    <w:rPr>
      <w:rFonts w:ascii="仿宋_GB2312" w:eastAsia="微软雅黑"/>
      <w:b/>
      <w:kern w:val="2"/>
      <w:sz w:val="23"/>
      <w:szCs w:val="23"/>
      <w:lang w:val="en-US" w:eastAsia="zh-CN" w:bidi="ar-SA"/>
    </w:rPr>
  </w:style>
  <w:style w:type="character" w:customStyle="1" w:styleId="538">
    <w:name w:val="样式6 Char"/>
    <w:qFormat/>
    <w:uiPriority w:val="0"/>
    <w:rPr>
      <w:rFonts w:ascii="仿宋_GB2312" w:hAnsi="宋体" w:eastAsia="仿宋_GB2312"/>
      <w:b/>
      <w:bCs/>
      <w:kern w:val="2"/>
      <w:sz w:val="24"/>
      <w:szCs w:val="24"/>
      <w:lang w:val="en-US" w:eastAsia="zh-CN" w:bidi="ar-SA"/>
    </w:rPr>
  </w:style>
  <w:style w:type="character" w:customStyle="1" w:styleId="539">
    <w:name w:val="md"/>
    <w:basedOn w:val="62"/>
    <w:qFormat/>
    <w:uiPriority w:val="0"/>
  </w:style>
  <w:style w:type="character" w:customStyle="1" w:styleId="540">
    <w:name w:val="myp11"/>
    <w:qFormat/>
    <w:uiPriority w:val="0"/>
    <w:rPr>
      <w:rFonts w:ascii="仿宋_GB2312" w:eastAsia="微软雅黑"/>
      <w:b/>
      <w:kern w:val="2"/>
      <w:sz w:val="32"/>
      <w:szCs w:val="32"/>
      <w:lang w:val="en-US" w:eastAsia="zh-CN" w:bidi="ar-SA"/>
    </w:rPr>
  </w:style>
  <w:style w:type="character" w:customStyle="1" w:styleId="541">
    <w:name w:val="Ò³Ã¼ Char Char1"/>
    <w:qFormat/>
    <w:uiPriority w:val="0"/>
    <w:rPr>
      <w:rFonts w:eastAsia="宋体"/>
      <w:kern w:val="2"/>
      <w:sz w:val="18"/>
      <w:szCs w:val="18"/>
      <w:lang w:val="en-US" w:eastAsia="zh-CN" w:bidi="ar-SA"/>
    </w:rPr>
  </w:style>
  <w:style w:type="character" w:customStyle="1" w:styleId="542">
    <w:name w:val="tw4winTerm"/>
    <w:qFormat/>
    <w:uiPriority w:val="0"/>
    <w:rPr>
      <w:color w:val="0000FF"/>
    </w:rPr>
  </w:style>
  <w:style w:type="character" w:customStyle="1" w:styleId="543">
    <w:name w:val="表格 Char Char"/>
    <w:qFormat/>
    <w:uiPriority w:val="0"/>
    <w:rPr>
      <w:rFonts w:ascii="宋体" w:hAnsi="宋体" w:eastAsia="宋体"/>
      <w:lang w:bidi="ar-SA"/>
    </w:rPr>
  </w:style>
  <w:style w:type="character" w:customStyle="1" w:styleId="544">
    <w:name w:val="样式8 Char"/>
    <w:qFormat/>
    <w:uiPriority w:val="0"/>
    <w:rPr>
      <w:rFonts w:ascii="仿宋_GB2312" w:hAnsi="宋体" w:eastAsia="仿宋_GB2312"/>
      <w:b/>
      <w:bCs/>
      <w:kern w:val="2"/>
      <w:sz w:val="24"/>
      <w:szCs w:val="24"/>
    </w:rPr>
  </w:style>
  <w:style w:type="character" w:customStyle="1" w:styleId="545">
    <w:name w:val="样式5 Char"/>
    <w:qFormat/>
    <w:uiPriority w:val="0"/>
    <w:rPr>
      <w:rFonts w:ascii="仿宋_GB2312" w:hAnsi="仿宋" w:eastAsia="仿宋_GB2312"/>
      <w:kern w:val="2"/>
      <w:sz w:val="24"/>
      <w:szCs w:val="24"/>
    </w:rPr>
  </w:style>
  <w:style w:type="character" w:customStyle="1" w:styleId="546">
    <w:name w:val="页脚 Char1"/>
    <w:qFormat/>
    <w:uiPriority w:val="0"/>
    <w:rPr>
      <w:rFonts w:eastAsia="宋体"/>
      <w:kern w:val="2"/>
      <w:sz w:val="18"/>
      <w:szCs w:val="18"/>
      <w:lang w:val="en-US" w:eastAsia="zh-CN" w:bidi="ar-SA"/>
    </w:rPr>
  </w:style>
  <w:style w:type="character" w:customStyle="1" w:styleId="547">
    <w:name w:val="tw4winJump"/>
    <w:qFormat/>
    <w:uiPriority w:val="0"/>
    <w:rPr>
      <w:rFonts w:ascii="Courier New" w:hAnsi="Courier New" w:cs="Courier New"/>
      <w:color w:val="008080"/>
    </w:rPr>
  </w:style>
  <w:style w:type="character" w:customStyle="1" w:styleId="548">
    <w:name w:val="批注文字 Char"/>
    <w:qFormat/>
    <w:uiPriority w:val="99"/>
    <w:rPr>
      <w:kern w:val="2"/>
      <w:sz w:val="21"/>
      <w:szCs w:val="24"/>
    </w:rPr>
  </w:style>
  <w:style w:type="character" w:customStyle="1" w:styleId="549">
    <w:name w:val="Char Char122"/>
    <w:qFormat/>
    <w:uiPriority w:val="0"/>
    <w:rPr>
      <w:rFonts w:ascii="仿宋_GB2312" w:eastAsia="仿宋_GB2312"/>
      <w:b/>
      <w:bCs/>
      <w:kern w:val="2"/>
      <w:sz w:val="24"/>
      <w:szCs w:val="24"/>
      <w:lang w:val="zh-CN" w:eastAsia="zh-CN" w:bidi="ar-SA"/>
    </w:rPr>
  </w:style>
  <w:style w:type="character" w:customStyle="1" w:styleId="550">
    <w:name w:val="Char Char21"/>
    <w:qFormat/>
    <w:uiPriority w:val="0"/>
    <w:rPr>
      <w:rFonts w:ascii="宋体" w:hAnsi="Courier New" w:eastAsia="宋体"/>
      <w:kern w:val="2"/>
      <w:sz w:val="21"/>
      <w:lang w:val="en-US" w:eastAsia="zh-CN" w:bidi="ar-SA"/>
    </w:rPr>
  </w:style>
  <w:style w:type="character" w:customStyle="1" w:styleId="551">
    <w:name w:val="Char Char8"/>
    <w:qFormat/>
    <w:uiPriority w:val="0"/>
    <w:rPr>
      <w:rFonts w:eastAsia="宋体"/>
      <w:b/>
      <w:sz w:val="24"/>
      <w:lang w:val="en-GB" w:eastAsia="zh-CN"/>
    </w:rPr>
  </w:style>
  <w:style w:type="character" w:customStyle="1" w:styleId="552">
    <w:name w:val="font21"/>
    <w:qFormat/>
    <w:uiPriority w:val="0"/>
    <w:rPr>
      <w:rFonts w:hint="eastAsia" w:ascii="宋体" w:hAnsi="宋体" w:eastAsia="宋体"/>
      <w:kern w:val="2"/>
      <w:sz w:val="28"/>
      <w:szCs w:val="28"/>
      <w:lang w:val="en-US" w:eastAsia="zh-CN" w:bidi="ar-SA"/>
    </w:rPr>
  </w:style>
  <w:style w:type="character" w:customStyle="1" w:styleId="553">
    <w:name w:val="正文2 Char"/>
    <w:qFormat/>
    <w:uiPriority w:val="0"/>
    <w:rPr>
      <w:rFonts w:eastAsia="宋体"/>
      <w:kern w:val="2"/>
      <w:sz w:val="24"/>
      <w:lang w:val="en-US" w:eastAsia="zh-CN" w:bidi="ar-SA"/>
    </w:rPr>
  </w:style>
  <w:style w:type="character" w:customStyle="1" w:styleId="554">
    <w:name w:val="big1"/>
    <w:qFormat/>
    <w:uiPriority w:val="0"/>
    <w:rPr>
      <w:rFonts w:hint="eastAsia" w:ascii="宋体" w:hAnsi="宋体" w:eastAsia="宋体"/>
      <w:color w:val="333333"/>
      <w:sz w:val="22"/>
      <w:szCs w:val="22"/>
    </w:rPr>
  </w:style>
  <w:style w:type="character" w:customStyle="1" w:styleId="555">
    <w:name w:val="Body Text(ch) Char Char"/>
    <w:qFormat/>
    <w:uiPriority w:val="0"/>
    <w:rPr>
      <w:rFonts w:ascii="宋体"/>
      <w:kern w:val="2"/>
      <w:sz w:val="24"/>
      <w:szCs w:val="21"/>
      <w:lang w:val="zh-CN"/>
    </w:rPr>
  </w:style>
  <w:style w:type="character" w:customStyle="1" w:styleId="556">
    <w:name w:val="blue1"/>
    <w:basedOn w:val="62"/>
    <w:qFormat/>
    <w:uiPriority w:val="0"/>
  </w:style>
  <w:style w:type="character" w:customStyle="1" w:styleId="557">
    <w:name w:val="正文 项目2 Char"/>
    <w:basedOn w:val="510"/>
    <w:qFormat/>
    <w:uiPriority w:val="0"/>
    <w:rPr>
      <w:rFonts w:ascii="仿宋_GB2312" w:hAnsi="仿宋_GB2312" w:eastAsia="仿宋_GB2312"/>
      <w:kern w:val="2"/>
      <w:sz w:val="24"/>
      <w:lang w:bidi="ar-SA"/>
    </w:rPr>
  </w:style>
  <w:style w:type="character" w:customStyle="1" w:styleId="558">
    <w:name w:val="solutionfonts"/>
    <w:qFormat/>
    <w:uiPriority w:val="0"/>
  </w:style>
  <w:style w:type="character" w:customStyle="1" w:styleId="559">
    <w:name w:val="Char Char81"/>
    <w:qFormat/>
    <w:uiPriority w:val="0"/>
    <w:rPr>
      <w:rFonts w:eastAsia="宋体"/>
      <w:b/>
      <w:sz w:val="24"/>
      <w:lang w:val="en-GB" w:eastAsia="zh-CN"/>
    </w:rPr>
  </w:style>
  <w:style w:type="character" w:customStyle="1" w:styleId="560">
    <w:name w:val="Char Char2"/>
    <w:qFormat/>
    <w:uiPriority w:val="0"/>
    <w:rPr>
      <w:rFonts w:eastAsia="宋体"/>
      <w:b/>
      <w:bCs/>
      <w:kern w:val="2"/>
      <w:sz w:val="21"/>
      <w:szCs w:val="24"/>
      <w:lang w:val="en-US" w:eastAsia="zh-CN" w:bidi="ar-SA"/>
    </w:rPr>
  </w:style>
  <w:style w:type="character" w:customStyle="1" w:styleId="561">
    <w:name w:val="Heading 7 Char"/>
    <w:qFormat/>
    <w:locked/>
    <w:uiPriority w:val="0"/>
    <w:rPr>
      <w:rFonts w:ascii="宋体" w:hAnsi="宋体" w:eastAsia="宋体"/>
      <w:b/>
      <w:bCs/>
      <w:kern w:val="2"/>
      <w:sz w:val="24"/>
      <w:szCs w:val="24"/>
      <w:lang w:val="en-US" w:eastAsia="zh-CN" w:bidi="ar-SA"/>
    </w:rPr>
  </w:style>
  <w:style w:type="character" w:customStyle="1" w:styleId="562">
    <w:name w:val="标题 2 Char Char"/>
    <w:qFormat/>
    <w:uiPriority w:val="0"/>
    <w:rPr>
      <w:rFonts w:ascii="楷体_GB2312" w:hAnsi="Arial" w:eastAsia="楷体_GB2312"/>
      <w:b/>
      <w:bCs/>
      <w:kern w:val="2"/>
      <w:sz w:val="24"/>
      <w:szCs w:val="32"/>
      <w:lang w:val="en-US" w:eastAsia="zh-CN" w:bidi="ar-SA"/>
    </w:rPr>
  </w:style>
  <w:style w:type="character" w:customStyle="1" w:styleId="563">
    <w:name w:val="pt141"/>
    <w:qFormat/>
    <w:uiPriority w:val="0"/>
    <w:rPr>
      <w:color w:val="330066"/>
      <w:sz w:val="22"/>
      <w:szCs w:val="22"/>
    </w:rPr>
  </w:style>
  <w:style w:type="character" w:customStyle="1" w:styleId="564">
    <w:name w:val="h Char Char"/>
    <w:qFormat/>
    <w:uiPriority w:val="0"/>
    <w:rPr>
      <w:rFonts w:eastAsia="宋体"/>
      <w:kern w:val="2"/>
      <w:sz w:val="18"/>
      <w:lang w:val="en-US" w:eastAsia="zh-CN" w:bidi="ar-SA"/>
    </w:rPr>
  </w:style>
  <w:style w:type="character" w:customStyle="1" w:styleId="565">
    <w:name w:val="页眉 Char"/>
    <w:qFormat/>
    <w:uiPriority w:val="0"/>
    <w:rPr>
      <w:rFonts w:eastAsia="仿宋_GB2312"/>
      <w:kern w:val="2"/>
      <w:sz w:val="18"/>
      <w:lang w:val="en-US" w:eastAsia="zh-CN"/>
    </w:rPr>
  </w:style>
  <w:style w:type="character" w:customStyle="1" w:styleId="566">
    <w:name w:val="批注主题 Char"/>
    <w:qFormat/>
    <w:uiPriority w:val="0"/>
    <w:rPr>
      <w:rFonts w:eastAsia="宋体"/>
      <w:b/>
      <w:bCs/>
      <w:kern w:val="2"/>
      <w:sz w:val="21"/>
      <w:szCs w:val="24"/>
      <w:lang w:val="en-US" w:eastAsia="zh-CN" w:bidi="ar-SA"/>
    </w:rPr>
  </w:style>
  <w:style w:type="character" w:customStyle="1" w:styleId="567">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68">
    <w:name w:val="正文首行缩进两字 Char"/>
    <w:qFormat/>
    <w:uiPriority w:val="0"/>
    <w:rPr>
      <w:sz w:val="24"/>
      <w:szCs w:val="24"/>
      <w:lang w:val="en-US" w:eastAsia="zh-CN" w:bidi="ar-SA"/>
    </w:rPr>
  </w:style>
  <w:style w:type="character" w:customStyle="1" w:styleId="569">
    <w:name w:val="Char Char51"/>
    <w:qFormat/>
    <w:uiPriority w:val="0"/>
    <w:rPr>
      <w:rFonts w:ascii="宋体" w:hAnsi="Courier New" w:eastAsia="宋体"/>
      <w:kern w:val="2"/>
      <w:sz w:val="21"/>
      <w:lang w:val="en-US" w:eastAsia="zh-CN"/>
    </w:rPr>
  </w:style>
  <w:style w:type="character" w:customStyle="1" w:styleId="570">
    <w:name w:val="带编号样式 Char"/>
    <w:qFormat/>
    <w:uiPriority w:val="0"/>
    <w:rPr>
      <w:rFonts w:ascii="仿宋_GB2312" w:eastAsia="仿宋_GB2312"/>
      <w:color w:val="000000"/>
      <w:sz w:val="24"/>
      <w:lang w:bidi="ar-SA"/>
    </w:rPr>
  </w:style>
  <w:style w:type="character" w:customStyle="1" w:styleId="571">
    <w:name w:val="样式4 Char"/>
    <w:qFormat/>
    <w:uiPriority w:val="0"/>
    <w:rPr>
      <w:rFonts w:ascii="仿宋_GB2312" w:hAnsi="仿宋" w:eastAsia="仿宋_GB2312"/>
      <w:b/>
      <w:kern w:val="2"/>
      <w:sz w:val="32"/>
      <w:szCs w:val="32"/>
      <w:lang w:bidi="ar-SA"/>
    </w:rPr>
  </w:style>
  <w:style w:type="character" w:customStyle="1" w:styleId="572">
    <w:name w:val="PI Char"/>
    <w:qFormat/>
    <w:uiPriority w:val="0"/>
    <w:rPr>
      <w:rFonts w:ascii="宋体" w:hAnsi="宋体" w:eastAsia="宋体"/>
      <w:kern w:val="2"/>
      <w:sz w:val="24"/>
      <w:szCs w:val="24"/>
      <w:lang w:val="en-US" w:eastAsia="zh-CN" w:bidi="ar-SA"/>
    </w:rPr>
  </w:style>
  <w:style w:type="character" w:customStyle="1" w:styleId="573">
    <w:name w:val="Char Char111"/>
    <w:qFormat/>
    <w:locked/>
    <w:uiPriority w:val="0"/>
    <w:rPr>
      <w:rFonts w:ascii="宋体" w:hAnsi="宋体" w:eastAsia="宋体"/>
      <w:b/>
      <w:kern w:val="2"/>
      <w:sz w:val="24"/>
      <w:szCs w:val="24"/>
      <w:lang w:val="en-US" w:eastAsia="zh-CN" w:bidi="ar-SA"/>
    </w:rPr>
  </w:style>
  <w:style w:type="character" w:customStyle="1" w:styleId="574">
    <w:name w:val="Document Map Char"/>
    <w:semiHidden/>
    <w:qFormat/>
    <w:locked/>
    <w:uiPriority w:val="0"/>
    <w:rPr>
      <w:rFonts w:eastAsia="宋体"/>
      <w:kern w:val="2"/>
      <w:sz w:val="21"/>
      <w:szCs w:val="24"/>
      <w:lang w:val="en-US" w:eastAsia="zh-CN" w:bidi="ar-SA"/>
    </w:rPr>
  </w:style>
  <w:style w:type="character" w:customStyle="1" w:styleId="575">
    <w:name w:val="正文文本缩进 Char"/>
    <w:qFormat/>
    <w:uiPriority w:val="0"/>
    <w:rPr>
      <w:rFonts w:ascii="宋体" w:hAnsi="宋体"/>
      <w:kern w:val="2"/>
      <w:sz w:val="24"/>
      <w:szCs w:val="24"/>
    </w:rPr>
  </w:style>
  <w:style w:type="character" w:customStyle="1" w:styleId="576">
    <w:name w:val="文本正文 Char Char"/>
    <w:qFormat/>
    <w:locked/>
    <w:uiPriority w:val="0"/>
    <w:rPr>
      <w:sz w:val="24"/>
      <w:lang w:bidi="ar-SA"/>
    </w:rPr>
  </w:style>
  <w:style w:type="character" w:customStyle="1" w:styleId="577">
    <w:name w:val="样式7 Char"/>
    <w:qFormat/>
    <w:uiPriority w:val="0"/>
    <w:rPr>
      <w:rFonts w:ascii="仿宋_GB2312" w:hAnsi="仿宋" w:eastAsia="仿宋_GB2312"/>
      <w:b/>
      <w:kern w:val="2"/>
      <w:sz w:val="24"/>
      <w:szCs w:val="24"/>
    </w:rPr>
  </w:style>
  <w:style w:type="character" w:customStyle="1" w:styleId="578">
    <w:name w:val="样式3 Char"/>
    <w:basedOn w:val="579"/>
    <w:qFormat/>
    <w:uiPriority w:val="0"/>
    <w:rPr>
      <w:rFonts w:ascii="仿宋_GB2312" w:hAnsi="仿宋" w:eastAsia="仿宋_GB2312" w:cs="仿宋_GB2312"/>
      <w:sz w:val="32"/>
      <w:szCs w:val="30"/>
      <w:lang w:val="zh-CN"/>
    </w:rPr>
  </w:style>
  <w:style w:type="character" w:customStyle="1" w:styleId="579">
    <w:name w:val="样式2 Char"/>
    <w:qFormat/>
    <w:uiPriority w:val="0"/>
    <w:rPr>
      <w:rFonts w:ascii="仿宋_GB2312" w:hAnsi="仿宋" w:eastAsia="仿宋_GB2312" w:cs="仿宋_GB2312"/>
      <w:b/>
      <w:bCs/>
      <w:sz w:val="32"/>
      <w:szCs w:val="30"/>
      <w:lang w:val="zh-CN"/>
    </w:rPr>
  </w:style>
  <w:style w:type="character" w:customStyle="1" w:styleId="580">
    <w:name w:val="二级标题 Char Char"/>
    <w:qFormat/>
    <w:uiPriority w:val="0"/>
    <w:rPr>
      <w:rFonts w:ascii="宋体" w:hAnsi="宋体" w:eastAsia="宋体"/>
      <w:b/>
      <w:snapToGrid w:val="0"/>
      <w:kern w:val="2"/>
      <w:sz w:val="24"/>
      <w:szCs w:val="24"/>
      <w:lang w:val="en-US" w:eastAsia="zh-CN" w:bidi="ar-SA"/>
    </w:rPr>
  </w:style>
  <w:style w:type="character" w:customStyle="1" w:styleId="581">
    <w:name w:val="Table Text Char1"/>
    <w:qFormat/>
    <w:uiPriority w:val="0"/>
    <w:rPr>
      <w:rFonts w:eastAsia="宋体"/>
      <w:sz w:val="24"/>
      <w:szCs w:val="24"/>
      <w:lang w:val="en-US" w:eastAsia="zh-CN" w:bidi="ar-SA"/>
    </w:rPr>
  </w:style>
  <w:style w:type="character" w:customStyle="1" w:styleId="582">
    <w:name w:val="shadow11"/>
    <w:qFormat/>
    <w:uiPriority w:val="0"/>
    <w:rPr>
      <w:color w:val="000000"/>
      <w:sz w:val="21"/>
    </w:rPr>
  </w:style>
  <w:style w:type="character" w:customStyle="1" w:styleId="583">
    <w:name w:val="Char Char22"/>
    <w:qFormat/>
    <w:uiPriority w:val="0"/>
    <w:rPr>
      <w:rFonts w:eastAsia="宋体"/>
      <w:b/>
      <w:bCs/>
      <w:kern w:val="2"/>
      <w:sz w:val="21"/>
      <w:szCs w:val="24"/>
      <w:lang w:val="en-US" w:eastAsia="zh-CN" w:bidi="ar-SA"/>
    </w:rPr>
  </w:style>
  <w:style w:type="character" w:customStyle="1" w:styleId="584">
    <w:name w:val="h3 Char1"/>
    <w:qFormat/>
    <w:uiPriority w:val="0"/>
    <w:rPr>
      <w:rFonts w:eastAsia="宋体"/>
      <w:b/>
      <w:bCs/>
      <w:kern w:val="2"/>
      <w:sz w:val="32"/>
      <w:szCs w:val="32"/>
      <w:lang w:bidi="ar-SA"/>
    </w:rPr>
  </w:style>
  <w:style w:type="character" w:customStyle="1" w:styleId="585">
    <w:name w:val="FA正文 Char Char"/>
    <w:qFormat/>
    <w:uiPriority w:val="0"/>
    <w:rPr>
      <w:rFonts w:hAnsi="宋体"/>
      <w:kern w:val="2"/>
      <w:sz w:val="24"/>
      <w:lang w:bidi="ar-SA"/>
    </w:rPr>
  </w:style>
  <w:style w:type="character" w:customStyle="1" w:styleId="586">
    <w:name w:val="Char Char7"/>
    <w:semiHidden/>
    <w:qFormat/>
    <w:uiPriority w:val="0"/>
    <w:rPr>
      <w:rFonts w:eastAsia="宋体"/>
      <w:kern w:val="2"/>
      <w:sz w:val="21"/>
      <w:szCs w:val="24"/>
      <w:lang w:val="en-US" w:eastAsia="zh-CN" w:bidi="ar-SA"/>
    </w:rPr>
  </w:style>
  <w:style w:type="character" w:customStyle="1" w:styleId="587">
    <w:name w:val="hui"/>
    <w:basedOn w:val="62"/>
    <w:qFormat/>
    <w:uiPriority w:val="0"/>
  </w:style>
  <w:style w:type="character" w:customStyle="1" w:styleId="588">
    <w:name w:val="正文缩进 Char"/>
    <w:qFormat/>
    <w:uiPriority w:val="0"/>
    <w:rPr>
      <w:rFonts w:eastAsia="宋体"/>
      <w:kern w:val="2"/>
      <w:sz w:val="21"/>
      <w:lang w:val="en-US" w:eastAsia="zh-CN"/>
    </w:rPr>
  </w:style>
  <w:style w:type="character" w:customStyle="1" w:styleId="589">
    <w:name w:val="正文1 Char"/>
    <w:qFormat/>
    <w:uiPriority w:val="0"/>
    <w:rPr>
      <w:rFonts w:ascii="宋体" w:eastAsia="宋体"/>
      <w:snapToGrid w:val="0"/>
      <w:color w:val="000000"/>
      <w:kern w:val="28"/>
      <w:sz w:val="28"/>
      <w:lang w:val="en-US" w:eastAsia="zh-CN" w:bidi="ar-SA"/>
    </w:rPr>
  </w:style>
  <w:style w:type="character" w:customStyle="1" w:styleId="590">
    <w:name w:val="Char Char61"/>
    <w:qFormat/>
    <w:uiPriority w:val="0"/>
    <w:rPr>
      <w:rFonts w:eastAsia="宋体"/>
      <w:kern w:val="2"/>
      <w:sz w:val="21"/>
      <w:szCs w:val="24"/>
      <w:lang w:val="en-US" w:eastAsia="zh-CN" w:bidi="ar-SA"/>
    </w:rPr>
  </w:style>
  <w:style w:type="character" w:customStyle="1" w:styleId="591">
    <w:name w:val="message1"/>
    <w:qFormat/>
    <w:uiPriority w:val="0"/>
    <w:rPr>
      <w:rFonts w:hint="default" w:ascii="Tahoma" w:hAnsi="Tahoma" w:cs="Tahoma"/>
      <w:sz w:val="18"/>
      <w:szCs w:val="18"/>
    </w:rPr>
  </w:style>
  <w:style w:type="character" w:customStyle="1" w:styleId="592">
    <w:name w:val="DO_NOT_TRANSLATE"/>
    <w:qFormat/>
    <w:uiPriority w:val="0"/>
    <w:rPr>
      <w:rFonts w:ascii="Courier New" w:hAnsi="Courier New" w:cs="Courier New"/>
      <w:color w:val="800000"/>
    </w:rPr>
  </w:style>
  <w:style w:type="character" w:customStyle="1" w:styleId="593">
    <w:name w:val="unnamed11"/>
    <w:qFormat/>
    <w:uiPriority w:val="0"/>
    <w:rPr>
      <w:sz w:val="20"/>
      <w:szCs w:val="20"/>
    </w:rPr>
  </w:style>
  <w:style w:type="character" w:customStyle="1" w:styleId="594">
    <w:name w:val="tw4winInternal"/>
    <w:qFormat/>
    <w:uiPriority w:val="0"/>
    <w:rPr>
      <w:rFonts w:ascii="Courier New" w:hAnsi="Courier New" w:cs="Courier New"/>
      <w:color w:val="FF0000"/>
    </w:rPr>
  </w:style>
  <w:style w:type="character" w:customStyle="1" w:styleId="595">
    <w:name w:val="页脚 Char"/>
    <w:qFormat/>
    <w:uiPriority w:val="0"/>
    <w:rPr>
      <w:rFonts w:eastAsia="仿宋_GB2312"/>
      <w:kern w:val="2"/>
      <w:sz w:val="18"/>
      <w:lang w:val="en-US" w:eastAsia="zh-CN"/>
    </w:rPr>
  </w:style>
  <w:style w:type="character" w:customStyle="1" w:styleId="596">
    <w:name w:val="正文缩进 Char1"/>
    <w:qFormat/>
    <w:uiPriority w:val="0"/>
    <w:rPr>
      <w:rFonts w:ascii="宋体" w:eastAsia="宋体"/>
      <w:snapToGrid w:val="0"/>
      <w:color w:val="000000"/>
      <w:kern w:val="28"/>
      <w:sz w:val="28"/>
      <w:lang w:val="en-US" w:eastAsia="zh-CN" w:bidi="ar-SA"/>
    </w:rPr>
  </w:style>
  <w:style w:type="character" w:customStyle="1" w:styleId="597">
    <w:name w:val="style36"/>
    <w:basedOn w:val="62"/>
    <w:qFormat/>
    <w:uiPriority w:val="0"/>
  </w:style>
  <w:style w:type="character" w:customStyle="1" w:styleId="598">
    <w:name w:val="hui3"/>
    <w:qFormat/>
    <w:uiPriority w:val="0"/>
    <w:rPr>
      <w:color w:val="333333"/>
    </w:rPr>
  </w:style>
  <w:style w:type="character" w:customStyle="1" w:styleId="599">
    <w:name w:val="apple-converted-space"/>
    <w:qFormat/>
    <w:uiPriority w:val="0"/>
  </w:style>
  <w:style w:type="character" w:customStyle="1" w:styleId="600">
    <w:name w:val="文档结构图 Char"/>
    <w:qFormat/>
    <w:uiPriority w:val="0"/>
    <w:rPr>
      <w:rFonts w:eastAsia="宋体"/>
      <w:kern w:val="2"/>
      <w:sz w:val="21"/>
      <w:szCs w:val="24"/>
      <w:lang w:val="en-US" w:eastAsia="zh-CN" w:bidi="ar-SA"/>
    </w:rPr>
  </w:style>
  <w:style w:type="character" w:customStyle="1" w:styleId="601">
    <w:name w:val="正文非缩进 Char3"/>
    <w:qFormat/>
    <w:uiPriority w:val="0"/>
    <w:rPr>
      <w:rFonts w:ascii="宋体" w:eastAsia="宋体"/>
      <w:snapToGrid w:val="0"/>
      <w:color w:val="000000"/>
      <w:kern w:val="28"/>
      <w:sz w:val="28"/>
      <w:lang w:val="en-US" w:eastAsia="zh-CN" w:bidi="ar-SA"/>
    </w:rPr>
  </w:style>
  <w:style w:type="character" w:customStyle="1" w:styleId="602">
    <w:name w:val="dectext1"/>
    <w:qFormat/>
    <w:uiPriority w:val="0"/>
    <w:rPr>
      <w:rFonts w:ascii="宋体" w:hAnsi="宋体" w:eastAsia="宋体"/>
      <w:color w:val="333333"/>
      <w:sz w:val="21"/>
      <w:szCs w:val="21"/>
      <w:u w:val="none"/>
    </w:rPr>
  </w:style>
  <w:style w:type="character" w:customStyle="1" w:styleId="603">
    <w:name w:val="副标题 Char1"/>
    <w:qFormat/>
    <w:uiPriority w:val="0"/>
    <w:rPr>
      <w:rFonts w:ascii="Cambria" w:hAnsi="Cambria" w:eastAsia="宋体" w:cs="Times New Roman"/>
      <w:b/>
      <w:bCs/>
      <w:snapToGrid w:val="0"/>
      <w:kern w:val="28"/>
      <w:sz w:val="32"/>
      <w:szCs w:val="32"/>
    </w:rPr>
  </w:style>
  <w:style w:type="character" w:customStyle="1" w:styleId="604">
    <w:name w:val="f141"/>
    <w:qFormat/>
    <w:uiPriority w:val="0"/>
    <w:rPr>
      <w:rFonts w:ascii="Tahoma" w:hAnsi="Tahoma" w:eastAsia="宋体"/>
      <w:b/>
      <w:kern w:val="2"/>
      <w:sz w:val="21"/>
      <w:szCs w:val="21"/>
      <w:lang w:val="en-US" w:eastAsia="zh-CN" w:bidi="ar-SA"/>
    </w:rPr>
  </w:style>
  <w:style w:type="character" w:customStyle="1" w:styleId="605">
    <w:name w:val="链接"/>
    <w:qFormat/>
    <w:uiPriority w:val="0"/>
    <w:rPr>
      <w:color w:val="0000FF"/>
      <w:sz w:val="21"/>
      <w:szCs w:val="21"/>
      <w:u w:val="single"/>
    </w:rPr>
  </w:style>
  <w:style w:type="character" w:customStyle="1" w:styleId="606">
    <w:name w:val="正文首行缩进 Char Char Char Char Char Char"/>
    <w:qFormat/>
    <w:uiPriority w:val="0"/>
    <w:rPr>
      <w:rFonts w:ascii="宋体" w:eastAsia="宋体"/>
      <w:kern w:val="2"/>
      <w:sz w:val="24"/>
      <w:lang w:val="zh-CN" w:bidi="ar-SA"/>
    </w:rPr>
  </w:style>
  <w:style w:type="character" w:customStyle="1" w:styleId="607">
    <w:name w:val="tw4winError"/>
    <w:qFormat/>
    <w:uiPriority w:val="0"/>
    <w:rPr>
      <w:rFonts w:ascii="Courier New" w:hAnsi="Courier New" w:cs="Courier New"/>
      <w:color w:val="00FF00"/>
      <w:sz w:val="40"/>
      <w:szCs w:val="40"/>
    </w:rPr>
  </w:style>
  <w:style w:type="character" w:customStyle="1" w:styleId="608">
    <w:name w:val="Used by Word for text of Help footnotes Char Char"/>
    <w:semiHidden/>
    <w:qFormat/>
    <w:uiPriority w:val="0"/>
    <w:rPr>
      <w:rFonts w:ascii="Times New Roman" w:hAnsi="Times New Roman" w:eastAsia="宋体" w:cs="Times New Roman"/>
      <w:sz w:val="20"/>
      <w:szCs w:val="20"/>
    </w:rPr>
  </w:style>
  <w:style w:type="character" w:customStyle="1" w:styleId="609">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10">
    <w:name w:val="表正文 Char"/>
    <w:qFormat/>
    <w:uiPriority w:val="0"/>
    <w:rPr>
      <w:rFonts w:ascii="宋体" w:eastAsia="宋体"/>
      <w:snapToGrid w:val="0"/>
      <w:color w:val="000000"/>
      <w:kern w:val="28"/>
      <w:sz w:val="28"/>
      <w:lang w:val="en-US" w:eastAsia="zh-CN" w:bidi="ar-SA"/>
    </w:rPr>
  </w:style>
  <w:style w:type="character" w:customStyle="1" w:styleId="611">
    <w:name w:val="普通文字 Char1 Char"/>
    <w:qFormat/>
    <w:uiPriority w:val="0"/>
    <w:rPr>
      <w:rFonts w:ascii="宋体" w:hAnsi="Courier New" w:eastAsia="宋体"/>
      <w:kern w:val="2"/>
      <w:sz w:val="21"/>
      <w:szCs w:val="24"/>
      <w:lang w:val="en-US" w:eastAsia="zh-CN" w:bidi="ar-SA"/>
    </w:rPr>
  </w:style>
  <w:style w:type="character" w:customStyle="1" w:styleId="612">
    <w:name w:val="pt9"/>
    <w:qFormat/>
    <w:uiPriority w:val="0"/>
    <w:rPr>
      <w:rFonts w:ascii="仿宋_GB2312" w:eastAsia="微软雅黑"/>
      <w:b/>
      <w:kern w:val="2"/>
      <w:sz w:val="32"/>
      <w:szCs w:val="32"/>
      <w:lang w:val="en-US" w:eastAsia="zh-CN" w:bidi="ar-SA"/>
    </w:rPr>
  </w:style>
  <w:style w:type="character" w:customStyle="1" w:styleId="613">
    <w:name w:val="large1"/>
    <w:qFormat/>
    <w:uiPriority w:val="0"/>
    <w:rPr>
      <w:rFonts w:hint="eastAsia" w:ascii="宋体" w:hAnsi="宋体" w:eastAsia="宋体"/>
      <w:sz w:val="21"/>
      <w:szCs w:val="21"/>
    </w:rPr>
  </w:style>
  <w:style w:type="character" w:customStyle="1" w:styleId="614">
    <w:name w:val="标题 4 Char1"/>
    <w:semiHidden/>
    <w:qFormat/>
    <w:uiPriority w:val="9"/>
    <w:rPr>
      <w:rFonts w:ascii="Cambria" w:hAnsi="Cambria" w:eastAsia="宋体" w:cs="Times New Roman"/>
      <w:b/>
      <w:bCs/>
      <w:kern w:val="2"/>
      <w:sz w:val="28"/>
      <w:szCs w:val="28"/>
    </w:rPr>
  </w:style>
  <w:style w:type="character" w:customStyle="1" w:styleId="615">
    <w:name w:val="tw4winPopup"/>
    <w:qFormat/>
    <w:uiPriority w:val="0"/>
    <w:rPr>
      <w:rFonts w:ascii="Courier New" w:hAnsi="Courier New" w:cs="Courier New"/>
      <w:color w:val="008000"/>
    </w:rPr>
  </w:style>
  <w:style w:type="character" w:customStyle="1" w:styleId="616">
    <w:name w:val="Footer Char"/>
    <w:qFormat/>
    <w:locked/>
    <w:uiPriority w:val="0"/>
    <w:rPr>
      <w:rFonts w:eastAsia="宋体"/>
      <w:kern w:val="2"/>
      <w:sz w:val="18"/>
      <w:lang w:val="en-US" w:eastAsia="zh-CN" w:bidi="ar-SA"/>
    </w:rPr>
  </w:style>
  <w:style w:type="paragraph" w:customStyle="1" w:styleId="61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8">
    <w:name w:val="索引 11"/>
    <w:basedOn w:val="1"/>
    <w:next w:val="1"/>
    <w:qFormat/>
    <w:uiPriority w:val="0"/>
    <w:pPr>
      <w:adjustRightInd/>
      <w:spacing w:line="360" w:lineRule="auto"/>
    </w:pPr>
    <w:rPr>
      <w:rFonts w:ascii="仿宋_GB2312" w:eastAsia="仿宋_GB2312"/>
      <w:sz w:val="24"/>
      <w:szCs w:val="20"/>
    </w:rPr>
  </w:style>
  <w:style w:type="paragraph" w:customStyle="1" w:styleId="619">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0">
    <w:name w:val="纯文本_0_0"/>
    <w:basedOn w:val="1"/>
    <w:link w:val="621"/>
    <w:qFormat/>
    <w:uiPriority w:val="0"/>
    <w:pPr>
      <w:adjustRightInd/>
    </w:pPr>
    <w:rPr>
      <w:rFonts w:ascii="宋体" w:hAnsi="Courier New"/>
      <w:szCs w:val="21"/>
    </w:rPr>
  </w:style>
  <w:style w:type="character" w:customStyle="1" w:styleId="621">
    <w:name w:val="纯文本 Char_0"/>
    <w:link w:val="620"/>
    <w:qFormat/>
    <w:uiPriority w:val="0"/>
    <w:rPr>
      <w:rFonts w:ascii="宋体" w:hAnsi="Courier New"/>
      <w:kern w:val="2"/>
      <w:sz w:val="21"/>
      <w:szCs w:val="21"/>
      <w:lang w:val="en-US" w:eastAsia="zh-CN"/>
    </w:rPr>
  </w:style>
  <w:style w:type="character" w:customStyle="1" w:styleId="622">
    <w:name w:val="纯文本 Char1"/>
    <w:link w:val="623"/>
    <w:qFormat/>
    <w:uiPriority w:val="0"/>
    <w:rPr>
      <w:rFonts w:ascii="宋体" w:hAnsi="Courier New"/>
    </w:rPr>
  </w:style>
  <w:style w:type="paragraph" w:customStyle="1" w:styleId="623">
    <w:name w:val="纯文本1"/>
    <w:basedOn w:val="1"/>
    <w:link w:val="622"/>
    <w:qFormat/>
    <w:uiPriority w:val="0"/>
    <w:pPr>
      <w:adjustRightInd/>
    </w:pPr>
    <w:rPr>
      <w:rFonts w:ascii="宋体" w:hAnsi="Courier New"/>
      <w:kern w:val="0"/>
      <w:sz w:val="20"/>
      <w:szCs w:val="20"/>
    </w:rPr>
  </w:style>
  <w:style w:type="paragraph" w:customStyle="1" w:styleId="624">
    <w:name w:val="Char Char Char Char Char Char Char2"/>
    <w:basedOn w:val="1"/>
    <w:qFormat/>
    <w:uiPriority w:val="0"/>
    <w:rPr>
      <w:rFonts w:ascii="仿宋_GB2312" w:eastAsia="仿宋_GB2312"/>
      <w:b/>
      <w:sz w:val="32"/>
      <w:szCs w:val="32"/>
    </w:rPr>
  </w:style>
  <w:style w:type="paragraph" w:customStyle="1" w:styleId="625">
    <w:name w:val="Char Char1 Char Char Char Char Char Char2"/>
    <w:basedOn w:val="1"/>
    <w:qFormat/>
    <w:uiPriority w:val="0"/>
    <w:rPr>
      <w:rFonts w:ascii="仿宋_GB2312" w:eastAsia="仿宋_GB2312"/>
      <w:b/>
      <w:sz w:val="32"/>
      <w:szCs w:val="20"/>
    </w:rPr>
  </w:style>
  <w:style w:type="paragraph" w:customStyle="1" w:styleId="626">
    <w:name w:val="修订1"/>
    <w:hidden/>
    <w:unhideWhenUsed/>
    <w:qFormat/>
    <w:uiPriority w:val="99"/>
    <w:rPr>
      <w:rFonts w:ascii="Times New Roman" w:hAnsi="Times New Roman" w:eastAsia="宋体" w:cs="Times New Roman"/>
      <w:kern w:val="2"/>
      <w:sz w:val="21"/>
      <w:szCs w:val="24"/>
      <w:lang w:val="en-US" w:eastAsia="zh-CN" w:bidi="ar-SA"/>
    </w:rPr>
  </w:style>
  <w:style w:type="paragraph" w:customStyle="1" w:styleId="627">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8">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29">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3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1">
    <w:name w:val="fontstyle01"/>
    <w:basedOn w:val="62"/>
    <w:qFormat/>
    <w:uiPriority w:val="0"/>
    <w:rPr>
      <w:rFonts w:hint="eastAsia" w:ascii="宋体" w:hAnsi="宋体" w:eastAsia="宋体"/>
      <w:color w:val="000000"/>
      <w:sz w:val="18"/>
      <w:szCs w:val="18"/>
    </w:rPr>
  </w:style>
  <w:style w:type="character" w:customStyle="1" w:styleId="632">
    <w:name w:val="标题 2 Char1"/>
    <w:link w:val="5"/>
    <w:qFormat/>
    <w:uiPriority w:val="9"/>
    <w:rPr>
      <w:rFonts w:ascii="仿宋_GB2312" w:hAnsi="仿宋" w:eastAsia="仿宋_GB2312"/>
      <w:b/>
      <w:bCs/>
      <w:kern w:val="2"/>
      <w:sz w:val="32"/>
      <w:szCs w:val="32"/>
      <w:lang w:val="zh-CN"/>
    </w:rPr>
  </w:style>
  <w:style w:type="character" w:customStyle="1" w:styleId="633">
    <w:name w:val="标题 3 Char"/>
    <w:link w:val="7"/>
    <w:qFormat/>
    <w:uiPriority w:val="0"/>
    <w:rPr>
      <w:b/>
      <w:bCs/>
      <w:kern w:val="2"/>
      <w:sz w:val="32"/>
      <w:szCs w:val="32"/>
    </w:rPr>
  </w:style>
  <w:style w:type="paragraph" w:customStyle="1" w:styleId="634">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635">
    <w:name w:val="font51"/>
    <w:basedOn w:val="62"/>
    <w:qFormat/>
    <w:uiPriority w:val="0"/>
    <w:rPr>
      <w:rFonts w:hint="default" w:ascii="Times New Roman" w:hAnsi="Times New Roman" w:cs="Times New Roman"/>
      <w:color w:val="000000"/>
      <w:sz w:val="21"/>
      <w:szCs w:val="21"/>
      <w:u w:val="none"/>
    </w:rPr>
  </w:style>
  <w:style w:type="character" w:customStyle="1" w:styleId="636">
    <w:name w:val="font41"/>
    <w:basedOn w:val="62"/>
    <w:qFormat/>
    <w:uiPriority w:val="0"/>
    <w:rPr>
      <w:rFonts w:hint="eastAsia" w:ascii="宋体" w:hAnsi="宋体" w:eastAsia="宋体" w:cs="宋体"/>
      <w:color w:val="000000"/>
      <w:sz w:val="21"/>
      <w:szCs w:val="21"/>
      <w:u w:val="none"/>
    </w:rPr>
  </w:style>
  <w:style w:type="paragraph" w:customStyle="1" w:styleId="637">
    <w:name w:val="Table Paragraph"/>
    <w:basedOn w:val="1"/>
    <w:qFormat/>
    <w:uiPriority w:val="1"/>
    <w:pPr>
      <w:autoSpaceDE w:val="0"/>
      <w:autoSpaceDN w:val="0"/>
      <w:jc w:val="left"/>
    </w:pPr>
    <w:rPr>
      <w:rFonts w:ascii="宋体" w:hAnsi="宋体" w:cs="宋体"/>
      <w:kern w:val="0"/>
      <w:sz w:val="22"/>
      <w:szCs w:val="22"/>
      <w:lang w:eastAsia="en-US"/>
    </w:rPr>
  </w:style>
  <w:style w:type="character" w:customStyle="1" w:styleId="638">
    <w:name w:val="NormalCharacter"/>
    <w:qFormat/>
    <w:uiPriority w:val="0"/>
  </w:style>
  <w:style w:type="paragraph" w:customStyle="1" w:styleId="639">
    <w:name w:val="Fließtext"/>
    <w:basedOn w:val="1"/>
    <w:qFormat/>
    <w:uiPriority w:val="0"/>
    <w:pPr>
      <w:overflowPunct w:val="0"/>
      <w:autoSpaceDE w:val="0"/>
      <w:autoSpaceDN w:val="0"/>
      <w:adjustRightInd w:val="0"/>
      <w:textAlignment w:val="baseline"/>
    </w:pPr>
    <w:rPr>
      <w:kern w:val="28"/>
      <w:szCs w:val="20"/>
    </w:rPr>
  </w:style>
  <w:style w:type="table" w:customStyle="1" w:styleId="640">
    <w:name w:val="网格型1"/>
    <w:basedOn w:val="60"/>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641">
    <w:name w:val="Normal Indent"/>
    <w:basedOn w:val="1"/>
    <w:qFormat/>
    <w:uiPriority w:val="0"/>
    <w:pPr>
      <w:widowControl/>
      <w:ind w:firstLine="420"/>
      <w:jc w:val="left"/>
    </w:pPr>
    <w:rPr>
      <w:rFonts w:ascii="Times New Roman" w:hAnsi="Times New Roman" w:eastAsia="宋体" w:cs="Times New Roman"/>
      <w:kern w:val="0"/>
      <w:szCs w:val="20"/>
    </w:rPr>
  </w:style>
  <w:style w:type="paragraph" w:customStyle="1" w:styleId="642">
    <w:name w:val="jia-正文"/>
    <w:basedOn w:val="1"/>
    <w:qFormat/>
    <w:uiPriority w:val="0"/>
    <w:pPr>
      <w:spacing w:line="460" w:lineRule="exact"/>
      <w:ind w:firstLine="200" w:firstLineChars="200"/>
    </w:pPr>
    <w:rPr>
      <w:rFonts w:ascii="Times New Roman" w:hAnsi="Times New Roman" w:eastAsia="宋体" w:cs="Times New Roman"/>
      <w:sz w:val="24"/>
      <w:szCs w:val="28"/>
      <w:lang w:val="zh-CN"/>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79</Pages>
  <Words>22705</Words>
  <Characters>23842</Characters>
  <Lines>347</Lines>
  <Paragraphs>97</Paragraphs>
  <TotalTime>43</TotalTime>
  <ScaleCrop>false</ScaleCrop>
  <LinksUpToDate>false</LinksUpToDate>
  <CharactersWithSpaces>24116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2015-04-27T01:52:00Z</dcterms:created>
  <dc:creator>谢凯枫</dc:creator>
  <cp:lastModifiedBy>Yü Yi</cp:lastModifiedBy>
  <cp:lastPrinted>2023-05-31T11:10:00Z</cp:lastPrinted>
  <dcterms:modified xsi:type="dcterms:W3CDTF">2025-02-25T05:37:59Z</dcterms:modified>
  <dc:title>浙江国际招投标</dc:title>
  <cp:revision>473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C6DF334BB7454CBFA79CAA6B86D14DCC</vt:lpwstr>
  </property>
  <property fmtid="{D5CDD505-2E9C-101B-9397-08002B2CF9AE}" pid="4" name="KSOTemplateDocerSaveRecord">
    <vt:lpwstr>eyJoZGlkIjoiMWIyNzY3ZTdjYTYwMTk5MTE5MjUzZTFlNWY2Y2EzY2YiLCJ1c2VySWQiOiIyNDcxMTA3ODcifQ==</vt:lpwstr>
  </property>
</Properties>
</file>