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8E68C">
      <w:pPr>
        <w:jc w:val="center"/>
        <w:rPr>
          <w:rFonts w:hint="eastAsia" w:ascii="宋体" w:hAnsi="宋体" w:eastAsia="宋体" w:cs="宋体"/>
          <w:b/>
          <w:bCs/>
          <w:color w:val="auto"/>
          <w:spacing w:val="100"/>
          <w:sz w:val="84"/>
          <w:szCs w:val="84"/>
          <w:highlight w:val="none"/>
          <w:lang w:eastAsia="zh-CN"/>
        </w:rPr>
      </w:pPr>
    </w:p>
    <w:p w14:paraId="6EC9A406">
      <w:pPr>
        <w:jc w:val="center"/>
        <w:rPr>
          <w:rFonts w:hint="eastAsia" w:ascii="宋体" w:hAnsi="宋体" w:eastAsia="宋体" w:cs="宋体"/>
          <w:b/>
          <w:bCs/>
          <w:color w:val="auto"/>
          <w:spacing w:val="100"/>
          <w:sz w:val="72"/>
          <w:szCs w:val="72"/>
          <w:highlight w:val="none"/>
        </w:rPr>
      </w:pPr>
      <w:r>
        <w:rPr>
          <w:rFonts w:hint="eastAsia" w:ascii="宋体" w:hAnsi="宋体" w:eastAsia="宋体" w:cs="宋体"/>
          <w:b/>
          <w:bCs/>
          <w:color w:val="auto"/>
          <w:spacing w:val="100"/>
          <w:sz w:val="72"/>
          <w:szCs w:val="72"/>
          <w:highlight w:val="none"/>
          <w:lang w:val="en-US" w:eastAsia="zh-CN"/>
        </w:rPr>
        <w:t>龙湾区</w:t>
      </w:r>
      <w:r>
        <w:rPr>
          <w:rFonts w:hint="eastAsia" w:ascii="宋体" w:hAnsi="宋体" w:eastAsia="宋体" w:cs="宋体"/>
          <w:b/>
          <w:bCs/>
          <w:color w:val="auto"/>
          <w:spacing w:val="100"/>
          <w:sz w:val="72"/>
          <w:szCs w:val="72"/>
          <w:highlight w:val="none"/>
        </w:rPr>
        <w:t>政府分散采购</w:t>
      </w:r>
    </w:p>
    <w:p w14:paraId="40C3FC05">
      <w:pPr>
        <w:jc w:val="center"/>
        <w:rPr>
          <w:rFonts w:hint="eastAsia" w:ascii="宋体" w:hAnsi="宋体" w:eastAsia="宋体" w:cs="宋体"/>
          <w:b/>
          <w:bCs/>
          <w:color w:val="auto"/>
          <w:spacing w:val="26"/>
          <w:sz w:val="52"/>
          <w:highlight w:val="none"/>
        </w:rPr>
      </w:pPr>
    </w:p>
    <w:p w14:paraId="3B6A4E9F">
      <w:pPr>
        <w:jc w:val="center"/>
        <w:rPr>
          <w:rFonts w:hint="eastAsia" w:ascii="宋体" w:hAnsi="宋体" w:eastAsia="宋体" w:cs="宋体"/>
          <w:b/>
          <w:bCs/>
          <w:color w:val="auto"/>
          <w:spacing w:val="140"/>
          <w:sz w:val="72"/>
          <w:highlight w:val="none"/>
        </w:rPr>
      </w:pPr>
    </w:p>
    <w:p w14:paraId="30CA9F4E">
      <w:pPr>
        <w:spacing w:line="360" w:lineRule="auto"/>
        <w:jc w:val="center"/>
        <w:rPr>
          <w:rFonts w:hint="eastAsia" w:ascii="宋体" w:hAnsi="宋体" w:eastAsia="宋体" w:cs="宋体"/>
          <w:b/>
          <w:bCs/>
          <w:color w:val="auto"/>
          <w:spacing w:val="140"/>
          <w:sz w:val="84"/>
          <w:szCs w:val="84"/>
          <w:highlight w:val="none"/>
        </w:rPr>
      </w:pPr>
      <w:r>
        <w:rPr>
          <w:rFonts w:hint="eastAsia" w:ascii="宋体" w:hAnsi="宋体" w:eastAsia="宋体" w:cs="宋体"/>
          <w:b/>
          <w:bCs/>
          <w:color w:val="auto"/>
          <w:spacing w:val="140"/>
          <w:sz w:val="44"/>
          <w:szCs w:val="44"/>
          <w:highlight w:val="none"/>
        </w:rPr>
        <w:t>竞争性磋商文件</w:t>
      </w:r>
    </w:p>
    <w:p w14:paraId="1076FC39">
      <w:pPr>
        <w:spacing w:line="400" w:lineRule="exact"/>
        <w:jc w:val="center"/>
        <w:rPr>
          <w:rFonts w:hint="eastAsia" w:ascii="宋体" w:hAnsi="宋体" w:eastAsia="宋体" w:cs="宋体"/>
          <w:b/>
          <w:bCs/>
          <w:color w:val="auto"/>
          <w:sz w:val="32"/>
          <w:szCs w:val="32"/>
          <w:highlight w:val="none"/>
        </w:rPr>
      </w:pPr>
    </w:p>
    <w:p w14:paraId="767BD59A">
      <w:pPr>
        <w:jc w:val="center"/>
        <w:rPr>
          <w:rFonts w:hint="eastAsia" w:ascii="宋体" w:hAnsi="宋体" w:eastAsia="宋体" w:cs="宋体"/>
          <w:color w:val="auto"/>
          <w:spacing w:val="40"/>
          <w:sz w:val="30"/>
          <w:szCs w:val="30"/>
          <w:highlight w:val="none"/>
        </w:rPr>
      </w:pPr>
    </w:p>
    <w:p w14:paraId="2B3345E3">
      <w:pPr>
        <w:jc w:val="center"/>
        <w:rPr>
          <w:rFonts w:hint="eastAsia" w:ascii="宋体" w:hAnsi="宋体" w:eastAsia="宋体" w:cs="宋体"/>
          <w:color w:val="auto"/>
          <w:spacing w:val="40"/>
          <w:sz w:val="30"/>
          <w:szCs w:val="30"/>
          <w:highlight w:val="none"/>
        </w:rPr>
      </w:pPr>
    </w:p>
    <w:p w14:paraId="7AAB8DDD">
      <w:pPr>
        <w:jc w:val="center"/>
        <w:rPr>
          <w:rFonts w:hint="eastAsia" w:ascii="宋体" w:hAnsi="宋体" w:eastAsia="宋体" w:cs="宋体"/>
          <w:color w:val="auto"/>
          <w:spacing w:val="40"/>
          <w:sz w:val="30"/>
          <w:szCs w:val="30"/>
          <w:highlight w:val="none"/>
        </w:rPr>
      </w:pPr>
    </w:p>
    <w:tbl>
      <w:tblPr>
        <w:tblStyle w:val="54"/>
        <w:tblW w:w="7426" w:type="dxa"/>
        <w:jc w:val="center"/>
        <w:tblLayout w:type="fixed"/>
        <w:tblCellMar>
          <w:top w:w="0" w:type="dxa"/>
          <w:left w:w="108" w:type="dxa"/>
          <w:bottom w:w="0" w:type="dxa"/>
          <w:right w:w="108" w:type="dxa"/>
        </w:tblCellMar>
      </w:tblPr>
      <w:tblGrid>
        <w:gridCol w:w="1559"/>
        <w:gridCol w:w="5867"/>
      </w:tblGrid>
      <w:tr w14:paraId="222280E4">
        <w:tblPrEx>
          <w:tblCellMar>
            <w:top w:w="0" w:type="dxa"/>
            <w:left w:w="108" w:type="dxa"/>
            <w:bottom w:w="0" w:type="dxa"/>
            <w:right w:w="108" w:type="dxa"/>
          </w:tblCellMar>
        </w:tblPrEx>
        <w:trPr>
          <w:trHeight w:val="1089" w:hRule="atLeast"/>
          <w:jc w:val="center"/>
        </w:trPr>
        <w:tc>
          <w:tcPr>
            <w:tcW w:w="1559" w:type="dxa"/>
            <w:vAlign w:val="center"/>
          </w:tcPr>
          <w:p w14:paraId="090A6A6B">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c>
          <w:tcPr>
            <w:tcW w:w="5867" w:type="dxa"/>
            <w:vAlign w:val="center"/>
          </w:tcPr>
          <w:p w14:paraId="71316062">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WZFL-20250108-F</w:t>
            </w:r>
          </w:p>
        </w:tc>
      </w:tr>
      <w:tr w14:paraId="1C405529">
        <w:tblPrEx>
          <w:tblCellMar>
            <w:top w:w="0" w:type="dxa"/>
            <w:left w:w="108" w:type="dxa"/>
            <w:bottom w:w="0" w:type="dxa"/>
            <w:right w:w="108" w:type="dxa"/>
          </w:tblCellMar>
        </w:tblPrEx>
        <w:trPr>
          <w:trHeight w:val="1089" w:hRule="atLeast"/>
          <w:jc w:val="center"/>
        </w:trPr>
        <w:tc>
          <w:tcPr>
            <w:tcW w:w="1559" w:type="dxa"/>
            <w:vAlign w:val="center"/>
          </w:tcPr>
          <w:p w14:paraId="64414CF6">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p>
        </w:tc>
        <w:tc>
          <w:tcPr>
            <w:tcW w:w="5867" w:type="dxa"/>
            <w:vAlign w:val="center"/>
          </w:tcPr>
          <w:p w14:paraId="1547ADF0">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 xml:space="preserve">2025年龙湾区污水处理厂日常进出水监督性水质检测及外围管网水质排查溯源检测服务 </w:t>
            </w:r>
          </w:p>
        </w:tc>
      </w:tr>
      <w:tr w14:paraId="4C889A1F">
        <w:tblPrEx>
          <w:tblCellMar>
            <w:top w:w="0" w:type="dxa"/>
            <w:left w:w="108" w:type="dxa"/>
            <w:bottom w:w="0" w:type="dxa"/>
            <w:right w:w="108" w:type="dxa"/>
          </w:tblCellMar>
        </w:tblPrEx>
        <w:trPr>
          <w:trHeight w:val="1089" w:hRule="atLeast"/>
          <w:jc w:val="center"/>
        </w:trPr>
        <w:tc>
          <w:tcPr>
            <w:tcW w:w="1559" w:type="dxa"/>
            <w:vAlign w:val="center"/>
          </w:tcPr>
          <w:p w14:paraId="3B567BA1">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采购方式：</w:t>
            </w:r>
          </w:p>
        </w:tc>
        <w:tc>
          <w:tcPr>
            <w:tcW w:w="5867" w:type="dxa"/>
            <w:vAlign w:val="center"/>
          </w:tcPr>
          <w:p w14:paraId="7CEFC2B2">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w:t>
            </w:r>
          </w:p>
        </w:tc>
      </w:tr>
    </w:tbl>
    <w:p w14:paraId="2D71B7F7">
      <w:pPr>
        <w:spacing w:line="600" w:lineRule="exact"/>
        <w:ind w:firstLine="904" w:firstLineChars="3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38B81A94">
      <w:pPr>
        <w:spacing w:line="480" w:lineRule="auto"/>
        <w:ind w:firstLine="744" w:firstLineChars="247"/>
        <w:rPr>
          <w:rFonts w:hint="eastAsia" w:ascii="宋体" w:hAnsi="宋体" w:eastAsia="宋体" w:cs="宋体"/>
          <w:b/>
          <w:color w:val="auto"/>
          <w:sz w:val="30"/>
          <w:szCs w:val="30"/>
          <w:highlight w:val="none"/>
        </w:rPr>
      </w:pPr>
    </w:p>
    <w:p w14:paraId="77001749">
      <w:pPr>
        <w:pStyle w:val="22"/>
        <w:rPr>
          <w:rFonts w:hint="eastAsia" w:ascii="宋体" w:hAnsi="宋体" w:eastAsia="宋体" w:cs="宋体"/>
          <w:color w:val="auto"/>
          <w:highlight w:val="none"/>
        </w:rPr>
      </w:pPr>
    </w:p>
    <w:p w14:paraId="5CAC15CB">
      <w:pPr>
        <w:spacing w:line="480" w:lineRule="auto"/>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eastAsia="宋体" w:cs="宋体"/>
          <w:b/>
          <w:color w:val="auto"/>
          <w:sz w:val="30"/>
          <w:szCs w:val="30"/>
          <w:highlight w:val="none"/>
          <w:lang w:eastAsia="zh-CN"/>
        </w:rPr>
        <w:t>温州市龙湾区综合行政执法局</w:t>
      </w:r>
    </w:p>
    <w:p w14:paraId="50168FE4">
      <w:pPr>
        <w:spacing w:line="480" w:lineRule="auto"/>
        <w:ind w:firstLine="1205" w:firstLineChars="40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0"/>
          <w:szCs w:val="30"/>
          <w:highlight w:val="none"/>
          <w:lang w:eastAsia="zh-CN"/>
        </w:rPr>
        <w:t>温州市方略工程项目管理有限公司</w:t>
      </w:r>
    </w:p>
    <w:p w14:paraId="2D165015">
      <w:pPr>
        <w:spacing w:line="600" w:lineRule="exact"/>
        <w:ind w:firstLine="3012" w:firstLineChars="1000"/>
        <w:jc w:val="both"/>
        <w:rPr>
          <w:rFonts w:hint="eastAsia" w:ascii="宋体" w:hAnsi="宋体" w:eastAsia="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992" w:gutter="0"/>
          <w:pgNumType w:start="0"/>
          <w:cols w:space="720" w:num="1"/>
          <w:titlePg/>
          <w:docGrid w:linePitch="312" w:charSpace="0"/>
        </w:sectPr>
      </w:pPr>
      <w:r>
        <w:rPr>
          <w:rFonts w:hint="eastAsia" w:ascii="宋体" w:hAnsi="宋体" w:eastAsia="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一</w:t>
      </w:r>
      <w:r>
        <w:rPr>
          <w:rFonts w:hint="eastAsia" w:ascii="宋体" w:hAnsi="宋体" w:eastAsia="宋体" w:cs="宋体"/>
          <w:b/>
          <w:color w:val="auto"/>
          <w:sz w:val="30"/>
          <w:szCs w:val="30"/>
          <w:highlight w:val="none"/>
        </w:rPr>
        <w:t>月</w:t>
      </w:r>
    </w:p>
    <w:p w14:paraId="1F13D03A">
      <w:pPr>
        <w:rPr>
          <w:rFonts w:hint="eastAsia" w:ascii="宋体" w:hAnsi="宋体" w:eastAsia="宋体" w:cs="宋体"/>
          <w:b/>
          <w:bCs/>
          <w:color w:val="auto"/>
          <w:szCs w:val="21"/>
          <w:highlight w:val="none"/>
        </w:rPr>
      </w:pPr>
    </w:p>
    <w:p w14:paraId="15204ED1">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7446B270">
      <w:pPr>
        <w:spacing w:line="600" w:lineRule="exact"/>
        <w:jc w:val="center"/>
        <w:rPr>
          <w:rFonts w:hint="eastAsia" w:ascii="宋体" w:hAnsi="宋体" w:eastAsia="宋体" w:cs="宋体"/>
          <w:b/>
          <w:bCs/>
          <w:color w:val="auto"/>
          <w:sz w:val="32"/>
          <w:szCs w:val="32"/>
          <w:highlight w:val="none"/>
        </w:rPr>
      </w:pPr>
    </w:p>
    <w:p w14:paraId="4F6613E9">
      <w:pPr>
        <w:pStyle w:val="39"/>
        <w:tabs>
          <w:tab w:val="right" w:leader="dot" w:pos="9185"/>
        </w:tabs>
        <w:spacing w:line="360" w:lineRule="auto"/>
        <w:rPr>
          <w:sz w:val="24"/>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_Toc15410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shd w:val="clear" w:color="auto" w:fill="FFFFFF"/>
        </w:rPr>
        <w:t>竞争性磋商的公告</w:t>
      </w:r>
      <w:r>
        <w:rPr>
          <w:sz w:val="24"/>
          <w:szCs w:val="32"/>
        </w:rPr>
        <w:tab/>
      </w:r>
      <w:r>
        <w:rPr>
          <w:sz w:val="24"/>
          <w:szCs w:val="32"/>
        </w:rPr>
        <w:fldChar w:fldCharType="begin"/>
      </w:r>
      <w:r>
        <w:rPr>
          <w:sz w:val="24"/>
          <w:szCs w:val="32"/>
        </w:rPr>
        <w:instrText xml:space="preserve"> PAGEREF _Toc15410 \h </w:instrText>
      </w:r>
      <w:r>
        <w:rPr>
          <w:sz w:val="24"/>
          <w:szCs w:val="32"/>
        </w:rPr>
        <w:fldChar w:fldCharType="separate"/>
      </w:r>
      <w:r>
        <w:rPr>
          <w:sz w:val="24"/>
          <w:szCs w:val="32"/>
        </w:rPr>
        <w:t>2</w:t>
      </w:r>
      <w:r>
        <w:rPr>
          <w:sz w:val="24"/>
          <w:szCs w:val="32"/>
        </w:rPr>
        <w:fldChar w:fldCharType="end"/>
      </w:r>
      <w:r>
        <w:rPr>
          <w:rFonts w:hint="eastAsia" w:ascii="宋体" w:hAnsi="宋体" w:eastAsia="宋体" w:cs="宋体"/>
          <w:color w:val="auto"/>
          <w:sz w:val="24"/>
          <w:szCs w:val="32"/>
          <w:highlight w:val="none"/>
        </w:rPr>
        <w:fldChar w:fldCharType="end"/>
      </w:r>
    </w:p>
    <w:p w14:paraId="2BDEED56">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_Toc14572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供应商须知前附表</w:t>
      </w:r>
      <w:r>
        <w:rPr>
          <w:sz w:val="24"/>
          <w:szCs w:val="32"/>
        </w:rPr>
        <w:tab/>
      </w:r>
      <w:r>
        <w:rPr>
          <w:sz w:val="24"/>
          <w:szCs w:val="32"/>
        </w:rPr>
        <w:fldChar w:fldCharType="begin"/>
      </w:r>
      <w:r>
        <w:rPr>
          <w:sz w:val="24"/>
          <w:szCs w:val="32"/>
        </w:rPr>
        <w:instrText xml:space="preserve"> PAGEREF _Toc14572 \h </w:instrText>
      </w:r>
      <w:r>
        <w:rPr>
          <w:sz w:val="24"/>
          <w:szCs w:val="32"/>
        </w:rPr>
        <w:fldChar w:fldCharType="separate"/>
      </w:r>
      <w:r>
        <w:rPr>
          <w:sz w:val="24"/>
          <w:szCs w:val="32"/>
        </w:rPr>
        <w:t>5</w:t>
      </w:r>
      <w:r>
        <w:rPr>
          <w:sz w:val="24"/>
          <w:szCs w:val="32"/>
        </w:rPr>
        <w:fldChar w:fldCharType="end"/>
      </w:r>
      <w:r>
        <w:rPr>
          <w:rFonts w:hint="eastAsia" w:ascii="宋体" w:hAnsi="宋体" w:eastAsia="宋体" w:cs="宋体"/>
          <w:color w:val="auto"/>
          <w:sz w:val="24"/>
          <w:szCs w:val="32"/>
          <w:highlight w:val="none"/>
        </w:rPr>
        <w:fldChar w:fldCharType="end"/>
      </w:r>
    </w:p>
    <w:p w14:paraId="5147CF3C">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_Toc15832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第一部分    供应商须知</w:t>
      </w:r>
      <w:r>
        <w:rPr>
          <w:sz w:val="24"/>
          <w:szCs w:val="32"/>
        </w:rPr>
        <w:tab/>
      </w:r>
      <w:r>
        <w:rPr>
          <w:sz w:val="24"/>
          <w:szCs w:val="32"/>
        </w:rPr>
        <w:fldChar w:fldCharType="begin"/>
      </w:r>
      <w:r>
        <w:rPr>
          <w:sz w:val="24"/>
          <w:szCs w:val="32"/>
        </w:rPr>
        <w:instrText xml:space="preserve"> PAGEREF _Toc15832 \h </w:instrText>
      </w:r>
      <w:r>
        <w:rPr>
          <w:sz w:val="24"/>
          <w:szCs w:val="32"/>
        </w:rPr>
        <w:fldChar w:fldCharType="separate"/>
      </w:r>
      <w:r>
        <w:rPr>
          <w:sz w:val="24"/>
          <w:szCs w:val="32"/>
        </w:rPr>
        <w:t>9</w:t>
      </w:r>
      <w:r>
        <w:rPr>
          <w:sz w:val="24"/>
          <w:szCs w:val="32"/>
        </w:rPr>
        <w:fldChar w:fldCharType="end"/>
      </w:r>
      <w:r>
        <w:rPr>
          <w:rFonts w:hint="eastAsia" w:ascii="宋体" w:hAnsi="宋体" w:eastAsia="宋体" w:cs="宋体"/>
          <w:color w:val="auto"/>
          <w:sz w:val="24"/>
          <w:szCs w:val="32"/>
          <w:highlight w:val="none"/>
        </w:rPr>
        <w:fldChar w:fldCharType="end"/>
      </w:r>
    </w:p>
    <w:p w14:paraId="5CF8B7F8">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_Toc3556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一   说 明</w:t>
      </w:r>
      <w:r>
        <w:rPr>
          <w:sz w:val="24"/>
          <w:szCs w:val="32"/>
        </w:rPr>
        <w:tab/>
      </w:r>
      <w:r>
        <w:rPr>
          <w:sz w:val="24"/>
          <w:szCs w:val="32"/>
        </w:rPr>
        <w:fldChar w:fldCharType="begin"/>
      </w:r>
      <w:r>
        <w:rPr>
          <w:sz w:val="24"/>
          <w:szCs w:val="32"/>
        </w:rPr>
        <w:instrText xml:space="preserve"> PAGEREF _Toc3556 \h </w:instrText>
      </w:r>
      <w:r>
        <w:rPr>
          <w:sz w:val="24"/>
          <w:szCs w:val="32"/>
        </w:rPr>
        <w:fldChar w:fldCharType="separate"/>
      </w:r>
      <w:r>
        <w:rPr>
          <w:sz w:val="24"/>
          <w:szCs w:val="32"/>
        </w:rPr>
        <w:t>9</w:t>
      </w:r>
      <w:r>
        <w:rPr>
          <w:sz w:val="24"/>
          <w:szCs w:val="32"/>
        </w:rPr>
        <w:fldChar w:fldCharType="end"/>
      </w:r>
      <w:r>
        <w:rPr>
          <w:rFonts w:hint="eastAsia" w:ascii="宋体" w:hAnsi="宋体" w:eastAsia="宋体" w:cs="宋体"/>
          <w:color w:val="auto"/>
          <w:sz w:val="24"/>
          <w:szCs w:val="32"/>
          <w:highlight w:val="none"/>
        </w:rPr>
        <w:fldChar w:fldCharType="end"/>
      </w:r>
    </w:p>
    <w:p w14:paraId="515A85A0">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_Toc30855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二   竞争性磋商文件</w:t>
      </w:r>
      <w:r>
        <w:rPr>
          <w:sz w:val="24"/>
          <w:szCs w:val="32"/>
        </w:rPr>
        <w:tab/>
      </w:r>
      <w:r>
        <w:rPr>
          <w:sz w:val="24"/>
          <w:szCs w:val="32"/>
        </w:rPr>
        <w:fldChar w:fldCharType="begin"/>
      </w:r>
      <w:r>
        <w:rPr>
          <w:sz w:val="24"/>
          <w:szCs w:val="32"/>
        </w:rPr>
        <w:instrText xml:space="preserve"> PAGEREF _Toc30855 \h </w:instrText>
      </w:r>
      <w:r>
        <w:rPr>
          <w:sz w:val="24"/>
          <w:szCs w:val="32"/>
        </w:rPr>
        <w:fldChar w:fldCharType="separate"/>
      </w:r>
      <w:r>
        <w:rPr>
          <w:sz w:val="24"/>
          <w:szCs w:val="32"/>
        </w:rPr>
        <w:t>10</w:t>
      </w:r>
      <w:r>
        <w:rPr>
          <w:sz w:val="24"/>
          <w:szCs w:val="32"/>
        </w:rPr>
        <w:fldChar w:fldCharType="end"/>
      </w:r>
      <w:r>
        <w:rPr>
          <w:rFonts w:hint="eastAsia" w:ascii="宋体" w:hAnsi="宋体" w:eastAsia="宋体" w:cs="宋体"/>
          <w:color w:val="auto"/>
          <w:sz w:val="24"/>
          <w:szCs w:val="32"/>
          <w:highlight w:val="none"/>
        </w:rPr>
        <w:fldChar w:fldCharType="end"/>
      </w:r>
    </w:p>
    <w:p w14:paraId="77FE6F6D">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_Toc27836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三   磋商响应文件的编制</w:t>
      </w:r>
      <w:r>
        <w:rPr>
          <w:sz w:val="24"/>
          <w:szCs w:val="32"/>
        </w:rPr>
        <w:tab/>
      </w:r>
      <w:r>
        <w:rPr>
          <w:sz w:val="24"/>
          <w:szCs w:val="32"/>
        </w:rPr>
        <w:fldChar w:fldCharType="begin"/>
      </w:r>
      <w:r>
        <w:rPr>
          <w:sz w:val="24"/>
          <w:szCs w:val="32"/>
        </w:rPr>
        <w:instrText xml:space="preserve"> PAGEREF _Toc27836 \h </w:instrText>
      </w:r>
      <w:r>
        <w:rPr>
          <w:sz w:val="24"/>
          <w:szCs w:val="32"/>
        </w:rPr>
        <w:fldChar w:fldCharType="separate"/>
      </w:r>
      <w:r>
        <w:rPr>
          <w:sz w:val="24"/>
          <w:szCs w:val="32"/>
        </w:rPr>
        <w:t>11</w:t>
      </w:r>
      <w:r>
        <w:rPr>
          <w:sz w:val="24"/>
          <w:szCs w:val="32"/>
        </w:rPr>
        <w:fldChar w:fldCharType="end"/>
      </w:r>
      <w:r>
        <w:rPr>
          <w:rFonts w:hint="eastAsia" w:ascii="宋体" w:hAnsi="宋体" w:eastAsia="宋体" w:cs="宋体"/>
          <w:color w:val="auto"/>
          <w:sz w:val="24"/>
          <w:szCs w:val="32"/>
          <w:highlight w:val="none"/>
        </w:rPr>
        <w:fldChar w:fldCharType="end"/>
      </w:r>
    </w:p>
    <w:p w14:paraId="4096F5BC">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_Toc26230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四   磋商响应文件的递交</w:t>
      </w:r>
      <w:r>
        <w:rPr>
          <w:sz w:val="24"/>
          <w:szCs w:val="32"/>
        </w:rPr>
        <w:tab/>
      </w:r>
      <w:r>
        <w:rPr>
          <w:sz w:val="24"/>
          <w:szCs w:val="32"/>
        </w:rPr>
        <w:fldChar w:fldCharType="begin"/>
      </w:r>
      <w:r>
        <w:rPr>
          <w:sz w:val="24"/>
          <w:szCs w:val="32"/>
        </w:rPr>
        <w:instrText xml:space="preserve"> PAGEREF _Toc26230 \h </w:instrText>
      </w:r>
      <w:r>
        <w:rPr>
          <w:sz w:val="24"/>
          <w:szCs w:val="32"/>
        </w:rPr>
        <w:fldChar w:fldCharType="separate"/>
      </w:r>
      <w:r>
        <w:rPr>
          <w:sz w:val="24"/>
          <w:szCs w:val="32"/>
        </w:rPr>
        <w:t>14</w:t>
      </w:r>
      <w:r>
        <w:rPr>
          <w:sz w:val="24"/>
          <w:szCs w:val="32"/>
        </w:rPr>
        <w:fldChar w:fldCharType="end"/>
      </w:r>
      <w:r>
        <w:rPr>
          <w:rFonts w:hint="eastAsia" w:ascii="宋体" w:hAnsi="宋体" w:eastAsia="宋体" w:cs="宋体"/>
          <w:color w:val="auto"/>
          <w:sz w:val="24"/>
          <w:szCs w:val="32"/>
          <w:highlight w:val="none"/>
        </w:rPr>
        <w:fldChar w:fldCharType="end"/>
      </w:r>
    </w:p>
    <w:p w14:paraId="0FEA523B">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_Toc24107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五   开标</w:t>
      </w:r>
      <w:r>
        <w:rPr>
          <w:sz w:val="24"/>
          <w:szCs w:val="32"/>
        </w:rPr>
        <w:tab/>
      </w:r>
      <w:r>
        <w:rPr>
          <w:sz w:val="24"/>
          <w:szCs w:val="32"/>
        </w:rPr>
        <w:fldChar w:fldCharType="begin"/>
      </w:r>
      <w:r>
        <w:rPr>
          <w:sz w:val="24"/>
          <w:szCs w:val="32"/>
        </w:rPr>
        <w:instrText xml:space="preserve"> PAGEREF _Toc24107 \h </w:instrText>
      </w:r>
      <w:r>
        <w:rPr>
          <w:sz w:val="24"/>
          <w:szCs w:val="32"/>
        </w:rPr>
        <w:fldChar w:fldCharType="separate"/>
      </w:r>
      <w:r>
        <w:rPr>
          <w:sz w:val="24"/>
          <w:szCs w:val="32"/>
        </w:rPr>
        <w:t>15</w:t>
      </w:r>
      <w:r>
        <w:rPr>
          <w:sz w:val="24"/>
          <w:szCs w:val="32"/>
        </w:rPr>
        <w:fldChar w:fldCharType="end"/>
      </w:r>
      <w:r>
        <w:rPr>
          <w:rFonts w:hint="eastAsia" w:ascii="宋体" w:hAnsi="宋体" w:eastAsia="宋体" w:cs="宋体"/>
          <w:color w:val="auto"/>
          <w:sz w:val="24"/>
          <w:szCs w:val="32"/>
          <w:highlight w:val="none"/>
        </w:rPr>
        <w:fldChar w:fldCharType="end"/>
      </w:r>
    </w:p>
    <w:p w14:paraId="12DF3645">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_Toc20623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六   磋商</w:t>
      </w:r>
      <w:r>
        <w:rPr>
          <w:sz w:val="24"/>
          <w:szCs w:val="32"/>
        </w:rPr>
        <w:tab/>
      </w:r>
      <w:r>
        <w:rPr>
          <w:sz w:val="24"/>
          <w:szCs w:val="32"/>
        </w:rPr>
        <w:fldChar w:fldCharType="begin"/>
      </w:r>
      <w:r>
        <w:rPr>
          <w:sz w:val="24"/>
          <w:szCs w:val="32"/>
        </w:rPr>
        <w:instrText xml:space="preserve"> PAGEREF _Toc20623 \h </w:instrText>
      </w:r>
      <w:r>
        <w:rPr>
          <w:sz w:val="24"/>
          <w:szCs w:val="32"/>
        </w:rPr>
        <w:fldChar w:fldCharType="separate"/>
      </w:r>
      <w:r>
        <w:rPr>
          <w:sz w:val="24"/>
          <w:szCs w:val="32"/>
        </w:rPr>
        <w:t>17</w:t>
      </w:r>
      <w:r>
        <w:rPr>
          <w:sz w:val="24"/>
          <w:szCs w:val="32"/>
        </w:rPr>
        <w:fldChar w:fldCharType="end"/>
      </w:r>
      <w:r>
        <w:rPr>
          <w:rFonts w:hint="eastAsia" w:ascii="宋体" w:hAnsi="宋体" w:eastAsia="宋体" w:cs="宋体"/>
          <w:color w:val="auto"/>
          <w:sz w:val="24"/>
          <w:szCs w:val="32"/>
          <w:highlight w:val="none"/>
        </w:rPr>
        <w:fldChar w:fldCharType="end"/>
      </w:r>
    </w:p>
    <w:p w14:paraId="741855A4">
      <w:pPr>
        <w:pStyle w:val="45"/>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_Toc5193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24"/>
          <w:highlight w:val="none"/>
        </w:rPr>
        <w:t>七   定标及授予合同</w:t>
      </w:r>
      <w:r>
        <w:rPr>
          <w:sz w:val="24"/>
          <w:szCs w:val="32"/>
        </w:rPr>
        <w:tab/>
      </w:r>
      <w:r>
        <w:rPr>
          <w:sz w:val="24"/>
          <w:szCs w:val="32"/>
        </w:rPr>
        <w:fldChar w:fldCharType="begin"/>
      </w:r>
      <w:r>
        <w:rPr>
          <w:sz w:val="24"/>
          <w:szCs w:val="32"/>
        </w:rPr>
        <w:instrText xml:space="preserve"> PAGEREF _Toc5193 \h </w:instrText>
      </w:r>
      <w:r>
        <w:rPr>
          <w:sz w:val="24"/>
          <w:szCs w:val="32"/>
        </w:rPr>
        <w:fldChar w:fldCharType="separate"/>
      </w:r>
      <w:r>
        <w:rPr>
          <w:sz w:val="24"/>
          <w:szCs w:val="32"/>
        </w:rPr>
        <w:t>19</w:t>
      </w:r>
      <w:r>
        <w:rPr>
          <w:sz w:val="24"/>
          <w:szCs w:val="32"/>
        </w:rPr>
        <w:fldChar w:fldCharType="end"/>
      </w:r>
      <w:r>
        <w:rPr>
          <w:rFonts w:hint="eastAsia" w:ascii="宋体" w:hAnsi="宋体" w:eastAsia="宋体" w:cs="宋体"/>
          <w:color w:val="auto"/>
          <w:sz w:val="24"/>
          <w:szCs w:val="32"/>
          <w:highlight w:val="none"/>
        </w:rPr>
        <w:fldChar w:fldCharType="end"/>
      </w:r>
    </w:p>
    <w:p w14:paraId="78007A8A">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_Toc16920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 xml:space="preserve">第二部分   </w:t>
      </w:r>
      <w:r>
        <w:rPr>
          <w:rFonts w:hint="eastAsia" w:ascii="宋体" w:hAnsi="宋体" w:eastAsia="宋体" w:cs="宋体"/>
          <w:kern w:val="2"/>
          <w:sz w:val="24"/>
          <w:szCs w:val="44"/>
          <w:highlight w:val="none"/>
        </w:rPr>
        <w:t>政府采购政策功能相关说明</w:t>
      </w:r>
      <w:r>
        <w:rPr>
          <w:sz w:val="24"/>
          <w:szCs w:val="32"/>
        </w:rPr>
        <w:tab/>
      </w:r>
      <w:r>
        <w:rPr>
          <w:sz w:val="24"/>
          <w:szCs w:val="32"/>
        </w:rPr>
        <w:fldChar w:fldCharType="begin"/>
      </w:r>
      <w:r>
        <w:rPr>
          <w:sz w:val="24"/>
          <w:szCs w:val="32"/>
        </w:rPr>
        <w:instrText xml:space="preserve"> PAGEREF _Toc16920 \h </w:instrText>
      </w:r>
      <w:r>
        <w:rPr>
          <w:sz w:val="24"/>
          <w:szCs w:val="32"/>
        </w:rPr>
        <w:fldChar w:fldCharType="separate"/>
      </w:r>
      <w:r>
        <w:rPr>
          <w:sz w:val="24"/>
          <w:szCs w:val="32"/>
        </w:rPr>
        <w:t>21</w:t>
      </w:r>
      <w:r>
        <w:rPr>
          <w:sz w:val="24"/>
          <w:szCs w:val="32"/>
        </w:rPr>
        <w:fldChar w:fldCharType="end"/>
      </w:r>
      <w:r>
        <w:rPr>
          <w:rFonts w:hint="eastAsia" w:ascii="宋体" w:hAnsi="宋体" w:eastAsia="宋体" w:cs="宋体"/>
          <w:color w:val="auto"/>
          <w:sz w:val="24"/>
          <w:szCs w:val="32"/>
          <w:highlight w:val="none"/>
        </w:rPr>
        <w:fldChar w:fldCharType="end"/>
      </w:r>
    </w:p>
    <w:p w14:paraId="30A824B2">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_Toc12455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第三部分   合同条款及格式</w:t>
      </w:r>
      <w:r>
        <w:rPr>
          <w:sz w:val="24"/>
          <w:szCs w:val="32"/>
        </w:rPr>
        <w:tab/>
      </w:r>
      <w:r>
        <w:rPr>
          <w:sz w:val="24"/>
          <w:szCs w:val="32"/>
        </w:rPr>
        <w:fldChar w:fldCharType="begin"/>
      </w:r>
      <w:r>
        <w:rPr>
          <w:sz w:val="24"/>
          <w:szCs w:val="32"/>
        </w:rPr>
        <w:instrText xml:space="preserve"> PAGEREF _Toc12455 \h </w:instrText>
      </w:r>
      <w:r>
        <w:rPr>
          <w:sz w:val="24"/>
          <w:szCs w:val="32"/>
        </w:rPr>
        <w:fldChar w:fldCharType="separate"/>
      </w:r>
      <w:r>
        <w:rPr>
          <w:sz w:val="24"/>
          <w:szCs w:val="32"/>
        </w:rPr>
        <w:t>30</w:t>
      </w:r>
      <w:r>
        <w:rPr>
          <w:sz w:val="24"/>
          <w:szCs w:val="32"/>
        </w:rPr>
        <w:fldChar w:fldCharType="end"/>
      </w:r>
      <w:r>
        <w:rPr>
          <w:rFonts w:hint="eastAsia" w:ascii="宋体" w:hAnsi="宋体" w:eastAsia="宋体" w:cs="宋体"/>
          <w:color w:val="auto"/>
          <w:sz w:val="24"/>
          <w:szCs w:val="32"/>
          <w:highlight w:val="none"/>
        </w:rPr>
        <w:fldChar w:fldCharType="end"/>
      </w:r>
    </w:p>
    <w:p w14:paraId="3A29FA49">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_Toc5173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44"/>
          <w:highlight w:val="none"/>
        </w:rPr>
        <w:t>第四部分   磋商响应文件格式</w:t>
      </w:r>
      <w:r>
        <w:rPr>
          <w:sz w:val="24"/>
          <w:szCs w:val="32"/>
        </w:rPr>
        <w:tab/>
      </w:r>
      <w:r>
        <w:rPr>
          <w:sz w:val="24"/>
          <w:szCs w:val="32"/>
        </w:rPr>
        <w:fldChar w:fldCharType="begin"/>
      </w:r>
      <w:r>
        <w:rPr>
          <w:sz w:val="24"/>
          <w:szCs w:val="32"/>
        </w:rPr>
        <w:instrText xml:space="preserve"> PAGEREF _Toc5173 \h </w:instrText>
      </w:r>
      <w:r>
        <w:rPr>
          <w:sz w:val="24"/>
          <w:szCs w:val="32"/>
        </w:rPr>
        <w:fldChar w:fldCharType="separate"/>
      </w:r>
      <w:r>
        <w:rPr>
          <w:sz w:val="24"/>
          <w:szCs w:val="32"/>
        </w:rPr>
        <w:t>34</w:t>
      </w:r>
      <w:r>
        <w:rPr>
          <w:sz w:val="24"/>
          <w:szCs w:val="32"/>
        </w:rPr>
        <w:fldChar w:fldCharType="end"/>
      </w:r>
      <w:r>
        <w:rPr>
          <w:rFonts w:hint="eastAsia" w:ascii="宋体" w:hAnsi="宋体" w:eastAsia="宋体" w:cs="宋体"/>
          <w:color w:val="auto"/>
          <w:sz w:val="24"/>
          <w:szCs w:val="32"/>
          <w:highlight w:val="none"/>
        </w:rPr>
        <w:fldChar w:fldCharType="end"/>
      </w:r>
    </w:p>
    <w:p w14:paraId="69CBDBF9">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_Toc6790 </w:instrText>
      </w:r>
      <w:r>
        <w:rPr>
          <w:rFonts w:hint="eastAsia" w:ascii="宋体" w:hAnsi="宋体" w:eastAsia="宋体" w:cs="宋体"/>
          <w:sz w:val="24"/>
          <w:szCs w:val="32"/>
          <w:highlight w:val="none"/>
        </w:rPr>
        <w:fldChar w:fldCharType="separate"/>
      </w:r>
      <w:r>
        <w:rPr>
          <w:rFonts w:hint="eastAsia" w:ascii="宋体" w:hAnsi="宋体" w:eastAsia="宋体" w:cs="宋体"/>
          <w:bCs w:val="0"/>
          <w:sz w:val="24"/>
          <w:szCs w:val="44"/>
          <w:highlight w:val="none"/>
        </w:rPr>
        <w:t>第</w:t>
      </w:r>
      <w:r>
        <w:rPr>
          <w:rFonts w:hint="eastAsia" w:ascii="宋体" w:hAnsi="宋体" w:eastAsia="宋体" w:cs="宋体"/>
          <w:bCs w:val="0"/>
          <w:sz w:val="24"/>
          <w:szCs w:val="44"/>
          <w:highlight w:val="none"/>
          <w:lang w:val="en-US" w:eastAsia="zh-CN"/>
        </w:rPr>
        <w:t>五</w:t>
      </w:r>
      <w:r>
        <w:rPr>
          <w:rFonts w:hint="eastAsia" w:ascii="宋体" w:hAnsi="宋体" w:eastAsia="宋体" w:cs="宋体"/>
          <w:bCs w:val="0"/>
          <w:sz w:val="24"/>
          <w:szCs w:val="44"/>
          <w:highlight w:val="none"/>
        </w:rPr>
        <w:t>部分   采购内容及要求</w:t>
      </w:r>
      <w:r>
        <w:rPr>
          <w:sz w:val="24"/>
          <w:szCs w:val="32"/>
        </w:rPr>
        <w:tab/>
      </w:r>
      <w:r>
        <w:rPr>
          <w:sz w:val="24"/>
          <w:szCs w:val="32"/>
        </w:rPr>
        <w:fldChar w:fldCharType="begin"/>
      </w:r>
      <w:r>
        <w:rPr>
          <w:sz w:val="24"/>
          <w:szCs w:val="32"/>
        </w:rPr>
        <w:instrText xml:space="preserve"> PAGEREF _Toc6790 \h </w:instrText>
      </w:r>
      <w:r>
        <w:rPr>
          <w:sz w:val="24"/>
          <w:szCs w:val="32"/>
        </w:rPr>
        <w:fldChar w:fldCharType="separate"/>
      </w:r>
      <w:r>
        <w:rPr>
          <w:sz w:val="24"/>
          <w:szCs w:val="32"/>
        </w:rPr>
        <w:t>55</w:t>
      </w:r>
      <w:r>
        <w:rPr>
          <w:sz w:val="24"/>
          <w:szCs w:val="32"/>
        </w:rPr>
        <w:fldChar w:fldCharType="end"/>
      </w:r>
      <w:r>
        <w:rPr>
          <w:rFonts w:hint="eastAsia" w:ascii="宋体" w:hAnsi="宋体" w:eastAsia="宋体" w:cs="宋体"/>
          <w:color w:val="auto"/>
          <w:sz w:val="24"/>
          <w:szCs w:val="32"/>
          <w:highlight w:val="none"/>
        </w:rPr>
        <w:fldChar w:fldCharType="end"/>
      </w:r>
    </w:p>
    <w:p w14:paraId="52374EC2">
      <w:pPr>
        <w:pStyle w:val="39"/>
        <w:tabs>
          <w:tab w:val="right" w:leader="dot" w:pos="9185"/>
        </w:tabs>
        <w:spacing w:line="360" w:lineRule="auto"/>
        <w:rPr>
          <w:sz w:val="24"/>
          <w:szCs w:val="32"/>
        </w:rPr>
      </w:pPr>
      <w:r>
        <w:rPr>
          <w:rFonts w:hint="eastAsia" w:ascii="宋体" w:hAnsi="宋体" w:eastAsia="宋体" w:cs="宋体"/>
          <w:color w:val="auto"/>
          <w:sz w:val="24"/>
          <w:szCs w:val="32"/>
          <w:highlight w:val="none"/>
        </w:rPr>
        <w:fldChar w:fldCharType="begin"/>
      </w:r>
      <w:r>
        <w:rPr>
          <w:rFonts w:hint="eastAsia" w:ascii="宋体" w:hAnsi="宋体" w:eastAsia="宋体" w:cs="宋体"/>
          <w:sz w:val="24"/>
          <w:szCs w:val="32"/>
          <w:highlight w:val="none"/>
        </w:rPr>
        <w:instrText xml:space="preserve"> HYPERLINK \l _Toc31823 </w:instrText>
      </w:r>
      <w:r>
        <w:rPr>
          <w:rFonts w:hint="eastAsia" w:ascii="宋体" w:hAnsi="宋体" w:eastAsia="宋体" w:cs="宋体"/>
          <w:sz w:val="24"/>
          <w:szCs w:val="32"/>
          <w:highlight w:val="none"/>
        </w:rPr>
        <w:fldChar w:fldCharType="separate"/>
      </w:r>
      <w:r>
        <w:rPr>
          <w:rFonts w:hint="eastAsia" w:ascii="宋体" w:hAnsi="宋体" w:eastAsia="宋体" w:cs="宋体"/>
          <w:bCs w:val="0"/>
          <w:sz w:val="24"/>
          <w:szCs w:val="44"/>
          <w:highlight w:val="none"/>
        </w:rPr>
        <w:t>第六部分   磋商原则及方法</w:t>
      </w:r>
      <w:r>
        <w:rPr>
          <w:sz w:val="24"/>
          <w:szCs w:val="32"/>
        </w:rPr>
        <w:tab/>
      </w:r>
      <w:r>
        <w:rPr>
          <w:sz w:val="24"/>
          <w:szCs w:val="32"/>
        </w:rPr>
        <w:fldChar w:fldCharType="begin"/>
      </w:r>
      <w:r>
        <w:rPr>
          <w:sz w:val="24"/>
          <w:szCs w:val="32"/>
        </w:rPr>
        <w:instrText xml:space="preserve"> PAGEREF _Toc31823 \h </w:instrText>
      </w:r>
      <w:r>
        <w:rPr>
          <w:sz w:val="24"/>
          <w:szCs w:val="32"/>
        </w:rPr>
        <w:fldChar w:fldCharType="separate"/>
      </w:r>
      <w:r>
        <w:rPr>
          <w:sz w:val="24"/>
          <w:szCs w:val="32"/>
        </w:rPr>
        <w:t>57</w:t>
      </w:r>
      <w:r>
        <w:rPr>
          <w:sz w:val="24"/>
          <w:szCs w:val="32"/>
        </w:rPr>
        <w:fldChar w:fldCharType="end"/>
      </w:r>
      <w:r>
        <w:rPr>
          <w:rFonts w:hint="eastAsia" w:ascii="宋体" w:hAnsi="宋体" w:eastAsia="宋体" w:cs="宋体"/>
          <w:color w:val="auto"/>
          <w:sz w:val="24"/>
          <w:szCs w:val="32"/>
          <w:highlight w:val="none"/>
        </w:rPr>
        <w:fldChar w:fldCharType="end"/>
      </w:r>
    </w:p>
    <w:p w14:paraId="1ED6C8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color w:val="auto"/>
          <w:sz w:val="24"/>
          <w:szCs w:val="32"/>
          <w:highlight w:val="none"/>
        </w:rPr>
        <w:fldChar w:fldCharType="end"/>
      </w:r>
    </w:p>
    <w:p w14:paraId="6309363E">
      <w:pPr>
        <w:spacing w:line="360" w:lineRule="auto"/>
        <w:ind w:firstLine="428"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5AEFA81C">
      <w:pPr>
        <w:spacing w:line="240" w:lineRule="atLeast"/>
        <w:jc w:val="center"/>
        <w:rPr>
          <w:rFonts w:hint="eastAsia" w:ascii="宋体" w:hAnsi="宋体" w:eastAsia="宋体" w:cs="宋体"/>
          <w:b/>
          <w:color w:val="auto"/>
          <w:szCs w:val="21"/>
          <w:highlight w:val="none"/>
        </w:rPr>
      </w:pPr>
    </w:p>
    <w:p w14:paraId="09195FCB">
      <w:pPr>
        <w:spacing w:line="240" w:lineRule="atLeast"/>
        <w:jc w:val="center"/>
        <w:rPr>
          <w:rFonts w:hint="eastAsia" w:ascii="宋体" w:hAnsi="宋体" w:eastAsia="宋体" w:cs="宋体"/>
          <w:b/>
          <w:color w:val="auto"/>
          <w:szCs w:val="21"/>
          <w:highlight w:val="none"/>
        </w:rPr>
      </w:pPr>
    </w:p>
    <w:p w14:paraId="2DF3A530">
      <w:pPr>
        <w:spacing w:line="240" w:lineRule="atLeast"/>
        <w:jc w:val="center"/>
        <w:rPr>
          <w:rFonts w:hint="eastAsia" w:ascii="宋体" w:hAnsi="宋体" w:eastAsia="宋体" w:cs="宋体"/>
          <w:b/>
          <w:color w:val="auto"/>
          <w:szCs w:val="21"/>
          <w:highlight w:val="none"/>
        </w:rPr>
      </w:pPr>
    </w:p>
    <w:p w14:paraId="763471B9">
      <w:pPr>
        <w:pStyle w:val="4"/>
        <w:ind w:firstLine="3074" w:firstLineChars="845"/>
        <w:jc w:val="both"/>
        <w:rPr>
          <w:rFonts w:hint="eastAsia" w:ascii="宋体" w:hAnsi="宋体" w:eastAsia="宋体" w:cs="宋体"/>
          <w:color w:val="auto"/>
          <w:sz w:val="36"/>
          <w:szCs w:val="36"/>
          <w:highlight w:val="none"/>
        </w:rPr>
      </w:pPr>
      <w:bookmarkStart w:id="0" w:name="_Toc361035134"/>
      <w:bookmarkStart w:id="1" w:name="_Toc363576971"/>
      <w:bookmarkStart w:id="2" w:name="_Toc26020"/>
      <w:bookmarkStart w:id="3" w:name="_Toc445914867"/>
      <w:r>
        <w:rPr>
          <w:rFonts w:hint="eastAsia" w:ascii="宋体" w:hAnsi="宋体" w:eastAsia="宋体" w:cs="宋体"/>
          <w:color w:val="auto"/>
          <w:sz w:val="36"/>
          <w:szCs w:val="36"/>
          <w:highlight w:val="none"/>
        </w:rPr>
        <w:br w:type="page"/>
      </w:r>
      <w:bookmarkEnd w:id="0"/>
      <w:bookmarkEnd w:id="1"/>
      <w:bookmarkEnd w:id="2"/>
      <w:bookmarkEnd w:id="3"/>
    </w:p>
    <w:p w14:paraId="2D72C04B">
      <w:pPr>
        <w:pStyle w:val="41"/>
        <w:outlineLvl w:val="0"/>
        <w:rPr>
          <w:rFonts w:hint="eastAsia" w:ascii="宋体" w:hAnsi="宋体" w:eastAsia="宋体" w:cs="宋体"/>
          <w:b w:val="0"/>
          <w:color w:val="auto"/>
          <w:highlight w:val="none"/>
          <w:shd w:val="clear" w:color="auto" w:fill="FFFFFF"/>
        </w:rPr>
      </w:pPr>
    </w:p>
    <w:p w14:paraId="4E49BDB7">
      <w:pPr>
        <w:pStyle w:val="41"/>
        <w:outlineLvl w:val="0"/>
        <w:rPr>
          <w:rFonts w:hint="eastAsia" w:ascii="宋体" w:hAnsi="宋体" w:eastAsia="宋体" w:cs="宋体"/>
          <w:b w:val="0"/>
          <w:color w:val="auto"/>
          <w:highlight w:val="none"/>
          <w:shd w:val="clear" w:color="auto" w:fill="FFFFFF"/>
        </w:rPr>
      </w:pPr>
      <w:bookmarkStart w:id="4" w:name="_Toc15410"/>
      <w:r>
        <w:rPr>
          <w:rFonts w:hint="eastAsia" w:ascii="宋体" w:hAnsi="宋体" w:eastAsia="宋体" w:cs="宋体"/>
          <w:b w:val="0"/>
          <w:color w:val="auto"/>
          <w:highlight w:val="none"/>
          <w:shd w:val="clear" w:color="auto" w:fill="FFFFFF"/>
        </w:rPr>
        <w:t>关于</w:t>
      </w:r>
      <w:r>
        <w:rPr>
          <w:rFonts w:hint="eastAsia" w:ascii="宋体" w:hAnsi="宋体" w:cs="宋体"/>
          <w:b w:val="0"/>
          <w:color w:val="auto"/>
          <w:highlight w:val="none"/>
          <w:shd w:val="clear" w:color="auto" w:fill="FFFFFF"/>
          <w:lang w:eastAsia="zh-CN"/>
        </w:rPr>
        <w:t xml:space="preserve">2025年龙湾区污水处理厂日常进出水监督性水质检测及外围管网水质排查溯源检测服务 </w:t>
      </w:r>
      <w:r>
        <w:rPr>
          <w:rFonts w:hint="eastAsia" w:ascii="宋体" w:hAnsi="宋体" w:eastAsia="宋体" w:cs="宋体"/>
          <w:b w:val="0"/>
          <w:color w:val="auto"/>
          <w:highlight w:val="none"/>
          <w:shd w:val="clear" w:color="auto" w:fill="FFFFFF"/>
        </w:rPr>
        <w:t>竞争性磋商的公告</w:t>
      </w:r>
      <w:bookmarkEnd w:id="4"/>
    </w:p>
    <w:p w14:paraId="7C4AFBEA">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项目概况</w:t>
      </w:r>
    </w:p>
    <w:p w14:paraId="5F81B6CC">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auto"/>
          <w:sz w:val="21"/>
          <w:szCs w:val="21"/>
          <w:highlight w:val="none"/>
          <w:lang w:val="en-US" w:eastAsia="zh-CN"/>
        </w:rPr>
      </w:pPr>
      <w:r>
        <w:rPr>
          <w:rFonts w:hint="eastAsia" w:ascii="宋体" w:hAnsi="宋体" w:cs="宋体"/>
          <w:b/>
          <w:bCs/>
          <w:color w:val="auto"/>
          <w:szCs w:val="21"/>
          <w:highlight w:val="none"/>
          <w:u w:val="single"/>
          <w:lang w:eastAsia="zh-CN"/>
        </w:rPr>
        <w:t xml:space="preserve">2025年龙湾区污水处理厂日常进出水监督性水质检测及外围管网水质排查溯源检测服务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项目的潜在供应商应在政采云平台线上获取获取（下载）采购文件，并于</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21</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rPr>
        <w:t xml:space="preserve"> 14:30</w:t>
      </w:r>
      <w:r>
        <w:rPr>
          <w:rFonts w:hint="eastAsia" w:ascii="宋体" w:hAnsi="宋体" w:eastAsia="宋体" w:cs="宋体"/>
          <w:color w:val="auto"/>
          <w:szCs w:val="21"/>
          <w:highlight w:val="none"/>
        </w:rPr>
        <w:t>（北京时间）前提交（上传）响应文</w:t>
      </w:r>
      <w:r>
        <w:rPr>
          <w:rFonts w:hint="eastAsia" w:ascii="宋体" w:hAnsi="宋体" w:eastAsia="宋体" w:cs="宋体"/>
          <w:color w:val="auto"/>
          <w:szCs w:val="21"/>
          <w:highlight w:val="none"/>
          <w:lang w:val="en-US" w:eastAsia="zh-CN"/>
        </w:rPr>
        <w:t>件。</w:t>
      </w:r>
    </w:p>
    <w:p w14:paraId="722A7EE8">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一、项目基本情况</w:t>
      </w:r>
    </w:p>
    <w:p w14:paraId="53F2D8E6">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WZFL-20250108-F</w:t>
      </w:r>
    </w:p>
    <w:p w14:paraId="3204E997">
      <w:pPr>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 xml:space="preserve">2025年龙湾区污水处理厂日常进出水监督性水质检测及外围管网水质排查溯源检测服务 </w:t>
      </w:r>
    </w:p>
    <w:p w14:paraId="4524BCA5">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657F9F2">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14:paraId="455BDA74">
      <w:pPr>
        <w:spacing w:line="360" w:lineRule="exact"/>
        <w:ind w:firstLine="428"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14:paraId="5392DF5C">
      <w:pPr>
        <w:tabs>
          <w:tab w:val="center" w:pos="4564"/>
        </w:tabs>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采购需求：具体详见竞争性磋商文件要求。</w:t>
      </w:r>
      <w:r>
        <w:rPr>
          <w:rFonts w:hint="eastAsia" w:ascii="宋体" w:hAnsi="宋体" w:eastAsia="宋体" w:cs="宋体"/>
          <w:color w:val="auto"/>
          <w:sz w:val="21"/>
          <w:szCs w:val="21"/>
          <w:highlight w:val="none"/>
          <w:lang w:eastAsia="zh-CN"/>
        </w:rPr>
        <w:tab/>
      </w:r>
    </w:p>
    <w:p w14:paraId="5871FDF9">
      <w:pPr>
        <w:spacing w:line="360" w:lineRule="exact"/>
        <w:ind w:firstLine="428"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数量: </w:t>
      </w:r>
      <w:r>
        <w:rPr>
          <w:rFonts w:hint="eastAsia" w:ascii="宋体" w:hAnsi="宋体" w:eastAsia="宋体" w:cs="宋体"/>
          <w:color w:val="auto"/>
          <w:sz w:val="21"/>
          <w:szCs w:val="21"/>
          <w:highlight w:val="none"/>
          <w:lang w:val="en-US" w:eastAsia="zh-CN"/>
        </w:rPr>
        <w:t>不限</w:t>
      </w:r>
    </w:p>
    <w:p w14:paraId="1A3A77AB">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p w14:paraId="6241E4F0">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单位：不限</w:t>
      </w:r>
    </w:p>
    <w:p w14:paraId="631C1542">
      <w:pPr>
        <w:spacing w:line="360" w:lineRule="exact"/>
        <w:ind w:firstLine="428"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简要规格描述</w:t>
      </w:r>
      <w:r>
        <w:rPr>
          <w:rFonts w:hint="eastAsia" w:ascii="宋体" w:hAnsi="宋体" w:eastAsia="宋体" w:cs="宋体"/>
          <w:color w:val="auto"/>
          <w:kern w:val="0"/>
          <w:szCs w:val="21"/>
          <w:highlight w:val="none"/>
        </w:rPr>
        <w:t>：东片、滨海园区第一、二、三污水处理厂日常进出水及外围管网水质排查溯源检测服务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具体详见招标文件</w:t>
      </w:r>
      <w:r>
        <w:rPr>
          <w:rFonts w:hint="eastAsia" w:ascii="宋体" w:hAnsi="宋体" w:eastAsia="宋体" w:cs="宋体"/>
          <w:color w:val="auto"/>
          <w:kern w:val="0"/>
          <w:szCs w:val="21"/>
          <w:highlight w:val="none"/>
        </w:rPr>
        <w:t>。</w:t>
      </w:r>
    </w:p>
    <w:p w14:paraId="54D49C90">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C8BDAA5">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标项1，服务</w:t>
      </w:r>
      <w:r>
        <w:rPr>
          <w:rFonts w:hint="eastAsia" w:ascii="宋体" w:hAnsi="宋体" w:eastAsia="宋体" w:cs="宋体"/>
          <w:color w:val="auto"/>
          <w:sz w:val="21"/>
          <w:szCs w:val="21"/>
          <w:highlight w:val="none"/>
        </w:rPr>
        <w:t>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p w14:paraId="666B69F1">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b/>
          <w:bCs/>
          <w:color w:val="auto"/>
          <w:sz w:val="21"/>
          <w:szCs w:val="21"/>
          <w:highlight w:val="none"/>
          <w:lang w:val="en-US" w:eastAsia="zh-CN"/>
        </w:rPr>
        <w:t>是</w:t>
      </w:r>
      <w:r>
        <w:rPr>
          <w:rFonts w:hint="eastAsia" w:ascii="宋体" w:hAnsi="宋体" w:eastAsia="宋体" w:cs="宋体"/>
          <w:color w:val="auto"/>
          <w:sz w:val="21"/>
          <w:szCs w:val="21"/>
          <w:highlight w:val="none"/>
        </w:rPr>
        <w:t>)接受联合体投标。</w:t>
      </w:r>
    </w:p>
    <w:p w14:paraId="4EE2F03F">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二、申请人的资格要求：</w:t>
      </w:r>
    </w:p>
    <w:p w14:paraId="3A6A6EA2">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《中华人民共和国政府采购法》第二十二条规定的供应商资格条件；投标供应商未被“信用中国”（</w:t>
      </w:r>
      <w:r>
        <w:rPr>
          <w:rFonts w:hint="eastAsia" w:ascii="宋体" w:hAnsi="宋体" w:eastAsia="宋体" w:cs="宋体"/>
          <w:color w:val="auto"/>
          <w:sz w:val="21"/>
          <w:szCs w:val="21"/>
          <w:highlight w:val="none"/>
          <w:lang w:eastAsia="zh-CN"/>
        </w:rPr>
        <w:t>https：//www.creditchina.gov.cn/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http：//www.ccgp.gov.cn/</w:t>
      </w:r>
      <w:r>
        <w:rPr>
          <w:rFonts w:hint="eastAsia" w:ascii="宋体" w:hAnsi="宋体" w:eastAsia="宋体" w:cs="宋体"/>
          <w:color w:val="auto"/>
          <w:sz w:val="21"/>
          <w:szCs w:val="21"/>
          <w:highlight w:val="none"/>
        </w:rPr>
        <w:t>）</w:t>
      </w:r>
      <w:r>
        <w:rPr>
          <w:rFonts w:hint="eastAsia" w:ascii="宋体" w:hAnsi="宋体" w:eastAsia="宋体" w:cs="宋体"/>
          <w:color w:val="auto"/>
          <w:kern w:val="0"/>
          <w:szCs w:val="21"/>
          <w:highlight w:val="none"/>
        </w:rPr>
        <w:t>列入</w:t>
      </w:r>
      <w:r>
        <w:rPr>
          <w:rFonts w:hint="eastAsia" w:ascii="宋体" w:hAnsi="宋体" w:eastAsia="宋体" w:cs="宋体"/>
          <w:color w:val="auto"/>
          <w:kern w:val="0"/>
          <w:sz w:val="21"/>
          <w:szCs w:val="21"/>
          <w:highlight w:val="none"/>
        </w:rPr>
        <w:t>失信被执行人名单</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税收违法</w:t>
      </w:r>
      <w:r>
        <w:rPr>
          <w:rFonts w:hint="eastAsia" w:ascii="宋体" w:hAnsi="宋体" w:eastAsia="宋体" w:cs="宋体"/>
          <w:color w:val="auto"/>
          <w:kern w:val="0"/>
          <w:sz w:val="21"/>
          <w:szCs w:val="21"/>
          <w:highlight w:val="none"/>
          <w:lang w:val="en-US" w:eastAsia="zh-CN"/>
        </w:rPr>
        <w:t>黑</w:t>
      </w:r>
      <w:r>
        <w:rPr>
          <w:rFonts w:hint="eastAsia" w:ascii="宋体" w:hAnsi="宋体" w:eastAsia="宋体" w:cs="宋体"/>
          <w:color w:val="auto"/>
          <w:kern w:val="0"/>
          <w:sz w:val="21"/>
          <w:szCs w:val="21"/>
          <w:highlight w:val="none"/>
        </w:rPr>
        <w:t>名单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sz w:val="21"/>
          <w:szCs w:val="21"/>
          <w:highlight w:val="none"/>
        </w:rPr>
        <w:t>；</w:t>
      </w:r>
    </w:p>
    <w:p w14:paraId="7037E10A">
      <w:pPr>
        <w:spacing w:line="360" w:lineRule="exact"/>
        <w:ind w:firstLine="428" w:firstLineChars="200"/>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eastAsia="宋体" w:cs="宋体"/>
          <w:b/>
          <w:bCs/>
          <w:color w:val="auto"/>
          <w:szCs w:val="21"/>
          <w:highlight w:val="none"/>
          <w:u w:val="single"/>
        </w:rPr>
        <w:t>本项目为服务采购项目</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按其</w:t>
      </w:r>
      <w:r>
        <w:rPr>
          <w:rFonts w:hint="eastAsia" w:ascii="宋体" w:hAnsi="宋体" w:eastAsia="宋体" w:cs="宋体"/>
          <w:b/>
          <w:bCs/>
          <w:color w:val="auto"/>
          <w:szCs w:val="21"/>
          <w:highlight w:val="none"/>
          <w:u w:val="single"/>
        </w:rPr>
        <w:t>他未列明行业</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要求服务由中小企业承接</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即提供服务的人员为中小企业依照《中华人民共和国劳动合同法》订立劳动合同的从业人员。中小微企业是指满足《政府采购促进中小企业发展管理办法》（财库〔2020〕46 号）第二条规定的企业</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监狱企业、残疾人福利性单位视为中小企业</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eastAsia="宋体" w:cs="宋体"/>
          <w:b/>
          <w:bCs/>
          <w:color w:val="auto"/>
          <w:kern w:val="2"/>
          <w:sz w:val="21"/>
          <w:szCs w:val="21"/>
          <w:highlight w:val="none"/>
          <w:u w:val="none"/>
          <w:lang w:val="en-US" w:eastAsia="zh-CN" w:bidi="ar-SA"/>
        </w:rPr>
        <w:t>。</w:t>
      </w:r>
    </w:p>
    <w:p w14:paraId="48019423">
      <w:pPr>
        <w:spacing w:line="360" w:lineRule="exact"/>
        <w:ind w:firstLine="428"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
          <w:bCs/>
          <w:color w:val="auto"/>
          <w:sz w:val="21"/>
          <w:szCs w:val="21"/>
          <w:highlight w:val="none"/>
          <w:u w:val="single"/>
          <w:lang w:eastAsia="zh-CN"/>
        </w:rPr>
        <w:t>无</w:t>
      </w:r>
      <w:r>
        <w:rPr>
          <w:rFonts w:hint="eastAsia" w:ascii="宋体" w:hAnsi="宋体" w:eastAsia="宋体" w:cs="宋体"/>
          <w:b/>
          <w:bCs/>
          <w:color w:val="auto"/>
          <w:sz w:val="21"/>
          <w:szCs w:val="21"/>
          <w:highlight w:val="none"/>
          <w:u w:val="single"/>
          <w:lang w:val="en-US" w:eastAsia="zh-CN"/>
        </w:rPr>
        <w:t>。</w:t>
      </w:r>
    </w:p>
    <w:p w14:paraId="18078407">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p>
    <w:p w14:paraId="4594460E">
      <w:pPr>
        <w:spacing w:line="360" w:lineRule="exact"/>
        <w:ind w:firstLine="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时间：/至</w:t>
      </w: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bookmarkStart w:id="93" w:name="_GoBack"/>
      <w:bookmarkEnd w:id="93"/>
      <w:r>
        <w:rPr>
          <w:rFonts w:hint="eastAsia" w:ascii="宋体" w:hAnsi="宋体" w:eastAsia="宋体" w:cs="宋体"/>
          <w:b/>
          <w:bCs/>
          <w:color w:val="auto"/>
          <w:sz w:val="21"/>
          <w:szCs w:val="21"/>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r>
        <w:rPr>
          <w:rFonts w:hint="eastAsia" w:ascii="宋体" w:hAnsi="宋体" w:eastAsia="宋体" w:cs="宋体"/>
          <w:color w:val="auto"/>
          <w:sz w:val="21"/>
          <w:szCs w:val="21"/>
          <w:highlight w:val="none"/>
          <w:lang w:eastAsia="zh-CN"/>
        </w:rPr>
        <w:t>。</w:t>
      </w:r>
    </w:p>
    <w:p w14:paraId="32BF4E94">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“政采云”平台（https：//zfcg.czt.zj.gov.cn/）</w:t>
      </w:r>
      <w:r>
        <w:rPr>
          <w:rFonts w:hint="eastAsia" w:ascii="宋体" w:hAnsi="宋体" w:eastAsia="宋体" w:cs="宋体"/>
          <w:color w:val="auto"/>
          <w:sz w:val="21"/>
          <w:szCs w:val="21"/>
          <w:highlight w:val="none"/>
          <w:u w:val="none"/>
          <w:lang w:eastAsia="zh-CN"/>
        </w:rPr>
        <w:t>。</w:t>
      </w:r>
    </w:p>
    <w:p w14:paraId="21690551">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1"/>
          <w:szCs w:val="21"/>
          <w:highlight w:val="none"/>
          <w:u w:val="none"/>
          <w:lang w:eastAsia="zh-CN"/>
        </w:rPr>
        <w:t>。</w:t>
      </w:r>
    </w:p>
    <w:p w14:paraId="1C6B67A2">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注：请供应商按上述要求获取采购文件，如未在“政采云”系统内完成相关流程，引起的投标无效责任自负</w:t>
      </w:r>
      <w:r>
        <w:rPr>
          <w:rFonts w:hint="eastAsia" w:ascii="宋体" w:hAnsi="宋体" w:eastAsia="宋体" w:cs="宋体"/>
          <w:color w:val="auto"/>
          <w:sz w:val="21"/>
          <w:szCs w:val="21"/>
          <w:highlight w:val="none"/>
          <w:lang w:eastAsia="zh-CN"/>
        </w:rPr>
        <w:t>。</w:t>
      </w:r>
    </w:p>
    <w:p w14:paraId="6D88D802">
      <w:pPr>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 0。</w:t>
      </w:r>
    </w:p>
    <w:p w14:paraId="4DADFA6F">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四、响应文件提交（上传）</w:t>
      </w:r>
    </w:p>
    <w:p w14:paraId="599797F2">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val="en-US" w:eastAsia="zh-CN"/>
        </w:rPr>
        <w:t>日 14</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（北京时间）；</w:t>
      </w:r>
    </w:p>
    <w:p w14:paraId="09F83C25">
      <w:pPr>
        <w:spacing w:line="360" w:lineRule="exact"/>
        <w:ind w:firstLine="214"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政采云平台 （https：//www.zcygov.cn/）</w:t>
      </w:r>
      <w:r>
        <w:rPr>
          <w:rFonts w:hint="eastAsia" w:ascii="宋体" w:hAnsi="宋体" w:eastAsia="宋体" w:cs="宋体"/>
          <w:color w:val="auto"/>
          <w:sz w:val="21"/>
          <w:szCs w:val="21"/>
          <w:highlight w:val="none"/>
          <w:lang w:val="en-US" w:eastAsia="zh-CN"/>
        </w:rPr>
        <w:t>；</w:t>
      </w:r>
    </w:p>
    <w:p w14:paraId="348D6EFD">
      <w:pPr>
        <w:widowControl/>
        <w:numPr>
          <w:ilvl w:val="0"/>
          <w:numId w:val="4"/>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w:t>
      </w:r>
    </w:p>
    <w:p w14:paraId="655E69F0">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开启</w:t>
      </w: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 xml:space="preserve"> 14</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（北京时间）；</w:t>
      </w:r>
    </w:p>
    <w:p w14:paraId="028BA36A">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龙湾区蒲州街道高一路158号圣特立集团B幢4楼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在政府采购云平台（https：//www.zcygov.cn/）上开启投标文件</w:t>
      </w:r>
      <w:r>
        <w:rPr>
          <w:rFonts w:hint="eastAsia" w:ascii="宋体" w:hAnsi="宋体" w:eastAsia="宋体" w:cs="宋体"/>
          <w:color w:val="auto"/>
          <w:sz w:val="21"/>
          <w:szCs w:val="21"/>
          <w:highlight w:val="none"/>
        </w:rPr>
        <w:t>；</w:t>
      </w:r>
    </w:p>
    <w:p w14:paraId="649A9B07">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开标时间后30分钟内，投标人须登录政府采购云平台，用“项目采购-开标评标”功能解密投标文件（线上）；</w:t>
      </w:r>
    </w:p>
    <w:p w14:paraId="093F09D2">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、公告期限</w:t>
      </w:r>
    </w:p>
    <w:p w14:paraId="4DC38385">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32A15852">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七</w:t>
      </w:r>
      <w:r>
        <w:rPr>
          <w:rFonts w:hint="eastAsia" w:ascii="宋体" w:hAnsi="宋体" w:eastAsia="宋体" w:cs="宋体"/>
          <w:bCs/>
          <w:color w:val="auto"/>
          <w:sz w:val="21"/>
          <w:szCs w:val="21"/>
          <w:highlight w:val="none"/>
        </w:rPr>
        <w:t>、其他补充事宜</w:t>
      </w:r>
    </w:p>
    <w:p w14:paraId="1A3D4DDC">
      <w:pPr>
        <w:widowControl/>
        <w:shd w:val="clear" w:color="auto" w:fill="auto"/>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A5579A4">
      <w:pPr>
        <w:widowControl/>
        <w:shd w:val="clear" w:color="auto" w:fill="auto"/>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AC0E229">
      <w:pPr>
        <w:widowControl/>
        <w:shd w:val="clear" w:color="auto" w:fill="auto"/>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。②具体操作指南：详见政采云平台“服务中心-帮助文档-项目采购-操作流程-电子招投标-政府采购项目电子交易管理操作指南-供应商”：浙江省政府采购项目政采云平台学习专题https://edu.zcygov.cn/luban/e-biding。</w:t>
      </w:r>
    </w:p>
    <w:p w14:paraId="0CE9C487">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八、对本次招标提出询问、质疑、投诉，请按以下方式联系</w:t>
      </w:r>
    </w:p>
    <w:p w14:paraId="00194AE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1.采购人信息</w:t>
      </w:r>
    </w:p>
    <w:p w14:paraId="2268DC0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称：温州市龙湾区综合行政执法局</w:t>
      </w:r>
    </w:p>
    <w:p w14:paraId="00BBA121">
      <w:pPr>
        <w:widowControl/>
        <w:spacing w:line="360" w:lineRule="exact"/>
        <w:ind w:firstLine="428"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温州市龙湾区永中街道升平路77号龙湾便民服务中心6楼</w:t>
      </w:r>
    </w:p>
    <w:p w14:paraId="7E23BEC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p>
    <w:p w14:paraId="54847CA4">
      <w:pPr>
        <w:widowControl/>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 </w:t>
      </w:r>
      <w:r>
        <w:rPr>
          <w:rFonts w:hint="eastAsia" w:ascii="宋体" w:hAnsi="宋体" w:cs="宋体"/>
          <w:color w:val="auto"/>
          <w:szCs w:val="21"/>
          <w:highlight w:val="none"/>
          <w:lang w:val="en-US" w:eastAsia="zh-CN"/>
        </w:rPr>
        <w:t>蔡女士</w:t>
      </w:r>
    </w:p>
    <w:p w14:paraId="08086318">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项目联系方式（询问）：0577-86966779</w:t>
      </w:r>
    </w:p>
    <w:p w14:paraId="2908B7A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cs="宋体"/>
          <w:color w:val="auto"/>
          <w:szCs w:val="21"/>
          <w:highlight w:val="none"/>
          <w:lang w:val="en-US" w:eastAsia="zh-CN"/>
        </w:rPr>
        <w:t>金</w:t>
      </w:r>
      <w:r>
        <w:rPr>
          <w:rFonts w:hint="eastAsia" w:ascii="宋体" w:hAnsi="宋体" w:eastAsia="宋体" w:cs="宋体"/>
          <w:color w:val="auto"/>
          <w:szCs w:val="21"/>
          <w:highlight w:val="none"/>
          <w:lang w:val="en-US" w:eastAsia="zh-CN"/>
        </w:rPr>
        <w:t>先生</w:t>
      </w:r>
      <w:r>
        <w:rPr>
          <w:rFonts w:hint="eastAsia" w:ascii="宋体" w:hAnsi="宋体" w:eastAsia="宋体" w:cs="宋体"/>
          <w:color w:val="auto"/>
          <w:szCs w:val="21"/>
          <w:highlight w:val="none"/>
        </w:rPr>
        <w:t xml:space="preserve"> </w:t>
      </w:r>
    </w:p>
    <w:p w14:paraId="4406AE85">
      <w:pPr>
        <w:widowControl/>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质疑联系方式：0577-869667</w:t>
      </w:r>
      <w:r>
        <w:rPr>
          <w:rFonts w:hint="eastAsia" w:ascii="宋体" w:hAnsi="宋体" w:cs="宋体"/>
          <w:color w:val="auto"/>
          <w:szCs w:val="21"/>
          <w:highlight w:val="none"/>
          <w:lang w:val="en-US" w:eastAsia="zh-CN"/>
        </w:rPr>
        <w:t>85</w:t>
      </w:r>
    </w:p>
    <w:p w14:paraId="2BA3E676">
      <w:pPr>
        <w:widowControl/>
        <w:spacing w:line="360" w:lineRule="exact"/>
        <w:rPr>
          <w:rFonts w:hint="eastAsia" w:ascii="宋体" w:hAnsi="宋体" w:eastAsia="宋体" w:cs="宋体"/>
          <w:color w:val="auto"/>
          <w:szCs w:val="21"/>
          <w:highlight w:val="none"/>
        </w:rPr>
      </w:pPr>
    </w:p>
    <w:p w14:paraId="0B28AA1B">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2593137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称：温州市方略工程项目管理有限公司             </w:t>
      </w:r>
    </w:p>
    <w:p w14:paraId="78CAFFA6">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    址：龙湾区蒲州街道高一路158号圣特立集团B幢4楼402室</w:t>
      </w:r>
    </w:p>
    <w:p w14:paraId="092D351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22B9565E">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项目联系人（询问）：罗</w:t>
      </w:r>
      <w:r>
        <w:rPr>
          <w:rFonts w:hint="eastAsia" w:ascii="宋体" w:hAnsi="宋体" w:eastAsia="宋体" w:cs="宋体"/>
          <w:color w:val="auto"/>
          <w:szCs w:val="21"/>
          <w:highlight w:val="none"/>
          <w:lang w:val="en-US" w:eastAsia="zh-CN"/>
        </w:rPr>
        <w:t>木林</w:t>
      </w:r>
      <w:r>
        <w:rPr>
          <w:rFonts w:hint="eastAsia" w:ascii="宋体" w:hAnsi="宋体" w:eastAsia="宋体" w:cs="宋体"/>
          <w:color w:val="auto"/>
          <w:szCs w:val="21"/>
          <w:highlight w:val="none"/>
        </w:rPr>
        <w:t>、庄</w:t>
      </w:r>
      <w:r>
        <w:rPr>
          <w:rFonts w:hint="eastAsia" w:ascii="宋体" w:hAnsi="宋体" w:eastAsia="宋体" w:cs="宋体"/>
          <w:color w:val="auto"/>
          <w:szCs w:val="21"/>
          <w:highlight w:val="none"/>
          <w:lang w:val="en-US" w:eastAsia="zh-CN"/>
        </w:rPr>
        <w:t>芳芳</w:t>
      </w:r>
    </w:p>
    <w:p w14:paraId="2BD4231C">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项目联系方式（询问）：13858856968、13968807044</w:t>
      </w:r>
    </w:p>
    <w:p w14:paraId="018639D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eastAsia="宋体" w:cs="宋体"/>
          <w:color w:val="auto"/>
          <w:szCs w:val="21"/>
          <w:highlight w:val="none"/>
          <w:lang w:val="en-US" w:eastAsia="zh-CN"/>
        </w:rPr>
        <w:t>罗木林</w:t>
      </w:r>
      <w:r>
        <w:rPr>
          <w:rFonts w:hint="eastAsia" w:ascii="宋体" w:hAnsi="宋体" w:eastAsia="宋体" w:cs="宋体"/>
          <w:color w:val="auto"/>
          <w:szCs w:val="21"/>
          <w:highlight w:val="none"/>
        </w:rPr>
        <w:t xml:space="preserve"> </w:t>
      </w:r>
    </w:p>
    <w:p w14:paraId="5FE7A579">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质疑联系方式：13858856968</w:t>
      </w:r>
    </w:p>
    <w:p w14:paraId="6AC06911">
      <w:pPr>
        <w:widowControl/>
        <w:spacing w:line="360" w:lineRule="exact"/>
        <w:ind w:firstLine="428" w:firstLineChars="200"/>
        <w:rPr>
          <w:rFonts w:hint="eastAsia" w:ascii="宋体" w:hAnsi="宋体" w:eastAsia="宋体" w:cs="宋体"/>
          <w:color w:val="auto"/>
          <w:szCs w:val="21"/>
          <w:highlight w:val="none"/>
        </w:rPr>
      </w:pPr>
    </w:p>
    <w:p w14:paraId="694F85B5">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566E0D20">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称：温州湾新区（</w:t>
      </w:r>
      <w:r>
        <w:rPr>
          <w:rFonts w:hint="eastAsia" w:ascii="宋体" w:hAnsi="宋体" w:eastAsia="宋体" w:cs="宋体"/>
          <w:color w:val="auto"/>
          <w:szCs w:val="21"/>
          <w:highlight w:val="none"/>
          <w:lang w:val="en-US" w:eastAsia="zh-CN"/>
        </w:rPr>
        <w:t>龙湾</w:t>
      </w:r>
      <w:r>
        <w:rPr>
          <w:rFonts w:hint="eastAsia" w:ascii="宋体" w:hAnsi="宋体" w:eastAsia="宋体" w:cs="宋体"/>
          <w:color w:val="auto"/>
          <w:szCs w:val="21"/>
          <w:highlight w:val="none"/>
        </w:rPr>
        <w:t>区）财政局</w:t>
      </w:r>
    </w:p>
    <w:p w14:paraId="4D08FF17">
      <w:pPr>
        <w:widowControl/>
        <w:spacing w:line="360" w:lineRule="exact"/>
        <w:ind w:firstLine="428"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地址：温州市龙湾区永宁西路565号温州银行大楼1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层</w:t>
      </w:r>
      <w:r>
        <w:rPr>
          <w:rFonts w:hint="eastAsia" w:ascii="宋体" w:hAnsi="宋体" w:eastAsia="宋体" w:cs="宋体"/>
          <w:color w:val="auto"/>
          <w:szCs w:val="21"/>
          <w:highlight w:val="none"/>
          <w:lang w:val="en-US" w:eastAsia="zh-CN"/>
        </w:rPr>
        <w:t>1502室</w:t>
      </w:r>
    </w:p>
    <w:p w14:paraId="5F1D660F">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0EBE764F">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联系人：陈先生</w:t>
      </w:r>
    </w:p>
    <w:p w14:paraId="7FF4728A">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监督投诉电话：0577-85600839</w:t>
      </w:r>
    </w:p>
    <w:p w14:paraId="46009759">
      <w:pPr>
        <w:widowControl/>
        <w:spacing w:line="360" w:lineRule="exact"/>
        <w:ind w:firstLine="428" w:firstLineChars="200"/>
        <w:rPr>
          <w:rFonts w:hint="eastAsia" w:ascii="宋体" w:hAnsi="宋体" w:eastAsia="宋体" w:cs="宋体"/>
          <w:color w:val="auto"/>
          <w:sz w:val="21"/>
          <w:szCs w:val="21"/>
          <w:highlight w:val="none"/>
          <w:lang w:eastAsia="zh-CN"/>
        </w:rPr>
      </w:pPr>
    </w:p>
    <w:p w14:paraId="0D7157FC">
      <w:pPr>
        <w:pStyle w:val="22"/>
        <w:ind w:firstLine="321"/>
        <w:rPr>
          <w:rFonts w:hint="eastAsia" w:ascii="宋体" w:hAnsi="宋体" w:eastAsia="宋体" w:cs="宋体"/>
          <w:color w:val="auto"/>
          <w:sz w:val="21"/>
          <w:szCs w:val="21"/>
          <w:highlight w:val="none"/>
        </w:rPr>
      </w:pPr>
    </w:p>
    <w:p w14:paraId="3AFD0BF8">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        </w:t>
      </w:r>
    </w:p>
    <w:p w14:paraId="1FFB8FEE">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5E268104">
      <w:pPr>
        <w:pStyle w:val="4"/>
        <w:ind w:firstLine="1807" w:firstLineChars="845"/>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br w:type="page"/>
      </w:r>
    </w:p>
    <w:p w14:paraId="69908CF9">
      <w:pPr>
        <w:pStyle w:val="4"/>
        <w:ind w:firstLine="3074" w:firstLineChars="845"/>
        <w:jc w:val="both"/>
        <w:rPr>
          <w:rFonts w:hint="eastAsia" w:ascii="宋体" w:hAnsi="宋体" w:eastAsia="宋体" w:cs="宋体"/>
          <w:bCs w:val="0"/>
          <w:color w:val="auto"/>
          <w:kern w:val="0"/>
          <w:sz w:val="22"/>
          <w:szCs w:val="22"/>
          <w:highlight w:val="none"/>
        </w:rPr>
      </w:pPr>
      <w:bookmarkStart w:id="5" w:name="_Toc14572"/>
      <w:r>
        <w:rPr>
          <w:rFonts w:hint="eastAsia" w:ascii="宋体" w:hAnsi="宋体" w:eastAsia="宋体" w:cs="宋体"/>
          <w:color w:val="auto"/>
          <w:sz w:val="36"/>
          <w:szCs w:val="36"/>
          <w:highlight w:val="none"/>
        </w:rPr>
        <w:t>供应商须知前附表</w:t>
      </w:r>
      <w:bookmarkEnd w:id="5"/>
    </w:p>
    <w:tbl>
      <w:tblPr>
        <w:tblStyle w:val="54"/>
        <w:tblW w:w="9464" w:type="dxa"/>
        <w:tblInd w:w="0" w:type="dxa"/>
        <w:tblLayout w:type="fixed"/>
        <w:tblCellMar>
          <w:top w:w="0" w:type="dxa"/>
          <w:left w:w="108" w:type="dxa"/>
          <w:bottom w:w="0" w:type="dxa"/>
          <w:right w:w="108" w:type="dxa"/>
        </w:tblCellMar>
      </w:tblPr>
      <w:tblGrid>
        <w:gridCol w:w="667"/>
        <w:gridCol w:w="1932"/>
        <w:gridCol w:w="6865"/>
      </w:tblGrid>
      <w:tr w14:paraId="49238CF0">
        <w:tblPrEx>
          <w:tblCellMar>
            <w:top w:w="0" w:type="dxa"/>
            <w:left w:w="108" w:type="dxa"/>
            <w:bottom w:w="0" w:type="dxa"/>
            <w:right w:w="108" w:type="dxa"/>
          </w:tblCellMar>
        </w:tblPrEx>
        <w:trPr>
          <w:trHeight w:val="612"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4F9E8354">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14:paraId="464B830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6865" w:type="dxa"/>
            <w:tcBorders>
              <w:top w:val="single" w:color="auto" w:sz="4" w:space="0"/>
              <w:left w:val="single" w:color="auto" w:sz="4" w:space="0"/>
              <w:bottom w:val="single" w:color="auto" w:sz="4" w:space="0"/>
              <w:right w:val="single" w:color="auto" w:sz="4" w:space="0"/>
            </w:tcBorders>
            <w:vAlign w:val="center"/>
          </w:tcPr>
          <w:p w14:paraId="0AE7971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编列内容</w:t>
            </w:r>
          </w:p>
        </w:tc>
      </w:tr>
      <w:tr w14:paraId="657BBA8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568FEB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32" w:type="dxa"/>
            <w:tcBorders>
              <w:top w:val="single" w:color="auto" w:sz="4" w:space="0"/>
              <w:left w:val="single" w:color="auto" w:sz="4" w:space="0"/>
              <w:bottom w:val="single" w:color="auto" w:sz="4" w:space="0"/>
              <w:right w:val="single" w:color="auto" w:sz="4" w:space="0"/>
            </w:tcBorders>
            <w:vAlign w:val="center"/>
          </w:tcPr>
          <w:p w14:paraId="0419C73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采购人</w:t>
            </w:r>
          </w:p>
        </w:tc>
        <w:tc>
          <w:tcPr>
            <w:tcW w:w="6865" w:type="dxa"/>
            <w:tcBorders>
              <w:top w:val="single" w:color="auto" w:sz="4" w:space="0"/>
              <w:left w:val="single" w:color="auto" w:sz="4" w:space="0"/>
              <w:bottom w:val="single" w:color="auto" w:sz="4" w:space="0"/>
              <w:right w:val="single" w:color="auto" w:sz="4" w:space="0"/>
            </w:tcBorders>
            <w:vAlign w:val="center"/>
          </w:tcPr>
          <w:p w14:paraId="4344A1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名称：温州市龙湾区综合行政执法局</w:t>
            </w:r>
          </w:p>
          <w:p w14:paraId="6755B7D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温州市龙湾区永中街道升平路77号龙湾便民服务中心5-6楼</w:t>
            </w:r>
          </w:p>
          <w:p w14:paraId="6242E7EA">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val="en-US" w:eastAsia="zh-CN"/>
              </w:rPr>
              <w:t>蔡女士</w:t>
            </w:r>
            <w:r>
              <w:rPr>
                <w:rFonts w:hint="eastAsia" w:ascii="宋体" w:hAnsi="宋体" w:eastAsia="宋体" w:cs="宋体"/>
                <w:color w:val="auto"/>
                <w:szCs w:val="21"/>
                <w:highlight w:val="none"/>
              </w:rPr>
              <w:t xml:space="preserve"> </w:t>
            </w:r>
          </w:p>
          <w:p w14:paraId="6E39BB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项目联系方式（询问）：0577-86966779</w:t>
            </w:r>
          </w:p>
          <w:p w14:paraId="00672C1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质疑联系人： </w:t>
            </w:r>
            <w:r>
              <w:rPr>
                <w:rFonts w:hint="eastAsia" w:ascii="宋体" w:hAnsi="宋体" w:cs="宋体"/>
                <w:color w:val="auto"/>
                <w:szCs w:val="21"/>
                <w:highlight w:val="none"/>
                <w:lang w:val="en-US" w:eastAsia="zh-CN"/>
              </w:rPr>
              <w:t>金</w:t>
            </w:r>
            <w:r>
              <w:rPr>
                <w:rFonts w:hint="eastAsia" w:ascii="宋体" w:hAnsi="宋体" w:eastAsia="宋体" w:cs="宋体"/>
                <w:color w:val="auto"/>
                <w:szCs w:val="21"/>
                <w:highlight w:val="none"/>
              </w:rPr>
              <w:t>先生</w:t>
            </w:r>
          </w:p>
          <w:p w14:paraId="3A5E341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质疑联系方式：0577-869667</w:t>
            </w:r>
            <w:r>
              <w:rPr>
                <w:rFonts w:hint="eastAsia" w:ascii="宋体" w:hAnsi="宋体" w:cs="宋体"/>
                <w:color w:val="auto"/>
                <w:szCs w:val="21"/>
                <w:highlight w:val="none"/>
                <w:lang w:val="en-US" w:eastAsia="zh-CN"/>
              </w:rPr>
              <w:t>85</w:t>
            </w:r>
          </w:p>
        </w:tc>
      </w:tr>
      <w:tr w14:paraId="5BA8429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E9039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32" w:type="dxa"/>
            <w:tcBorders>
              <w:top w:val="single" w:color="auto" w:sz="4" w:space="0"/>
              <w:left w:val="single" w:color="auto" w:sz="4" w:space="0"/>
              <w:bottom w:val="single" w:color="auto" w:sz="4" w:space="0"/>
              <w:right w:val="single" w:color="auto" w:sz="4" w:space="0"/>
            </w:tcBorders>
            <w:vAlign w:val="center"/>
          </w:tcPr>
          <w:p w14:paraId="236DD38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采购代理机构</w:t>
            </w:r>
          </w:p>
        </w:tc>
        <w:tc>
          <w:tcPr>
            <w:tcW w:w="6865" w:type="dxa"/>
            <w:tcBorders>
              <w:top w:val="single" w:color="auto" w:sz="4" w:space="0"/>
              <w:left w:val="single" w:color="auto" w:sz="4" w:space="0"/>
              <w:bottom w:val="single" w:color="auto" w:sz="4" w:space="0"/>
              <w:right w:val="single" w:color="auto" w:sz="4" w:space="0"/>
            </w:tcBorders>
            <w:vAlign w:val="center"/>
          </w:tcPr>
          <w:p w14:paraId="267A020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称：温州市方略工程项目管理有限公司             </w:t>
            </w:r>
          </w:p>
          <w:p w14:paraId="7B34F6F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址：龙湾区蒲州街道高一路158号圣特立集团B幢4楼402室</w:t>
            </w:r>
          </w:p>
          <w:p w14:paraId="4C5FCCE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0CF4CA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项目联系人（询问）：罗</w:t>
            </w:r>
            <w:r>
              <w:rPr>
                <w:rFonts w:hint="eastAsia" w:ascii="宋体" w:hAnsi="宋体" w:eastAsia="宋体" w:cs="宋体"/>
                <w:color w:val="auto"/>
                <w:szCs w:val="21"/>
                <w:highlight w:val="none"/>
                <w:lang w:val="en-US" w:eastAsia="zh-CN"/>
              </w:rPr>
              <w:t>先生</w:t>
            </w:r>
            <w:r>
              <w:rPr>
                <w:rFonts w:hint="eastAsia" w:ascii="宋体" w:hAnsi="宋体" w:eastAsia="宋体" w:cs="宋体"/>
                <w:color w:val="auto"/>
                <w:szCs w:val="21"/>
                <w:highlight w:val="none"/>
              </w:rPr>
              <w:t>、庄</w:t>
            </w:r>
            <w:r>
              <w:rPr>
                <w:rFonts w:hint="eastAsia" w:ascii="宋体" w:hAnsi="宋体" w:eastAsia="宋体" w:cs="宋体"/>
                <w:color w:val="auto"/>
                <w:szCs w:val="21"/>
                <w:highlight w:val="none"/>
                <w:lang w:val="en-US" w:eastAsia="zh-CN"/>
              </w:rPr>
              <w:t>女士</w:t>
            </w:r>
          </w:p>
          <w:p w14:paraId="4BD617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项目联系方式（询问）：13858856968、13968807044</w:t>
            </w:r>
          </w:p>
          <w:p w14:paraId="062EB6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罗先生</w:t>
            </w:r>
          </w:p>
          <w:p w14:paraId="24792C3C">
            <w:pPr>
              <w:keepNext w:val="0"/>
              <w:keepLines w:val="0"/>
              <w:widowControl/>
              <w:suppressLineNumbers w:val="0"/>
              <w:spacing w:before="0" w:beforeAutospacing="0" w:after="0" w:afterAutospacing="0" w:line="24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szCs w:val="21"/>
                <w:highlight w:val="none"/>
              </w:rPr>
              <w:t>质疑联系方式：1</w:t>
            </w:r>
            <w:r>
              <w:rPr>
                <w:rFonts w:hint="eastAsia" w:ascii="宋体" w:hAnsi="宋体" w:eastAsia="宋体" w:cs="宋体"/>
                <w:color w:val="auto"/>
                <w:szCs w:val="21"/>
                <w:highlight w:val="none"/>
                <w:lang w:val="en-US" w:eastAsia="zh-CN"/>
              </w:rPr>
              <w:t>3858856968</w:t>
            </w:r>
          </w:p>
        </w:tc>
      </w:tr>
      <w:tr w14:paraId="6D4DD9C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5A6785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32" w:type="dxa"/>
            <w:tcBorders>
              <w:top w:val="single" w:color="auto" w:sz="4" w:space="0"/>
              <w:left w:val="single" w:color="auto" w:sz="4" w:space="0"/>
              <w:bottom w:val="single" w:color="auto" w:sz="4" w:space="0"/>
              <w:right w:val="single" w:color="auto" w:sz="4" w:space="0"/>
            </w:tcBorders>
            <w:vAlign w:val="center"/>
          </w:tcPr>
          <w:p w14:paraId="4F0A0D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6865" w:type="dxa"/>
            <w:tcBorders>
              <w:top w:val="single" w:color="auto" w:sz="4" w:space="0"/>
              <w:left w:val="single" w:color="auto" w:sz="4" w:space="0"/>
              <w:bottom w:val="single" w:color="auto" w:sz="4" w:space="0"/>
              <w:right w:val="single" w:color="auto" w:sz="4" w:space="0"/>
            </w:tcBorders>
            <w:vAlign w:val="center"/>
          </w:tcPr>
          <w:p w14:paraId="730566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2025年龙湾区污水处理厂日常进出水监督性水质检测及外围管网水质排查溯源检测服务 </w:t>
            </w:r>
          </w:p>
          <w:p w14:paraId="420D4F92">
            <w:pPr>
              <w:keepNext w:val="0"/>
              <w:keepLines w:val="0"/>
              <w:suppressLineNumbers w:val="0"/>
              <w:spacing w:before="0" w:beforeAutospacing="0" w:after="0" w:afterAutospacing="0" w:line="24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项目编号：</w:t>
            </w:r>
            <w:r>
              <w:rPr>
                <w:rFonts w:hint="eastAsia" w:ascii="宋体" w:hAnsi="宋体" w:cs="宋体"/>
                <w:bCs/>
                <w:color w:val="auto"/>
                <w:kern w:val="0"/>
                <w:sz w:val="21"/>
                <w:szCs w:val="21"/>
                <w:highlight w:val="none"/>
                <w:lang w:val="en-US" w:eastAsia="zh-CN"/>
              </w:rPr>
              <w:t>WZFL-20250108-F</w:t>
            </w:r>
            <w:r>
              <w:rPr>
                <w:rFonts w:hint="eastAsia" w:ascii="宋体" w:hAnsi="宋体" w:eastAsia="宋体" w:cs="宋体"/>
                <w:bCs/>
                <w:color w:val="auto"/>
                <w:kern w:val="0"/>
                <w:sz w:val="21"/>
                <w:szCs w:val="21"/>
                <w:highlight w:val="none"/>
              </w:rPr>
              <w:t xml:space="preserve"> </w:t>
            </w:r>
          </w:p>
        </w:tc>
      </w:tr>
      <w:tr w14:paraId="0DF6AA31">
        <w:tblPrEx>
          <w:tblCellMar>
            <w:top w:w="0" w:type="dxa"/>
            <w:left w:w="108" w:type="dxa"/>
            <w:bottom w:w="0" w:type="dxa"/>
            <w:right w:w="108" w:type="dxa"/>
          </w:tblCellMar>
        </w:tblPrEx>
        <w:trPr>
          <w:trHeight w:val="587" w:hRule="atLeast"/>
        </w:trPr>
        <w:tc>
          <w:tcPr>
            <w:tcW w:w="667" w:type="dxa"/>
            <w:tcBorders>
              <w:top w:val="single" w:color="auto" w:sz="4" w:space="0"/>
              <w:left w:val="single" w:color="auto" w:sz="4" w:space="0"/>
              <w:bottom w:val="single" w:color="auto" w:sz="4" w:space="0"/>
              <w:right w:val="single" w:color="auto" w:sz="4" w:space="0"/>
            </w:tcBorders>
            <w:vAlign w:val="center"/>
          </w:tcPr>
          <w:p w14:paraId="54A7A5C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32" w:type="dxa"/>
            <w:tcBorders>
              <w:top w:val="single" w:color="auto" w:sz="4" w:space="0"/>
              <w:left w:val="single" w:color="auto" w:sz="4" w:space="0"/>
              <w:bottom w:val="single" w:color="auto" w:sz="4" w:space="0"/>
              <w:right w:val="single" w:color="auto" w:sz="4" w:space="0"/>
            </w:tcBorders>
            <w:vAlign w:val="center"/>
          </w:tcPr>
          <w:p w14:paraId="58B597D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6865" w:type="dxa"/>
            <w:tcBorders>
              <w:top w:val="single" w:color="auto" w:sz="4" w:space="0"/>
              <w:left w:val="single" w:color="auto" w:sz="4" w:space="0"/>
              <w:bottom w:val="single" w:color="auto" w:sz="4" w:space="0"/>
              <w:right w:val="single" w:color="auto" w:sz="4" w:space="0"/>
            </w:tcBorders>
            <w:vAlign w:val="center"/>
          </w:tcPr>
          <w:p w14:paraId="707EBB54">
            <w:pPr>
              <w:keepNext w:val="0"/>
              <w:keepLines w:val="0"/>
              <w:suppressLineNumbers w:val="0"/>
              <w:spacing w:before="0" w:beforeAutospacing="0" w:after="0" w:afterAutospacing="0" w:line="24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具体详见招标文件</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采购预算: </w:t>
            </w:r>
            <w:r>
              <w:rPr>
                <w:rFonts w:hint="eastAsia" w:ascii="宋体" w:hAnsi="宋体" w:cs="宋体"/>
                <w:color w:val="auto"/>
                <w:sz w:val="21"/>
                <w:szCs w:val="21"/>
                <w:highlight w:val="none"/>
                <w:lang w:val="en-US" w:eastAsia="zh-CN"/>
              </w:rPr>
              <w:t>430000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kern w:val="0"/>
                <w:sz w:val="21"/>
                <w:szCs w:val="21"/>
                <w:highlight w:val="none"/>
              </w:rPr>
              <w:t>，超预算按无效标处理。</w:t>
            </w:r>
          </w:p>
        </w:tc>
      </w:tr>
      <w:tr w14:paraId="6C9C087C">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68C01C2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932" w:type="dxa"/>
            <w:tcBorders>
              <w:top w:val="single" w:color="auto" w:sz="4" w:space="0"/>
              <w:left w:val="single" w:color="auto" w:sz="4" w:space="0"/>
              <w:bottom w:val="single" w:color="auto" w:sz="4" w:space="0"/>
              <w:right w:val="single" w:color="auto" w:sz="4" w:space="0"/>
            </w:tcBorders>
            <w:vAlign w:val="center"/>
          </w:tcPr>
          <w:p w14:paraId="777CC4A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服务期限</w:t>
            </w:r>
          </w:p>
        </w:tc>
        <w:tc>
          <w:tcPr>
            <w:tcW w:w="6865" w:type="dxa"/>
            <w:tcBorders>
              <w:top w:val="single" w:color="auto" w:sz="4" w:space="0"/>
              <w:left w:val="single" w:color="auto" w:sz="4" w:space="0"/>
              <w:bottom w:val="single" w:color="auto" w:sz="4" w:space="0"/>
              <w:right w:val="single" w:color="auto" w:sz="4" w:space="0"/>
            </w:tcBorders>
            <w:vAlign w:val="center"/>
          </w:tcPr>
          <w:p w14:paraId="620053BD">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tc>
      </w:tr>
      <w:tr w14:paraId="6EFBDDB8">
        <w:tblPrEx>
          <w:tblCellMar>
            <w:top w:w="0" w:type="dxa"/>
            <w:left w:w="108" w:type="dxa"/>
            <w:bottom w:w="0" w:type="dxa"/>
            <w:right w:w="108" w:type="dxa"/>
          </w:tblCellMar>
        </w:tblPrEx>
        <w:trPr>
          <w:trHeight w:val="509" w:hRule="atLeast"/>
        </w:trPr>
        <w:tc>
          <w:tcPr>
            <w:tcW w:w="667" w:type="dxa"/>
            <w:tcBorders>
              <w:top w:val="single" w:color="auto" w:sz="4" w:space="0"/>
              <w:left w:val="single" w:color="auto" w:sz="4" w:space="0"/>
              <w:bottom w:val="single" w:color="auto" w:sz="4" w:space="0"/>
              <w:right w:val="single" w:color="auto" w:sz="4" w:space="0"/>
            </w:tcBorders>
            <w:vAlign w:val="center"/>
          </w:tcPr>
          <w:p w14:paraId="10B077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32" w:type="dxa"/>
            <w:tcBorders>
              <w:top w:val="single" w:color="auto" w:sz="4" w:space="0"/>
              <w:left w:val="single" w:color="auto" w:sz="4" w:space="0"/>
              <w:bottom w:val="single" w:color="auto" w:sz="4" w:space="0"/>
              <w:right w:val="single" w:color="auto" w:sz="4" w:space="0"/>
            </w:tcBorders>
            <w:vAlign w:val="center"/>
          </w:tcPr>
          <w:p w14:paraId="1448D63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供应商资格要求</w:t>
            </w:r>
          </w:p>
        </w:tc>
        <w:tc>
          <w:tcPr>
            <w:tcW w:w="6865" w:type="dxa"/>
            <w:tcBorders>
              <w:top w:val="single" w:color="auto" w:sz="4" w:space="0"/>
              <w:left w:val="single" w:color="auto" w:sz="4" w:space="0"/>
              <w:bottom w:val="single" w:color="auto" w:sz="4" w:space="0"/>
              <w:right w:val="single" w:color="auto" w:sz="4" w:space="0"/>
            </w:tcBorders>
            <w:vAlign w:val="center"/>
          </w:tcPr>
          <w:p w14:paraId="4F54A51F">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详见“竞争性磋商公告”规定</w:t>
            </w:r>
          </w:p>
        </w:tc>
      </w:tr>
      <w:tr w14:paraId="69ABA15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55402C5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32" w:type="dxa"/>
            <w:tcBorders>
              <w:top w:val="single" w:color="auto" w:sz="4" w:space="0"/>
              <w:left w:val="single" w:color="auto" w:sz="4" w:space="0"/>
              <w:bottom w:val="single" w:color="auto" w:sz="4" w:space="0"/>
              <w:right w:val="single" w:color="auto" w:sz="4" w:space="0"/>
            </w:tcBorders>
            <w:vAlign w:val="center"/>
          </w:tcPr>
          <w:p w14:paraId="4EFBE1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是否接受联合体磋商响应</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14:paraId="4293B8E0">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zh-CN"/>
              </w:rPr>
              <w:t>详见“竞争性磋商公告”规定</w:t>
            </w:r>
          </w:p>
        </w:tc>
      </w:tr>
      <w:tr w14:paraId="4AE0FC0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CC0F5E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932" w:type="dxa"/>
            <w:tcBorders>
              <w:top w:val="single" w:color="auto" w:sz="4" w:space="0"/>
              <w:left w:val="single" w:color="auto" w:sz="4" w:space="0"/>
              <w:bottom w:val="single" w:color="auto" w:sz="4" w:space="0"/>
              <w:right w:val="single" w:color="auto" w:sz="4" w:space="0"/>
            </w:tcBorders>
            <w:vAlign w:val="center"/>
          </w:tcPr>
          <w:p w14:paraId="6D91669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w:t>
            </w:r>
          </w:p>
        </w:tc>
        <w:tc>
          <w:tcPr>
            <w:tcW w:w="6865" w:type="dxa"/>
            <w:tcBorders>
              <w:top w:val="single" w:color="auto" w:sz="4" w:space="0"/>
              <w:left w:val="single" w:color="auto" w:sz="4" w:space="0"/>
              <w:bottom w:val="single" w:color="auto" w:sz="4" w:space="0"/>
              <w:right w:val="single" w:color="auto" w:sz="4" w:space="0"/>
            </w:tcBorders>
            <w:vAlign w:val="center"/>
          </w:tcPr>
          <w:p w14:paraId="3474A51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w:t>
            </w:r>
          </w:p>
          <w:p w14:paraId="6DAC427D">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不组织，供应商自行前往项目现场进行踏勘。</w:t>
            </w:r>
          </w:p>
        </w:tc>
      </w:tr>
      <w:tr w14:paraId="320717BC">
        <w:tblPrEx>
          <w:tblCellMar>
            <w:top w:w="0" w:type="dxa"/>
            <w:left w:w="108" w:type="dxa"/>
            <w:bottom w:w="0" w:type="dxa"/>
            <w:right w:w="108" w:type="dxa"/>
          </w:tblCellMar>
        </w:tblPrEx>
        <w:trPr>
          <w:trHeight w:val="419" w:hRule="atLeast"/>
        </w:trPr>
        <w:tc>
          <w:tcPr>
            <w:tcW w:w="667" w:type="dxa"/>
            <w:tcBorders>
              <w:top w:val="single" w:color="auto" w:sz="4" w:space="0"/>
              <w:left w:val="single" w:color="auto" w:sz="4" w:space="0"/>
              <w:bottom w:val="single" w:color="auto" w:sz="4" w:space="0"/>
              <w:right w:val="single" w:color="auto" w:sz="4" w:space="0"/>
            </w:tcBorders>
            <w:vAlign w:val="center"/>
          </w:tcPr>
          <w:p w14:paraId="69FC3A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932" w:type="dxa"/>
            <w:tcBorders>
              <w:top w:val="single" w:color="auto" w:sz="4" w:space="0"/>
              <w:left w:val="single" w:color="auto" w:sz="4" w:space="0"/>
              <w:bottom w:val="single" w:color="auto" w:sz="4" w:space="0"/>
              <w:right w:val="single" w:color="auto" w:sz="4" w:space="0"/>
            </w:tcBorders>
            <w:vAlign w:val="center"/>
          </w:tcPr>
          <w:p w14:paraId="502D3F9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投标预备会</w:t>
            </w:r>
          </w:p>
        </w:tc>
        <w:tc>
          <w:tcPr>
            <w:tcW w:w="6865" w:type="dxa"/>
            <w:tcBorders>
              <w:top w:val="single" w:color="auto" w:sz="4" w:space="0"/>
              <w:left w:val="single" w:color="auto" w:sz="4" w:space="0"/>
              <w:bottom w:val="single" w:color="auto" w:sz="4" w:space="0"/>
              <w:right w:val="single" w:color="auto" w:sz="4" w:space="0"/>
            </w:tcBorders>
            <w:vAlign w:val="center"/>
          </w:tcPr>
          <w:p w14:paraId="5722BEC8">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□召开     </w:t>
            </w:r>
            <w:r>
              <w:rPr>
                <w:rFonts w:hint="eastAsia" w:ascii="宋体" w:hAnsi="宋体" w:eastAsia="宋体" w:cs="宋体"/>
                <w:b/>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不召开</w:t>
            </w:r>
          </w:p>
        </w:tc>
      </w:tr>
      <w:tr w14:paraId="5FD10796">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37442AC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932" w:type="dxa"/>
            <w:tcBorders>
              <w:top w:val="single" w:color="auto" w:sz="4" w:space="0"/>
              <w:left w:val="single" w:color="auto" w:sz="4" w:space="0"/>
              <w:bottom w:val="single" w:color="auto" w:sz="4" w:space="0"/>
              <w:right w:val="single" w:color="auto" w:sz="4" w:space="0"/>
            </w:tcBorders>
            <w:vAlign w:val="center"/>
          </w:tcPr>
          <w:p w14:paraId="671ED9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磋商响应文件递交截止时间</w:t>
            </w:r>
          </w:p>
        </w:tc>
        <w:tc>
          <w:tcPr>
            <w:tcW w:w="6865" w:type="dxa"/>
            <w:tcBorders>
              <w:top w:val="single" w:color="auto" w:sz="4" w:space="0"/>
              <w:left w:val="single" w:color="auto" w:sz="4" w:space="0"/>
              <w:bottom w:val="single" w:color="auto" w:sz="4" w:space="0"/>
              <w:right w:val="single" w:color="auto" w:sz="4" w:space="0"/>
            </w:tcBorders>
            <w:vAlign w:val="center"/>
          </w:tcPr>
          <w:p w14:paraId="21BD403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zh-CN"/>
              </w:rPr>
              <w:t>详见“竞争性磋商公告”规定</w:t>
            </w:r>
          </w:p>
        </w:tc>
      </w:tr>
      <w:tr w14:paraId="52D54B39">
        <w:tblPrEx>
          <w:tblCellMar>
            <w:top w:w="0" w:type="dxa"/>
            <w:left w:w="108" w:type="dxa"/>
            <w:bottom w:w="0" w:type="dxa"/>
            <w:right w:w="108" w:type="dxa"/>
          </w:tblCellMar>
        </w:tblPrEx>
        <w:trPr>
          <w:trHeight w:val="435" w:hRule="atLeast"/>
        </w:trPr>
        <w:tc>
          <w:tcPr>
            <w:tcW w:w="667" w:type="dxa"/>
            <w:tcBorders>
              <w:top w:val="single" w:color="auto" w:sz="4" w:space="0"/>
              <w:left w:val="single" w:color="auto" w:sz="4" w:space="0"/>
              <w:bottom w:val="single" w:color="auto" w:sz="4" w:space="0"/>
              <w:right w:val="single" w:color="auto" w:sz="4" w:space="0"/>
            </w:tcBorders>
            <w:vAlign w:val="center"/>
          </w:tcPr>
          <w:p w14:paraId="4624E0C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932" w:type="dxa"/>
            <w:tcBorders>
              <w:top w:val="single" w:color="auto" w:sz="4" w:space="0"/>
              <w:left w:val="single" w:color="auto" w:sz="4" w:space="0"/>
              <w:bottom w:val="single" w:color="auto" w:sz="4" w:space="0"/>
              <w:right w:val="single" w:color="auto" w:sz="4" w:space="0"/>
            </w:tcBorders>
            <w:vAlign w:val="center"/>
          </w:tcPr>
          <w:p w14:paraId="729C08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6865" w:type="dxa"/>
            <w:tcBorders>
              <w:top w:val="single" w:color="auto" w:sz="4" w:space="0"/>
              <w:left w:val="single" w:color="auto" w:sz="4" w:space="0"/>
              <w:bottom w:val="single" w:color="auto" w:sz="4" w:space="0"/>
              <w:right w:val="single" w:color="auto" w:sz="4" w:space="0"/>
            </w:tcBorders>
            <w:vAlign w:val="center"/>
          </w:tcPr>
          <w:p w14:paraId="76F61F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sym w:font="Wingdings" w:char="00FE"/>
            </w:r>
            <w:r>
              <w:rPr>
                <w:rFonts w:hint="eastAsia" w:ascii="宋体" w:hAnsi="宋体" w:eastAsia="宋体" w:cs="宋体"/>
                <w:color w:val="auto"/>
                <w:kern w:val="0"/>
                <w:sz w:val="21"/>
                <w:szCs w:val="21"/>
                <w:highlight w:val="none"/>
              </w:rPr>
              <w:t xml:space="preserve">允许     </w:t>
            </w:r>
            <w:r>
              <w:rPr>
                <w:rFonts w:hint="eastAsia" w:ascii="宋体" w:hAnsi="宋体" w:cs="宋体"/>
                <w:b/>
                <w:color w:val="auto"/>
                <w:kern w:val="0"/>
                <w:sz w:val="21"/>
                <w:szCs w:val="21"/>
                <w:highlight w:val="none"/>
                <w:lang w:eastAsia="zh-CN"/>
              </w:rPr>
              <w:t>□</w:t>
            </w:r>
            <w:r>
              <w:rPr>
                <w:rFonts w:hint="eastAsia" w:ascii="宋体" w:hAnsi="宋体" w:eastAsia="宋体" w:cs="宋体"/>
                <w:color w:val="auto"/>
                <w:kern w:val="0"/>
                <w:sz w:val="21"/>
                <w:szCs w:val="21"/>
                <w:highlight w:val="none"/>
              </w:rPr>
              <w:t>不允许</w:t>
            </w:r>
          </w:p>
        </w:tc>
      </w:tr>
      <w:tr w14:paraId="331CE81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5AE2D5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932" w:type="dxa"/>
            <w:tcBorders>
              <w:top w:val="single" w:color="auto" w:sz="4" w:space="0"/>
              <w:left w:val="single" w:color="auto" w:sz="4" w:space="0"/>
              <w:bottom w:val="single" w:color="auto" w:sz="4" w:space="0"/>
              <w:right w:val="single" w:color="auto" w:sz="4" w:space="0"/>
            </w:tcBorders>
            <w:vAlign w:val="center"/>
          </w:tcPr>
          <w:p w14:paraId="62CD2EA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w:t>
            </w:r>
          </w:p>
        </w:tc>
        <w:tc>
          <w:tcPr>
            <w:tcW w:w="6865" w:type="dxa"/>
            <w:tcBorders>
              <w:top w:val="single" w:color="auto" w:sz="4" w:space="0"/>
              <w:left w:val="single" w:color="auto" w:sz="4" w:space="0"/>
              <w:bottom w:val="single" w:color="auto" w:sz="4" w:space="0"/>
              <w:right w:val="single" w:color="auto" w:sz="4" w:space="0"/>
            </w:tcBorders>
            <w:vAlign w:val="center"/>
          </w:tcPr>
          <w:p w14:paraId="1205489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028B3407">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5089A69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932" w:type="dxa"/>
            <w:tcBorders>
              <w:top w:val="single" w:color="auto" w:sz="4" w:space="0"/>
              <w:left w:val="single" w:color="auto" w:sz="4" w:space="0"/>
              <w:bottom w:val="single" w:color="auto" w:sz="4" w:space="0"/>
              <w:right w:val="single" w:color="auto" w:sz="4" w:space="0"/>
            </w:tcBorders>
            <w:vAlign w:val="center"/>
          </w:tcPr>
          <w:p w14:paraId="637E338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磋商响应文件有效期</w:t>
            </w:r>
          </w:p>
        </w:tc>
        <w:tc>
          <w:tcPr>
            <w:tcW w:w="6865" w:type="dxa"/>
            <w:tcBorders>
              <w:top w:val="single" w:color="auto" w:sz="4" w:space="0"/>
              <w:left w:val="single" w:color="auto" w:sz="4" w:space="0"/>
              <w:bottom w:val="single" w:color="auto" w:sz="4" w:space="0"/>
              <w:right w:val="single" w:color="auto" w:sz="4" w:space="0"/>
            </w:tcBorders>
            <w:vAlign w:val="center"/>
          </w:tcPr>
          <w:p w14:paraId="76893F40">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磋商响应文件自磋商响应文件递交截止时间起生效，有效期</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rPr>
              <w:t>90</w:t>
            </w:r>
            <w:r>
              <w:rPr>
                <w:rFonts w:hint="eastAsia" w:ascii="宋体" w:hAnsi="宋体" w:eastAsia="宋体" w:cs="宋体"/>
                <w:b/>
                <w:bCs/>
                <w:color w:val="auto"/>
                <w:kern w:val="0"/>
                <w:sz w:val="21"/>
                <w:szCs w:val="21"/>
                <w:highlight w:val="none"/>
              </w:rPr>
              <w:t>天</w:t>
            </w:r>
            <w:r>
              <w:rPr>
                <w:rFonts w:hint="eastAsia" w:ascii="宋体" w:hAnsi="宋体" w:eastAsia="宋体" w:cs="宋体"/>
                <w:color w:val="auto"/>
                <w:kern w:val="0"/>
                <w:sz w:val="21"/>
                <w:szCs w:val="21"/>
                <w:highlight w:val="none"/>
              </w:rPr>
              <w:t>。</w:t>
            </w:r>
          </w:p>
        </w:tc>
      </w:tr>
      <w:tr w14:paraId="453A1484">
        <w:tblPrEx>
          <w:tblCellMar>
            <w:top w:w="0" w:type="dxa"/>
            <w:left w:w="108" w:type="dxa"/>
            <w:bottom w:w="0" w:type="dxa"/>
            <w:right w:w="108" w:type="dxa"/>
          </w:tblCellMar>
        </w:tblPrEx>
        <w:trPr>
          <w:trHeight w:val="491" w:hRule="atLeast"/>
        </w:trPr>
        <w:tc>
          <w:tcPr>
            <w:tcW w:w="667" w:type="dxa"/>
            <w:tcBorders>
              <w:top w:val="single" w:color="auto" w:sz="4" w:space="0"/>
              <w:left w:val="single" w:color="auto" w:sz="4" w:space="0"/>
              <w:bottom w:val="single" w:color="auto" w:sz="4" w:space="0"/>
              <w:right w:val="single" w:color="auto" w:sz="4" w:space="0"/>
            </w:tcBorders>
            <w:vAlign w:val="center"/>
          </w:tcPr>
          <w:p w14:paraId="3CC5D5A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932" w:type="dxa"/>
            <w:tcBorders>
              <w:top w:val="single" w:color="auto" w:sz="4" w:space="0"/>
              <w:left w:val="single" w:color="auto" w:sz="4" w:space="0"/>
              <w:bottom w:val="single" w:color="auto" w:sz="4" w:space="0"/>
              <w:right w:val="single" w:color="auto" w:sz="4" w:space="0"/>
            </w:tcBorders>
            <w:vAlign w:val="center"/>
          </w:tcPr>
          <w:p w14:paraId="5024670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投标保证金</w:t>
            </w:r>
          </w:p>
        </w:tc>
        <w:tc>
          <w:tcPr>
            <w:tcW w:w="6865" w:type="dxa"/>
            <w:tcBorders>
              <w:top w:val="single" w:color="auto" w:sz="4" w:space="0"/>
              <w:left w:val="single" w:color="auto" w:sz="4" w:space="0"/>
              <w:bottom w:val="single" w:color="auto" w:sz="4" w:space="0"/>
              <w:right w:val="single" w:color="auto" w:sz="4" w:space="0"/>
            </w:tcBorders>
            <w:vAlign w:val="center"/>
          </w:tcPr>
          <w:p w14:paraId="2567C019">
            <w:pPr>
              <w:keepNext w:val="0"/>
              <w:keepLines w:val="0"/>
              <w:suppressLineNumbers w:val="0"/>
              <w:spacing w:before="0" w:beforeAutospacing="0" w:after="0" w:afterAutospacing="0" w:line="240" w:lineRule="auto"/>
              <w:ind w:left="0" w:right="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不提交</w:t>
            </w:r>
          </w:p>
        </w:tc>
      </w:tr>
      <w:tr w14:paraId="795B1CC6">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7324C1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932" w:type="dxa"/>
            <w:tcBorders>
              <w:top w:val="single" w:color="auto" w:sz="4" w:space="0"/>
              <w:left w:val="single" w:color="auto" w:sz="4" w:space="0"/>
              <w:bottom w:val="single" w:color="auto" w:sz="4" w:space="0"/>
              <w:right w:val="single" w:color="auto" w:sz="4" w:space="0"/>
            </w:tcBorders>
            <w:vAlign w:val="center"/>
          </w:tcPr>
          <w:p w14:paraId="17928D6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磋商响应文件形式、制作及组成</w:t>
            </w:r>
          </w:p>
        </w:tc>
        <w:tc>
          <w:tcPr>
            <w:tcW w:w="6865" w:type="dxa"/>
            <w:tcBorders>
              <w:top w:val="single" w:color="auto" w:sz="4" w:space="0"/>
              <w:left w:val="single" w:color="auto" w:sz="4" w:space="0"/>
              <w:bottom w:val="single" w:color="auto" w:sz="4" w:space="0"/>
              <w:right w:val="single" w:color="auto" w:sz="4" w:space="0"/>
            </w:tcBorders>
            <w:vAlign w:val="center"/>
          </w:tcPr>
          <w:p w14:paraId="2A30E42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本项目实行网上投标。</w:t>
            </w:r>
          </w:p>
          <w:p w14:paraId="21DC8A0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供应商应准备电子磋商响应文件、以介质存储的数据电文形式的备份磋商响应文件：</w:t>
            </w:r>
          </w:p>
          <w:p w14:paraId="3D405F2C">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（1）电子磋商响应文件，按政采云平台项目采购-电子招投标操作指南及本竞争性磋商采购文件要求递交。</w:t>
            </w:r>
          </w:p>
          <w:p w14:paraId="0431637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（2）以介质存储的数据电文形式的备份磋商响应文件，按政采云平台项目采购-电子招投标操作指南中上传的电子磋商响应文件格式，以U盘形式提供。数量为1份。</w:t>
            </w:r>
          </w:p>
          <w:p w14:paraId="2C6AE81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磋商响应文件由资格审查资料、商务技术标、报价标三部分组成。</w:t>
            </w:r>
          </w:p>
        </w:tc>
      </w:tr>
      <w:tr w14:paraId="093E0B7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0C1A9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932" w:type="dxa"/>
            <w:tcBorders>
              <w:top w:val="single" w:color="auto" w:sz="4" w:space="0"/>
              <w:left w:val="single" w:color="auto" w:sz="4" w:space="0"/>
              <w:bottom w:val="single" w:color="auto" w:sz="4" w:space="0"/>
              <w:right w:val="single" w:color="auto" w:sz="4" w:space="0"/>
            </w:tcBorders>
            <w:vAlign w:val="center"/>
          </w:tcPr>
          <w:p w14:paraId="642A845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磋商响应文件份数</w:t>
            </w:r>
          </w:p>
        </w:tc>
        <w:tc>
          <w:tcPr>
            <w:tcW w:w="6865" w:type="dxa"/>
            <w:tcBorders>
              <w:top w:val="single" w:color="auto" w:sz="4" w:space="0"/>
              <w:left w:val="single" w:color="auto" w:sz="4" w:space="0"/>
              <w:bottom w:val="single" w:color="auto" w:sz="4" w:space="0"/>
              <w:right w:val="single" w:color="auto" w:sz="4" w:space="0"/>
            </w:tcBorders>
            <w:vAlign w:val="center"/>
          </w:tcPr>
          <w:p w14:paraId="7544D8F2">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Cs w:val="21"/>
              </w:rPr>
            </w:pPr>
            <w:r>
              <w:rPr>
                <w:rFonts w:hint="eastAsia" w:ascii="宋体" w:hAnsi="宋体" w:eastAsia="宋体" w:cs="宋体"/>
                <w:color w:val="auto"/>
                <w:kern w:val="0"/>
                <w:szCs w:val="21"/>
              </w:rPr>
              <w:t>（1）“电子加密响应文件”：在线上传递交，一份。</w:t>
            </w:r>
          </w:p>
          <w:p w14:paraId="0A772DF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Cs w:val="21"/>
              </w:rPr>
            </w:pPr>
            <w:r>
              <w:rPr>
                <w:rFonts w:hint="eastAsia" w:ascii="宋体" w:hAnsi="宋体" w:eastAsia="宋体" w:cs="宋体"/>
                <w:color w:val="auto"/>
                <w:kern w:val="0"/>
                <w:szCs w:val="21"/>
              </w:rPr>
              <w:t>（2）“备份响应文件”：可以以电子邮件方式传送至温州市方略工程项目管理有限公司电子邮箱（</w:t>
            </w:r>
            <w:r>
              <w:rPr>
                <w:rFonts w:hint="eastAsia" w:ascii="宋体" w:hAnsi="宋体" w:eastAsia="宋体" w:cs="宋体"/>
                <w:color w:val="auto"/>
                <w:kern w:val="0"/>
                <w:szCs w:val="21"/>
                <w:lang w:eastAsia="zh-CN"/>
              </w:rPr>
              <w:t>243995196</w:t>
            </w:r>
            <w:r>
              <w:rPr>
                <w:rFonts w:hint="eastAsia" w:ascii="宋体" w:hAnsi="宋体" w:eastAsia="宋体" w:cs="宋体"/>
                <w:color w:val="auto"/>
                <w:kern w:val="0"/>
                <w:szCs w:val="21"/>
              </w:rPr>
              <w:t>@qq.com）在投标截止时间前收到；也可以用</w:t>
            </w:r>
            <w:r>
              <w:rPr>
                <w:rFonts w:hint="eastAsia" w:ascii="宋体" w:hAnsi="宋体" w:eastAsia="宋体" w:cs="宋体"/>
                <w:color w:val="auto"/>
                <w:kern w:val="0"/>
                <w:szCs w:val="21"/>
                <w:lang w:val="zh-CN"/>
              </w:rPr>
              <w:t>以</w:t>
            </w:r>
            <w:r>
              <w:rPr>
                <w:rFonts w:hint="eastAsia" w:ascii="宋体" w:hAnsi="宋体" w:eastAsia="宋体" w:cs="宋体"/>
                <w:color w:val="auto"/>
                <w:kern w:val="0"/>
                <w:szCs w:val="21"/>
              </w:rPr>
              <w:t>U</w:t>
            </w:r>
            <w:r>
              <w:rPr>
                <w:rFonts w:hint="eastAsia" w:ascii="宋体" w:hAnsi="宋体" w:eastAsia="宋体" w:cs="宋体"/>
                <w:color w:val="auto"/>
                <w:kern w:val="0"/>
                <w:szCs w:val="21"/>
                <w:lang w:val="zh-CN"/>
              </w:rPr>
              <w:t>盘存储</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密封包装后</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顺丰快递或</w:t>
            </w:r>
            <w:r>
              <w:rPr>
                <w:rFonts w:hint="eastAsia" w:ascii="宋体" w:hAnsi="宋体" w:eastAsia="宋体" w:cs="宋体"/>
                <w:color w:val="auto"/>
                <w:kern w:val="0"/>
                <w:szCs w:val="21"/>
              </w:rPr>
              <w:t>EMS</w:t>
            </w:r>
            <w:r>
              <w:rPr>
                <w:rFonts w:hint="eastAsia" w:ascii="宋体" w:hAnsi="宋体" w:eastAsia="宋体" w:cs="宋体"/>
                <w:color w:val="auto"/>
                <w:kern w:val="0"/>
                <w:szCs w:val="21"/>
                <w:lang w:val="zh-CN"/>
              </w:rPr>
              <w:t>邮寄形式</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在投标文件递交截止时间一天前递交</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一份</w:t>
            </w:r>
            <w:r>
              <w:rPr>
                <w:rFonts w:hint="eastAsia" w:ascii="宋体" w:hAnsi="宋体" w:eastAsia="宋体" w:cs="宋体"/>
                <w:color w:val="auto"/>
                <w:kern w:val="0"/>
                <w:szCs w:val="21"/>
              </w:rPr>
              <w:t>，</w:t>
            </w:r>
            <w:r>
              <w:rPr>
                <w:rFonts w:hint="eastAsia" w:ascii="宋体" w:hAnsi="宋体" w:eastAsia="宋体" w:cs="宋体"/>
                <w:color w:val="auto"/>
                <w:kern w:val="0"/>
                <w:szCs w:val="21"/>
                <w:lang w:val="zh-CN"/>
              </w:rPr>
              <w:t>邮寄地址</w:t>
            </w:r>
            <w:r>
              <w:rPr>
                <w:rFonts w:hint="eastAsia" w:ascii="宋体" w:hAnsi="宋体" w:eastAsia="宋体" w:cs="宋体"/>
                <w:color w:val="auto"/>
                <w:kern w:val="0"/>
                <w:szCs w:val="21"/>
              </w:rPr>
              <w:t>：温州市龙湾区蒲州街道高一路158号圣特立集团B幢4楼，</w:t>
            </w:r>
            <w:r>
              <w:rPr>
                <w:rFonts w:hint="eastAsia" w:ascii="宋体" w:hAnsi="宋体" w:eastAsia="宋体" w:cs="宋体"/>
                <w:color w:val="auto"/>
                <w:kern w:val="0"/>
                <w:szCs w:val="21"/>
                <w:lang w:val="en-US" w:eastAsia="zh-CN"/>
              </w:rPr>
              <w:t>庄芳芳</w:t>
            </w:r>
            <w:r>
              <w:rPr>
                <w:rFonts w:hint="eastAsia" w:ascii="宋体" w:hAnsi="宋体" w:eastAsia="宋体" w:cs="宋体"/>
                <w:color w:val="auto"/>
                <w:kern w:val="0"/>
                <w:szCs w:val="21"/>
                <w:lang w:val="zh-CN"/>
              </w:rPr>
              <w:t>收</w:t>
            </w:r>
            <w:r>
              <w:rPr>
                <w:rFonts w:hint="eastAsia" w:ascii="宋体" w:hAnsi="宋体" w:eastAsia="宋体" w:cs="宋体"/>
                <w:color w:val="auto"/>
                <w:kern w:val="0"/>
                <w:szCs w:val="21"/>
              </w:rPr>
              <w:t>，13</w:t>
            </w:r>
            <w:r>
              <w:rPr>
                <w:rFonts w:hint="eastAsia" w:ascii="宋体" w:hAnsi="宋体" w:eastAsia="宋体" w:cs="宋体"/>
                <w:color w:val="auto"/>
                <w:kern w:val="0"/>
                <w:szCs w:val="21"/>
                <w:lang w:val="en-US" w:eastAsia="zh-CN"/>
              </w:rPr>
              <w:t>968807044</w:t>
            </w:r>
            <w:r>
              <w:rPr>
                <w:rFonts w:hint="eastAsia" w:ascii="宋体" w:hAnsi="宋体" w:eastAsia="宋体" w:cs="宋体"/>
                <w:color w:val="auto"/>
                <w:kern w:val="0"/>
                <w:szCs w:val="21"/>
              </w:rPr>
              <w:t>。</w:t>
            </w:r>
          </w:p>
          <w:p w14:paraId="128EBAD6">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Cs w:val="21"/>
              </w:rPr>
              <w:t>（3）</w:t>
            </w:r>
            <w:r>
              <w:rPr>
                <w:rFonts w:hint="eastAsia" w:ascii="宋体" w:hAnsi="宋体" w:eastAsia="宋体" w:cs="宋体"/>
                <w:b/>
                <w:color w:val="auto"/>
                <w:kern w:val="0"/>
                <w:szCs w:val="21"/>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Cs w:val="21"/>
              </w:rPr>
              <w:t>。</w:t>
            </w:r>
          </w:p>
        </w:tc>
      </w:tr>
      <w:tr w14:paraId="065D674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7B1450A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932" w:type="dxa"/>
            <w:tcBorders>
              <w:top w:val="single" w:color="auto" w:sz="4" w:space="0"/>
              <w:left w:val="single" w:color="auto" w:sz="4" w:space="0"/>
              <w:bottom w:val="single" w:color="auto" w:sz="4" w:space="0"/>
              <w:right w:val="single" w:color="auto" w:sz="4" w:space="0"/>
            </w:tcBorders>
            <w:vAlign w:val="center"/>
          </w:tcPr>
          <w:p w14:paraId="7355B62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磋商响应文件签字或盖章要求</w:t>
            </w:r>
          </w:p>
        </w:tc>
        <w:tc>
          <w:tcPr>
            <w:tcW w:w="6865" w:type="dxa"/>
            <w:tcBorders>
              <w:top w:val="single" w:color="auto" w:sz="4" w:space="0"/>
              <w:left w:val="single" w:color="auto" w:sz="4" w:space="0"/>
              <w:bottom w:val="single" w:color="auto" w:sz="4" w:space="0"/>
              <w:right w:val="single" w:color="auto" w:sz="4" w:space="0"/>
            </w:tcBorders>
            <w:vAlign w:val="center"/>
          </w:tcPr>
          <w:p w14:paraId="11242051">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磋商响应文件的相应位置应加盖：</w:t>
            </w:r>
            <w:r>
              <w:rPr>
                <w:rFonts w:hint="eastAsia" w:ascii="宋体" w:hAnsi="宋体" w:eastAsia="宋体" w:cs="宋体"/>
                <w:b/>
                <w:bCs/>
                <w:color w:val="auto"/>
                <w:kern w:val="0"/>
                <w:sz w:val="21"/>
                <w:szCs w:val="21"/>
                <w:highlight w:val="none"/>
                <w:lang w:val="en-US" w:eastAsia="zh-CN"/>
              </w:rPr>
              <w:t>盖章或</w:t>
            </w:r>
            <w:r>
              <w:rPr>
                <w:rFonts w:hint="eastAsia" w:ascii="宋体" w:hAnsi="宋体" w:eastAsia="宋体" w:cs="宋体"/>
                <w:b/>
                <w:color w:val="auto"/>
                <w:kern w:val="0"/>
                <w:sz w:val="21"/>
                <w:szCs w:val="21"/>
                <w:highlight w:val="none"/>
                <w:lang w:val="zh-CN"/>
              </w:rPr>
              <w:t>电子</w:t>
            </w:r>
            <w:r>
              <w:rPr>
                <w:rFonts w:hint="eastAsia" w:ascii="宋体" w:hAnsi="宋体" w:eastAsia="宋体" w:cs="宋体"/>
                <w:b/>
                <w:color w:val="auto"/>
                <w:kern w:val="0"/>
                <w:sz w:val="21"/>
                <w:szCs w:val="21"/>
                <w:highlight w:val="none"/>
                <w:lang w:val="en-US" w:eastAsia="zh-CN"/>
              </w:rPr>
              <w:t>CA</w:t>
            </w:r>
            <w:r>
              <w:rPr>
                <w:rFonts w:hint="eastAsia" w:ascii="宋体" w:hAnsi="宋体" w:eastAsia="宋体" w:cs="宋体"/>
                <w:b/>
                <w:color w:val="auto"/>
                <w:kern w:val="0"/>
                <w:sz w:val="21"/>
                <w:szCs w:val="21"/>
                <w:highlight w:val="none"/>
                <w:lang w:val="zh-CN"/>
              </w:rPr>
              <w:t>签章</w:t>
            </w:r>
            <w:r>
              <w:rPr>
                <w:rFonts w:hint="eastAsia" w:ascii="宋体" w:hAnsi="宋体" w:eastAsia="宋体" w:cs="宋体"/>
                <w:color w:val="auto"/>
                <w:kern w:val="0"/>
                <w:sz w:val="21"/>
                <w:szCs w:val="21"/>
                <w:highlight w:val="none"/>
                <w:lang w:val="zh-CN"/>
              </w:rPr>
              <w:t>。</w:t>
            </w:r>
          </w:p>
        </w:tc>
      </w:tr>
      <w:tr w14:paraId="1E87F7A3">
        <w:tblPrEx>
          <w:tblCellMar>
            <w:top w:w="0" w:type="dxa"/>
            <w:left w:w="108" w:type="dxa"/>
            <w:bottom w:w="0" w:type="dxa"/>
            <w:right w:w="108" w:type="dxa"/>
          </w:tblCellMar>
        </w:tblPrEx>
        <w:trPr>
          <w:trHeight w:val="725" w:hRule="atLeast"/>
        </w:trPr>
        <w:tc>
          <w:tcPr>
            <w:tcW w:w="667" w:type="dxa"/>
            <w:tcBorders>
              <w:top w:val="single" w:color="auto" w:sz="4" w:space="0"/>
              <w:left w:val="single" w:color="auto" w:sz="4" w:space="0"/>
              <w:bottom w:val="single" w:color="auto" w:sz="4" w:space="0"/>
              <w:right w:val="single" w:color="auto" w:sz="4" w:space="0"/>
            </w:tcBorders>
            <w:vAlign w:val="center"/>
          </w:tcPr>
          <w:p w14:paraId="1787BA7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32" w:type="dxa"/>
            <w:tcBorders>
              <w:top w:val="single" w:color="auto" w:sz="4" w:space="0"/>
              <w:left w:val="single" w:color="auto" w:sz="4" w:space="0"/>
              <w:bottom w:val="single" w:color="auto" w:sz="4" w:space="0"/>
              <w:right w:val="single" w:color="auto" w:sz="4" w:space="0"/>
            </w:tcBorders>
            <w:vAlign w:val="center"/>
          </w:tcPr>
          <w:p w14:paraId="4CE62C50">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磋商响应文件的上传和递交</w:t>
            </w:r>
          </w:p>
        </w:tc>
        <w:tc>
          <w:tcPr>
            <w:tcW w:w="6865" w:type="dxa"/>
            <w:tcBorders>
              <w:top w:val="single" w:color="auto" w:sz="4" w:space="0"/>
              <w:left w:val="single" w:color="auto" w:sz="4" w:space="0"/>
              <w:bottom w:val="single" w:color="auto" w:sz="4" w:space="0"/>
              <w:right w:val="single" w:color="auto" w:sz="4" w:space="0"/>
            </w:tcBorders>
            <w:vAlign w:val="center"/>
          </w:tcPr>
          <w:p w14:paraId="68CAAF60">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当在磋商响应文件递交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445CF8A2">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（2）供应商应当在磋商响应文件递交截止时间之前将以介质存储的数据电文形式的备份磋商响应文件密封送交到温州市龙湾区蒲州街道高一路158号圣特立集团B幢</w:t>
            </w:r>
            <w:r>
              <w:rPr>
                <w:rFonts w:hint="eastAsia" w:ascii="宋体" w:hAnsi="宋体" w:eastAsia="宋体" w:cs="宋体"/>
                <w:color w:val="auto"/>
                <w:kern w:val="0"/>
                <w:sz w:val="21"/>
                <w:szCs w:val="21"/>
                <w:highlight w:val="none"/>
                <w:lang w:val="en-US" w:eastAsia="zh-CN"/>
              </w:rPr>
              <w:t>浙江智源</w:t>
            </w:r>
            <w:r>
              <w:rPr>
                <w:rFonts w:hint="eastAsia" w:ascii="宋体" w:hAnsi="宋体" w:eastAsia="宋体" w:cs="宋体"/>
                <w:color w:val="auto"/>
                <w:kern w:val="0"/>
                <w:sz w:val="21"/>
                <w:szCs w:val="21"/>
                <w:highlight w:val="none"/>
              </w:rPr>
              <w:t>4楼，逾期送达或未密封将被拒收。</w:t>
            </w:r>
          </w:p>
          <w:p w14:paraId="7DA23FC8">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供应商递交以介质存储的数据电文形式的备份磋商响应文件时，如出现下列情况之一的，将被拒收：</w:t>
            </w:r>
          </w:p>
          <w:p w14:paraId="6E5B7D4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1.未按规定密封或标记的磋商响应文件；</w:t>
            </w:r>
          </w:p>
          <w:p w14:paraId="3D038CA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2.由于包装不妥，在送交途中严重破损或失散的；</w:t>
            </w:r>
          </w:p>
          <w:p w14:paraId="0F7C0CF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3.未成功办理供应商报名手续的；</w:t>
            </w:r>
          </w:p>
          <w:p w14:paraId="65AF9F4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4.超过磋商响应文件递交截止时间送达的。</w:t>
            </w:r>
          </w:p>
          <w:p w14:paraId="4C27A1DC">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5.仅提供备份磋商响应文件的，投标无效。</w:t>
            </w:r>
          </w:p>
          <w:p w14:paraId="7E77FA2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仅提供备份磋商响应文件，造成项目开标评审及磋商活动无法进行下去的，投标（磋商响应）无效，相关风险由供应商自行承担。</w:t>
            </w:r>
          </w:p>
        </w:tc>
      </w:tr>
      <w:tr w14:paraId="27BA6721">
        <w:tblPrEx>
          <w:tblCellMar>
            <w:top w:w="0" w:type="dxa"/>
            <w:left w:w="108" w:type="dxa"/>
            <w:bottom w:w="0" w:type="dxa"/>
            <w:right w:w="108" w:type="dxa"/>
          </w:tblCellMar>
        </w:tblPrEx>
        <w:trPr>
          <w:trHeight w:val="355" w:hRule="atLeast"/>
        </w:trPr>
        <w:tc>
          <w:tcPr>
            <w:tcW w:w="667" w:type="dxa"/>
            <w:tcBorders>
              <w:top w:val="single" w:color="auto" w:sz="4" w:space="0"/>
              <w:left w:val="single" w:color="auto" w:sz="4" w:space="0"/>
              <w:bottom w:val="single" w:color="auto" w:sz="4" w:space="0"/>
              <w:right w:val="single" w:color="auto" w:sz="4" w:space="0"/>
            </w:tcBorders>
            <w:vAlign w:val="center"/>
          </w:tcPr>
          <w:p w14:paraId="3EE6323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932" w:type="dxa"/>
            <w:tcBorders>
              <w:top w:val="single" w:color="auto" w:sz="4" w:space="0"/>
              <w:left w:val="single" w:color="auto" w:sz="4" w:space="0"/>
              <w:bottom w:val="single" w:color="auto" w:sz="4" w:space="0"/>
              <w:right w:val="single" w:color="auto" w:sz="4" w:space="0"/>
            </w:tcBorders>
            <w:vAlign w:val="center"/>
          </w:tcPr>
          <w:p w14:paraId="17DED4A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开标时间和评标地点</w:t>
            </w:r>
          </w:p>
        </w:tc>
        <w:tc>
          <w:tcPr>
            <w:tcW w:w="6865" w:type="dxa"/>
            <w:tcBorders>
              <w:top w:val="single" w:color="auto" w:sz="4" w:space="0"/>
              <w:left w:val="single" w:color="auto" w:sz="4" w:space="0"/>
              <w:bottom w:val="single" w:color="auto" w:sz="4" w:space="0"/>
              <w:right w:val="single" w:color="auto" w:sz="4" w:space="0"/>
            </w:tcBorders>
            <w:vAlign w:val="center"/>
          </w:tcPr>
          <w:p w14:paraId="605E372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w:t>
            </w:r>
            <w:r>
              <w:rPr>
                <w:rFonts w:hint="eastAsia" w:ascii="宋体" w:hAnsi="宋体" w:eastAsia="宋体" w:cs="宋体"/>
                <w:b/>
                <w:color w:val="auto"/>
                <w:kern w:val="0"/>
                <w:sz w:val="21"/>
                <w:szCs w:val="21"/>
                <w:highlight w:val="none"/>
                <w:lang w:val="zh-CN"/>
              </w:rPr>
              <w:t>详见“竞争性磋商公告”规定</w:t>
            </w:r>
          </w:p>
          <w:p w14:paraId="0A76AE8D">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评标地点：供应商不必抵达开标现场，仅需在任意地点通过“政府采购云平台（</w:t>
            </w:r>
            <w:r>
              <w:rPr>
                <w:rFonts w:hint="eastAsia" w:ascii="宋体" w:hAnsi="宋体" w:eastAsia="宋体" w:cs="宋体"/>
                <w:color w:val="auto"/>
                <w:kern w:val="0"/>
                <w:sz w:val="21"/>
                <w:szCs w:val="21"/>
                <w:highlight w:val="none"/>
                <w:lang w:eastAsia="zh-CN"/>
              </w:rPr>
              <w:t>https://zfcg.czt.zj.gov.cn/</w:t>
            </w:r>
            <w:r>
              <w:rPr>
                <w:rFonts w:hint="eastAsia" w:ascii="宋体" w:hAnsi="宋体" w:eastAsia="宋体" w:cs="宋体"/>
                <w:color w:val="auto"/>
                <w:kern w:val="0"/>
                <w:sz w:val="21"/>
                <w:szCs w:val="21"/>
                <w:highlight w:val="none"/>
              </w:rPr>
              <w:t>）”在线投标响应。</w:t>
            </w:r>
          </w:p>
        </w:tc>
      </w:tr>
      <w:tr w14:paraId="7D5C959C">
        <w:tblPrEx>
          <w:tblCellMar>
            <w:top w:w="0" w:type="dxa"/>
            <w:left w:w="108" w:type="dxa"/>
            <w:bottom w:w="0" w:type="dxa"/>
            <w:right w:w="108" w:type="dxa"/>
          </w:tblCellMar>
        </w:tblPrEx>
        <w:trPr>
          <w:trHeight w:val="699" w:hRule="atLeast"/>
        </w:trPr>
        <w:tc>
          <w:tcPr>
            <w:tcW w:w="667" w:type="dxa"/>
            <w:tcBorders>
              <w:top w:val="single" w:color="auto" w:sz="4" w:space="0"/>
              <w:left w:val="single" w:color="auto" w:sz="4" w:space="0"/>
              <w:bottom w:val="single" w:color="auto" w:sz="4" w:space="0"/>
              <w:right w:val="single" w:color="auto" w:sz="4" w:space="0"/>
            </w:tcBorders>
            <w:vAlign w:val="center"/>
          </w:tcPr>
          <w:p w14:paraId="3C5C8D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932" w:type="dxa"/>
            <w:tcBorders>
              <w:top w:val="single" w:color="auto" w:sz="4" w:space="0"/>
              <w:left w:val="single" w:color="auto" w:sz="4" w:space="0"/>
              <w:bottom w:val="single" w:color="auto" w:sz="4" w:space="0"/>
              <w:right w:val="single" w:color="auto" w:sz="4" w:space="0"/>
            </w:tcBorders>
            <w:vAlign w:val="center"/>
          </w:tcPr>
          <w:p w14:paraId="1341A59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电子加密磋商响应文件的解密和异常情况处理</w:t>
            </w:r>
          </w:p>
        </w:tc>
        <w:tc>
          <w:tcPr>
            <w:tcW w:w="6865" w:type="dxa"/>
            <w:tcBorders>
              <w:top w:val="single" w:color="auto" w:sz="4" w:space="0"/>
              <w:left w:val="single" w:color="auto" w:sz="4" w:space="0"/>
              <w:bottom w:val="single" w:color="auto" w:sz="4" w:space="0"/>
              <w:right w:val="single" w:color="auto" w:sz="4" w:space="0"/>
            </w:tcBorders>
            <w:vAlign w:val="center"/>
          </w:tcPr>
          <w:p w14:paraId="7F0884CE">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（1）开标后，采购组织机构将向各供应商发出“电子加密磋商响应文件”的解密通知，各供应商代表应当在接到解密通知后30分钟内自行完成“电子加密磋商响应文件”的在线解密。</w:t>
            </w:r>
          </w:p>
          <w:p w14:paraId="3306E1A1">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1BA2B50E">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（3）磋商响应文件递交截止时间前，供应商仅递交了“备份磋商响应文件”而未将电子加密磋商响应文件上传至“政采云平台”的，投标无效。</w:t>
            </w:r>
          </w:p>
        </w:tc>
      </w:tr>
      <w:tr w14:paraId="040D38E4">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5A88E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932" w:type="dxa"/>
            <w:tcBorders>
              <w:top w:val="single" w:color="auto" w:sz="4" w:space="0"/>
              <w:left w:val="single" w:color="auto" w:sz="4" w:space="0"/>
              <w:bottom w:val="single" w:color="auto" w:sz="4" w:space="0"/>
              <w:right w:val="single" w:color="auto" w:sz="4" w:space="0"/>
            </w:tcBorders>
            <w:vAlign w:val="center"/>
          </w:tcPr>
          <w:p w14:paraId="3B5B314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磋商评审程序</w:t>
            </w:r>
          </w:p>
        </w:tc>
        <w:tc>
          <w:tcPr>
            <w:tcW w:w="6865" w:type="dxa"/>
            <w:tcBorders>
              <w:top w:val="single" w:color="auto" w:sz="4" w:space="0"/>
              <w:left w:val="single" w:color="auto" w:sz="4" w:space="0"/>
              <w:bottom w:val="single" w:color="auto" w:sz="4" w:space="0"/>
              <w:right w:val="single" w:color="auto" w:sz="4" w:space="0"/>
            </w:tcBorders>
            <w:vAlign w:val="center"/>
          </w:tcPr>
          <w:p w14:paraId="74F868C7">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1）磋商响应文件递交截止时间后，供应商登录政采云平台，用“项目采购-开标评标”功能对电子磋商响应文件进行在线解密。在线解密电子磋商文件时间为开标时间起</w:t>
            </w:r>
            <w:r>
              <w:rPr>
                <w:rFonts w:hint="eastAsia" w:ascii="宋体" w:hAnsi="宋体" w:eastAsia="宋体" w:cs="宋体"/>
                <w:b/>
                <w:bCs/>
                <w:color w:val="auto"/>
                <w:kern w:val="0"/>
                <w:sz w:val="21"/>
                <w:szCs w:val="21"/>
                <w:highlight w:val="none"/>
                <w:lang w:val="en-US" w:eastAsia="zh-CN"/>
              </w:rPr>
              <w:t>30分钟</w:t>
            </w:r>
            <w:r>
              <w:rPr>
                <w:rFonts w:hint="eastAsia" w:ascii="宋体" w:hAnsi="宋体" w:eastAsia="宋体" w:cs="宋体"/>
                <w:b/>
                <w:bCs/>
                <w:color w:val="auto"/>
                <w:kern w:val="0"/>
                <w:sz w:val="21"/>
                <w:szCs w:val="21"/>
                <w:highlight w:val="none"/>
              </w:rPr>
              <w:t>内</w:t>
            </w:r>
            <w:r>
              <w:rPr>
                <w:rFonts w:hint="eastAsia" w:ascii="宋体" w:hAnsi="宋体" w:eastAsia="宋体" w:cs="宋体"/>
                <w:color w:val="auto"/>
                <w:kern w:val="0"/>
                <w:sz w:val="21"/>
                <w:szCs w:val="21"/>
                <w:highlight w:val="none"/>
              </w:rPr>
              <w:t>；</w:t>
            </w:r>
          </w:p>
          <w:p w14:paraId="26E70567">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2）采购代理机构对供应商进行资格审查；</w:t>
            </w:r>
          </w:p>
          <w:p w14:paraId="124978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3）磋商小组对通过资格审查的磋商响应文件进行评分；</w:t>
            </w:r>
          </w:p>
          <w:p w14:paraId="34848029">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4）如有必要，磋商小组与供应商进行线上磋商；</w:t>
            </w:r>
          </w:p>
          <w:p w14:paraId="5512803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5）磋商小组要求供应商在规定的时间内在政采云平台提交二次（最终）报价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否则系统默认为供应商放弃投标</w:t>
            </w:r>
            <w:r>
              <w:rPr>
                <w:rFonts w:hint="eastAsia" w:ascii="宋体" w:hAnsi="宋体" w:eastAsia="宋体" w:cs="宋体"/>
                <w:color w:val="auto"/>
                <w:kern w:val="0"/>
                <w:sz w:val="21"/>
                <w:szCs w:val="21"/>
                <w:highlight w:val="none"/>
              </w:rPr>
              <w:t>；</w:t>
            </w:r>
          </w:p>
          <w:p w14:paraId="582E57D8">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6）在系统上公开资格审查、商务技术文件及报价文件评分结果；</w:t>
            </w:r>
          </w:p>
          <w:p w14:paraId="2073F3C0">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7）磋商小组编写磋商评审报告。</w:t>
            </w:r>
          </w:p>
          <w:p w14:paraId="417E6038">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说明：政采云公司如对电子化开标及评审程序有调整的，按调整后的程序操作。</w:t>
            </w:r>
          </w:p>
        </w:tc>
      </w:tr>
      <w:tr w14:paraId="3A85D05A">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6DB36B4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932" w:type="dxa"/>
            <w:tcBorders>
              <w:top w:val="single" w:color="auto" w:sz="4" w:space="0"/>
              <w:left w:val="single" w:color="auto" w:sz="4" w:space="0"/>
              <w:bottom w:val="single" w:color="auto" w:sz="4" w:space="0"/>
              <w:right w:val="single" w:color="auto" w:sz="4" w:space="0"/>
            </w:tcBorders>
            <w:vAlign w:val="center"/>
          </w:tcPr>
          <w:p w14:paraId="02FAE71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磋商小组的组建</w:t>
            </w:r>
          </w:p>
        </w:tc>
        <w:tc>
          <w:tcPr>
            <w:tcW w:w="6865" w:type="dxa"/>
            <w:tcBorders>
              <w:top w:val="single" w:color="auto" w:sz="4" w:space="0"/>
              <w:left w:val="single" w:color="auto" w:sz="4" w:space="0"/>
              <w:bottom w:val="single" w:color="auto" w:sz="4" w:space="0"/>
              <w:right w:val="single" w:color="auto" w:sz="4" w:space="0"/>
            </w:tcBorders>
            <w:vAlign w:val="center"/>
          </w:tcPr>
          <w:p w14:paraId="5698E39A">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磋商小组成员由采购人代表和有关技术、经济等方面的专家组成，采购人代表、有关技术、经济等方面的专家成员人数为3人及以上单数，</w:t>
            </w:r>
            <w:r>
              <w:rPr>
                <w:rFonts w:hint="eastAsia" w:ascii="宋体" w:hAnsi="宋体" w:eastAsia="宋体" w:cs="宋体"/>
                <w:bCs/>
                <w:color w:val="auto"/>
                <w:sz w:val="21"/>
                <w:szCs w:val="21"/>
                <w:highlight w:val="none"/>
              </w:rPr>
              <w:t>除采购人代表外的专家将在评标专家库中随机抽取产生。</w:t>
            </w:r>
          </w:p>
        </w:tc>
      </w:tr>
      <w:tr w14:paraId="604A481D">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50F8102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932" w:type="dxa"/>
            <w:tcBorders>
              <w:top w:val="single" w:color="auto" w:sz="4" w:space="0"/>
              <w:left w:val="single" w:color="auto" w:sz="4" w:space="0"/>
              <w:bottom w:val="single" w:color="auto" w:sz="4" w:space="0"/>
              <w:right w:val="single" w:color="auto" w:sz="4" w:space="0"/>
            </w:tcBorders>
            <w:vAlign w:val="center"/>
          </w:tcPr>
          <w:p w14:paraId="1C7E143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 件</w:t>
            </w:r>
          </w:p>
        </w:tc>
        <w:tc>
          <w:tcPr>
            <w:tcW w:w="6865" w:type="dxa"/>
            <w:tcBorders>
              <w:top w:val="single" w:color="auto" w:sz="4" w:space="0"/>
              <w:left w:val="single" w:color="auto" w:sz="4" w:space="0"/>
              <w:bottom w:val="single" w:color="auto" w:sz="4" w:space="0"/>
              <w:right w:val="single" w:color="auto" w:sz="4" w:space="0"/>
            </w:tcBorders>
            <w:vAlign w:val="center"/>
          </w:tcPr>
          <w:p w14:paraId="771E897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snapToGrid w:val="0"/>
                <w:color w:val="auto"/>
                <w:sz w:val="21"/>
                <w:szCs w:val="21"/>
                <w:highlight w:val="none"/>
              </w:rPr>
              <w:sym w:font="Wingdings" w:char="00FE"/>
            </w:r>
            <w:r>
              <w:rPr>
                <w:rFonts w:hint="eastAsia" w:ascii="宋体" w:hAnsi="宋体" w:eastAsia="宋体" w:cs="宋体"/>
                <w:color w:val="auto"/>
                <w:kern w:val="0"/>
                <w:sz w:val="21"/>
                <w:szCs w:val="21"/>
                <w:highlight w:val="none"/>
              </w:rPr>
              <w:t>不提交</w:t>
            </w:r>
          </w:p>
        </w:tc>
      </w:tr>
      <w:tr w14:paraId="5804DDF7">
        <w:tblPrEx>
          <w:tblCellMar>
            <w:top w:w="0" w:type="dxa"/>
            <w:left w:w="108" w:type="dxa"/>
            <w:bottom w:w="0" w:type="dxa"/>
            <w:right w:w="108" w:type="dxa"/>
          </w:tblCellMar>
        </w:tblPrEx>
        <w:trPr>
          <w:trHeight w:val="383" w:hRule="atLeast"/>
        </w:trPr>
        <w:tc>
          <w:tcPr>
            <w:tcW w:w="667" w:type="dxa"/>
            <w:tcBorders>
              <w:top w:val="single" w:color="auto" w:sz="4" w:space="0"/>
              <w:left w:val="single" w:color="auto" w:sz="4" w:space="0"/>
              <w:bottom w:val="single" w:color="auto" w:sz="4" w:space="0"/>
              <w:right w:val="single" w:color="auto" w:sz="4" w:space="0"/>
            </w:tcBorders>
            <w:vAlign w:val="center"/>
          </w:tcPr>
          <w:p w14:paraId="75A481F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932" w:type="dxa"/>
            <w:tcBorders>
              <w:top w:val="single" w:color="auto" w:sz="4" w:space="0"/>
              <w:left w:val="single" w:color="auto" w:sz="4" w:space="0"/>
              <w:bottom w:val="single" w:color="auto" w:sz="4" w:space="0"/>
              <w:right w:val="single" w:color="auto" w:sz="4" w:space="0"/>
            </w:tcBorders>
            <w:vAlign w:val="center"/>
          </w:tcPr>
          <w:p w14:paraId="44BF1E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6865" w:type="dxa"/>
            <w:tcBorders>
              <w:top w:val="single" w:color="auto" w:sz="4" w:space="0"/>
              <w:left w:val="single" w:color="auto" w:sz="4" w:space="0"/>
              <w:bottom w:val="single" w:color="auto" w:sz="4" w:space="0"/>
              <w:right w:val="single" w:color="auto" w:sz="4" w:space="0"/>
            </w:tcBorders>
            <w:vAlign w:val="center"/>
          </w:tcPr>
          <w:p w14:paraId="33F1E764">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不要求</w:t>
            </w:r>
          </w:p>
        </w:tc>
      </w:tr>
      <w:tr w14:paraId="06BC8F0A">
        <w:tblPrEx>
          <w:tblCellMar>
            <w:top w:w="0" w:type="dxa"/>
            <w:left w:w="108" w:type="dxa"/>
            <w:bottom w:w="0" w:type="dxa"/>
            <w:right w:w="108" w:type="dxa"/>
          </w:tblCellMar>
        </w:tblPrEx>
        <w:trPr>
          <w:trHeight w:val="415" w:hRule="atLeast"/>
        </w:trPr>
        <w:tc>
          <w:tcPr>
            <w:tcW w:w="667" w:type="dxa"/>
            <w:tcBorders>
              <w:top w:val="single" w:color="auto" w:sz="4" w:space="0"/>
              <w:left w:val="single" w:color="auto" w:sz="4" w:space="0"/>
              <w:bottom w:val="single" w:color="auto" w:sz="4" w:space="0"/>
              <w:right w:val="single" w:color="auto" w:sz="4" w:space="0"/>
            </w:tcBorders>
            <w:vAlign w:val="center"/>
          </w:tcPr>
          <w:p w14:paraId="66DF07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932" w:type="dxa"/>
            <w:tcBorders>
              <w:top w:val="single" w:color="auto" w:sz="4" w:space="0"/>
              <w:left w:val="single" w:color="auto" w:sz="4" w:space="0"/>
              <w:bottom w:val="single" w:color="auto" w:sz="4" w:space="0"/>
              <w:right w:val="single" w:color="auto" w:sz="4" w:space="0"/>
            </w:tcBorders>
            <w:vAlign w:val="center"/>
          </w:tcPr>
          <w:p w14:paraId="47B2ED2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w:t>
            </w:r>
          </w:p>
          <w:p w14:paraId="0CE1DE94">
            <w:pPr>
              <w:pStyle w:val="22"/>
              <w:keepNext w:val="0"/>
              <w:keepLines w:val="0"/>
              <w:suppressLineNumbers w:val="0"/>
              <w:spacing w:before="0" w:beforeAutospacing="0" w:afterAutospacing="0" w:line="240" w:lineRule="auto"/>
              <w:ind w:left="0" w:right="0" w:firstLine="214" w:firstLineChars="10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本项目扶持中小企业（监狱企业、残疾人福利性单位）有关政策</w:t>
            </w:r>
          </w:p>
        </w:tc>
        <w:tc>
          <w:tcPr>
            <w:tcW w:w="6865" w:type="dxa"/>
            <w:tcBorders>
              <w:top w:val="single" w:color="auto" w:sz="4" w:space="0"/>
              <w:left w:val="single" w:color="auto" w:sz="4" w:space="0"/>
              <w:bottom w:val="single" w:color="auto" w:sz="4" w:space="0"/>
              <w:right w:val="single" w:color="auto" w:sz="4" w:space="0"/>
            </w:tcBorders>
            <w:vAlign w:val="center"/>
          </w:tcPr>
          <w:p w14:paraId="71A5B5DB">
            <w:pPr>
              <w:keepNext w:val="0"/>
              <w:keepLines w:val="0"/>
              <w:suppressLineNumbers w:val="0"/>
              <w:adjustRightInd w:val="0"/>
              <w:spacing w:before="0" w:beforeAutospacing="0" w:after="0" w:afterAutospacing="0" w:line="24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本采购项目类别：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货物  </w:t>
            </w: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 服务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工程</w:t>
            </w:r>
          </w:p>
          <w:p w14:paraId="4A4ED9D9">
            <w:pPr>
              <w:keepNext w:val="0"/>
              <w:keepLines w:val="0"/>
              <w:suppressLineNumbers w:val="0"/>
              <w:adjustRightInd w:val="0"/>
              <w:spacing w:before="0" w:beforeAutospacing="0" w:after="0" w:afterAutospacing="0" w:line="24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扶持中小企业（监狱企业、残疾人福利性单位）： </w:t>
            </w:r>
          </w:p>
          <w:p w14:paraId="2027F1CF">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根据工信部等部委发布的《关于印发中小企业划型标准规定的通知》（工信部联企业〔2011〕300号）。</w:t>
            </w:r>
          </w:p>
          <w:p w14:paraId="13981A88">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根据财政部发布的《政府采购促进中小企业发展管理办法》财库（2020）46号的相关规定：</w:t>
            </w:r>
          </w:p>
          <w:p w14:paraId="64226689">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财政部关于进一步加大政府采购支持中小企业力度的通知（财库〔2022〕19号）的相关规定；</w:t>
            </w:r>
          </w:p>
          <w:p w14:paraId="0237B6E8">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根据财库〔2017〕141号的相关规定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在政府采购活动中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残疾人福利性单位视同小型、微型企业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享受评审中价格扣除政策。属于享受政府采购支持政策的残疾人福利性单位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应满足财库〔2017〕141号文件第一条的规定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并在响应文件中提供残疾人福利性单位声明函。</w:t>
            </w:r>
          </w:p>
          <w:p w14:paraId="45CF110E">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根据财库〔2014〕68号的相关规定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在政府采购活动中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监狱企业视同小型、微型企业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享受评审中价格扣除政策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并在响应文件中提供由省级以上监狱管理局、戒毒管理局（含新疆生产建设兵团）出具的属于监狱企业的证明文件。</w:t>
            </w:r>
          </w:p>
          <w:p w14:paraId="6EC7A4C6">
            <w:pPr>
              <w:keepNext w:val="0"/>
              <w:keepLines w:val="0"/>
              <w:suppressLineNumbers w:val="0"/>
              <w:spacing w:before="0" w:beforeAutospacing="0" w:after="0" w:afterAutospacing="0" w:line="240" w:lineRule="auto"/>
              <w:ind w:left="0" w:right="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lang w:val="en-US" w:eastAsia="zh-CN"/>
              </w:rPr>
              <w:t>6</w:t>
            </w:r>
            <w:r>
              <w:rPr>
                <w:rFonts w:hint="eastAsia" w:ascii="宋体" w:hAnsi="宋体" w:eastAsia="宋体" w:cs="宋体"/>
                <w:bCs/>
                <w:color w:val="auto"/>
                <w:szCs w:val="21"/>
                <w:highlight w:val="none"/>
                <w:lang w:val="en-US" w:eastAsia="zh-CN"/>
              </w:rPr>
              <w:t>.</w:t>
            </w:r>
            <w:r>
              <w:rPr>
                <w:rFonts w:hint="eastAsia" w:ascii="宋体" w:hAnsi="宋体" w:eastAsia="宋体" w:cs="宋体"/>
                <w:b/>
                <w:color w:val="auto"/>
                <w:szCs w:val="21"/>
                <w:highlight w:val="none"/>
              </w:rPr>
              <w:t>本项目专门面向中小企业采购</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en-US" w:eastAsia="zh-CN"/>
              </w:rPr>
              <w:t>如</w:t>
            </w:r>
            <w:r>
              <w:rPr>
                <w:rFonts w:hint="eastAsia" w:ascii="宋体" w:hAnsi="宋体" w:eastAsia="宋体" w:cs="宋体"/>
                <w:b/>
                <w:color w:val="auto"/>
                <w:szCs w:val="21"/>
                <w:highlight w:val="none"/>
              </w:rPr>
              <w:t>为监狱企业或残疾人福利性单位</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视为中小企业；不再执行价格评审优惠的扶持政策</w:t>
            </w:r>
            <w:r>
              <w:rPr>
                <w:rFonts w:hint="eastAsia" w:ascii="宋体" w:hAnsi="宋体" w:eastAsia="宋体" w:cs="宋体"/>
                <w:bCs/>
                <w:color w:val="auto"/>
                <w:szCs w:val="21"/>
                <w:highlight w:val="none"/>
              </w:rPr>
              <w:t>。</w:t>
            </w:r>
          </w:p>
          <w:p w14:paraId="140B6F13">
            <w:pPr>
              <w:keepNext w:val="0"/>
              <w:keepLines w:val="0"/>
              <w:suppressLineNumbers w:val="0"/>
              <w:adjustRightInd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本项目</w:t>
            </w:r>
            <w:r>
              <w:rPr>
                <w:rFonts w:hint="eastAsia" w:ascii="宋体" w:hAnsi="宋体" w:eastAsia="宋体" w:cs="宋体"/>
                <w:b/>
                <w:color w:val="auto"/>
                <w:szCs w:val="21"/>
                <w:highlight w:val="none"/>
                <w:lang w:val="en-US" w:eastAsia="zh-CN"/>
              </w:rPr>
              <w:t>未</w:t>
            </w:r>
            <w:r>
              <w:rPr>
                <w:rFonts w:hint="eastAsia" w:ascii="宋体" w:hAnsi="宋体" w:eastAsia="宋体" w:cs="宋体"/>
                <w:b/>
                <w:color w:val="auto"/>
                <w:szCs w:val="21"/>
                <w:highlight w:val="none"/>
              </w:rPr>
              <w:t>专门面向中小企业采购</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en-US" w:eastAsia="zh-CN"/>
              </w:rPr>
              <w:t>如</w:t>
            </w:r>
            <w:r>
              <w:rPr>
                <w:rFonts w:hint="eastAsia" w:ascii="宋体" w:hAnsi="宋体" w:eastAsia="宋体" w:cs="宋体"/>
                <w:b/>
                <w:color w:val="auto"/>
                <w:szCs w:val="21"/>
                <w:highlight w:val="none"/>
              </w:rPr>
              <w:t>为监狱企业或残疾人福利性单位</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视为中小企业；</w:t>
            </w:r>
            <w:r>
              <w:rPr>
                <w:rFonts w:hint="eastAsia" w:ascii="宋体" w:hAnsi="宋体" w:eastAsia="宋体" w:cs="宋体"/>
                <w:b/>
                <w:color w:val="auto"/>
                <w:szCs w:val="21"/>
                <w:highlight w:val="none"/>
                <w:lang w:val="en-US" w:eastAsia="zh-CN"/>
              </w:rPr>
              <w:t>投标供应商的投标报价按以下规定扣除评审</w:t>
            </w:r>
            <w:r>
              <w:rPr>
                <w:rFonts w:hint="eastAsia" w:ascii="宋体" w:hAnsi="宋体" w:eastAsia="宋体" w:cs="宋体"/>
                <w:color w:val="auto"/>
                <w:szCs w:val="21"/>
                <w:highlight w:val="none"/>
              </w:rPr>
              <w:t>：</w:t>
            </w:r>
          </w:p>
          <w:p w14:paraId="68101BA0">
            <w:pPr>
              <w:keepNext w:val="0"/>
              <w:keepLines w:val="0"/>
              <w:suppressLineNumbers w:val="0"/>
              <w:adjustRightInd w:val="0"/>
              <w:spacing w:before="0" w:beforeAutospacing="0" w:after="0" w:afterAutospacing="0" w:line="240" w:lineRule="auto"/>
              <w:ind w:left="0" w:right="0" w:firstLine="214"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b/>
                <w:bCs/>
                <w:color w:val="auto"/>
                <w:szCs w:val="21"/>
                <w:highlight w:val="none"/>
              </w:rPr>
              <w:t>货物、服务类项目：</w:t>
            </w:r>
            <w:r>
              <w:rPr>
                <w:rFonts w:hint="eastAsia" w:ascii="宋体" w:hAnsi="宋体" w:eastAsia="宋体" w:cs="宋体"/>
                <w:color w:val="auto"/>
                <w:szCs w:val="21"/>
                <w:highlight w:val="none"/>
              </w:rPr>
              <w:t>对于未预留份额专门面向中小企业的政府采购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以及预留份额政府采购服务项目中的非预留部分标项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在评审时对符合规定的小微企业报价原则上按最高优惠幅度</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给予扣除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用扣除后的价格参加评审；接受大中型企业与小微企业组成联合体或者允许大中型企业向一家或者多家小微企业分包的政府采购货物或服务项目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对于联合协议或者分包意向协议约定小微企业的合同份额占到合同总金额30%以上的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采购单位、采购代理机构应结合项目实际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对联合体或者大中型企业的报价原则上按最高优惠幅度</w:t>
            </w:r>
            <w:r>
              <w:rPr>
                <w:rFonts w:hint="eastAsia" w:ascii="宋体" w:hAnsi="宋体" w:eastAsia="宋体" w:cs="宋体"/>
                <w:b/>
                <w:bCs/>
                <w:color w:val="auto"/>
                <w:szCs w:val="21"/>
                <w:highlight w:val="none"/>
              </w:rPr>
              <w:t>4%给予扣除（仅适用于接受联合体投标或分包小微企业的）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w:t>
            </w:r>
          </w:p>
          <w:p w14:paraId="71966FBE">
            <w:pPr>
              <w:keepNext w:val="0"/>
              <w:keepLines w:val="0"/>
              <w:suppressLineNumbers w:val="0"/>
              <w:adjustRightInd w:val="0"/>
              <w:spacing w:before="0" w:beforeAutospacing="0" w:after="0" w:afterAutospacing="0" w:line="240" w:lineRule="auto"/>
              <w:ind w:left="0" w:right="0" w:firstLine="214"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b/>
                <w:bCs/>
                <w:color w:val="auto"/>
                <w:szCs w:val="21"/>
                <w:highlight w:val="none"/>
              </w:rPr>
              <w:t>工程类项目</w:t>
            </w:r>
            <w:r>
              <w:rPr>
                <w:rFonts w:hint="eastAsia" w:ascii="宋体" w:hAnsi="宋体" w:eastAsia="宋体" w:cs="宋体"/>
                <w:color w:val="auto"/>
                <w:szCs w:val="21"/>
                <w:highlight w:val="none"/>
              </w:rPr>
              <w:t>：对于未预留份额专门面向中小企业的政府采购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以及预留份额政府采购服务项目中的非预留部分标项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采购人、采购代理机构应当对符合本办法规定的小微企业报价给予 </w:t>
            </w:r>
            <w:r>
              <w:rPr>
                <w:rFonts w:hint="eastAsia" w:ascii="宋体" w:hAnsi="宋体" w:eastAsia="宋体" w:cs="宋体"/>
                <w:b/>
                <w:bCs/>
                <w:color w:val="auto"/>
                <w:szCs w:val="21"/>
                <w:highlight w:val="none"/>
              </w:rPr>
              <w:t>3%的扣除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w:t>
            </w:r>
          </w:p>
          <w:p w14:paraId="40539344">
            <w:pPr>
              <w:keepNext w:val="0"/>
              <w:keepLines w:val="0"/>
              <w:suppressLineNumbers w:val="0"/>
              <w:adjustRightInd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tc>
      </w:tr>
      <w:tr w14:paraId="2C36C346">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3CBF7E0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932" w:type="dxa"/>
            <w:tcBorders>
              <w:top w:val="single" w:color="auto" w:sz="4" w:space="0"/>
              <w:left w:val="single" w:color="auto" w:sz="4" w:space="0"/>
              <w:bottom w:val="single" w:color="auto" w:sz="4" w:space="0"/>
              <w:right w:val="single" w:color="auto" w:sz="4" w:space="0"/>
            </w:tcBorders>
            <w:vAlign w:val="center"/>
          </w:tcPr>
          <w:p w14:paraId="4EA0A28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rPr>
              <w:t>▲供应商信用查询</w:t>
            </w:r>
          </w:p>
        </w:tc>
        <w:tc>
          <w:tcPr>
            <w:tcW w:w="6865" w:type="dxa"/>
            <w:tcBorders>
              <w:top w:val="single" w:color="auto" w:sz="4" w:space="0"/>
              <w:left w:val="single" w:color="auto" w:sz="4" w:space="0"/>
              <w:bottom w:val="single" w:color="auto" w:sz="4" w:space="0"/>
              <w:right w:val="single" w:color="auto" w:sz="4" w:space="0"/>
            </w:tcBorders>
            <w:vAlign w:val="center"/>
          </w:tcPr>
          <w:p w14:paraId="371400B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（1）供应商信用信息查询的查询渠道：“信用中国”(https：//www.creditchina.gov.cn/)；“中国政府采购网”（http://www.ccgp.gov.cn/）；</w:t>
            </w:r>
          </w:p>
          <w:p w14:paraId="587E5D1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（2）供应商信用信息查询截止时点：本项目投标响应文件递交截止时间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最终由采购代理机构现场查询为准</w:t>
            </w:r>
            <w:r>
              <w:rPr>
                <w:rFonts w:hint="eastAsia" w:ascii="宋体" w:hAnsi="宋体" w:eastAsia="宋体" w:cs="宋体"/>
                <w:color w:val="auto"/>
                <w:szCs w:val="21"/>
                <w:highlight w:val="none"/>
              </w:rPr>
              <w:t>。</w:t>
            </w:r>
          </w:p>
          <w:p w14:paraId="0CC4C4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（3）供应商信用信息查询记录和证据留存的具体方式：网页截图打印；</w:t>
            </w:r>
          </w:p>
          <w:p w14:paraId="59ACF71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w:t>
            </w:r>
          </w:p>
          <w:p w14:paraId="7848AA15">
            <w:pPr>
              <w:keepNext w:val="0"/>
              <w:keepLines w:val="0"/>
              <w:suppressLineNumbers w:val="0"/>
              <w:spacing w:before="0" w:beforeAutospacing="0" w:after="0" w:afterAutospacing="0" w:line="240" w:lineRule="auto"/>
              <w:ind w:left="0" w:right="0"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①在“信用中国”：被列入</w:t>
            </w:r>
            <w:r>
              <w:rPr>
                <w:rFonts w:hint="eastAsia" w:ascii="宋体" w:hAnsi="宋体" w:eastAsia="宋体" w:cs="宋体"/>
                <w:color w:val="auto"/>
                <w:kern w:val="0"/>
                <w:szCs w:val="21"/>
                <w:highlight w:val="none"/>
              </w:rPr>
              <w:t>失信被执行人名单、税收违法黑名单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w:t>
            </w:r>
            <w:r>
              <w:rPr>
                <w:rFonts w:hint="eastAsia" w:ascii="宋体" w:hAnsi="宋体" w:eastAsia="宋体" w:cs="宋体"/>
                <w:color w:val="auto"/>
                <w:kern w:val="0"/>
                <w:szCs w:val="21"/>
                <w:highlight w:val="none"/>
                <w:lang w:val="en-US" w:eastAsia="zh-CN"/>
              </w:rPr>
              <w:t>政府</w:t>
            </w:r>
            <w:r>
              <w:rPr>
                <w:rFonts w:hint="eastAsia" w:ascii="宋体" w:hAnsi="宋体" w:eastAsia="宋体" w:cs="宋体"/>
                <w:color w:val="auto"/>
                <w:kern w:val="0"/>
                <w:szCs w:val="21"/>
                <w:highlight w:val="none"/>
              </w:rPr>
              <w:t>采购活动</w:t>
            </w:r>
            <w:r>
              <w:rPr>
                <w:rFonts w:hint="eastAsia" w:ascii="宋体" w:hAnsi="宋体" w:eastAsia="宋体" w:cs="宋体"/>
                <w:color w:val="auto"/>
                <w:szCs w:val="21"/>
                <w:highlight w:val="none"/>
              </w:rPr>
              <w:t>；</w:t>
            </w:r>
          </w:p>
          <w:p w14:paraId="29ADAD65">
            <w:pPr>
              <w:keepNext w:val="0"/>
              <w:keepLines w:val="0"/>
              <w:suppressLineNumbers w:val="0"/>
              <w:spacing w:before="0" w:beforeAutospacing="0" w:after="0" w:afterAutospacing="0" w:line="240" w:lineRule="auto"/>
              <w:ind w:left="0" w:right="0"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②在“中国政府采购网”：被列入</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将拒绝其参与本次政府采购活动</w:t>
            </w:r>
            <w:r>
              <w:rPr>
                <w:rFonts w:hint="eastAsia" w:ascii="宋体" w:hAnsi="宋体" w:eastAsia="宋体" w:cs="宋体"/>
                <w:color w:val="auto"/>
                <w:szCs w:val="21"/>
                <w:highlight w:val="none"/>
              </w:rPr>
              <w:t>。</w:t>
            </w:r>
          </w:p>
          <w:p w14:paraId="106181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（5）投标供应商具有以上第（4）点所述信息记录的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其投标按废标处理。</w:t>
            </w:r>
          </w:p>
        </w:tc>
      </w:tr>
      <w:tr w14:paraId="65CC931E">
        <w:tblPrEx>
          <w:tblCellMar>
            <w:top w:w="0" w:type="dxa"/>
            <w:left w:w="108" w:type="dxa"/>
            <w:bottom w:w="0" w:type="dxa"/>
            <w:right w:w="108" w:type="dxa"/>
          </w:tblCellMar>
        </w:tblPrEx>
        <w:trPr>
          <w:trHeight w:val="1195" w:hRule="atLeast"/>
        </w:trPr>
        <w:tc>
          <w:tcPr>
            <w:tcW w:w="667" w:type="dxa"/>
            <w:tcBorders>
              <w:top w:val="single" w:color="auto" w:sz="4" w:space="0"/>
              <w:left w:val="single" w:color="auto" w:sz="4" w:space="0"/>
              <w:bottom w:val="single" w:color="auto" w:sz="4" w:space="0"/>
              <w:right w:val="single" w:color="auto" w:sz="4" w:space="0"/>
            </w:tcBorders>
            <w:vAlign w:val="center"/>
          </w:tcPr>
          <w:p w14:paraId="5581864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932" w:type="dxa"/>
            <w:tcBorders>
              <w:top w:val="single" w:color="auto" w:sz="4" w:space="0"/>
              <w:left w:val="single" w:color="auto" w:sz="4" w:space="0"/>
              <w:bottom w:val="single" w:color="auto" w:sz="4" w:space="0"/>
              <w:right w:val="single" w:color="auto" w:sz="4" w:space="0"/>
            </w:tcBorders>
            <w:vAlign w:val="center"/>
          </w:tcPr>
          <w:p w14:paraId="045E8D0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合同备案</w:t>
            </w:r>
          </w:p>
        </w:tc>
        <w:tc>
          <w:tcPr>
            <w:tcW w:w="6865" w:type="dxa"/>
            <w:tcBorders>
              <w:top w:val="single" w:color="auto" w:sz="4" w:space="0"/>
              <w:left w:val="single" w:color="auto" w:sz="4" w:space="0"/>
              <w:bottom w:val="single" w:color="auto" w:sz="4" w:space="0"/>
              <w:right w:val="single" w:color="auto" w:sz="4" w:space="0"/>
            </w:tcBorders>
            <w:vAlign w:val="center"/>
          </w:tcPr>
          <w:p w14:paraId="3B3B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（1）中标人应当自中标通知书发出之日起30日内，按照招标文件和中标人投标文件的规定，与采购人签订书面合同。所签订的合同不得对招标文件确定的事项和中标人投标文件作实质性修改。</w:t>
            </w:r>
          </w:p>
          <w:p w14:paraId="459BE575">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（2）成交供应商与采购人签订合同后，2</w:t>
            </w:r>
            <w:r>
              <w:rPr>
                <w:rFonts w:hint="eastAsia" w:ascii="宋体" w:hAnsi="宋体" w:eastAsia="宋体" w:cs="宋体"/>
                <w:color w:val="auto"/>
                <w:sz w:val="21"/>
                <w:szCs w:val="21"/>
                <w:highlight w:val="none"/>
                <w:lang w:val="en-US" w:eastAsia="zh-CN"/>
              </w:rPr>
              <w:t>工作日</w:t>
            </w:r>
            <w:r>
              <w:rPr>
                <w:rFonts w:hint="eastAsia" w:ascii="宋体" w:hAnsi="宋体" w:eastAsia="宋体" w:cs="宋体"/>
                <w:color w:val="auto"/>
                <w:sz w:val="21"/>
                <w:szCs w:val="21"/>
                <w:highlight w:val="none"/>
              </w:rPr>
              <w:t>内将合同扫描件电子版发给采购代理机构：邮箱：</w:t>
            </w:r>
            <w:r>
              <w:rPr>
                <w:rFonts w:hint="eastAsia" w:ascii="宋体" w:hAnsi="宋体" w:eastAsia="宋体" w:cs="宋体"/>
                <w:b/>
                <w:color w:val="auto"/>
                <w:sz w:val="21"/>
                <w:szCs w:val="21"/>
                <w:highlight w:val="none"/>
                <w:u w:val="single"/>
                <w:lang w:eastAsia="zh-CN"/>
              </w:rPr>
              <w:t>243995196</w:t>
            </w:r>
            <w:r>
              <w:rPr>
                <w:rFonts w:hint="eastAsia" w:ascii="宋体" w:hAnsi="宋体" w:eastAsia="宋体" w:cs="宋体"/>
                <w:b/>
                <w:color w:val="auto"/>
                <w:sz w:val="21"/>
                <w:szCs w:val="21"/>
                <w:highlight w:val="none"/>
                <w:u w:val="single"/>
              </w:rPr>
              <w:t>@qq.com</w:t>
            </w:r>
            <w:r>
              <w:rPr>
                <w:rFonts w:hint="eastAsia" w:ascii="宋体" w:hAnsi="宋体" w:eastAsia="宋体" w:cs="宋体"/>
                <w:color w:val="auto"/>
                <w:sz w:val="21"/>
                <w:szCs w:val="21"/>
                <w:highlight w:val="none"/>
              </w:rPr>
              <w:t>。</w:t>
            </w:r>
          </w:p>
        </w:tc>
      </w:tr>
      <w:tr w14:paraId="24A90A69">
        <w:tblPrEx>
          <w:tblCellMar>
            <w:top w:w="0" w:type="dxa"/>
            <w:left w:w="108" w:type="dxa"/>
            <w:bottom w:w="0" w:type="dxa"/>
            <w:right w:w="108" w:type="dxa"/>
          </w:tblCellMar>
        </w:tblPrEx>
        <w:trPr>
          <w:trHeight w:val="966" w:hRule="atLeast"/>
        </w:trPr>
        <w:tc>
          <w:tcPr>
            <w:tcW w:w="667" w:type="dxa"/>
            <w:tcBorders>
              <w:top w:val="single" w:color="auto" w:sz="4" w:space="0"/>
              <w:left w:val="single" w:color="auto" w:sz="4" w:space="0"/>
              <w:bottom w:val="single" w:color="auto" w:sz="4" w:space="0"/>
              <w:right w:val="single" w:color="auto" w:sz="4" w:space="0"/>
            </w:tcBorders>
            <w:vAlign w:val="center"/>
          </w:tcPr>
          <w:p w14:paraId="70891B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932" w:type="dxa"/>
            <w:tcBorders>
              <w:top w:val="single" w:color="auto" w:sz="4" w:space="0"/>
              <w:left w:val="single" w:color="auto" w:sz="4" w:space="0"/>
              <w:bottom w:val="single" w:color="auto" w:sz="4" w:space="0"/>
              <w:right w:val="single" w:color="auto" w:sz="4" w:space="0"/>
            </w:tcBorders>
            <w:vAlign w:val="center"/>
          </w:tcPr>
          <w:p w14:paraId="5F5BA267">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合同履约管理</w:t>
            </w:r>
          </w:p>
        </w:tc>
        <w:tc>
          <w:tcPr>
            <w:tcW w:w="6865" w:type="dxa"/>
            <w:tcBorders>
              <w:top w:val="single" w:color="auto" w:sz="4" w:space="0"/>
              <w:left w:val="single" w:color="auto" w:sz="4" w:space="0"/>
              <w:bottom w:val="single" w:color="auto" w:sz="4" w:space="0"/>
              <w:right w:val="single" w:color="auto" w:sz="4" w:space="0"/>
            </w:tcBorders>
            <w:vAlign w:val="center"/>
          </w:tcPr>
          <w:p w14:paraId="177A9DAE">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FAC5592">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14:paraId="6BA1D29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932" w:type="dxa"/>
            <w:tcBorders>
              <w:top w:val="single" w:color="auto" w:sz="4" w:space="0"/>
              <w:left w:val="single" w:color="auto" w:sz="4" w:space="0"/>
              <w:bottom w:val="single" w:color="auto" w:sz="4" w:space="0"/>
              <w:right w:val="single" w:color="auto" w:sz="4" w:space="0"/>
            </w:tcBorders>
            <w:vAlign w:val="center"/>
          </w:tcPr>
          <w:p w14:paraId="4010891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865" w:type="dxa"/>
            <w:tcBorders>
              <w:top w:val="single" w:color="auto" w:sz="4" w:space="0"/>
              <w:left w:val="single" w:color="auto" w:sz="4" w:space="0"/>
              <w:bottom w:val="single" w:color="auto" w:sz="4" w:space="0"/>
              <w:right w:val="single" w:color="auto" w:sz="4" w:space="0"/>
            </w:tcBorders>
            <w:vAlign w:val="center"/>
          </w:tcPr>
          <w:p w14:paraId="368F837E">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1CC4F71">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14:paraId="1576BFC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932" w:type="dxa"/>
            <w:tcBorders>
              <w:top w:val="single" w:color="auto" w:sz="4" w:space="0"/>
              <w:left w:val="single" w:color="auto" w:sz="4" w:space="0"/>
              <w:bottom w:val="single" w:color="auto" w:sz="4" w:space="0"/>
              <w:right w:val="single" w:color="auto" w:sz="4" w:space="0"/>
            </w:tcBorders>
            <w:vAlign w:val="center"/>
          </w:tcPr>
          <w:p w14:paraId="2BB872C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采购代理服务费</w:t>
            </w:r>
          </w:p>
        </w:tc>
        <w:tc>
          <w:tcPr>
            <w:tcW w:w="6865" w:type="dxa"/>
            <w:tcBorders>
              <w:top w:val="single" w:color="auto" w:sz="4" w:space="0"/>
              <w:left w:val="single" w:color="auto" w:sz="4" w:space="0"/>
              <w:bottom w:val="single" w:color="auto" w:sz="4" w:space="0"/>
              <w:right w:val="single" w:color="auto" w:sz="4" w:space="0"/>
            </w:tcBorders>
            <w:vAlign w:val="center"/>
          </w:tcPr>
          <w:p w14:paraId="2885BD5C">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采购代理服务费：</w:t>
            </w:r>
            <w:r>
              <w:rPr>
                <w:rFonts w:hint="eastAsia" w:ascii="宋体" w:hAnsi="宋体" w:eastAsia="宋体" w:cs="宋体"/>
                <w:color w:val="auto"/>
                <w:sz w:val="21"/>
                <w:szCs w:val="21"/>
                <w:highlight w:val="none"/>
              </w:rPr>
              <w:t>本次采购代理服务费</w:t>
            </w:r>
            <w:r>
              <w:rPr>
                <w:rFonts w:hint="eastAsia" w:ascii="宋体" w:hAnsi="宋体" w:eastAsia="宋体" w:cs="宋体"/>
                <w:color w:val="auto"/>
                <w:sz w:val="21"/>
                <w:szCs w:val="21"/>
                <w:highlight w:val="none"/>
                <w:lang w:val="en-US" w:eastAsia="zh-CN"/>
              </w:rPr>
              <w:t>参考</w:t>
            </w:r>
            <w:r>
              <w:rPr>
                <w:rFonts w:hint="eastAsia" w:ascii="宋体" w:hAnsi="宋体" w:eastAsia="宋体" w:cs="宋体"/>
                <w:color w:val="auto"/>
                <w:sz w:val="21"/>
                <w:szCs w:val="21"/>
                <w:highlight w:val="none"/>
              </w:rPr>
              <w:t>《采购代理服务收费管理暂行办法》计价格[2002]1980号文件服务类</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70%计取</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保底收费4515元收取</w:t>
            </w:r>
            <w:r>
              <w:rPr>
                <w:rFonts w:hint="eastAsia" w:ascii="宋体" w:hAnsi="宋体" w:eastAsia="宋体" w:cs="宋体"/>
                <w:b/>
                <w:color w:val="auto"/>
                <w:sz w:val="21"/>
                <w:szCs w:val="21"/>
                <w:highlight w:val="none"/>
                <w:lang w:eastAsia="zh-CN"/>
              </w:rPr>
              <w:t>，</w:t>
            </w:r>
            <w:r>
              <w:rPr>
                <w:rFonts w:hint="eastAsia" w:ascii="宋体" w:hAnsi="宋体" w:eastAsia="宋体" w:cs="宋体"/>
                <w:bCs/>
                <w:color w:val="auto"/>
                <w:sz w:val="21"/>
                <w:szCs w:val="21"/>
                <w:highlight w:val="none"/>
              </w:rPr>
              <w:t>投标人在投标报价中综合考虑采购代理服务费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须计入投标报价中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无需</w:t>
            </w:r>
            <w:r>
              <w:rPr>
                <w:rFonts w:hint="eastAsia" w:ascii="宋体" w:hAnsi="宋体" w:eastAsia="宋体" w:cs="宋体"/>
                <w:color w:val="auto"/>
                <w:kern w:val="0"/>
                <w:sz w:val="21"/>
                <w:szCs w:val="21"/>
                <w:highlight w:val="none"/>
              </w:rPr>
              <w:t>单独列报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包含在总报价中即可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由中标单位在领取中标通知书时支付给招标代理机构</w:t>
            </w:r>
            <w:r>
              <w:rPr>
                <w:rFonts w:hint="eastAsia" w:ascii="宋体" w:hAnsi="宋体" w:eastAsia="宋体" w:cs="宋体"/>
                <w:bCs/>
                <w:color w:val="auto"/>
                <w:sz w:val="21"/>
                <w:szCs w:val="21"/>
                <w:highlight w:val="none"/>
              </w:rPr>
              <w:t>。</w:t>
            </w:r>
          </w:p>
          <w:p w14:paraId="6C2A9F54">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①采购代理服务费可以是现金、支票或汇票。</w:t>
            </w:r>
          </w:p>
          <w:p w14:paraId="54E65547">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②单位名称：温州市方略工程项目管理有限公司</w:t>
            </w:r>
          </w:p>
          <w:p w14:paraId="2F3CBF91">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开户银行：浙江温州龙湾农商银行高新支行科技城分理处</w:t>
            </w:r>
          </w:p>
          <w:p w14:paraId="62D3F739">
            <w:pPr>
              <w:keepNext w:val="0"/>
              <w:keepLines w:val="0"/>
              <w:suppressLineNumbers w:val="0"/>
              <w:spacing w:before="0" w:beforeAutospacing="0" w:after="0" w:afterAutospacing="0" w:line="240" w:lineRule="auto"/>
              <w:ind w:left="0" w:right="0"/>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rPr>
              <w:t>银行账户：</w:t>
            </w:r>
            <w:r>
              <w:rPr>
                <w:rFonts w:hint="eastAsia" w:ascii="宋体" w:hAnsi="宋体" w:eastAsia="宋体" w:cs="宋体"/>
                <w:color w:val="auto"/>
                <w:sz w:val="21"/>
                <w:szCs w:val="21"/>
                <w:highlight w:val="none"/>
              </w:rPr>
              <w:t>201000253866144</w:t>
            </w:r>
          </w:p>
        </w:tc>
      </w:tr>
      <w:tr w14:paraId="08CE26CF">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14:paraId="205E35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14:paraId="278E283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highlight w:val="none"/>
              </w:rPr>
              <w:t>其他注意事项</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14:paraId="343E331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如有询标及</w:t>
            </w:r>
            <w:r>
              <w:rPr>
                <w:rFonts w:hint="eastAsia" w:ascii="宋体" w:hAnsi="宋体" w:eastAsia="宋体" w:cs="宋体"/>
                <w:b w:val="0"/>
                <w:bCs w:val="0"/>
                <w:color w:val="auto"/>
                <w:highlight w:val="none"/>
                <w:lang w:val="en-US" w:eastAsia="zh-CN"/>
              </w:rPr>
              <w:t>询问</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投标人的法定代表人或其授权委托人接到通知后30分钟内回复</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否则视为放弃回复或默认采购人/评标委员会作出的评审结果。</w:t>
            </w:r>
          </w:p>
          <w:p w14:paraId="6489F44B">
            <w:pPr>
              <w:pStyle w:val="4"/>
              <w:keepNext/>
              <w:keepLines/>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baseline"/>
              <w:rPr>
                <w:rFonts w:hint="eastAsia" w:ascii="宋体" w:hAnsi="宋体" w:eastAsia="宋体" w:cs="宋体"/>
                <w:b w:val="0"/>
                <w:bCs w:val="0"/>
                <w:color w:val="auto"/>
                <w:kern w:val="2"/>
                <w:sz w:val="21"/>
                <w:szCs w:val="24"/>
                <w:highlight w:val="none"/>
                <w:lang w:val="en-US" w:eastAsia="zh-CN" w:bidi="ar-SA"/>
              </w:rPr>
            </w:pPr>
            <w:bookmarkStart w:id="6" w:name="_Toc13151"/>
            <w:bookmarkStart w:id="7" w:name="_Toc7923"/>
            <w:r>
              <w:rPr>
                <w:rFonts w:hint="eastAsia" w:ascii="宋体" w:hAnsi="宋体" w:eastAsia="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u w:val="none"/>
                <w:lang w:val="en-US" w:eastAsia="zh-CN" w:bidi="ar-SA"/>
              </w:rPr>
              <w:t>因政府重大决策调整时，须提前终止合同时，中标单位须配合终止合同事宜，采购人有权在提前15日通知中标人终止合同且不承担违约责任，投标人在投标报价时综合考虑相应风险。</w:t>
            </w:r>
            <w:bookmarkEnd w:id="6"/>
            <w:bookmarkEnd w:id="7"/>
          </w:p>
        </w:tc>
      </w:tr>
    </w:tbl>
    <w:p w14:paraId="1B25F00F">
      <w:pPr>
        <w:pStyle w:val="4"/>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8" w:name="_Toc15832"/>
      <w:r>
        <w:rPr>
          <w:rFonts w:hint="eastAsia" w:ascii="宋体" w:hAnsi="宋体" w:eastAsia="宋体" w:cs="宋体"/>
          <w:color w:val="auto"/>
          <w:sz w:val="36"/>
          <w:szCs w:val="36"/>
          <w:highlight w:val="none"/>
        </w:rPr>
        <w:t>第一部分    供应商须知</w:t>
      </w:r>
      <w:bookmarkEnd w:id="8"/>
    </w:p>
    <w:p w14:paraId="3932B4EF">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auto"/>
          <w:sz w:val="21"/>
          <w:szCs w:val="21"/>
          <w:highlight w:val="none"/>
        </w:rPr>
      </w:pPr>
      <w:bookmarkStart w:id="9" w:name="_Toc3556"/>
      <w:bookmarkStart w:id="10" w:name="_Toc22689"/>
      <w:bookmarkStart w:id="11" w:name="_Toc393699549"/>
      <w:r>
        <w:rPr>
          <w:rFonts w:hint="eastAsia" w:ascii="宋体" w:hAnsi="宋体" w:eastAsia="宋体" w:cs="宋体"/>
          <w:b/>
          <w:bCs/>
          <w:color w:val="auto"/>
          <w:sz w:val="21"/>
          <w:szCs w:val="21"/>
          <w:highlight w:val="none"/>
        </w:rPr>
        <w:t>一   说 明</w:t>
      </w:r>
      <w:bookmarkEnd w:id="9"/>
      <w:bookmarkEnd w:id="10"/>
    </w:p>
    <w:p w14:paraId="14F529B5">
      <w:pPr>
        <w:numPr>
          <w:ilvl w:val="0"/>
          <w:numId w:val="5"/>
        </w:numPr>
        <w:tabs>
          <w:tab w:val="left" w:pos="36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本次采购是按照</w:t>
      </w:r>
      <w:r>
        <w:rPr>
          <w:rFonts w:hint="eastAsia" w:ascii="宋体" w:hAnsi="宋体" w:eastAsia="宋体" w:cs="宋体"/>
          <w:color w:val="auto"/>
          <w:kern w:val="0"/>
          <w:sz w:val="21"/>
          <w:szCs w:val="21"/>
          <w:highlight w:val="none"/>
        </w:rPr>
        <w:t>《中华人民共和国政府采购法》</w:t>
      </w:r>
      <w:r>
        <w:rPr>
          <w:rFonts w:hint="eastAsia" w:ascii="宋体" w:hAnsi="宋体" w:eastAsia="宋体" w:cs="宋体"/>
          <w:snapToGrid w:val="0"/>
          <w:color w:val="auto"/>
          <w:sz w:val="21"/>
          <w:szCs w:val="21"/>
          <w:highlight w:val="none"/>
        </w:rPr>
        <w:t>、《中华人民共和国政府采购法实施条例》</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5565D8D9">
      <w:pPr>
        <w:numPr>
          <w:ilvl w:val="0"/>
          <w:numId w:val="5"/>
        </w:numPr>
        <w:tabs>
          <w:tab w:val="left" w:pos="360"/>
        </w:tabs>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合格供应商要求以本项目公告及供应商须知前附表表述为准。</w:t>
      </w:r>
    </w:p>
    <w:p w14:paraId="1D5E94F9">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w:t>
      </w:r>
    </w:p>
    <w:p w14:paraId="2E94E762">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指全权代表供应商参加投标活动并签署磋商响应文件的人。如果供应商代表不是法定代表人，须持有《法定代表人授权书》见附件。</w:t>
      </w:r>
    </w:p>
    <w:p w14:paraId="218A96EE">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磋商响应费用</w:t>
      </w:r>
    </w:p>
    <w:p w14:paraId="7A7E1EED">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供应商应承担所有与准备和参加投标有关费用，不论投标的结果如何，采购人及采购代理机构均无义务和责任承担这些费用。</w:t>
      </w:r>
    </w:p>
    <w:p w14:paraId="34214A67">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优化政府采购金融服务</w:t>
      </w:r>
    </w:p>
    <w:p w14:paraId="551D8077">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032DB866">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1C2976AD">
      <w:pPr>
        <w:numPr>
          <w:ilvl w:val="0"/>
          <w:numId w:val="5"/>
        </w:numPr>
        <w:spacing w:line="360" w:lineRule="exact"/>
        <w:rPr>
          <w:rFonts w:hint="eastAsia" w:ascii="宋体" w:hAnsi="宋体" w:eastAsia="宋体" w:cs="宋体"/>
          <w:bCs/>
          <w:color w:val="auto"/>
          <w:spacing w:val="6"/>
          <w:sz w:val="21"/>
          <w:szCs w:val="21"/>
          <w:highlight w:val="none"/>
        </w:rPr>
      </w:pPr>
      <w:r>
        <w:rPr>
          <w:rFonts w:hint="eastAsia" w:ascii="宋体" w:hAnsi="宋体" w:eastAsia="宋体" w:cs="宋体"/>
          <w:color w:val="auto"/>
          <w:sz w:val="21"/>
          <w:szCs w:val="21"/>
          <w:highlight w:val="none"/>
        </w:rPr>
        <w:t>特别</w:t>
      </w:r>
      <w:r>
        <w:rPr>
          <w:rFonts w:hint="eastAsia" w:ascii="宋体" w:hAnsi="宋体" w:eastAsia="宋体" w:cs="宋体"/>
          <w:bCs/>
          <w:color w:val="auto"/>
          <w:spacing w:val="6"/>
          <w:sz w:val="21"/>
          <w:szCs w:val="21"/>
          <w:highlight w:val="none"/>
        </w:rPr>
        <w:t>说明：</w:t>
      </w:r>
    </w:p>
    <w:p w14:paraId="37BEDF74">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6.1投标人应仔细阅读采购文件的所有内容，按照采购文件的要求提交投标文件，并对所提供的全部资料的真实性承担法律责任。</w:t>
      </w:r>
    </w:p>
    <w:p w14:paraId="0EFA0A65">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7B74814">
      <w:pPr>
        <w:spacing w:line="360" w:lineRule="exact"/>
        <w:ind w:firstLine="45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非单一产品采购项目，采购人应当根据采购项目技术构成、产品价格比重等合理确定核心产品，并在采购文件中载明。多家投标人提供的核心产品品牌相同的，按前两款规定处理。</w:t>
      </w:r>
    </w:p>
    <w:p w14:paraId="53B028F9">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607CA302">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DA66EFF">
      <w:pPr>
        <w:spacing w:line="360" w:lineRule="exact"/>
        <w:ind w:firstLine="226" w:firstLineChars="100"/>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6.5</w:t>
      </w:r>
      <w:r>
        <w:rPr>
          <w:rFonts w:hint="eastAsia" w:ascii="宋体" w:hAnsi="宋体" w:eastAsia="宋体" w:cs="宋体"/>
          <w:bCs/>
          <w:color w:val="auto"/>
          <w:kern w:val="0"/>
          <w:sz w:val="21"/>
          <w:szCs w:val="21"/>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29E69FC3">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2" w:name="_Toc30855"/>
      <w:bookmarkStart w:id="13" w:name="_Toc25973"/>
      <w:r>
        <w:rPr>
          <w:rFonts w:hint="eastAsia" w:ascii="宋体" w:hAnsi="宋体" w:eastAsia="宋体" w:cs="宋体"/>
          <w:b/>
          <w:bCs/>
          <w:color w:val="auto"/>
          <w:sz w:val="21"/>
          <w:szCs w:val="21"/>
          <w:highlight w:val="none"/>
        </w:rPr>
        <w:t>二   竞争性磋商文件</w:t>
      </w:r>
      <w:bookmarkEnd w:id="12"/>
      <w:bookmarkEnd w:id="13"/>
    </w:p>
    <w:p w14:paraId="6142B3C1">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竞争性磋商文件由竞争性磋商文件目录所列内容及相关资料组成。</w:t>
      </w:r>
    </w:p>
    <w:p w14:paraId="58DF1281">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w:t>
      </w:r>
    </w:p>
    <w:p w14:paraId="687F75BE">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竞争性磋商文件如有疑点要求澄清或质疑，或认为有必要与用户进行技术交流，须在磋商通知(邀请)函规定的质疑时间前用书面形式（包括信函、传真，下同）通知采购机构，采购机构将用书面形式予以答复。</w:t>
      </w:r>
    </w:p>
    <w:p w14:paraId="084A2FBA">
      <w:pPr>
        <w:numPr>
          <w:ilvl w:val="0"/>
          <w:numId w:val="5"/>
        </w:numPr>
        <w:spacing w:line="3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竞争性磋商文件</w:t>
      </w:r>
      <w:r>
        <w:rPr>
          <w:rFonts w:hint="eastAsia" w:ascii="宋体" w:hAnsi="宋体" w:eastAsia="宋体" w:cs="宋体"/>
          <w:bCs/>
          <w:color w:val="auto"/>
          <w:sz w:val="21"/>
          <w:szCs w:val="21"/>
          <w:highlight w:val="none"/>
        </w:rPr>
        <w:t>的修改</w:t>
      </w:r>
    </w:p>
    <w:p w14:paraId="62846375">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在投标截止期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发布变更公告。</w:t>
      </w:r>
    </w:p>
    <w:p w14:paraId="1B13FA2A">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9.2竞争性磋商文件如有补充更正均见“政采云”（https://zfcg.czt.zj.gov.cn/）。供应商须在开标前一日自行查看是否有补充更正文件，并按补充更正文件要求磋商响应，否则责任自负。</w:t>
      </w:r>
    </w:p>
    <w:p w14:paraId="357FBDF2">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p w14:paraId="28432D1C">
      <w:pPr>
        <w:tabs>
          <w:tab w:val="left" w:pos="540"/>
        </w:tabs>
        <w:spacing w:line="360" w:lineRule="exact"/>
        <w:ind w:firstLine="214"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pacing w:val="6"/>
          <w:sz w:val="21"/>
          <w:szCs w:val="21"/>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0FD68609">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10.2投标人提出质疑应当提交质疑函和必要的证明材料，质疑函范本请到“浙江政府采购网下载专区”下载，质疑函内容及签署等相关要求请参看《政府采购质疑和投诉办法》相关规定。</w:t>
      </w:r>
    </w:p>
    <w:p w14:paraId="5603C523">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10.3提出质疑的投标人应当是参与本项目招标活动的投标人。投标人在法定质疑期内一次性提出针对同一采购程序环节的质疑。</w:t>
      </w:r>
    </w:p>
    <w:p w14:paraId="7ABDA1EC">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10.4</w:t>
      </w:r>
      <w:r>
        <w:rPr>
          <w:rFonts w:hint="eastAsia" w:ascii="宋体" w:hAnsi="宋体" w:eastAsia="宋体" w:cs="宋体"/>
          <w:b/>
          <w:color w:val="auto"/>
          <w:spacing w:val="6"/>
          <w:sz w:val="21"/>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 w:val="21"/>
          <w:szCs w:val="21"/>
          <w:highlight w:val="none"/>
        </w:rPr>
        <w:t>。</w:t>
      </w:r>
    </w:p>
    <w:p w14:paraId="7C444C55">
      <w:pPr>
        <w:numPr>
          <w:ilvl w:val="0"/>
          <w:numId w:val="5"/>
        </w:numPr>
        <w:spacing w:line="36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投诉</w:t>
      </w:r>
    </w:p>
    <w:p w14:paraId="2ACD1C3D">
      <w:pPr>
        <w:tabs>
          <w:tab w:val="left" w:pos="540"/>
        </w:tabs>
        <w:spacing w:line="360" w:lineRule="exact"/>
        <w:ind w:firstLine="22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971ACC2">
      <w:pPr>
        <w:pStyle w:val="22"/>
        <w:ind w:firstLine="321"/>
        <w:rPr>
          <w:rFonts w:hint="eastAsia" w:ascii="宋体" w:hAnsi="宋体" w:eastAsia="宋体" w:cs="宋体"/>
          <w:color w:val="auto"/>
          <w:sz w:val="21"/>
          <w:szCs w:val="21"/>
          <w:highlight w:val="none"/>
        </w:rPr>
      </w:pPr>
    </w:p>
    <w:p w14:paraId="6A8403BD">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4" w:name="_Toc27836"/>
      <w:bookmarkStart w:id="15" w:name="_Toc4093"/>
      <w:r>
        <w:rPr>
          <w:rFonts w:hint="eastAsia" w:ascii="宋体" w:hAnsi="宋体" w:eastAsia="宋体" w:cs="宋体"/>
          <w:b/>
          <w:bCs/>
          <w:color w:val="auto"/>
          <w:sz w:val="21"/>
          <w:szCs w:val="21"/>
          <w:highlight w:val="none"/>
        </w:rPr>
        <w:t>三   磋商响应文件的编制</w:t>
      </w:r>
      <w:bookmarkEnd w:id="14"/>
      <w:bookmarkEnd w:id="15"/>
    </w:p>
    <w:p w14:paraId="7E38E271">
      <w:pPr>
        <w:numPr>
          <w:ilvl w:val="0"/>
          <w:numId w:val="5"/>
        </w:numPr>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磋商响应文件的形式和效力</w:t>
      </w:r>
    </w:p>
    <w:p w14:paraId="12397301">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12.1磋商响应文件分为电子磋商响应文件以及备份磋商响应文件，备份文件分为以介质存储的数据电文形式的备份磋商响应文件。</w:t>
      </w:r>
    </w:p>
    <w:p w14:paraId="291DFAF3">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12.2电子磋商响应文件，按“政采云供应商项目采购-电子招投标操作指南”及本采购文件要求制作、加密并递交。</w:t>
      </w:r>
    </w:p>
    <w:p w14:paraId="227C2DF3">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12.3以介质存储的数据电文形式的备份磋商响应文件，即电子磋商响应文件按“政采云供应商项目采购-电子招投标操作指南”制作的备份文件。</w:t>
      </w:r>
    </w:p>
    <w:p w14:paraId="25EADB90">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12.4磋商响应文件的效力</w:t>
      </w:r>
    </w:p>
    <w:p w14:paraId="2AC4DF58">
      <w:pPr>
        <w:tabs>
          <w:tab w:val="left" w:pos="360"/>
        </w:tabs>
        <w:spacing w:line="440" w:lineRule="exact"/>
        <w:ind w:firstLine="428"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磋商响应文件的启用，按先后顺位分别为电子磋商响应文件、以介质存储的数据电文形式的备份磋商响应文件。在下一顺位的磋商响应文件启用时，前一顺位的磋商响应文件自动失效。</w:t>
      </w:r>
    </w:p>
    <w:p w14:paraId="7FBFF378">
      <w:pPr>
        <w:numPr>
          <w:ilvl w:val="0"/>
          <w:numId w:val="5"/>
        </w:numPr>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供应商应认真阅读竞争性磋商文件中所有事项格式、条款和技术规范等。</w:t>
      </w:r>
      <w:r>
        <w:rPr>
          <w:rFonts w:hint="eastAsia" w:ascii="宋体" w:hAnsi="宋体" w:eastAsia="宋体" w:cs="宋体"/>
          <w:b/>
          <w:bCs/>
          <w:color w:val="auto"/>
          <w:sz w:val="21"/>
          <w:szCs w:val="21"/>
          <w:highlight w:val="none"/>
          <w:u w:val="single"/>
        </w:rPr>
        <w:t>▲</w:t>
      </w:r>
      <w:r>
        <w:rPr>
          <w:rFonts w:hint="eastAsia" w:ascii="宋体" w:hAnsi="宋体" w:eastAsia="宋体" w:cs="宋体"/>
          <w:b/>
          <w:color w:val="auto"/>
          <w:sz w:val="21"/>
          <w:szCs w:val="21"/>
          <w:highlight w:val="none"/>
          <w:u w:val="single"/>
        </w:rPr>
        <w:t>供应商没有按照竞争性磋商文件要求提交全部资料，或者没有对竞争性磋商文件各个方面做出实质性响应，导致投标被拒绝的风险由供应商自行承担。</w:t>
      </w:r>
    </w:p>
    <w:p w14:paraId="37978EC2">
      <w:pPr>
        <w:numPr>
          <w:ilvl w:val="0"/>
          <w:numId w:val="5"/>
        </w:numPr>
        <w:tabs>
          <w:tab w:val="left" w:pos="540"/>
        </w:tabs>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磋商响应文件的构成：</w:t>
      </w:r>
    </w:p>
    <w:p w14:paraId="5556D89A">
      <w:pPr>
        <w:tabs>
          <w:tab w:val="left" w:pos="360"/>
        </w:tabs>
        <w:spacing w:line="440" w:lineRule="exact"/>
        <w:ind w:firstLine="214" w:firstLineChars="100"/>
        <w:contextualSpacing/>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14.1 磋商响应文件包括资格审查资料、商务技术标、</w:t>
      </w: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z w:val="21"/>
          <w:szCs w:val="21"/>
          <w:highlight w:val="none"/>
        </w:rPr>
        <w:t>报价标三部分。</w:t>
      </w:r>
    </w:p>
    <w:p w14:paraId="0D00E3FF">
      <w:pPr>
        <w:spacing w:line="440" w:lineRule="exact"/>
        <w:ind w:firstLine="214" w:firstLineChars="100"/>
        <w:contextualSpacing/>
        <w:rPr>
          <w:rFonts w:hint="eastAsia" w:ascii="宋体" w:hAnsi="宋体" w:eastAsia="宋体" w:cs="宋体"/>
          <w:b/>
          <w:bCs/>
          <w:color w:val="auto"/>
          <w:sz w:val="21"/>
          <w:szCs w:val="21"/>
          <w:highlight w:val="none"/>
        </w:rPr>
      </w:pPr>
      <w:bookmarkStart w:id="16" w:name="_Toc221356886"/>
      <w:r>
        <w:rPr>
          <w:rFonts w:hint="eastAsia" w:ascii="宋体" w:hAnsi="宋体" w:eastAsia="宋体" w:cs="宋体"/>
          <w:b/>
          <w:bCs/>
          <w:color w:val="auto"/>
          <w:sz w:val="21"/>
          <w:szCs w:val="21"/>
          <w:highlight w:val="none"/>
        </w:rPr>
        <w:t>14.1.1 磋商响应文件资格审查资料须包括下列部分：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583"/>
      </w:tblGrid>
      <w:tr w14:paraId="1426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1E585076">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83" w:type="dxa"/>
            <w:vAlign w:val="center"/>
          </w:tcPr>
          <w:p w14:paraId="13F8F580">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ECD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D75458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bookmarkStart w:id="17" w:name="_Hlk16667472"/>
            <w:r>
              <w:rPr>
                <w:rFonts w:hint="eastAsia" w:ascii="宋体" w:hAnsi="宋体" w:eastAsia="宋体" w:cs="宋体"/>
                <w:bCs/>
                <w:color w:val="auto"/>
                <w:sz w:val="21"/>
                <w:szCs w:val="21"/>
                <w:highlight w:val="none"/>
              </w:rPr>
              <w:t>1</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57234AB7">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法定代表人（单位负责人）授权书和被授权人有效身份证明</w:t>
            </w:r>
          </w:p>
        </w:tc>
      </w:tr>
      <w:tr w14:paraId="14C7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29311FA4">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0E94DBDE">
            <w:pPr>
              <w:pStyle w:val="24"/>
              <w:keepNext w:val="0"/>
              <w:keepLines w:val="0"/>
              <w:suppressLineNumbers w:val="0"/>
              <w:spacing w:before="0" w:beforeAutospacing="0" w:after="0" w:afterLines="0" w:afterAutospacing="0" w:line="38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营业执照(或事业法人登记证书或其它工商等登记证明材料)</w:t>
            </w:r>
          </w:p>
        </w:tc>
      </w:tr>
      <w:tr w14:paraId="18A2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D145DF8">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2D2C0600">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资格条件承诺函</w:t>
            </w:r>
          </w:p>
        </w:tc>
      </w:tr>
      <w:tr w14:paraId="5C7E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E75C5B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3E0CBC02">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申请材料真实性声明</w:t>
            </w:r>
          </w:p>
        </w:tc>
      </w:tr>
      <w:tr w14:paraId="2FF8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8EC2DA0">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14:paraId="084FF5AE">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中小企业声明函</w:t>
            </w:r>
          </w:p>
        </w:tc>
      </w:tr>
      <w:bookmarkEnd w:id="17"/>
      <w:tr w14:paraId="628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tcPr>
          <w:p w14:paraId="13686496">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0" w:type="auto"/>
            <w:shd w:val="clear" w:color="auto" w:fill="auto"/>
            <w:vAlign w:val="center"/>
          </w:tcPr>
          <w:p w14:paraId="05AF3061">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联合体协议书（联合体投标的须提供）</w:t>
            </w:r>
          </w:p>
        </w:tc>
      </w:tr>
    </w:tbl>
    <w:p w14:paraId="462F3FF0">
      <w:pPr>
        <w:spacing w:line="43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5C1E4034">
      <w:pPr>
        <w:numPr>
          <w:ilvl w:val="0"/>
          <w:numId w:val="6"/>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33942652">
      <w:pPr>
        <w:numPr>
          <w:ilvl w:val="0"/>
          <w:numId w:val="6"/>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以上所需的各种证书、证件、证明、执照若系复印件，须在复印件上加盖供应商有效的公章。</w:t>
      </w:r>
    </w:p>
    <w:p w14:paraId="454EF444">
      <w:pPr>
        <w:spacing w:line="43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14.1.2 磋商响应文件商务技术标应包括下列部分：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77"/>
      </w:tblGrid>
      <w:tr w14:paraId="6A4F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14:paraId="5AADBBF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77" w:type="dxa"/>
            <w:vAlign w:val="center"/>
          </w:tcPr>
          <w:p w14:paraId="44DB996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21D2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AE4D1D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8577" w:type="dxa"/>
            <w:vAlign w:val="center"/>
          </w:tcPr>
          <w:p w14:paraId="655B1BE4">
            <w:pPr>
              <w:keepNext w:val="0"/>
              <w:keepLines w:val="0"/>
              <w:suppressLineNumbers w:val="0"/>
              <w:spacing w:before="0" w:beforeAutospacing="0" w:after="0" w:afterAutospacing="0"/>
              <w:ind w:left="0" w:right="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针对评分细则，编制目录索引，注明评标细则项目所在投标文件页码，格式自拟</w:t>
            </w:r>
          </w:p>
        </w:tc>
      </w:tr>
      <w:tr w14:paraId="6383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336BBC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77" w:type="dxa"/>
            <w:vAlign w:val="center"/>
          </w:tcPr>
          <w:p w14:paraId="030A716E">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函</w:t>
            </w:r>
          </w:p>
        </w:tc>
      </w:tr>
      <w:tr w14:paraId="6166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88853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77" w:type="dxa"/>
            <w:shd w:val="clear" w:color="auto" w:fill="auto"/>
            <w:vAlign w:val="center"/>
          </w:tcPr>
          <w:p w14:paraId="55576DDF">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供应商基本情况表</w:t>
            </w:r>
          </w:p>
        </w:tc>
      </w:tr>
      <w:tr w14:paraId="364F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5E18747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8577" w:type="dxa"/>
            <w:shd w:val="clear" w:color="auto" w:fill="auto"/>
            <w:vAlign w:val="center"/>
          </w:tcPr>
          <w:p w14:paraId="3562208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技术偏离表、商务偏离表</w:t>
            </w:r>
          </w:p>
        </w:tc>
      </w:tr>
      <w:tr w14:paraId="543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45" w:type="dxa"/>
            <w:shd w:val="clear" w:color="auto" w:fill="auto"/>
            <w:vAlign w:val="center"/>
          </w:tcPr>
          <w:p w14:paraId="32F65BC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577" w:type="dxa"/>
            <w:shd w:val="clear" w:color="auto" w:fill="auto"/>
            <w:vAlign w:val="center"/>
          </w:tcPr>
          <w:p w14:paraId="279BA3C3">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供应商情况</w:t>
            </w:r>
          </w:p>
        </w:tc>
      </w:tr>
      <w:tr w14:paraId="2690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556182F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8577" w:type="dxa"/>
            <w:shd w:val="clear" w:color="auto" w:fill="auto"/>
            <w:vAlign w:val="center"/>
          </w:tcPr>
          <w:p w14:paraId="1E0ADF27">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2021年1月1日以来同类似项目业绩</w:t>
            </w:r>
          </w:p>
        </w:tc>
      </w:tr>
      <w:tr w14:paraId="484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1EABCC6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8577" w:type="dxa"/>
            <w:shd w:val="clear" w:color="auto" w:fill="auto"/>
            <w:vAlign w:val="center"/>
          </w:tcPr>
          <w:p w14:paraId="2F063CDD">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项目负责人资格情况表</w:t>
            </w:r>
          </w:p>
        </w:tc>
      </w:tr>
      <w:tr w14:paraId="0822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0180898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8577" w:type="dxa"/>
            <w:shd w:val="clear" w:color="auto" w:fill="auto"/>
            <w:vAlign w:val="center"/>
          </w:tcPr>
          <w:p w14:paraId="2BA2CA65">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项目服务人员汇总表</w:t>
            </w:r>
          </w:p>
        </w:tc>
      </w:tr>
      <w:tr w14:paraId="1F87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30DD430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8577" w:type="dxa"/>
            <w:shd w:val="clear" w:color="auto" w:fill="auto"/>
            <w:vAlign w:val="center"/>
          </w:tcPr>
          <w:p w14:paraId="578513EC">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检测设备、材料配置情况</w:t>
            </w:r>
          </w:p>
        </w:tc>
      </w:tr>
      <w:tr w14:paraId="2D8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688D747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8577" w:type="dxa"/>
            <w:shd w:val="clear" w:color="auto" w:fill="auto"/>
            <w:vAlign w:val="center"/>
          </w:tcPr>
          <w:p w14:paraId="73701F12">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项目的理解程度</w:t>
            </w:r>
          </w:p>
        </w:tc>
      </w:tr>
      <w:tr w14:paraId="1852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69864D0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8577" w:type="dxa"/>
            <w:shd w:val="clear" w:color="auto" w:fill="auto"/>
            <w:vAlign w:val="center"/>
          </w:tcPr>
          <w:p w14:paraId="712F794F">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检测的重点、难点</w:t>
            </w:r>
          </w:p>
        </w:tc>
      </w:tr>
      <w:tr w14:paraId="361F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shd w:val="clear" w:color="auto" w:fill="auto"/>
            <w:vAlign w:val="center"/>
          </w:tcPr>
          <w:p w14:paraId="6B00B82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8577" w:type="dxa"/>
            <w:shd w:val="clear" w:color="auto" w:fill="auto"/>
            <w:vAlign w:val="center"/>
          </w:tcPr>
          <w:p w14:paraId="6EC5E028">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w:t>
            </w:r>
          </w:p>
        </w:tc>
      </w:tr>
      <w:tr w14:paraId="157C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shd w:val="clear" w:color="auto" w:fill="auto"/>
            <w:vAlign w:val="center"/>
          </w:tcPr>
          <w:p w14:paraId="40A8C39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0" w:type="auto"/>
            <w:shd w:val="clear" w:color="auto" w:fill="auto"/>
            <w:vAlign w:val="center"/>
          </w:tcPr>
          <w:p w14:paraId="17DCB635">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p>
        </w:tc>
      </w:tr>
      <w:tr w14:paraId="255D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shd w:val="clear" w:color="auto" w:fill="auto"/>
            <w:vAlign w:val="center"/>
          </w:tcPr>
          <w:p w14:paraId="123BEE3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0" w:type="auto"/>
            <w:shd w:val="clear" w:color="auto" w:fill="auto"/>
            <w:vAlign w:val="center"/>
          </w:tcPr>
          <w:p w14:paraId="43B8BF3E">
            <w:pPr>
              <w:keepNext w:val="0"/>
              <w:keepLines w:val="0"/>
              <w:suppressLineNumbers w:val="0"/>
              <w:snapToGrid w:val="0"/>
              <w:spacing w:before="0" w:beforeAutospacing="0" w:after="0" w:afterAutospacing="0" w:line="240" w:lineRule="auto"/>
              <w:ind w:left="0" w:leftChars="0" w:right="0" w:rightChars="0"/>
              <w:textAlignment w:val="baseline"/>
              <w:rPr>
                <w:rFonts w:hint="eastAsia" w:ascii="宋体" w:hAnsi="宋体" w:eastAsia="宋体" w:cs="宋体"/>
                <w:b w:val="0"/>
                <w:bCs/>
                <w:color w:val="auto"/>
                <w:kern w:val="0"/>
                <w:sz w:val="21"/>
                <w:szCs w:val="21"/>
                <w:lang w:val="en-US" w:eastAsia="zh-CN" w:bidi="ar-SA"/>
              </w:rPr>
            </w:pPr>
            <w:r>
              <w:rPr>
                <w:rFonts w:hint="eastAsia" w:ascii="宋体" w:hAnsi="宋体" w:eastAsia="宋体" w:cs="宋体"/>
                <w:color w:val="auto"/>
                <w:kern w:val="2"/>
                <w:sz w:val="21"/>
                <w:szCs w:val="21"/>
                <w:highlight w:val="none"/>
                <w:lang w:val="en-US" w:eastAsia="zh-CN"/>
              </w:rPr>
              <w:t>安全保障方案</w:t>
            </w:r>
          </w:p>
        </w:tc>
      </w:tr>
      <w:tr w14:paraId="5408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shd w:val="clear" w:color="auto" w:fill="auto"/>
            <w:vAlign w:val="center"/>
          </w:tcPr>
          <w:p w14:paraId="5B23B6D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0" w:type="auto"/>
            <w:shd w:val="clear" w:color="auto" w:fill="auto"/>
            <w:vAlign w:val="center"/>
          </w:tcPr>
          <w:p w14:paraId="1B577C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服务响应及工作质量保障</w:t>
            </w:r>
          </w:p>
        </w:tc>
      </w:tr>
      <w:tr w14:paraId="6298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14:paraId="19CD01D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0" w:type="auto"/>
            <w:shd w:val="clear" w:color="auto" w:fill="auto"/>
            <w:vAlign w:val="center"/>
          </w:tcPr>
          <w:p w14:paraId="4BC98F81">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招标文件规定需要提供的其他资料</w:t>
            </w:r>
          </w:p>
        </w:tc>
      </w:tr>
      <w:tr w14:paraId="7AAD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14:paraId="20061A5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0" w:type="auto"/>
            <w:shd w:val="clear" w:color="auto" w:fill="auto"/>
            <w:vAlign w:val="center"/>
          </w:tcPr>
          <w:p w14:paraId="55C644FD">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根据商务技术文件评分内容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各供应商参照评分标准根据自身情况提供</w:t>
            </w:r>
          </w:p>
        </w:tc>
      </w:tr>
    </w:tbl>
    <w:p w14:paraId="2E6C467B">
      <w:pPr>
        <w:spacing w:line="43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68648A88">
      <w:pPr>
        <w:numPr>
          <w:ilvl w:val="0"/>
          <w:numId w:val="7"/>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27487463">
      <w:pPr>
        <w:numPr>
          <w:ilvl w:val="0"/>
          <w:numId w:val="7"/>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以上所需的各种证书、证件、证明等若系复印件，须在复印件上加盖供应商有效的公章。</w:t>
      </w:r>
    </w:p>
    <w:p w14:paraId="6C359610">
      <w:pPr>
        <w:tabs>
          <w:tab w:val="left" w:pos="5355"/>
        </w:tabs>
        <w:spacing w:line="43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14.1.3 磋商响应文件报价标应包括下列部分：</w:t>
      </w:r>
    </w:p>
    <w:bookmarkEnd w:id="16"/>
    <w:tbl>
      <w:tblPr>
        <w:tblStyle w:val="54"/>
        <w:tblW w:w="9322" w:type="dxa"/>
        <w:tblInd w:w="0" w:type="dxa"/>
        <w:tblLayout w:type="fixed"/>
        <w:tblCellMar>
          <w:top w:w="0" w:type="dxa"/>
          <w:left w:w="108" w:type="dxa"/>
          <w:bottom w:w="0" w:type="dxa"/>
          <w:right w:w="108" w:type="dxa"/>
        </w:tblCellMar>
      </w:tblPr>
      <w:tblGrid>
        <w:gridCol w:w="966"/>
        <w:gridCol w:w="8356"/>
      </w:tblGrid>
      <w:tr w14:paraId="6F8B09C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4868C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序号</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CBCB2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内容</w:t>
            </w:r>
          </w:p>
        </w:tc>
      </w:tr>
      <w:tr w14:paraId="7C41ED2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7F0A0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14DE4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开标一览表</w:t>
            </w:r>
          </w:p>
        </w:tc>
      </w:tr>
      <w:tr w14:paraId="7C42E86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470661">
            <w:pPr>
              <w:keepNext w:val="0"/>
              <w:keepLines w:val="0"/>
              <w:suppressLineNumbers w:val="0"/>
              <w:autoSpaceDE w:val="0"/>
              <w:autoSpaceDN w:val="0"/>
              <w:adjustRightInd w:val="0"/>
              <w:spacing w:before="0" w:beforeAutospacing="0" w:after="0" w:afterAutospacing="0" w:line="430" w:lineRule="atLeast"/>
              <w:ind w:left="0" w:right="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9A2E0C">
            <w:pPr>
              <w:keepNext w:val="0"/>
              <w:keepLines w:val="0"/>
              <w:suppressLineNumbers w:val="0"/>
              <w:autoSpaceDE w:val="0"/>
              <w:autoSpaceDN w:val="0"/>
              <w:adjustRightInd w:val="0"/>
              <w:spacing w:before="0" w:beforeAutospacing="0" w:after="0" w:afterAutospacing="0" w:line="430" w:lineRule="atLeas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投标分项报价表</w:t>
            </w:r>
          </w:p>
        </w:tc>
      </w:tr>
    </w:tbl>
    <w:p w14:paraId="50B3F82A">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磋商响应文件编制</w:t>
      </w:r>
    </w:p>
    <w:p w14:paraId="143E0EA1">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15.1本项目通过“政采云平台（</w:t>
      </w:r>
      <w:r>
        <w:rPr>
          <w:rFonts w:hint="eastAsia" w:ascii="宋体" w:hAnsi="宋体" w:eastAsia="宋体" w:cs="宋体"/>
          <w:color w:val="auto"/>
          <w:sz w:val="21"/>
          <w:szCs w:val="21"/>
          <w:highlight w:val="none"/>
          <w:lang w:eastAsia="zh-CN"/>
        </w:rPr>
        <w:t>https://zfcg.czt.zj.gov.cn/</w:t>
      </w:r>
      <w:r>
        <w:rPr>
          <w:rFonts w:hint="eastAsia" w:ascii="宋体" w:hAnsi="宋体" w:eastAsia="宋体" w:cs="宋体"/>
          <w:color w:val="auto"/>
          <w:sz w:val="21"/>
          <w:szCs w:val="21"/>
          <w:highlight w:val="none"/>
        </w:rPr>
        <w:t>）”实行在线投标响应（电子投标）。供应商应通过“政采云电子交易客户端”，并按照本采购文件和“政采云平台”的要求编制并加密磋商响应文件。</w:t>
      </w:r>
    </w:p>
    <w:p w14:paraId="3134BE05">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0EE81FEA">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w:t>
      </w:r>
    </w:p>
    <w:p w14:paraId="3FC20F27">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15.4磋商响应文件内容不完整、编排混乱导致磋商响应文件被误读、漏读或者查找不到相关内容的，是供应商的责任。</w:t>
      </w:r>
    </w:p>
    <w:p w14:paraId="0CF81376">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15.5磋商响应文件因字迹潦草或表达不清所引起的后果由供应商负责。</w:t>
      </w:r>
    </w:p>
    <w:p w14:paraId="1F2BA69C">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供应商没有按照本章节 “磋商响应文件组成”要求提供全部资料，或者没有仔细阅读采购文件，或者没有对采购文件在各方面的要求作出实质性响应是供应商的风险，由此造成的一切后果由供应商自行承担。</w:t>
      </w:r>
    </w:p>
    <w:p w14:paraId="06C10BD0">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磋商响应文件的签章</w:t>
      </w:r>
    </w:p>
    <w:p w14:paraId="3E4468EC">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16.1磋商响应文件的签章要求：</w:t>
      </w:r>
      <w:r>
        <w:rPr>
          <w:rFonts w:hint="eastAsia" w:ascii="宋体" w:hAnsi="宋体" w:eastAsia="宋体" w:cs="宋体"/>
          <w:b/>
          <w:color w:val="auto"/>
          <w:sz w:val="21"/>
          <w:szCs w:val="21"/>
          <w:highlight w:val="none"/>
        </w:rPr>
        <w:t>供应商须知前附表第17款；</w:t>
      </w:r>
    </w:p>
    <w:p w14:paraId="3F1A24C2">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16.2磋商响应文件应由供应商法定代表人或其授权代表签章（电子签章），并时加盖供应商公章（电子签章）。</w:t>
      </w:r>
    </w:p>
    <w:p w14:paraId="6BC7CDFE">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16.3电子签章操作指南详见采购公告附件《供应商项目采购-电子招投标操作指南》。</w:t>
      </w:r>
    </w:p>
    <w:p w14:paraId="3F3DA4AD">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磋商响应文件的形式</w:t>
      </w:r>
    </w:p>
    <w:p w14:paraId="4D58AA6A">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17.1磋商响应文件的形式：</w:t>
      </w:r>
      <w:r>
        <w:rPr>
          <w:rFonts w:hint="eastAsia" w:ascii="宋体" w:hAnsi="宋体" w:eastAsia="宋体" w:cs="宋体"/>
          <w:b/>
          <w:color w:val="auto"/>
          <w:sz w:val="21"/>
          <w:szCs w:val="21"/>
          <w:highlight w:val="none"/>
        </w:rPr>
        <w:t>见供应商须知前附表第15款；</w:t>
      </w:r>
    </w:p>
    <w:p w14:paraId="1F5D1632">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17.2“电子加密磋商响应文件”：“电子加密磋商响应文件”是指通过“政采云电子交易客户端”完成磋商响应文件编制后生成并加密的数据电文形式的磋商响应文件。</w:t>
      </w:r>
    </w:p>
    <w:p w14:paraId="6D420F76">
      <w:pPr>
        <w:tabs>
          <w:tab w:val="left" w:pos="360"/>
        </w:tabs>
        <w:spacing w:line="460" w:lineRule="exact"/>
        <w:ind w:firstLine="214"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备份磋商响应文件”：“备份磋商响应文件”是指与“电子加密磋商响应文件”同时生成的数据电文形式的电子文件（备份标书），其他方式编制的“备份磋商响应文件”视为无效的“备份磋商响应文件”。</w:t>
      </w:r>
    </w:p>
    <w:p w14:paraId="3E627083">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磋商响应文件的份数</w:t>
      </w:r>
    </w:p>
    <w:p w14:paraId="634B25E6">
      <w:pPr>
        <w:tabs>
          <w:tab w:val="left" w:pos="5355"/>
        </w:tabs>
        <w:spacing w:line="43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18.1磋商响应文件的份数：</w:t>
      </w:r>
      <w:r>
        <w:rPr>
          <w:rFonts w:hint="eastAsia" w:ascii="宋体" w:hAnsi="宋体" w:eastAsia="宋体" w:cs="宋体"/>
          <w:b/>
          <w:color w:val="auto"/>
          <w:sz w:val="21"/>
          <w:szCs w:val="21"/>
          <w:highlight w:val="none"/>
        </w:rPr>
        <w:t>见供应商须知前附表第16款。</w:t>
      </w:r>
    </w:p>
    <w:p w14:paraId="3F01B39A">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p w14:paraId="0CE14107">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供应商应报出本项目采购内容所包含的所有单价和总价，并且报出价格组成表，对于供应商价格组成表中未列出的项目或没有填写单价和总价的项目,在合同执行时采购人将不予支付,并认为这些项目费用已包括在投标报价内。</w:t>
      </w:r>
    </w:p>
    <w:p w14:paraId="476FBEA6">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总报价应是成交供应商在正确地完全履行合同义务后采购人应支付给成交供应商所有的服务价款，实行固定费用总包干，供应商应根据上述因素自行考虑含入投标总价，否则由此而引起的一切费用均视为已包括在投标报价中。</w:t>
      </w:r>
    </w:p>
    <w:p w14:paraId="76859620">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14:paraId="5C97A76C">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供应商必须按第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部分附件的开标一览表（统一格式）、分项报价表（统一格式）的内容填写单价、合价及其他事项。</w:t>
      </w:r>
    </w:p>
    <w:p w14:paraId="6AC9CCD3">
      <w:pPr>
        <w:tabs>
          <w:tab w:val="left" w:pos="540"/>
        </w:tabs>
        <w:spacing w:line="460" w:lineRule="exact"/>
        <w:ind w:firstLine="214"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19.5 所有投标报价均以人民币报价。</w:t>
      </w:r>
    </w:p>
    <w:p w14:paraId="435D259E">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 采购人不接受任何选择报价，对每一项货物/服务只允许一个报价。</w:t>
      </w:r>
    </w:p>
    <w:p w14:paraId="4FB77A99">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采购人要求分类报价是为了方便评标，但在任何情况下不限制采购人以其认为最合适的条款、条件签订合同的权利。</w:t>
      </w:r>
    </w:p>
    <w:p w14:paraId="09ACE779">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 报价是成交的一个重要因素，但最低报价不是成交的唯一依据。</w:t>
      </w:r>
    </w:p>
    <w:p w14:paraId="56980D43">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
          <w:bCs/>
          <w:color w:val="auto"/>
          <w:sz w:val="21"/>
          <w:szCs w:val="21"/>
          <w:highlight w:val="none"/>
        </w:rPr>
        <w:t>供应商如发生下列情况之一，将上报同级政府采购监督管理部门，追究其责任：</w:t>
      </w:r>
    </w:p>
    <w:p w14:paraId="425C8630">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rPr>
        <w:t>供应商在采购文件规定的磋商响应文件有效期内撤回投标；</w:t>
      </w:r>
    </w:p>
    <w:p w14:paraId="51265166">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rPr>
        <w:t>成交供应商未按成交通知书中规定的时间与采购人签订合同；</w:t>
      </w:r>
    </w:p>
    <w:p w14:paraId="6ADF1A34">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r>
        <w:rPr>
          <w:rFonts w:hint="eastAsia" w:ascii="宋体" w:hAnsi="宋体" w:eastAsia="宋体" w:cs="宋体"/>
          <w:color w:val="auto"/>
          <w:sz w:val="21"/>
          <w:szCs w:val="21"/>
          <w:highlight w:val="none"/>
        </w:rPr>
        <w:t>供应商在采购文件中提供虚假技术指标及参数，经磋商小组确认属实的。</w:t>
      </w:r>
    </w:p>
    <w:p w14:paraId="54AD81A9">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rPr>
        <w:t>经同级政府采购监督管理部门审查认定供应商有违反《中华人民共和国政府采购法》等有关法律法规的行为。</w:t>
      </w:r>
    </w:p>
    <w:p w14:paraId="4C7894AA">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磋商</w:t>
      </w:r>
      <w:r>
        <w:rPr>
          <w:rFonts w:hint="eastAsia" w:ascii="宋体" w:hAnsi="宋体" w:eastAsia="宋体" w:cs="宋体"/>
          <w:b/>
          <w:bCs/>
          <w:color w:val="auto"/>
          <w:sz w:val="21"/>
          <w:szCs w:val="21"/>
          <w:highlight w:val="none"/>
        </w:rPr>
        <w:t>响应文件有效期</w:t>
      </w:r>
    </w:p>
    <w:p w14:paraId="58FCDB31">
      <w:pPr>
        <w:tabs>
          <w:tab w:val="left" w:pos="540"/>
          <w:tab w:val="left" w:pos="992"/>
        </w:tabs>
        <w:autoSpaceDE w:val="0"/>
        <w:autoSpaceDN w:val="0"/>
        <w:adjustRightInd w:val="0"/>
        <w:spacing w:line="460" w:lineRule="atLeas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 自开标之日起 90天内投标应保持有效。磋商响应文件有效期短于这个规定期限的投标将视为非响应性投标而予以拒绝。</w:t>
      </w:r>
    </w:p>
    <w:p w14:paraId="327924A9">
      <w:pPr>
        <w:spacing w:line="440" w:lineRule="exact"/>
        <w:ind w:left="2"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4BC0B119">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8" w:name="_Toc18954"/>
      <w:bookmarkStart w:id="19" w:name="_Toc57626727"/>
      <w:bookmarkStart w:id="20" w:name="_Toc38618585"/>
      <w:bookmarkStart w:id="21" w:name="_Toc26230"/>
      <w:r>
        <w:rPr>
          <w:rFonts w:hint="eastAsia" w:ascii="宋体" w:hAnsi="宋体" w:eastAsia="宋体" w:cs="宋体"/>
          <w:b/>
          <w:bCs/>
          <w:color w:val="auto"/>
          <w:sz w:val="21"/>
          <w:szCs w:val="21"/>
          <w:highlight w:val="none"/>
        </w:rPr>
        <w:t>四   磋商响应文件的递交</w:t>
      </w:r>
      <w:bookmarkEnd w:id="18"/>
      <w:bookmarkEnd w:id="19"/>
      <w:bookmarkEnd w:id="20"/>
      <w:bookmarkEnd w:id="21"/>
    </w:p>
    <w:p w14:paraId="35B43850">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bookmarkStart w:id="22" w:name="_Toc10467"/>
      <w:r>
        <w:rPr>
          <w:rFonts w:hint="eastAsia" w:ascii="宋体" w:hAnsi="宋体" w:eastAsia="宋体" w:cs="宋体"/>
          <w:b/>
          <w:bCs/>
          <w:color w:val="auto"/>
          <w:kern w:val="0"/>
          <w:sz w:val="21"/>
          <w:szCs w:val="21"/>
          <w:highlight w:val="none"/>
        </w:rPr>
        <w:t xml:space="preserve"> 磋商响应文件的递交</w:t>
      </w:r>
    </w:p>
    <w:p w14:paraId="66308B9F">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22.1磋商响应文件的上传、递交：</w:t>
      </w:r>
      <w:r>
        <w:rPr>
          <w:rFonts w:hint="eastAsia" w:ascii="宋体" w:hAnsi="宋体" w:eastAsia="宋体" w:cs="宋体"/>
          <w:b/>
          <w:bCs/>
          <w:color w:val="auto"/>
          <w:kern w:val="0"/>
          <w:sz w:val="21"/>
          <w:szCs w:val="21"/>
          <w:highlight w:val="none"/>
        </w:rPr>
        <w:t>见供应商须知前附表。</w:t>
      </w:r>
    </w:p>
    <w:p w14:paraId="46576181">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“电子加密磋商响应文件”解密和异常情况处理。</w:t>
      </w:r>
    </w:p>
    <w:p w14:paraId="634D8064">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23.1“电子加密磋商响应文件”解密：</w:t>
      </w:r>
      <w:r>
        <w:rPr>
          <w:rFonts w:hint="eastAsia" w:ascii="宋体" w:hAnsi="宋体" w:eastAsia="宋体" w:cs="宋体"/>
          <w:b/>
          <w:bCs/>
          <w:color w:val="auto"/>
          <w:kern w:val="0"/>
          <w:sz w:val="21"/>
          <w:szCs w:val="21"/>
          <w:highlight w:val="none"/>
        </w:rPr>
        <w:t>见供应商须知前附表。</w:t>
      </w:r>
    </w:p>
    <w:p w14:paraId="33E0BDB7">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磋商响应文件的补充、修改或撤回</w:t>
      </w:r>
    </w:p>
    <w:p w14:paraId="385B4940">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1F536AA5">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24.2磋商响应文件递交截止时间后，供应商不得撤回、修改磋商响应文件。</w:t>
      </w:r>
    </w:p>
    <w:p w14:paraId="3D822D17">
      <w:pPr>
        <w:numPr>
          <w:ilvl w:val="0"/>
          <w:numId w:val="5"/>
        </w:numPr>
        <w:tabs>
          <w:tab w:val="left" w:pos="540"/>
        </w:tabs>
        <w:spacing w:line="440" w:lineRule="exact"/>
        <w:contextualSpacing/>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 xml:space="preserve"> 磋商响应文件的备选方案</w:t>
      </w:r>
    </w:p>
    <w:p w14:paraId="33D85EC8">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25.1供应商不得递交任何的投标备选（替代）方案，否则其磋商响应文件将作无效标处理。与“电子加密磋商响应文件”同时生成的“备份磋商响应文件”不是投标备选（替代）方案。</w:t>
      </w:r>
    </w:p>
    <w:p w14:paraId="59BA0163">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23" w:name="_Toc57626728"/>
      <w:bookmarkStart w:id="24" w:name="_Toc38618586"/>
      <w:bookmarkStart w:id="25" w:name="_Toc241404203"/>
      <w:bookmarkStart w:id="26" w:name="_Toc221356888"/>
      <w:bookmarkStart w:id="27" w:name="_Toc223715999"/>
      <w:bookmarkStart w:id="28" w:name="_Toc222114880"/>
      <w:bookmarkStart w:id="29" w:name="_Toc221423620"/>
      <w:bookmarkStart w:id="30" w:name="_Toc265529384"/>
      <w:bookmarkStart w:id="31" w:name="_Toc221356952"/>
      <w:bookmarkStart w:id="32" w:name="_Toc221374627"/>
      <w:bookmarkStart w:id="33" w:name="_Toc24107"/>
      <w:bookmarkStart w:id="34" w:name="_Toc38203957"/>
      <w:bookmarkStart w:id="35" w:name="_Toc239145355"/>
      <w:r>
        <w:rPr>
          <w:rFonts w:hint="eastAsia" w:ascii="宋体" w:hAnsi="宋体" w:eastAsia="宋体" w:cs="宋体"/>
          <w:b/>
          <w:bCs/>
          <w:color w:val="auto"/>
          <w:sz w:val="21"/>
          <w:szCs w:val="21"/>
          <w:highlight w:val="none"/>
        </w:rPr>
        <w:t>五   开标</w:t>
      </w:r>
      <w:bookmarkEnd w:id="23"/>
      <w:bookmarkEnd w:id="24"/>
      <w:bookmarkEnd w:id="25"/>
      <w:bookmarkEnd w:id="26"/>
      <w:bookmarkEnd w:id="27"/>
      <w:bookmarkEnd w:id="28"/>
      <w:bookmarkEnd w:id="29"/>
      <w:bookmarkEnd w:id="30"/>
      <w:bookmarkEnd w:id="31"/>
      <w:bookmarkEnd w:id="32"/>
      <w:bookmarkEnd w:id="33"/>
      <w:bookmarkEnd w:id="34"/>
      <w:bookmarkEnd w:id="35"/>
    </w:p>
    <w:p w14:paraId="16BCFE85">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开标形式</w:t>
      </w:r>
    </w:p>
    <w:p w14:paraId="12A47EEA">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26.1 采购组织机构将按照采购文件规定的时间通过“政采云平台”组织开标、开启磋商响应文件，所有供应商均应当准时在线参加。</w:t>
      </w:r>
    </w:p>
    <w:p w14:paraId="1E534E06">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开标准备</w:t>
      </w:r>
    </w:p>
    <w:p w14:paraId="7226D88D">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27.1开标的准备工作由采购组织机构负责落实。</w:t>
      </w:r>
    </w:p>
    <w:p w14:paraId="4D7424D0">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469768ED">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开标流程（三阶段）</w:t>
      </w:r>
    </w:p>
    <w:p w14:paraId="712B5EAA">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28.1开标第一阶段</w:t>
      </w:r>
    </w:p>
    <w:p w14:paraId="5BA7CD93">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3862DEED">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（2）磋商响应文件解密结束，各供应商签署《政府采购活动现场确认声明书》（见附件）后将扫描件发送至采购代理机构邮箱：</w:t>
      </w:r>
      <w:r>
        <w:rPr>
          <w:rFonts w:hint="eastAsia" w:ascii="宋体" w:hAnsi="宋体" w:eastAsia="宋体" w:cs="宋体"/>
          <w:b w:val="0"/>
          <w:bCs w:val="0"/>
          <w:color w:val="auto"/>
          <w:sz w:val="21"/>
          <w:szCs w:val="21"/>
          <w:highlight w:val="none"/>
          <w:u w:val="single"/>
          <w:lang w:eastAsia="zh-CN"/>
        </w:rPr>
        <w:t>243995196</w:t>
      </w:r>
      <w:r>
        <w:rPr>
          <w:rFonts w:hint="eastAsia" w:ascii="宋体" w:hAnsi="宋体" w:eastAsia="宋体" w:cs="宋体"/>
          <w:b w:val="0"/>
          <w:bCs w:val="0"/>
          <w:color w:val="auto"/>
          <w:sz w:val="21"/>
          <w:szCs w:val="21"/>
          <w:highlight w:val="none"/>
          <w:u w:val="single"/>
        </w:rPr>
        <w:t>@qq.com</w:t>
      </w:r>
      <w:r>
        <w:rPr>
          <w:rFonts w:hint="eastAsia" w:ascii="宋体" w:hAnsi="宋体" w:eastAsia="宋体" w:cs="宋体"/>
          <w:b w:val="0"/>
          <w:bCs w:val="0"/>
          <w:color w:val="auto"/>
          <w:kern w:val="0"/>
          <w:sz w:val="21"/>
          <w:szCs w:val="21"/>
          <w:highlight w:val="none"/>
        </w:rPr>
        <w:t>；</w:t>
      </w:r>
    </w:p>
    <w:p w14:paraId="48EBE383">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（3）开启磋商响应文件，进入资格审查；</w:t>
      </w:r>
    </w:p>
    <w:p w14:paraId="2066B92A">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（4）开启资格审查通过的供应商的商务技术文件进入符合性审查、商务技术评审；</w:t>
      </w:r>
    </w:p>
    <w:p w14:paraId="1827A631">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（5）第一阶段开标结束。</w:t>
      </w:r>
    </w:p>
    <w:p w14:paraId="2154DBF7">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14:paraId="2B41D3C1">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28.2开标大会第二阶段</w:t>
      </w:r>
    </w:p>
    <w:p w14:paraId="43D602D5">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14:paraId="4B2894F4">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24D77B46">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28.3开标第三阶段</w:t>
      </w:r>
    </w:p>
    <w:p w14:paraId="31A9A1A5">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（1）供应商在规定的时间内在政采云平台提交二次（最终）报价</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供应商</w:t>
      </w:r>
      <w:r>
        <w:rPr>
          <w:rFonts w:hint="eastAsia" w:ascii="宋体" w:hAnsi="宋体" w:eastAsia="宋体" w:cs="宋体"/>
          <w:b w:val="0"/>
          <w:bCs w:val="0"/>
          <w:color w:val="auto"/>
          <w:kern w:val="0"/>
          <w:sz w:val="21"/>
          <w:szCs w:val="21"/>
          <w:highlight w:val="none"/>
          <w:lang w:val="en-US" w:eastAsia="zh-CN"/>
        </w:rPr>
        <w:t>未</w:t>
      </w:r>
      <w:r>
        <w:rPr>
          <w:rFonts w:hint="eastAsia" w:ascii="宋体" w:hAnsi="宋体" w:eastAsia="宋体" w:cs="宋体"/>
          <w:b w:val="0"/>
          <w:bCs w:val="0"/>
          <w:color w:val="auto"/>
          <w:kern w:val="0"/>
          <w:sz w:val="21"/>
          <w:szCs w:val="21"/>
          <w:highlight w:val="none"/>
        </w:rPr>
        <w:t>在规定的时间内在政采云平台提交二次（最终）报价</w:t>
      </w:r>
      <w:r>
        <w:rPr>
          <w:rFonts w:hint="eastAsia" w:ascii="宋体" w:hAnsi="宋体" w:eastAsia="宋体" w:cs="宋体"/>
          <w:b w:val="0"/>
          <w:bCs w:val="0"/>
          <w:color w:val="auto"/>
          <w:kern w:val="0"/>
          <w:sz w:val="21"/>
          <w:szCs w:val="21"/>
          <w:highlight w:val="none"/>
          <w:lang w:val="en-US" w:eastAsia="zh-CN"/>
        </w:rPr>
        <w:t>的，系统默认为放弃报价（放弃投标），不进入后续评审</w:t>
      </w:r>
      <w:r>
        <w:rPr>
          <w:rFonts w:hint="eastAsia" w:ascii="宋体" w:hAnsi="宋体" w:eastAsia="宋体" w:cs="宋体"/>
          <w:b w:val="0"/>
          <w:bCs w:val="0"/>
          <w:color w:val="auto"/>
          <w:kern w:val="0"/>
          <w:sz w:val="21"/>
          <w:szCs w:val="21"/>
          <w:highlight w:val="none"/>
        </w:rPr>
        <w:t>；</w:t>
      </w:r>
    </w:p>
    <w:p w14:paraId="12AB13CB">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（2）开启供应商的二次（最终）报价文件，公布二次（最终）报价有关内容，同时当场制作开标记录，供应商在线进行确认。开标结束后，由磋商小组对报价的合理性、准确性等进行审查核实。</w:t>
      </w:r>
    </w:p>
    <w:p w14:paraId="1DE33981">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▲特别说明：如遇“政采云平台”电子化开标或评审程序调整的，按调整后程序执行。</w:t>
      </w:r>
    </w:p>
    <w:p w14:paraId="174C3DE7">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bookmarkStart w:id="36" w:name="_Toc24550037"/>
      <w:bookmarkStart w:id="37" w:name="_Toc33194393"/>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.4、投标人在政采云客户端填写的报价与PDF格式上传文件中的报价不一致的，应以加盖单位公章或CA签章PDF的开标一览表的报价为准，修正客户端填写的报价。</w:t>
      </w:r>
    </w:p>
    <w:p w14:paraId="3DEE2DA9">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供应商资格审查</w:t>
      </w:r>
      <w:bookmarkEnd w:id="36"/>
      <w:bookmarkEnd w:id="37"/>
    </w:p>
    <w:p w14:paraId="159B073A">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0B1B27EF">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29.2供应商提交的资格审查材料无法证明其符合采购文件规定的“供应商资格要求”的，采购人或采购代理机构将对其作资格审查不通过处理（无效投标），并不再将其投标提交磋商小组进行后续评审。</w:t>
      </w:r>
    </w:p>
    <w:p w14:paraId="5C4B8BAC">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29.3单位负责人为同一人或者存在直接控股、管理关系的不同供应商参加同一合同项下的政府采购活动的，相关供应商均作资格无效处理。</w:t>
      </w:r>
    </w:p>
    <w:p w14:paraId="3D2C69A4">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auto"/>
          <w:sz w:val="21"/>
          <w:szCs w:val="21"/>
          <w:highlight w:val="none"/>
        </w:rPr>
      </w:pPr>
      <w:bookmarkStart w:id="38" w:name="_Toc57626729"/>
      <w:bookmarkStart w:id="39" w:name="_Toc20623"/>
      <w:bookmarkStart w:id="40" w:name="_Toc38618587"/>
      <w:r>
        <w:rPr>
          <w:rFonts w:hint="eastAsia" w:ascii="宋体" w:hAnsi="宋体" w:eastAsia="宋体" w:cs="宋体"/>
          <w:b/>
          <w:bCs/>
          <w:color w:val="auto"/>
          <w:sz w:val="21"/>
          <w:szCs w:val="21"/>
          <w:highlight w:val="none"/>
        </w:rPr>
        <w:t>六   磋商</w:t>
      </w:r>
      <w:bookmarkEnd w:id="22"/>
      <w:bookmarkEnd w:id="38"/>
      <w:bookmarkEnd w:id="39"/>
      <w:bookmarkEnd w:id="40"/>
    </w:p>
    <w:p w14:paraId="0CFE5000">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w:t>
      </w:r>
    </w:p>
    <w:p w14:paraId="51A3C620">
      <w:pPr>
        <w:spacing w:line="4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按照《中华人民共和国政府采购法》等有关法律、法规的规定组建磋商小组，磋商小组成员由采购人代表和有关技术、经济等方面的专家组成，成员人数为3人，除采购人代表外的专家将在评标专家库中随机抽取产生。</w:t>
      </w:r>
    </w:p>
    <w:p w14:paraId="3FB30DD9">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磋商评审过程的保密性</w:t>
      </w:r>
    </w:p>
    <w:p w14:paraId="7CBFA7A7">
      <w:pPr>
        <w:spacing w:line="4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7C43B1A8">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磋商和评审</w:t>
      </w:r>
    </w:p>
    <w:p w14:paraId="718C593E">
      <w:pPr>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磋商小组根据磋商文件的规定，对磋商响应文件的有效性、完整性和对磋商文件的响应程度进行审查，以确定其是否对磋商文件作出了实质性响应。实质上没有响应磋商文件要求的磋商响应文件将被否决。</w:t>
      </w:r>
    </w:p>
    <w:p w14:paraId="2F1008D3">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32.2评审过程中磋商供应商有义务对磋商小组提出就磋商响应文件中含义不明确、同类问题表述不</w:t>
      </w:r>
      <w:r>
        <w:rPr>
          <w:rFonts w:hint="eastAsia" w:ascii="宋体" w:hAnsi="宋体" w:eastAsia="宋体" w:cs="宋体"/>
          <w:color w:val="auto"/>
          <w:sz w:val="21"/>
          <w:szCs w:val="21"/>
          <w:highlight w:val="none"/>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04ABD0BE">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r>
        <w:rPr>
          <w:rFonts w:hint="eastAsia" w:ascii="宋体" w:hAnsi="宋体" w:eastAsia="宋体" w:cs="宋体"/>
          <w:color w:val="auto"/>
          <w:sz w:val="21"/>
          <w:szCs w:val="21"/>
          <w:highlight w:val="none"/>
          <w:u w:val="single"/>
        </w:rPr>
        <w:t>▲</w:t>
      </w:r>
      <w:r>
        <w:rPr>
          <w:rFonts w:hint="eastAsia" w:ascii="宋体" w:hAnsi="宋体" w:eastAsia="宋体" w:cs="宋体"/>
          <w:b/>
          <w:bCs/>
          <w:color w:val="auto"/>
          <w:sz w:val="21"/>
          <w:szCs w:val="21"/>
          <w:highlight w:val="none"/>
          <w:u w:val="single"/>
        </w:rPr>
        <w:t>经澄清后，若偏差仍存在，且不可接受，磋商供应商则被认为是“没有实质性响应采购文件要求”，其磋商不进入下一步评审</w:t>
      </w:r>
      <w:r>
        <w:rPr>
          <w:rFonts w:hint="eastAsia" w:ascii="宋体" w:hAnsi="宋体" w:eastAsia="宋体" w:cs="宋体"/>
          <w:color w:val="auto"/>
          <w:sz w:val="21"/>
          <w:szCs w:val="21"/>
          <w:highlight w:val="none"/>
        </w:rPr>
        <w:t>。</w:t>
      </w:r>
    </w:p>
    <w:p w14:paraId="4B0E54CB">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3C0724C8">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168FCCC8">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32.6在磋商过程中，磋商供应商不得向磋商小组成员询问磋商情况，不得进行旨在影响磋商结果的活动，否则将取消其磋商资格。</w:t>
      </w:r>
    </w:p>
    <w:p w14:paraId="442286F6">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32.7在磋商过程中，磋商小组成员不得与磋商供应商私下交换意见，在竞争性磋商结束后，凡与磋商情况有接触的人不得将磋商情况扩散出磋商小组成员外。</w:t>
      </w:r>
    </w:p>
    <w:p w14:paraId="498F1FB6">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32.8磋商结束后，磋商小组将要求磋商供应商在规定的时间内，统一进行最后报价，最后报价不得高于一次报价（磋商小组另有决议的除外）。</w:t>
      </w:r>
    </w:p>
    <w:p w14:paraId="454974CF">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在磋商响应文件的评审过程中，有下列情况之一的，经磋商小组认定后按无效标处理</w:t>
      </w:r>
      <w:r>
        <w:rPr>
          <w:rFonts w:hint="eastAsia" w:ascii="宋体" w:hAnsi="宋体" w:eastAsia="宋体" w:cs="宋体"/>
          <w:color w:val="auto"/>
          <w:sz w:val="21"/>
          <w:szCs w:val="21"/>
          <w:highlight w:val="none"/>
        </w:rPr>
        <w:t>：</w:t>
      </w:r>
    </w:p>
    <w:p w14:paraId="2020A07B">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磋商响应文件未按采购文件的要求签章的；</w:t>
      </w:r>
    </w:p>
    <w:p w14:paraId="58FAE681">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授权代表没有法定代表人合法、有效委托的；</w:t>
      </w:r>
    </w:p>
    <w:p w14:paraId="62B54C32">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电子磋商响应文件解密失败的，且未在规定时间内提交备份磋商响应文件的；</w:t>
      </w:r>
    </w:p>
    <w:p w14:paraId="2D66CEEC">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磋商响应文件内容不全或关键字迹模糊无法辨认的。</w:t>
      </w:r>
    </w:p>
    <w:p w14:paraId="1EADC50D">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供应商递交两份或多份内容不同的磋商响应文件,或在一份磋商响应文件中对同一项目报价有两个或多个报价,且未声明哪一个有效（大小写不一致的除外）。</w:t>
      </w:r>
    </w:p>
    <w:p w14:paraId="0B0C8555">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磋商响应文件附有采购人不能接受的条件；</w:t>
      </w:r>
    </w:p>
    <w:p w14:paraId="0EBD51B1">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磋商响应文件采用总价让利或百分比让利等让利方式报价；</w:t>
      </w:r>
    </w:p>
    <w:p w14:paraId="2DE5FF7E">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供应商报价超过项目预算金额的；</w:t>
      </w:r>
    </w:p>
    <w:p w14:paraId="2279B997">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磋商小组认定不符合法律、法规和采购文件中规定的其他实质性要求的。</w:t>
      </w:r>
    </w:p>
    <w:p w14:paraId="31F88F2E">
      <w:pPr>
        <w:spacing w:line="380" w:lineRule="exact"/>
        <w:ind w:firstLine="406" w:firstLineChars="19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10）参与同一个采购包（标段）的供应商存在下列情形之一的，其投标（响应）文件无效：</w:t>
      </w:r>
    </w:p>
    <w:p w14:paraId="5809CE3C">
      <w:pPr>
        <w:spacing w:line="460" w:lineRule="exact"/>
        <w:ind w:firstLine="620" w:firstLineChars="29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①</w:t>
      </w:r>
      <w:r>
        <w:rPr>
          <w:rFonts w:hint="eastAsia" w:ascii="宋体" w:hAnsi="宋体" w:eastAsia="宋体" w:cs="宋体"/>
          <w:b/>
          <w:bCs/>
          <w:color w:val="auto"/>
          <w:kern w:val="0"/>
          <w:szCs w:val="21"/>
          <w:highlight w:val="none"/>
          <w:lang w:val="en-US" w:eastAsia="zh-CN"/>
        </w:rPr>
        <w:t>不同供应商的电子投标（响应）文件上传计算机的IP地址、MAC地址、硬盘序列号等硬件信息相同的；</w:t>
      </w:r>
    </w:p>
    <w:p w14:paraId="55B9F4DA">
      <w:pPr>
        <w:spacing w:line="460" w:lineRule="exact"/>
        <w:ind w:firstLine="620" w:firstLineChars="29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②上传的电子投标（响应）文件若出现使用本项目其他投标（响应）人的数字证书加密的，或者加盖本项目其他投标（响应）人的电子印章的；</w:t>
      </w:r>
    </w:p>
    <w:p w14:paraId="43CAD8F3">
      <w:pPr>
        <w:spacing w:line="460" w:lineRule="exact"/>
        <w:ind w:firstLine="620" w:firstLineChars="29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③不同供应商的投标（响应）文件的内容存在两处以上细节错误一致，且无法合理解释的；</w:t>
      </w:r>
    </w:p>
    <w:p w14:paraId="7FD672BE">
      <w:pPr>
        <w:spacing w:line="460" w:lineRule="exact"/>
        <w:ind w:firstLine="620" w:firstLineChars="29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④不同供应商联系人为同一人或不同联系人的联系电话一致，且无法合理解释的。</w:t>
      </w:r>
    </w:p>
    <w:p w14:paraId="0AB29BD9">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rPr>
        <w:t>有下列情形之一的，视为供应商串通投标，其磋商响应文件无效</w:t>
      </w:r>
      <w:r>
        <w:rPr>
          <w:rFonts w:hint="eastAsia" w:ascii="宋体" w:hAnsi="宋体" w:eastAsia="宋体" w:cs="宋体"/>
          <w:color w:val="auto"/>
          <w:kern w:val="0"/>
          <w:sz w:val="21"/>
          <w:szCs w:val="21"/>
          <w:highlight w:val="none"/>
        </w:rPr>
        <w:t>：</w:t>
      </w:r>
    </w:p>
    <w:p w14:paraId="14CCAB59">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不同供应商的磋商响应文件由同一单位或者个人编制；</w:t>
      </w:r>
    </w:p>
    <w:p w14:paraId="0FBA65E4">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不同供应商委托同一单位或者个人办理投标事宜；</w:t>
      </w:r>
    </w:p>
    <w:p w14:paraId="657632AC">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不同供应商的磋商响应文件载明的项目管理成员或者联系人员为同一人；</w:t>
      </w:r>
    </w:p>
    <w:p w14:paraId="306DD87B">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不同供应商的磋商响应文件异常一致或者投标报价呈规律性差异；</w:t>
      </w:r>
    </w:p>
    <w:p w14:paraId="15B1ED44">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不同供应商的磋商响应文件相互混装。</w:t>
      </w:r>
    </w:p>
    <w:p w14:paraId="1118E38A">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推荐成交候选供应商</w:t>
      </w:r>
    </w:p>
    <w:p w14:paraId="502EA4FF">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本项目采购由磋商小组向采购人推荐成交候选供应商。</w:t>
      </w:r>
    </w:p>
    <w:p w14:paraId="43663B51">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磋商小组根据综合评审情况，按照评审得分由高到低顺序, 综合得分前三名供应商依次作为第一、第二、第三成交候选人向采购人推荐（得分相同投标报价低的排序前位；得分且投标报价相同的并列，磋商响应文件满足采购文件全部实质性要求，且按照评审因素的量化指标评审得分最高的供应商为中标候选人）。</w:t>
      </w:r>
    </w:p>
    <w:p w14:paraId="036477FE">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在磋商过程中符合竞争要求的供应商或者最终报价未超过采购预算的供应商不足3家</w:t>
      </w:r>
      <w:r>
        <w:rPr>
          <w:rFonts w:hint="eastAsia" w:ascii="宋体" w:hAnsi="宋体" w:eastAsia="宋体" w:cs="宋体"/>
          <w:b/>
          <w:bCs/>
          <w:color w:val="auto"/>
          <w:sz w:val="21"/>
          <w:szCs w:val="21"/>
          <w:highlight w:val="none"/>
          <w:lang w:eastAsia="zh-CN"/>
        </w:rPr>
        <w:t>，</w:t>
      </w:r>
    </w:p>
    <w:p w14:paraId="3FE3C0E9">
      <w:pPr>
        <w:numPr>
          <w:ilvl w:val="0"/>
          <w:numId w:val="0"/>
        </w:numPr>
        <w:spacing w:line="44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磋商过程中符合竞争要求的供应商或者最终报价未超过采购预算的供应商</w:t>
      </w:r>
      <w:r>
        <w:rPr>
          <w:rFonts w:hint="eastAsia" w:ascii="宋体" w:hAnsi="宋体" w:eastAsia="宋体" w:cs="宋体"/>
          <w:b/>
          <w:bCs/>
          <w:color w:val="auto"/>
          <w:sz w:val="21"/>
          <w:szCs w:val="21"/>
          <w:highlight w:val="none"/>
          <w:lang w:val="en-US" w:eastAsia="zh-CN"/>
        </w:rPr>
        <w:t>只有</w:t>
      </w:r>
      <w:r>
        <w:rPr>
          <w:rFonts w:hint="eastAsia" w:ascii="宋体" w:hAnsi="宋体" w:eastAsia="宋体" w:cs="宋体"/>
          <w:b/>
          <w:bCs/>
          <w:color w:val="auto"/>
          <w:sz w:val="21"/>
          <w:szCs w:val="21"/>
          <w:highlight w:val="none"/>
        </w:rPr>
        <w:t>2家</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可</w:t>
      </w:r>
      <w:r>
        <w:rPr>
          <w:rFonts w:hint="eastAsia" w:ascii="宋体" w:hAnsi="宋体" w:eastAsia="宋体" w:cs="宋体"/>
          <w:b/>
          <w:bCs/>
          <w:color w:val="auto"/>
          <w:sz w:val="21"/>
          <w:szCs w:val="21"/>
          <w:highlight w:val="none"/>
        </w:rPr>
        <w:t>按照《财政部关于政府采购竞争性磋商采购方式管理暂行办法有关问题的补充通知》相关规定</w:t>
      </w:r>
      <w:r>
        <w:rPr>
          <w:rFonts w:hint="eastAsia" w:ascii="宋体" w:hAnsi="宋体" w:eastAsia="宋体" w:cs="宋体"/>
          <w:b/>
          <w:bCs/>
          <w:color w:val="auto"/>
          <w:sz w:val="21"/>
          <w:szCs w:val="21"/>
          <w:highlight w:val="none"/>
          <w:lang w:eastAsia="zh-CN"/>
        </w:rPr>
        <w:t>，竞争性磋商采购活动可以继续进行</w:t>
      </w:r>
      <w:r>
        <w:rPr>
          <w:rFonts w:hint="eastAsia" w:ascii="宋体" w:hAnsi="宋体" w:eastAsia="宋体" w:cs="宋体"/>
          <w:b/>
          <w:bCs/>
          <w:color w:val="auto"/>
          <w:sz w:val="21"/>
          <w:szCs w:val="21"/>
          <w:highlight w:val="none"/>
        </w:rPr>
        <w:t>，按照两名供应商的综合得分排名推荐为成交候选供应商及成交备选供应商。</w:t>
      </w:r>
    </w:p>
    <w:p w14:paraId="7D08CCA0">
      <w:pPr>
        <w:numPr>
          <w:ilvl w:val="0"/>
          <w:numId w:val="0"/>
        </w:numPr>
        <w:spacing w:line="44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磋商过程中符合竞争要求的供应商或者最终报价未超过采购预算的供应商仅有1家，终止竞争性磋商采购活动，重新开展采购活动。</w:t>
      </w:r>
    </w:p>
    <w:p w14:paraId="6E5577F0">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采购人、采购代理机构及磋商小组不向落选的供应商解释落选原因，也不公布评审磋商过程中的相关细节，不退还磋商响应文件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同时根据政府采购法实施条例第四十条规定，本项目不对供应商公布详细的评审情况，不公布具体</w:t>
      </w:r>
      <w:r>
        <w:rPr>
          <w:rFonts w:hint="eastAsia" w:ascii="宋体" w:hAnsi="宋体" w:eastAsia="宋体" w:cs="宋体"/>
          <w:color w:val="auto"/>
          <w:kern w:val="0"/>
          <w:sz w:val="21"/>
          <w:szCs w:val="21"/>
          <w:highlight w:val="none"/>
          <w:lang w:eastAsia="zh-CN"/>
        </w:rPr>
        <w:t>评分细则</w:t>
      </w:r>
      <w:r>
        <w:rPr>
          <w:rFonts w:hint="eastAsia" w:ascii="宋体" w:hAnsi="宋体" w:eastAsia="宋体" w:cs="宋体"/>
          <w:color w:val="auto"/>
          <w:kern w:val="0"/>
          <w:sz w:val="21"/>
          <w:szCs w:val="21"/>
          <w:highlight w:val="none"/>
        </w:rPr>
        <w:t>中小项得分</w:t>
      </w:r>
      <w:r>
        <w:rPr>
          <w:rFonts w:hint="eastAsia" w:ascii="宋体" w:hAnsi="宋体" w:eastAsia="宋体" w:cs="宋体"/>
          <w:color w:val="auto"/>
          <w:sz w:val="21"/>
          <w:szCs w:val="21"/>
          <w:highlight w:val="none"/>
        </w:rPr>
        <w:t>。</w:t>
      </w:r>
    </w:p>
    <w:p w14:paraId="3FDE0061">
      <w:pPr>
        <w:numPr>
          <w:ilvl w:val="0"/>
          <w:numId w:val="5"/>
        </w:numPr>
        <w:tabs>
          <w:tab w:val="left" w:pos="540"/>
        </w:tabs>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 xml:space="preserve"> 评标细则详见“磋商原则及方法”</w:t>
      </w:r>
      <w:r>
        <w:rPr>
          <w:rFonts w:hint="eastAsia" w:ascii="宋体" w:hAnsi="宋体" w:eastAsia="宋体" w:cs="宋体"/>
          <w:bCs/>
          <w:color w:val="auto"/>
          <w:sz w:val="21"/>
          <w:szCs w:val="21"/>
          <w:highlight w:val="none"/>
        </w:rPr>
        <w:t>。</w:t>
      </w:r>
    </w:p>
    <w:p w14:paraId="7B4581C8">
      <w:pPr>
        <w:numPr>
          <w:ilvl w:val="0"/>
          <w:numId w:val="5"/>
        </w:numPr>
        <w:tabs>
          <w:tab w:val="left" w:pos="540"/>
        </w:tabs>
        <w:spacing w:line="440" w:lineRule="exact"/>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可中止电子交易活动的情形</w:t>
      </w:r>
    </w:p>
    <w:p w14:paraId="62D450BB">
      <w:pPr>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39.1采购过程中出现以下情形，导致电子交易平台无法正常运行，或者无法保证电子交易的公平、公正和安全时，采购组织机构可中止电子交易活动：</w:t>
      </w:r>
    </w:p>
    <w:p w14:paraId="6E1498E3">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电子交易平台发生故障而无法登录访问的；</w:t>
      </w:r>
    </w:p>
    <w:p w14:paraId="2A881BF2">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②</w:t>
      </w:r>
      <w:r>
        <w:rPr>
          <w:rFonts w:hint="eastAsia" w:ascii="宋体" w:hAnsi="宋体" w:eastAsia="宋体" w:cs="宋体"/>
          <w:color w:val="auto"/>
          <w:kern w:val="0"/>
          <w:sz w:val="21"/>
          <w:szCs w:val="21"/>
          <w:highlight w:val="none"/>
        </w:rPr>
        <w:t>电子交易平台应用或数据库出现错误，不能进行正常操作的；</w:t>
      </w:r>
    </w:p>
    <w:p w14:paraId="4744262F">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电子交易平台发现严重安全漏洞，有潜在泄密危险的；</w:t>
      </w:r>
    </w:p>
    <w:p w14:paraId="64530C0D">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rPr>
        <w:t>病毒发作导致不能进行正常操作的；</w:t>
      </w:r>
    </w:p>
    <w:p w14:paraId="64ED3A70">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⑤</w:t>
      </w:r>
      <w:r>
        <w:rPr>
          <w:rFonts w:hint="eastAsia" w:ascii="宋体" w:hAnsi="宋体" w:eastAsia="宋体" w:cs="宋体"/>
          <w:color w:val="auto"/>
          <w:kern w:val="0"/>
          <w:sz w:val="21"/>
          <w:szCs w:val="21"/>
          <w:highlight w:val="none"/>
        </w:rPr>
        <w:t>其他无法保证电子交易的公平、公正和安全的情况。</w:t>
      </w:r>
    </w:p>
    <w:p w14:paraId="76FE523B">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39.2出现前款规定情形，不影响采购公平、公正性的，采购组织机构可以待上述情形消除后继续组织电子交易活动；影响或可能影响采购公平、公正性的，应当重新采购。</w:t>
      </w:r>
    </w:p>
    <w:p w14:paraId="2D8C2716">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41" w:name="_Toc30604"/>
      <w:bookmarkStart w:id="42" w:name="_Toc57626730"/>
      <w:bookmarkStart w:id="43" w:name="_Toc38618588"/>
      <w:bookmarkStart w:id="44" w:name="_Toc5193"/>
      <w:r>
        <w:rPr>
          <w:rFonts w:hint="eastAsia" w:ascii="宋体" w:hAnsi="宋体" w:eastAsia="宋体" w:cs="宋体"/>
          <w:b/>
          <w:bCs/>
          <w:color w:val="auto"/>
          <w:sz w:val="21"/>
          <w:szCs w:val="21"/>
          <w:highlight w:val="none"/>
        </w:rPr>
        <w:t>七   定标及授予合同</w:t>
      </w:r>
      <w:bookmarkEnd w:id="41"/>
      <w:bookmarkEnd w:id="42"/>
      <w:bookmarkEnd w:id="43"/>
      <w:bookmarkEnd w:id="44"/>
    </w:p>
    <w:p w14:paraId="3EB6FFF7">
      <w:pPr>
        <w:numPr>
          <w:ilvl w:val="0"/>
          <w:numId w:val="5"/>
        </w:numPr>
        <w:tabs>
          <w:tab w:val="left" w:pos="540"/>
        </w:tabs>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确定成交供应商</w:t>
      </w:r>
    </w:p>
    <w:p w14:paraId="3103AD21">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40.1采购人自收到评标报告之日起5个工作日内，在评标报告确定的成交候选供应商名单中按顺序确定成交供应商。</w:t>
      </w:r>
    </w:p>
    <w:p w14:paraId="613E9365">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40.2成交供应商确定之日起2个工作日内，在“政采云”平台上公示成交结果，采购结果公示期限为1个工作日。</w:t>
      </w:r>
    </w:p>
    <w:p w14:paraId="6A6A0847">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.3在公告成交结果的同时，采购人向成交供应商发出成交通知书。</w:t>
      </w:r>
    </w:p>
    <w:p w14:paraId="20318FF0">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.4各供应商对评标结果如有异议，可在成交结果公示之日起7个工作日内以书面形式向采购人进行署名投诉或提出质疑，但需对投诉或质疑内容的真实性承担法律责任。</w:t>
      </w:r>
    </w:p>
    <w:p w14:paraId="024C652F">
      <w:pPr>
        <w:numPr>
          <w:ilvl w:val="0"/>
          <w:numId w:val="5"/>
        </w:numPr>
        <w:tabs>
          <w:tab w:val="left" w:pos="540"/>
        </w:tabs>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签订合同</w:t>
      </w:r>
    </w:p>
    <w:p w14:paraId="2063F405">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公示期结束后，中标投标人须在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个工作日内主动联系采购人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沟通缴纳履约保证金（如银行账号等信息）及合同签订相关事宜</w:t>
      </w:r>
      <w:r>
        <w:rPr>
          <w:rFonts w:hint="eastAsia" w:ascii="宋体" w:hAnsi="宋体" w:eastAsia="宋体" w:cs="宋体"/>
          <w:color w:val="auto"/>
          <w:sz w:val="21"/>
          <w:szCs w:val="21"/>
          <w:highlight w:val="none"/>
        </w:rPr>
        <w:t>。中标人应当</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中标通知书发出之日起30日内</w:t>
      </w:r>
      <w:r>
        <w:rPr>
          <w:rFonts w:hint="eastAsia" w:ascii="宋体" w:hAnsi="宋体" w:eastAsia="宋体" w:cs="宋体"/>
          <w:color w:val="auto"/>
          <w:sz w:val="21"/>
          <w:szCs w:val="21"/>
          <w:highlight w:val="none"/>
          <w:lang w:eastAsia="zh-CN"/>
        </w:rPr>
        <w:t>，按照招标文件和中标人投标文件的规定，与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人签订书面合同。</w:t>
      </w:r>
      <w:r>
        <w:rPr>
          <w:rFonts w:hint="eastAsia" w:ascii="宋体" w:hAnsi="宋体" w:eastAsia="宋体" w:cs="宋体"/>
          <w:color w:val="auto"/>
          <w:sz w:val="21"/>
          <w:szCs w:val="21"/>
          <w:highlight w:val="none"/>
        </w:rPr>
        <w:t>中标投标人未经采购人许可，在规定时间内未到采购人处与采购人签订合同，则视为拒签合同。</w:t>
      </w:r>
    </w:p>
    <w:p w14:paraId="6A09693F">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41.2采购文件、成交供应商的磋商响应文件及投标修改文件、评标过程中有关澄清文件及经双方签字的询标纪要（承诺）和成交通知书均作为合同附件。</w:t>
      </w:r>
    </w:p>
    <w:p w14:paraId="5D62091F">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41.3拒签合同的责任</w:t>
      </w:r>
    </w:p>
    <w:p w14:paraId="0D11271B">
      <w:pPr>
        <w:tabs>
          <w:tab w:val="left" w:pos="5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中标投标人在规定时间内（</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中标通知书发出之日起30日历天</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）借故否认已经承诺的条件、拒签合同或拒交履约保证金者，以投标违约处理，其投标保证金不予退回，并赔偿采购人由此造成的直接经济损失；采购人重新组织采购的，所需费用由原中标投标人承担。</w:t>
      </w:r>
    </w:p>
    <w:p w14:paraId="3B3E4E7F">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成交供应商有以下情况的，则采购人有权决定是否将其成交资格转交成交备选供应商或重新组织项目采购流程：</w:t>
      </w:r>
    </w:p>
    <w:p w14:paraId="72E09DE6">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成交供应商主动放弃成交资格；</w:t>
      </w:r>
    </w:p>
    <w:p w14:paraId="674FCA9C">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成交供应商因不可抗力提出不能履行合同；</w:t>
      </w:r>
    </w:p>
    <w:p w14:paraId="0A605505">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成交供应商未能在规定时间内与采购人签订合同；</w:t>
      </w:r>
    </w:p>
    <w:p w14:paraId="159117EF">
      <w:pPr>
        <w:numPr>
          <w:ilvl w:val="0"/>
          <w:numId w:val="10"/>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经质疑，采购人审查后，成交供应商确实在本次采购活动中存在违法违规行为或其他原因使质疑成立的。</w:t>
      </w:r>
    </w:p>
    <w:p w14:paraId="1183E2C5">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未详尽事宜，遵照有关法律法规及规范性文件的规定执行。</w:t>
      </w:r>
    </w:p>
    <w:p w14:paraId="3394FA1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571D7B7">
      <w:pPr>
        <w:pStyle w:val="51"/>
        <w:rPr>
          <w:rFonts w:hint="eastAsia" w:ascii="宋体" w:hAnsi="宋体" w:eastAsia="宋体" w:cs="宋体"/>
          <w:color w:val="auto"/>
          <w:kern w:val="2"/>
          <w:sz w:val="36"/>
          <w:szCs w:val="36"/>
          <w:highlight w:val="none"/>
        </w:rPr>
      </w:pPr>
      <w:bookmarkStart w:id="45" w:name="_Toc497985017"/>
      <w:bookmarkStart w:id="46" w:name="_Toc8508"/>
      <w:bookmarkStart w:id="47" w:name="_Toc495955195"/>
      <w:r>
        <w:rPr>
          <w:rFonts w:hint="eastAsia" w:ascii="宋体" w:hAnsi="宋体" w:eastAsia="宋体" w:cs="宋体"/>
          <w:color w:val="auto"/>
          <w:kern w:val="2"/>
          <w:sz w:val="36"/>
          <w:szCs w:val="36"/>
          <w:highlight w:val="none"/>
        </w:rPr>
        <w:t xml:space="preserve"> </w:t>
      </w:r>
      <w:bookmarkStart w:id="48" w:name="_Toc21348"/>
      <w:bookmarkStart w:id="49" w:name="_Toc16920"/>
      <w:r>
        <w:rPr>
          <w:rFonts w:hint="eastAsia" w:ascii="宋体" w:hAnsi="宋体" w:eastAsia="宋体" w:cs="宋体"/>
          <w:color w:val="auto"/>
          <w:sz w:val="36"/>
          <w:szCs w:val="36"/>
          <w:highlight w:val="none"/>
        </w:rPr>
        <w:t xml:space="preserve">第二部分   </w:t>
      </w:r>
      <w:r>
        <w:rPr>
          <w:rFonts w:hint="eastAsia" w:ascii="宋体" w:hAnsi="宋体" w:eastAsia="宋体" w:cs="宋体"/>
          <w:color w:val="auto"/>
          <w:kern w:val="2"/>
          <w:sz w:val="36"/>
          <w:szCs w:val="36"/>
          <w:highlight w:val="none"/>
        </w:rPr>
        <w:t>政府采购政策功能相关说明</w:t>
      </w:r>
      <w:bookmarkEnd w:id="45"/>
      <w:bookmarkEnd w:id="46"/>
      <w:bookmarkEnd w:id="47"/>
      <w:bookmarkEnd w:id="48"/>
      <w:bookmarkEnd w:id="49"/>
    </w:p>
    <w:p w14:paraId="51106CFB">
      <w:pPr>
        <w:jc w:val="left"/>
        <w:rPr>
          <w:rFonts w:hint="eastAsia" w:ascii="宋体" w:hAnsi="宋体" w:eastAsia="宋体" w:cs="宋体"/>
          <w:b/>
          <w:color w:val="auto"/>
          <w:sz w:val="22"/>
          <w:highlight w:val="none"/>
        </w:rPr>
      </w:pPr>
    </w:p>
    <w:p w14:paraId="242F38A5">
      <w:pPr>
        <w:jc w:val="center"/>
        <w:rPr>
          <w:rFonts w:hint="eastAsia" w:ascii="宋体" w:hAnsi="宋体" w:eastAsia="宋体" w:cs="宋体"/>
          <w:b/>
          <w:bCs/>
          <w:color w:val="auto"/>
          <w:sz w:val="28"/>
          <w:szCs w:val="28"/>
          <w:highlight w:val="none"/>
        </w:rPr>
      </w:pPr>
    </w:p>
    <w:p w14:paraId="11C3408F">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一、中小企业（含监狱企业、残疾人福利性单位）扶持政策说明</w:t>
      </w:r>
    </w:p>
    <w:p w14:paraId="28E52B1A">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1、文件依据</w:t>
      </w:r>
    </w:p>
    <w:p w14:paraId="163FB36A">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（1）关于印发《政府采购促进中小企业发展管理办法》的通知（财库[2020]46号）</w:t>
      </w:r>
    </w:p>
    <w:p w14:paraId="6F4F1AE7">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（2）《工业和信息化部、国家统计局、国家发展和改革委员会、财政部关于印发中小企业划型标准规定的通知》（工信部联企业[2011]300号）</w:t>
      </w:r>
    </w:p>
    <w:p w14:paraId="69DB6DC1">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（3）财政部、司法部《关于政府采购支持监狱企业发展有关问题的通知》（财库〔2014〕68号）</w:t>
      </w:r>
    </w:p>
    <w:p w14:paraId="1EEE5CB3">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（4）《财政部 民政部 中国残疾人联合会关于促进残疾人就业政府采购政策的通知》（财库〔2017〕 141号）</w:t>
      </w:r>
    </w:p>
    <w:p w14:paraId="3751267D">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（5）《浙江省财政厅  浙江省经济和信息化委员会关于简化中小企业类别确认流程有关事项的通知》（浙财采监〔2018〕2号)</w:t>
      </w:r>
    </w:p>
    <w:p w14:paraId="0E51D7DE">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color w:val="auto"/>
          <w:sz w:val="21"/>
          <w:szCs w:val="21"/>
        </w:rPr>
        <w:t>财政部关于进一步加大政府采购支持中小企业力度的通知（财库〔2022〕19号）的相关规定</w:t>
      </w:r>
    </w:p>
    <w:p w14:paraId="1B934523">
      <w:pPr>
        <w:spacing w:line="440" w:lineRule="atLeas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2.供应商提供的货物、工程或者服务符合下列情形的，享受中小企业扶持政策：</w:t>
      </w:r>
    </w:p>
    <w:p w14:paraId="464655D9">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（1）在货物采购项目中，货物由中小企业制造，即货物由中小企业生产且使用该中小企业商号或者注册商标；</w:t>
      </w:r>
    </w:p>
    <w:p w14:paraId="21C5ADD7">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（2）在工程采购项目中，工程由中小企业承建，即工程施工单位为中小企业；</w:t>
      </w:r>
    </w:p>
    <w:p w14:paraId="1CD9CD87">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（3）在服务采购项目中，服务由中小企业承接，即提供服务的人员为中小企业依照《中华人民共和国劳动合同法》订立劳动合同的从业人员。</w:t>
      </w:r>
    </w:p>
    <w:p w14:paraId="5DF9A07A">
      <w:pPr>
        <w:spacing w:line="440" w:lineRule="atLeas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3.小微企业（含监狱企业、残疾人福利性单位）评审扶持政策</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p>
    <w:p w14:paraId="2A83887F">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3.1、货物、服务类项目</w:t>
      </w:r>
    </w:p>
    <w:p w14:paraId="6CE525EE">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1"/>
          <w:szCs w:val="21"/>
          <w:u w:val="single"/>
        </w:rPr>
        <w:t>0%的扣除</w:t>
      </w:r>
      <w:r>
        <w:rPr>
          <w:rFonts w:hint="eastAsia" w:ascii="宋体" w:hAnsi="宋体" w:eastAsia="宋体" w:cs="宋体"/>
          <w:bCs/>
          <w:color w:val="auto"/>
          <w:sz w:val="21"/>
          <w:szCs w:val="21"/>
        </w:rPr>
        <w:t>，用扣除后的价格参与评审</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Cs/>
          <w:color w:val="auto"/>
          <w:sz w:val="21"/>
          <w:szCs w:val="21"/>
        </w:rPr>
        <w:t>。</w:t>
      </w:r>
    </w:p>
    <w:p w14:paraId="4D664A1F">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1"/>
          <w:szCs w:val="21"/>
          <w:u w:val="single"/>
        </w:rPr>
        <w:t>4%给予扣除（仅适用于接受联合体投标或分包小微企业的）</w:t>
      </w:r>
      <w:r>
        <w:rPr>
          <w:rFonts w:hint="eastAsia" w:ascii="宋体" w:hAnsi="宋体" w:eastAsia="宋体" w:cs="宋体"/>
          <w:bCs/>
          <w:color w:val="auto"/>
          <w:sz w:val="21"/>
          <w:szCs w:val="21"/>
        </w:rPr>
        <w:t>，用扣除后的价格参加评审</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Cs/>
          <w:color w:val="auto"/>
          <w:sz w:val="21"/>
          <w:szCs w:val="21"/>
        </w:rPr>
        <w:t>。</w:t>
      </w:r>
    </w:p>
    <w:p w14:paraId="35747DF3">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（3）在货物采购项目中，供应商提供的货物既有中小企业制造货物，也有大型企业制造货物的，不享受中小企业扶持政策。</w:t>
      </w:r>
    </w:p>
    <w:p w14:paraId="20EFF73C">
      <w:pPr>
        <w:spacing w:line="440" w:lineRule="atLeast"/>
        <w:ind w:firstLine="428" w:firstLineChars="200"/>
        <w:jc w:val="left"/>
        <w:rPr>
          <w:rFonts w:hint="eastAsia" w:ascii="宋体" w:hAnsi="宋体" w:eastAsia="宋体" w:cs="宋体"/>
          <w:b/>
          <w:color w:val="auto"/>
          <w:sz w:val="21"/>
          <w:szCs w:val="21"/>
        </w:rPr>
      </w:pPr>
      <w:r>
        <w:rPr>
          <w:rFonts w:hint="eastAsia" w:ascii="宋体" w:hAnsi="宋体" w:eastAsia="宋体" w:cs="宋体"/>
          <w:bCs/>
          <w:color w:val="auto"/>
          <w:sz w:val="21"/>
          <w:szCs w:val="21"/>
        </w:rPr>
        <w:t>（4）</w:t>
      </w:r>
      <w:r>
        <w:rPr>
          <w:rFonts w:hint="eastAsia" w:ascii="宋体" w:hAnsi="宋体" w:eastAsia="宋体" w:cs="宋体"/>
          <w:b/>
          <w:color w:val="auto"/>
          <w:sz w:val="21"/>
          <w:szCs w:val="21"/>
          <w:u w:val="single"/>
        </w:rPr>
        <w:t>以联合体形式参加政府采购活动，联合体各方均为</w:t>
      </w:r>
      <w:r>
        <w:rPr>
          <w:rFonts w:hint="eastAsia" w:ascii="宋体" w:hAnsi="宋体" w:eastAsia="宋体" w:cs="宋体"/>
          <w:b/>
          <w:color w:val="auto"/>
          <w:sz w:val="21"/>
          <w:szCs w:val="21"/>
        </w:rPr>
        <w:t>中小企业的，联合体视同中小企业。其中，联合体各方均为小微企业的，联合体视同小微企业。</w:t>
      </w:r>
    </w:p>
    <w:p w14:paraId="15F7A470">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3.2工程项目</w:t>
      </w:r>
    </w:p>
    <w:p w14:paraId="16FBC448">
      <w:pPr>
        <w:spacing w:line="440" w:lineRule="atLeast"/>
        <w:ind w:firstLine="428"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采购人、采购代理机构应当对符合规定的小微企业报价给予 3%的扣除，用扣除后的价格参加评审</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
          <w:color w:val="auto"/>
          <w:sz w:val="21"/>
          <w:szCs w:val="21"/>
        </w:rPr>
        <w:t>。</w:t>
      </w:r>
    </w:p>
    <w:p w14:paraId="2E00AFDB">
      <w:pPr>
        <w:spacing w:line="440" w:lineRule="atLeas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u w:val="single"/>
        </w:rPr>
        <w:t>4.享受小微企业价格扣除应提供以下证明材料（投标文件报价文件中，不提供的不享受价格扣除）</w:t>
      </w:r>
      <w:r>
        <w:rPr>
          <w:rFonts w:hint="eastAsia" w:ascii="宋体" w:hAnsi="宋体" w:eastAsia="宋体" w:cs="宋体"/>
          <w:b/>
          <w:bCs/>
          <w:color w:val="auto"/>
          <w:sz w:val="21"/>
          <w:szCs w:val="21"/>
        </w:rPr>
        <w:t>：</w:t>
      </w:r>
    </w:p>
    <w:p w14:paraId="318A0BE8">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（1）《中小企业声明函》（原件，加盖投标人公章，格式见附件1）</w:t>
      </w:r>
    </w:p>
    <w:p w14:paraId="3D47333F">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w:t>
      </w:r>
      <w:r>
        <w:rPr>
          <w:rFonts w:hint="eastAsia" w:ascii="宋体" w:hAnsi="宋体" w:eastAsia="宋体" w:cs="宋体"/>
          <w:b/>
          <w:bCs/>
          <w:color w:val="auto"/>
          <w:sz w:val="21"/>
          <w:szCs w:val="21"/>
          <w:u w:val="single"/>
        </w:rPr>
        <w:t>享受残疾人福利性单位格扣除应提供以下证明材料（投标文件报价文件中，不提供的不享受价格扣除），（</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Cs/>
          <w:color w:val="auto"/>
          <w:sz w:val="21"/>
          <w:szCs w:val="21"/>
        </w:rPr>
        <w:t>：</w:t>
      </w:r>
    </w:p>
    <w:p w14:paraId="202F730B">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（1）残疾人福利性单位声明函（附件2）；</w:t>
      </w:r>
    </w:p>
    <w:p w14:paraId="7DC8580F">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b/>
          <w:bCs/>
          <w:color w:val="auto"/>
          <w:sz w:val="21"/>
          <w:szCs w:val="21"/>
          <w:u w:val="single"/>
        </w:rPr>
        <w:t>享受监狱企业价格扣除应提供以下证明材料（投标文件报价文件中，不提供的不享受价格扣除）</w:t>
      </w:r>
      <w:r>
        <w:rPr>
          <w:rFonts w:hint="eastAsia" w:ascii="宋体" w:hAnsi="宋体" w:eastAsia="宋体" w:cs="宋体"/>
          <w:bCs/>
          <w:color w:val="auto"/>
          <w:sz w:val="21"/>
          <w:szCs w:val="21"/>
        </w:rPr>
        <w:t>：</w:t>
      </w:r>
    </w:p>
    <w:p w14:paraId="3860E24C">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（1）监狱企业声明函（附件3）</w:t>
      </w:r>
    </w:p>
    <w:p w14:paraId="6DA001A2">
      <w:pPr>
        <w:spacing w:line="440" w:lineRule="atLeast"/>
        <w:ind w:firstLine="428"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1"/>
          <w:szCs w:val="21"/>
          <w:u w:val="single"/>
        </w:rPr>
        <w:t>（仅面向中小企业的不再</w:t>
      </w:r>
      <w:r>
        <w:rPr>
          <w:rFonts w:hint="eastAsia" w:ascii="宋体" w:hAnsi="宋体" w:eastAsia="宋体" w:cs="宋体"/>
          <w:b/>
          <w:bCs/>
          <w:color w:val="auto"/>
          <w:sz w:val="21"/>
          <w:szCs w:val="21"/>
          <w:u w:val="single"/>
        </w:rPr>
        <w:t>享受价格扣除政策</w:t>
      </w:r>
      <w:r>
        <w:rPr>
          <w:rFonts w:hint="eastAsia" w:ascii="宋体" w:hAnsi="宋体" w:eastAsia="宋体" w:cs="宋体"/>
          <w:b/>
          <w:color w:val="auto"/>
          <w:sz w:val="21"/>
          <w:szCs w:val="21"/>
          <w:u w:val="single"/>
        </w:rPr>
        <w:t>）</w:t>
      </w:r>
      <w:r>
        <w:rPr>
          <w:rFonts w:hint="eastAsia" w:ascii="宋体" w:hAnsi="宋体" w:eastAsia="宋体" w:cs="宋体"/>
          <w:bCs/>
          <w:color w:val="auto"/>
          <w:sz w:val="21"/>
          <w:szCs w:val="21"/>
        </w:rPr>
        <w:t>。</w:t>
      </w:r>
    </w:p>
    <w:p w14:paraId="0CA99128">
      <w:pPr>
        <w:spacing w:line="440" w:lineRule="atLeas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7A0D3374">
      <w:pPr>
        <w:spacing w:line="440" w:lineRule="atLeast"/>
        <w:jc w:val="left"/>
        <w:rPr>
          <w:rFonts w:hint="eastAsia" w:ascii="宋体" w:hAnsi="宋体" w:eastAsia="宋体" w:cs="宋体"/>
          <w:bCs/>
          <w:color w:val="auto"/>
          <w:sz w:val="22"/>
        </w:rPr>
      </w:pPr>
    </w:p>
    <w:p w14:paraId="53C7816C">
      <w:pPr>
        <w:shd w:val="clear" w:color="auto" w:fill="auto"/>
        <w:spacing w:line="440" w:lineRule="atLeast"/>
        <w:jc w:val="left"/>
        <w:rPr>
          <w:rFonts w:hint="eastAsia" w:ascii="宋体" w:hAnsi="宋体" w:eastAsia="宋体" w:cs="宋体"/>
          <w:bCs/>
          <w:color w:val="auto"/>
          <w:sz w:val="22"/>
          <w:highlight w:val="none"/>
        </w:rPr>
      </w:pPr>
    </w:p>
    <w:p w14:paraId="1F800B79">
      <w:pPr>
        <w:spacing w:line="440" w:lineRule="atLeast"/>
        <w:jc w:val="left"/>
        <w:rPr>
          <w:rFonts w:hint="eastAsia" w:ascii="宋体" w:hAnsi="宋体" w:eastAsia="宋体" w:cs="宋体"/>
          <w:b/>
          <w:color w:val="auto"/>
          <w:sz w:val="22"/>
          <w:highlight w:val="none"/>
        </w:rPr>
      </w:pPr>
    </w:p>
    <w:p w14:paraId="03C19ABA">
      <w:pPr>
        <w:spacing w:line="440" w:lineRule="atLeast"/>
        <w:jc w:val="left"/>
        <w:rPr>
          <w:rFonts w:hint="eastAsia" w:ascii="宋体" w:hAnsi="宋体" w:eastAsia="宋体" w:cs="宋体"/>
          <w:b/>
          <w:color w:val="auto"/>
          <w:sz w:val="22"/>
          <w:highlight w:val="none"/>
        </w:rPr>
      </w:pPr>
    </w:p>
    <w:p w14:paraId="0D25BD47">
      <w:pPr>
        <w:spacing w:line="440" w:lineRule="atLeast"/>
        <w:jc w:val="left"/>
        <w:rPr>
          <w:rFonts w:hint="eastAsia" w:ascii="宋体" w:hAnsi="宋体" w:eastAsia="宋体" w:cs="宋体"/>
          <w:b/>
          <w:color w:val="auto"/>
          <w:sz w:val="22"/>
          <w:highlight w:val="none"/>
        </w:rPr>
      </w:pPr>
    </w:p>
    <w:p w14:paraId="7C8EAA3F">
      <w:pPr>
        <w:spacing w:line="440" w:lineRule="atLeast"/>
        <w:jc w:val="left"/>
        <w:rPr>
          <w:rFonts w:hint="eastAsia" w:ascii="宋体" w:hAnsi="宋体" w:eastAsia="宋体" w:cs="宋体"/>
          <w:b/>
          <w:color w:val="auto"/>
          <w:sz w:val="22"/>
          <w:highlight w:val="none"/>
        </w:rPr>
      </w:pPr>
    </w:p>
    <w:p w14:paraId="00D0780C">
      <w:pPr>
        <w:spacing w:line="440" w:lineRule="atLeast"/>
        <w:jc w:val="left"/>
        <w:rPr>
          <w:rFonts w:hint="eastAsia" w:ascii="宋体" w:hAnsi="宋体" w:eastAsia="宋体" w:cs="宋体"/>
          <w:b/>
          <w:color w:val="auto"/>
          <w:sz w:val="22"/>
          <w:highlight w:val="none"/>
        </w:rPr>
      </w:pPr>
    </w:p>
    <w:p w14:paraId="1EC0637F">
      <w:pPr>
        <w:spacing w:line="440" w:lineRule="atLeast"/>
        <w:jc w:val="left"/>
        <w:rPr>
          <w:rFonts w:hint="eastAsia" w:ascii="宋体" w:hAnsi="宋体" w:eastAsia="宋体" w:cs="宋体"/>
          <w:b/>
          <w:color w:val="auto"/>
          <w:sz w:val="22"/>
          <w:highlight w:val="none"/>
        </w:rPr>
      </w:pPr>
    </w:p>
    <w:p w14:paraId="107FAC0D">
      <w:pPr>
        <w:spacing w:line="440" w:lineRule="atLeast"/>
        <w:jc w:val="left"/>
        <w:rPr>
          <w:rFonts w:hint="eastAsia" w:ascii="宋体" w:hAnsi="宋体" w:eastAsia="宋体" w:cs="宋体"/>
          <w:b/>
          <w:color w:val="auto"/>
          <w:sz w:val="22"/>
          <w:highlight w:val="none"/>
        </w:rPr>
      </w:pPr>
    </w:p>
    <w:p w14:paraId="46ACA734">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36B7E9F">
      <w:pPr>
        <w:spacing w:before="253" w:line="194" w:lineRule="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附表大中小微型企业划分标准</w:t>
      </w:r>
    </w:p>
    <w:tbl>
      <w:tblPr>
        <w:tblStyle w:val="417"/>
        <w:tblW w:w="9584"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5"/>
        <w:gridCol w:w="1460"/>
        <w:gridCol w:w="706"/>
        <w:gridCol w:w="1295"/>
        <w:gridCol w:w="1839"/>
        <w:gridCol w:w="1660"/>
        <w:gridCol w:w="999"/>
      </w:tblGrid>
      <w:tr w14:paraId="01B5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7A1F898E">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8"/>
                <w:sz w:val="21"/>
                <w:szCs w:val="21"/>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C024695">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8"/>
                <w:sz w:val="21"/>
                <w:szCs w:val="21"/>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0D221B9">
            <w:pPr>
              <w:pStyle w:val="135"/>
              <w:widowControl/>
              <w:autoSpaceDE/>
              <w:autoSpaceDN/>
              <w:spacing w:before="0" w:after="0" w:line="300" w:lineRule="exact"/>
              <w:ind w:left="172"/>
              <w:jc w:val="center"/>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计量</w:t>
            </w:r>
          </w:p>
          <w:p w14:paraId="085C2347">
            <w:pPr>
              <w:pStyle w:val="135"/>
              <w:widowControl/>
              <w:autoSpaceDE/>
              <w:autoSpaceDN/>
              <w:spacing w:before="0" w:after="0" w:line="300" w:lineRule="exact"/>
              <w:ind w:left="173"/>
              <w:jc w:val="center"/>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单位</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D53AE4B">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大型</w:t>
            </w:r>
          </w:p>
        </w:tc>
        <w:tc>
          <w:tcPr>
            <w:tcW w:w="1839" w:type="dxa"/>
            <w:tcBorders>
              <w:top w:val="single" w:color="000000" w:sz="4" w:space="0"/>
              <w:left w:val="single" w:color="000000" w:sz="4" w:space="0"/>
              <w:bottom w:val="single" w:color="000000" w:sz="4" w:space="0"/>
              <w:right w:val="single" w:color="000000" w:sz="4" w:space="0"/>
            </w:tcBorders>
            <w:noWrap/>
            <w:vAlign w:val="center"/>
          </w:tcPr>
          <w:p w14:paraId="17F5B79C">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中型</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24F21BC5">
            <w:pPr>
              <w:pStyle w:val="135"/>
              <w:widowControl/>
              <w:autoSpaceDE/>
              <w:autoSpaceDN/>
              <w:spacing w:before="0" w:after="0" w:line="300" w:lineRule="exact"/>
              <w:jc w:val="center"/>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2E66AB0C">
            <w:pPr>
              <w:pStyle w:val="135"/>
              <w:widowControl/>
              <w:autoSpaceDE/>
              <w:autoSpaceDN/>
              <w:spacing w:before="0" w:after="0" w:line="300" w:lineRule="exact"/>
              <w:ind w:left="308"/>
              <w:jc w:val="both"/>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微型</w:t>
            </w:r>
          </w:p>
        </w:tc>
      </w:tr>
      <w:tr w14:paraId="0C9A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1D540936">
            <w:pPr>
              <w:pStyle w:val="135"/>
              <w:widowControl/>
              <w:autoSpaceDE/>
              <w:autoSpaceDN/>
              <w:spacing w:before="0" w:after="0" w:line="300" w:lineRule="exact"/>
              <w:ind w:left="142"/>
              <w:jc w:val="center"/>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2535D4C2">
            <w:pPr>
              <w:pStyle w:val="135"/>
              <w:widowControl/>
              <w:autoSpaceDE/>
              <w:autoSpaceDN/>
              <w:spacing w:before="0" w:after="0" w:line="300" w:lineRule="exact"/>
              <w:ind w:left="193"/>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265461B">
            <w:pPr>
              <w:pStyle w:val="135"/>
              <w:widowControl/>
              <w:autoSpaceDE/>
              <w:autoSpaceDN/>
              <w:spacing w:before="0" w:after="0" w:line="300" w:lineRule="exact"/>
              <w:ind w:left="191"/>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6749308">
            <w:pPr>
              <w:pStyle w:val="135"/>
              <w:widowControl/>
              <w:autoSpaceDE/>
              <w:autoSpaceDN/>
              <w:spacing w:before="0" w:after="0" w:line="300" w:lineRule="exact"/>
              <w:ind w:left="214"/>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Y≥20000</w:t>
            </w:r>
          </w:p>
        </w:tc>
        <w:tc>
          <w:tcPr>
            <w:tcW w:w="1839" w:type="dxa"/>
            <w:tcBorders>
              <w:top w:val="single" w:color="000000" w:sz="4" w:space="0"/>
              <w:left w:val="single" w:color="000000" w:sz="4" w:space="0"/>
              <w:bottom w:val="single" w:color="000000" w:sz="4" w:space="0"/>
              <w:right w:val="single" w:color="000000" w:sz="4" w:space="0"/>
            </w:tcBorders>
            <w:noWrap/>
          </w:tcPr>
          <w:p w14:paraId="0D8C4F36">
            <w:pPr>
              <w:pStyle w:val="135"/>
              <w:widowControl/>
              <w:autoSpaceDE/>
              <w:autoSpaceDN/>
              <w:spacing w:before="0" w:after="0" w:line="300" w:lineRule="exact"/>
              <w:ind w:left="326"/>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500≤Y＜20000</w:t>
            </w:r>
          </w:p>
        </w:tc>
        <w:tc>
          <w:tcPr>
            <w:tcW w:w="1660" w:type="dxa"/>
            <w:tcBorders>
              <w:top w:val="single" w:color="000000" w:sz="4" w:space="0"/>
              <w:left w:val="single" w:color="000000" w:sz="4" w:space="0"/>
              <w:bottom w:val="single" w:color="000000" w:sz="4" w:space="0"/>
              <w:right w:val="single" w:color="000000" w:sz="4" w:space="0"/>
            </w:tcBorders>
            <w:noWrap/>
          </w:tcPr>
          <w:p w14:paraId="0F46D421">
            <w:pPr>
              <w:pStyle w:val="135"/>
              <w:widowControl/>
              <w:autoSpaceDE/>
              <w:autoSpaceDN/>
              <w:spacing w:before="0" w:after="0" w:line="300" w:lineRule="exact"/>
              <w:ind w:left="311"/>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3052A3FC">
            <w:pPr>
              <w:pStyle w:val="135"/>
              <w:widowControl/>
              <w:autoSpaceDE/>
              <w:autoSpaceDN/>
              <w:spacing w:before="0" w:after="0" w:line="300" w:lineRule="exact"/>
              <w:ind w:left="275"/>
              <w:rPr>
                <w:rFonts w:hint="eastAsia" w:ascii="宋体" w:hAnsi="宋体" w:eastAsia="宋体" w:cs="宋体"/>
                <w:color w:val="auto"/>
                <w:sz w:val="21"/>
                <w:szCs w:val="21"/>
                <w:lang w:eastAsia="en-US"/>
              </w:rPr>
            </w:pPr>
            <w:r>
              <w:rPr>
                <w:rFonts w:hint="eastAsia" w:ascii="宋体" w:hAnsi="宋体" w:eastAsia="宋体" w:cs="宋体"/>
                <w:color w:val="auto"/>
                <w:spacing w:val="-1"/>
                <w:sz w:val="21"/>
                <w:szCs w:val="21"/>
                <w:lang w:eastAsia="en-US"/>
              </w:rPr>
              <w:t>Y＜50</w:t>
            </w:r>
          </w:p>
        </w:tc>
      </w:tr>
      <w:tr w14:paraId="0A3C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8B5968E">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2FD73657">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217A393F">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AA1DD2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424A2CF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30445D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667CD26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Y≥40000</w:t>
            </w:r>
          </w:p>
        </w:tc>
        <w:tc>
          <w:tcPr>
            <w:tcW w:w="1839" w:type="dxa"/>
            <w:tcBorders>
              <w:top w:val="single" w:color="000000" w:sz="4" w:space="0"/>
              <w:left w:val="single" w:color="000000" w:sz="4" w:space="0"/>
              <w:bottom w:val="single" w:color="000000" w:sz="4" w:space="0"/>
              <w:right w:val="single" w:color="000000" w:sz="4" w:space="0"/>
            </w:tcBorders>
            <w:noWrap/>
          </w:tcPr>
          <w:p w14:paraId="29CC6EF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7B5B9F3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2000≤Y＜40000</w:t>
            </w:r>
          </w:p>
        </w:tc>
        <w:tc>
          <w:tcPr>
            <w:tcW w:w="1660" w:type="dxa"/>
            <w:tcBorders>
              <w:top w:val="single" w:color="000000" w:sz="4" w:space="0"/>
              <w:left w:val="single" w:color="000000" w:sz="4" w:space="0"/>
              <w:bottom w:val="single" w:color="000000" w:sz="4" w:space="0"/>
              <w:right w:val="single" w:color="000000" w:sz="4" w:space="0"/>
            </w:tcBorders>
            <w:noWrap/>
          </w:tcPr>
          <w:p w14:paraId="4C12AFC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20≤X＜300</w:t>
            </w:r>
          </w:p>
          <w:p w14:paraId="15B518F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01B2324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0E04EAC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w:t>
            </w:r>
          </w:p>
        </w:tc>
      </w:tr>
      <w:tr w14:paraId="2E61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1CD60A79">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20E5980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p w14:paraId="4F1C044E">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1F233B0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p w14:paraId="6123FB9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77AFB8F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Y≥80000</w:t>
            </w:r>
          </w:p>
          <w:p w14:paraId="7070566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Z≥80000</w:t>
            </w:r>
          </w:p>
        </w:tc>
        <w:tc>
          <w:tcPr>
            <w:tcW w:w="1839" w:type="dxa"/>
            <w:tcBorders>
              <w:top w:val="single" w:color="000000" w:sz="4" w:space="0"/>
              <w:left w:val="single" w:color="000000" w:sz="4" w:space="0"/>
              <w:bottom w:val="single" w:color="000000" w:sz="4" w:space="0"/>
              <w:right w:val="single" w:color="000000" w:sz="4" w:space="0"/>
            </w:tcBorders>
            <w:noWrap/>
          </w:tcPr>
          <w:p w14:paraId="70CDD24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6000≤Y＜80000</w:t>
            </w:r>
          </w:p>
          <w:p w14:paraId="61263A2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5000≤Z＜80000</w:t>
            </w:r>
          </w:p>
        </w:tc>
        <w:tc>
          <w:tcPr>
            <w:tcW w:w="1660" w:type="dxa"/>
            <w:tcBorders>
              <w:top w:val="single" w:color="000000" w:sz="4" w:space="0"/>
              <w:left w:val="single" w:color="000000" w:sz="4" w:space="0"/>
              <w:bottom w:val="single" w:color="000000" w:sz="4" w:space="0"/>
              <w:right w:val="single" w:color="000000" w:sz="4" w:space="0"/>
            </w:tcBorders>
            <w:noWrap/>
          </w:tcPr>
          <w:p w14:paraId="4295A01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300≤Y＜6000</w:t>
            </w:r>
          </w:p>
          <w:p w14:paraId="366D866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33116DE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w:t>
            </w:r>
          </w:p>
          <w:p w14:paraId="7F3A788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Z＜300</w:t>
            </w:r>
          </w:p>
        </w:tc>
      </w:tr>
      <w:tr w14:paraId="7A77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32BC5F5D">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4B1BB6C2">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0E879A7E">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B3562D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32D6A28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7F7A2EF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X≥200</w:t>
            </w:r>
          </w:p>
          <w:p w14:paraId="5D520FE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Y≥40000</w:t>
            </w:r>
          </w:p>
        </w:tc>
        <w:tc>
          <w:tcPr>
            <w:tcW w:w="1839" w:type="dxa"/>
            <w:tcBorders>
              <w:top w:val="single" w:color="000000" w:sz="4" w:space="0"/>
              <w:left w:val="single" w:color="000000" w:sz="4" w:space="0"/>
              <w:bottom w:val="single" w:color="000000" w:sz="4" w:space="0"/>
              <w:right w:val="single" w:color="000000" w:sz="4" w:space="0"/>
            </w:tcBorders>
            <w:noWrap/>
          </w:tcPr>
          <w:p w14:paraId="7144ACC6">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20≤X＜200</w:t>
            </w:r>
          </w:p>
          <w:p w14:paraId="06E763E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5000≤Y＜40000</w:t>
            </w:r>
          </w:p>
        </w:tc>
        <w:tc>
          <w:tcPr>
            <w:tcW w:w="1660" w:type="dxa"/>
            <w:tcBorders>
              <w:top w:val="single" w:color="000000" w:sz="4" w:space="0"/>
              <w:left w:val="single" w:color="000000" w:sz="4" w:space="0"/>
              <w:bottom w:val="single" w:color="000000" w:sz="4" w:space="0"/>
              <w:right w:val="single" w:color="000000" w:sz="4" w:space="0"/>
            </w:tcBorders>
            <w:noWrap/>
          </w:tcPr>
          <w:p w14:paraId="0795E19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5≤X＜20</w:t>
            </w:r>
          </w:p>
          <w:p w14:paraId="2B94568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00D2140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X＜5</w:t>
            </w:r>
          </w:p>
          <w:p w14:paraId="0D1FF43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w:t>
            </w:r>
          </w:p>
        </w:tc>
      </w:tr>
      <w:tr w14:paraId="6ECD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447BD14C">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5850423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4F21B5C7">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D7D7CC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722FD80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68F083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p w14:paraId="021BF49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Y≥20000</w:t>
            </w:r>
          </w:p>
        </w:tc>
        <w:tc>
          <w:tcPr>
            <w:tcW w:w="1839" w:type="dxa"/>
            <w:tcBorders>
              <w:top w:val="single" w:color="000000" w:sz="4" w:space="0"/>
              <w:left w:val="single" w:color="000000" w:sz="4" w:space="0"/>
              <w:bottom w:val="single" w:color="000000" w:sz="4" w:space="0"/>
              <w:right w:val="single" w:color="000000" w:sz="4" w:space="0"/>
            </w:tcBorders>
            <w:noWrap/>
          </w:tcPr>
          <w:p w14:paraId="5DBDBD4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50≤X＜300</w:t>
            </w:r>
          </w:p>
          <w:p w14:paraId="5DDE741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500≤Y＜20000</w:t>
            </w:r>
          </w:p>
        </w:tc>
        <w:tc>
          <w:tcPr>
            <w:tcW w:w="1660" w:type="dxa"/>
            <w:tcBorders>
              <w:top w:val="single" w:color="000000" w:sz="4" w:space="0"/>
              <w:left w:val="single" w:color="000000" w:sz="4" w:space="0"/>
              <w:bottom w:val="single" w:color="000000" w:sz="4" w:space="0"/>
              <w:right w:val="single" w:color="000000" w:sz="4" w:space="0"/>
            </w:tcBorders>
            <w:noWrap/>
          </w:tcPr>
          <w:p w14:paraId="5C5CE63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10≤X＜50</w:t>
            </w:r>
          </w:p>
          <w:p w14:paraId="0E7E07A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6A226F9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7B3167D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7FA6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06CF8043">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2E981F95">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5044F21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6588F0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60749B9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0C938FE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4797E9A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14:paraId="668E91D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5376563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3000≤Y＜30000</w:t>
            </w:r>
          </w:p>
        </w:tc>
        <w:tc>
          <w:tcPr>
            <w:tcW w:w="1660" w:type="dxa"/>
            <w:tcBorders>
              <w:top w:val="single" w:color="000000" w:sz="4" w:space="0"/>
              <w:left w:val="single" w:color="000000" w:sz="4" w:space="0"/>
              <w:bottom w:val="single" w:color="000000" w:sz="4" w:space="0"/>
              <w:right w:val="single" w:color="000000" w:sz="4" w:space="0"/>
            </w:tcBorders>
            <w:noWrap/>
          </w:tcPr>
          <w:p w14:paraId="3C0D0EF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20≤X＜300</w:t>
            </w:r>
          </w:p>
          <w:p w14:paraId="5179F96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6522E20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3849D6D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Y＜200</w:t>
            </w:r>
          </w:p>
        </w:tc>
      </w:tr>
      <w:tr w14:paraId="209B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9EECE94">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6D13616D">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37AEE3BC">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2061F4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05FD3CA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661E81E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X≥200</w:t>
            </w:r>
          </w:p>
          <w:p w14:paraId="1383518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14:paraId="2D8397B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100≤X＜200</w:t>
            </w:r>
          </w:p>
          <w:p w14:paraId="3A439DD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1000≤Y＜30000</w:t>
            </w:r>
          </w:p>
        </w:tc>
        <w:tc>
          <w:tcPr>
            <w:tcW w:w="1660" w:type="dxa"/>
            <w:tcBorders>
              <w:top w:val="single" w:color="000000" w:sz="4" w:space="0"/>
              <w:left w:val="single" w:color="000000" w:sz="4" w:space="0"/>
              <w:bottom w:val="single" w:color="000000" w:sz="4" w:space="0"/>
              <w:right w:val="single" w:color="000000" w:sz="4" w:space="0"/>
            </w:tcBorders>
            <w:noWrap/>
          </w:tcPr>
          <w:p w14:paraId="28ADF94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20≤X＜100</w:t>
            </w:r>
          </w:p>
          <w:p w14:paraId="470D4F8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5C77313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68D9382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41F1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6B4B92D3">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76F049F9">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07E37E4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E5521E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0DC4F05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507647B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4F02DB8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14:paraId="44526ED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7987486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2000≤Y＜30000</w:t>
            </w:r>
          </w:p>
        </w:tc>
        <w:tc>
          <w:tcPr>
            <w:tcW w:w="1660" w:type="dxa"/>
            <w:tcBorders>
              <w:top w:val="single" w:color="000000" w:sz="4" w:space="0"/>
              <w:left w:val="single" w:color="000000" w:sz="4" w:space="0"/>
              <w:bottom w:val="single" w:color="000000" w:sz="4" w:space="0"/>
              <w:right w:val="single" w:color="000000" w:sz="4" w:space="0"/>
            </w:tcBorders>
            <w:noWrap/>
          </w:tcPr>
          <w:p w14:paraId="5B1EC82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20≤X＜300</w:t>
            </w:r>
          </w:p>
          <w:p w14:paraId="5CB1C20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2BD5AB9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w:t>
            </w:r>
          </w:p>
          <w:p w14:paraId="7401198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073A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223E79D7">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726B91E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5782C74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D2135D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237C957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38E3E4A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p w14:paraId="20D9A5A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14:paraId="57D9DC6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2DD35EE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2000≤Y＜10000</w:t>
            </w:r>
          </w:p>
        </w:tc>
        <w:tc>
          <w:tcPr>
            <w:tcW w:w="1660" w:type="dxa"/>
            <w:tcBorders>
              <w:top w:val="single" w:color="000000" w:sz="4" w:space="0"/>
              <w:left w:val="single" w:color="000000" w:sz="4" w:space="0"/>
              <w:bottom w:val="single" w:color="000000" w:sz="4" w:space="0"/>
              <w:right w:val="single" w:color="000000" w:sz="4" w:space="0"/>
            </w:tcBorders>
            <w:noWrap/>
          </w:tcPr>
          <w:p w14:paraId="08EF6D4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p w14:paraId="04C09A0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0423604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47371DC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1A3D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CA323BF">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791B9CE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059A8B8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3F1FD5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60FF7FE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2BE4B71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p w14:paraId="3464A4D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14:paraId="21A54A4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4473D91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2000≤Y＜10000</w:t>
            </w:r>
          </w:p>
        </w:tc>
        <w:tc>
          <w:tcPr>
            <w:tcW w:w="1660" w:type="dxa"/>
            <w:tcBorders>
              <w:top w:val="single" w:color="000000" w:sz="4" w:space="0"/>
              <w:left w:val="single" w:color="000000" w:sz="4" w:space="0"/>
              <w:bottom w:val="single" w:color="000000" w:sz="4" w:space="0"/>
              <w:right w:val="single" w:color="000000" w:sz="4" w:space="0"/>
            </w:tcBorders>
            <w:noWrap/>
          </w:tcPr>
          <w:p w14:paraId="1DD7DCF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p w14:paraId="6FFBDFD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40EB08D6">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76F396E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6326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43560758">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1A56592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48242572">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A04BCE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087644E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659C6A8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X≥2000</w:t>
            </w:r>
          </w:p>
          <w:p w14:paraId="04DE4C7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Y≥100000</w:t>
            </w:r>
          </w:p>
        </w:tc>
        <w:tc>
          <w:tcPr>
            <w:tcW w:w="1839" w:type="dxa"/>
            <w:tcBorders>
              <w:top w:val="single" w:color="000000" w:sz="4" w:space="0"/>
              <w:left w:val="single" w:color="000000" w:sz="4" w:space="0"/>
              <w:bottom w:val="single" w:color="000000" w:sz="4" w:space="0"/>
              <w:right w:val="single" w:color="000000" w:sz="4" w:space="0"/>
            </w:tcBorders>
            <w:noWrap/>
          </w:tcPr>
          <w:p w14:paraId="1811BF8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100≤X＜2000</w:t>
            </w:r>
          </w:p>
          <w:p w14:paraId="4924F8A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1000≤Y＜100000</w:t>
            </w:r>
          </w:p>
        </w:tc>
        <w:tc>
          <w:tcPr>
            <w:tcW w:w="1660" w:type="dxa"/>
            <w:tcBorders>
              <w:top w:val="single" w:color="000000" w:sz="4" w:space="0"/>
              <w:left w:val="single" w:color="000000" w:sz="4" w:space="0"/>
              <w:bottom w:val="single" w:color="000000" w:sz="4" w:space="0"/>
              <w:right w:val="single" w:color="000000" w:sz="4" w:space="0"/>
            </w:tcBorders>
            <w:noWrap/>
          </w:tcPr>
          <w:p w14:paraId="5BD2CB0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p w14:paraId="23B7984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6076662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178BF20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tc>
      </w:tr>
      <w:tr w14:paraId="2518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532CE82">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6CF1BD6B">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044B05A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525C023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47210D1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 xml:space="preserve">X≥300  </w:t>
            </w:r>
          </w:p>
          <w:p w14:paraId="6885186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14:paraId="1FA00D9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4EE26B2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1000≤Y＜10000</w:t>
            </w:r>
          </w:p>
        </w:tc>
        <w:tc>
          <w:tcPr>
            <w:tcW w:w="1660" w:type="dxa"/>
            <w:tcBorders>
              <w:top w:val="single" w:color="000000" w:sz="4" w:space="0"/>
              <w:left w:val="single" w:color="000000" w:sz="4" w:space="0"/>
              <w:bottom w:val="single" w:color="000000" w:sz="4" w:space="0"/>
              <w:right w:val="single" w:color="000000" w:sz="4" w:space="0"/>
            </w:tcBorders>
            <w:noWrap/>
          </w:tcPr>
          <w:p w14:paraId="28D204C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 xml:space="preserve">10≤X＜100  </w:t>
            </w:r>
          </w:p>
          <w:p w14:paraId="6C521AFB">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50≤Y＜1000</w:t>
            </w:r>
          </w:p>
        </w:tc>
        <w:tc>
          <w:tcPr>
            <w:tcW w:w="999" w:type="dxa"/>
            <w:tcBorders>
              <w:top w:val="single" w:color="000000" w:sz="4" w:space="0"/>
              <w:left w:val="single" w:color="000000" w:sz="4" w:space="0"/>
              <w:bottom w:val="single" w:color="000000" w:sz="4" w:space="0"/>
              <w:right w:val="single" w:color="000000" w:sz="4" w:space="0"/>
            </w:tcBorders>
            <w:noWrap/>
          </w:tcPr>
          <w:p w14:paraId="019628C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1662F49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Y＜50</w:t>
            </w:r>
          </w:p>
        </w:tc>
      </w:tr>
      <w:tr w14:paraId="1F80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1354485B">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625F41C1">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p w14:paraId="15041B8A">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215AE06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p w14:paraId="677559D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149E683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Y≥200000</w:t>
            </w:r>
          </w:p>
          <w:p w14:paraId="488CB5A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Z≥10000</w:t>
            </w:r>
          </w:p>
        </w:tc>
        <w:tc>
          <w:tcPr>
            <w:tcW w:w="1839" w:type="dxa"/>
            <w:tcBorders>
              <w:top w:val="single" w:color="000000" w:sz="4" w:space="0"/>
              <w:left w:val="single" w:color="000000" w:sz="4" w:space="0"/>
              <w:bottom w:val="single" w:color="000000" w:sz="4" w:space="0"/>
              <w:right w:val="single" w:color="000000" w:sz="4" w:space="0"/>
            </w:tcBorders>
            <w:noWrap/>
          </w:tcPr>
          <w:p w14:paraId="3CD08E85">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1000≤Y＜200000</w:t>
            </w:r>
          </w:p>
          <w:p w14:paraId="5661F35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5000≤Z＜10000</w:t>
            </w:r>
          </w:p>
        </w:tc>
        <w:tc>
          <w:tcPr>
            <w:tcW w:w="1660" w:type="dxa"/>
            <w:tcBorders>
              <w:top w:val="single" w:color="000000" w:sz="4" w:space="0"/>
              <w:left w:val="single" w:color="000000" w:sz="4" w:space="0"/>
              <w:bottom w:val="single" w:color="000000" w:sz="4" w:space="0"/>
              <w:right w:val="single" w:color="000000" w:sz="4" w:space="0"/>
            </w:tcBorders>
            <w:noWrap/>
          </w:tcPr>
          <w:p w14:paraId="5113720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100≤Y＜1000</w:t>
            </w:r>
          </w:p>
          <w:p w14:paraId="46B0FC9E">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2F41003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Y＜100</w:t>
            </w:r>
          </w:p>
          <w:p w14:paraId="569A96E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Z＜2000</w:t>
            </w:r>
          </w:p>
        </w:tc>
      </w:tr>
      <w:tr w14:paraId="7959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06CA1C44">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280EB7BC">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从业人员(X)</w:t>
            </w:r>
          </w:p>
          <w:p w14:paraId="609FA900">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96D547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282478A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4A024452">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X≥1000</w:t>
            </w:r>
          </w:p>
          <w:p w14:paraId="7875326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Y≥5000</w:t>
            </w:r>
          </w:p>
        </w:tc>
        <w:tc>
          <w:tcPr>
            <w:tcW w:w="1839" w:type="dxa"/>
            <w:tcBorders>
              <w:top w:val="single" w:color="000000" w:sz="4" w:space="0"/>
              <w:left w:val="single" w:color="000000" w:sz="4" w:space="0"/>
              <w:bottom w:val="single" w:color="000000" w:sz="4" w:space="0"/>
              <w:right w:val="single" w:color="000000" w:sz="4" w:space="0"/>
            </w:tcBorders>
            <w:noWrap/>
          </w:tcPr>
          <w:p w14:paraId="6E9DA3E8">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300≤X＜1000</w:t>
            </w:r>
          </w:p>
          <w:p w14:paraId="194A3500">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1000≤Y＜5000</w:t>
            </w:r>
          </w:p>
        </w:tc>
        <w:tc>
          <w:tcPr>
            <w:tcW w:w="1660" w:type="dxa"/>
            <w:tcBorders>
              <w:top w:val="single" w:color="000000" w:sz="4" w:space="0"/>
              <w:left w:val="single" w:color="000000" w:sz="4" w:space="0"/>
              <w:bottom w:val="single" w:color="000000" w:sz="4" w:space="0"/>
              <w:right w:val="single" w:color="000000" w:sz="4" w:space="0"/>
            </w:tcBorders>
            <w:noWrap/>
          </w:tcPr>
          <w:p w14:paraId="33AEA3E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42B00F9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45FD6C5D">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X＜100</w:t>
            </w:r>
          </w:p>
          <w:p w14:paraId="73028877">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Y＜500</w:t>
            </w:r>
          </w:p>
        </w:tc>
      </w:tr>
      <w:tr w14:paraId="360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55DF1A62">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5C25F28F">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 xml:space="preserve">从业人员(X) </w:t>
            </w:r>
          </w:p>
          <w:p w14:paraId="280DDD8E">
            <w:pPr>
              <w:pStyle w:val="135"/>
              <w:widowControl/>
              <w:autoSpaceDE/>
              <w:autoSpaceDN/>
              <w:spacing w:before="0" w:after="0" w:line="300" w:lineRule="exact"/>
              <w:ind w:left="193"/>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51354123">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p w14:paraId="183455E1">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14:paraId="6B4FD21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 xml:space="preserve">X≥300  </w:t>
            </w:r>
          </w:p>
          <w:p w14:paraId="2C8A33AC">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Z≥120000</w:t>
            </w:r>
          </w:p>
        </w:tc>
        <w:tc>
          <w:tcPr>
            <w:tcW w:w="1839" w:type="dxa"/>
            <w:tcBorders>
              <w:top w:val="single" w:color="000000" w:sz="4" w:space="0"/>
              <w:left w:val="single" w:color="000000" w:sz="4" w:space="0"/>
              <w:bottom w:val="single" w:color="000000" w:sz="4" w:space="0"/>
              <w:right w:val="single" w:color="000000" w:sz="4" w:space="0"/>
            </w:tcBorders>
            <w:noWrap/>
          </w:tcPr>
          <w:p w14:paraId="0BEA515F">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p w14:paraId="07882B8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8000≤Z＜120000</w:t>
            </w:r>
          </w:p>
        </w:tc>
        <w:tc>
          <w:tcPr>
            <w:tcW w:w="1660" w:type="dxa"/>
            <w:tcBorders>
              <w:top w:val="single" w:color="000000" w:sz="4" w:space="0"/>
              <w:left w:val="single" w:color="000000" w:sz="4" w:space="0"/>
              <w:bottom w:val="single" w:color="000000" w:sz="4" w:space="0"/>
              <w:right w:val="single" w:color="000000" w:sz="4" w:space="0"/>
            </w:tcBorders>
            <w:noWrap/>
          </w:tcPr>
          <w:p w14:paraId="27E78C0A">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1922FEB9">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p w14:paraId="36181B74">
            <w:pPr>
              <w:pStyle w:val="135"/>
              <w:widowControl/>
              <w:autoSpaceDE/>
              <w:autoSpaceDN/>
              <w:spacing w:before="0" w:after="0" w:line="300" w:lineRule="exact"/>
              <w:ind w:left="193"/>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Z＜100</w:t>
            </w:r>
          </w:p>
        </w:tc>
      </w:tr>
      <w:tr w14:paraId="2185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14:paraId="32A5EA53">
            <w:pPr>
              <w:pStyle w:val="135"/>
              <w:widowControl/>
              <w:autoSpaceDE/>
              <w:autoSpaceDN/>
              <w:spacing w:before="0" w:after="0" w:line="300" w:lineRule="exact"/>
              <w:ind w:left="193"/>
              <w:jc w:val="center"/>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27B03BF2">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1EEEEF8">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人</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0C78A1B3">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X≥300</w:t>
            </w:r>
          </w:p>
        </w:tc>
        <w:tc>
          <w:tcPr>
            <w:tcW w:w="1839" w:type="dxa"/>
            <w:tcBorders>
              <w:top w:val="single" w:color="000000" w:sz="4" w:space="0"/>
              <w:left w:val="single" w:color="000000" w:sz="4" w:space="0"/>
              <w:bottom w:val="single" w:color="000000" w:sz="4" w:space="0"/>
              <w:right w:val="single" w:color="000000" w:sz="4" w:space="0"/>
            </w:tcBorders>
            <w:noWrap/>
            <w:vAlign w:val="center"/>
          </w:tcPr>
          <w:p w14:paraId="7120E963">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100≤X＜300</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75F372C4">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3245C84C">
            <w:pPr>
              <w:pStyle w:val="135"/>
              <w:widowControl/>
              <w:autoSpaceDE/>
              <w:autoSpaceDN/>
              <w:spacing w:before="0" w:after="0" w:line="300" w:lineRule="exact"/>
              <w:ind w:left="193"/>
              <w:jc w:val="both"/>
              <w:rPr>
                <w:rFonts w:hint="eastAsia" w:ascii="宋体" w:hAnsi="宋体" w:eastAsia="宋体" w:cs="宋体"/>
                <w:color w:val="auto"/>
                <w:spacing w:val="-2"/>
                <w:sz w:val="21"/>
                <w:szCs w:val="21"/>
                <w:lang w:eastAsia="en-US"/>
              </w:rPr>
            </w:pPr>
            <w:r>
              <w:rPr>
                <w:rFonts w:hint="eastAsia" w:ascii="宋体" w:hAnsi="宋体" w:eastAsia="宋体" w:cs="宋体"/>
                <w:color w:val="auto"/>
                <w:spacing w:val="-2"/>
                <w:sz w:val="21"/>
                <w:szCs w:val="21"/>
                <w:lang w:eastAsia="en-US"/>
              </w:rPr>
              <w:t>X＜10</w:t>
            </w:r>
          </w:p>
        </w:tc>
      </w:tr>
    </w:tbl>
    <w:p w14:paraId="327ACF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说明：</w:t>
      </w:r>
    </w:p>
    <w:p w14:paraId="23BDAA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　　1.大型、中型和小型企业须同时满足所列指标的下限，否则下划一档；微型企业只须满足所列指标中的一项即可。</w:t>
      </w:r>
    </w:p>
    <w:p w14:paraId="13F4EA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2.附表中各行业的范围以《国民经济行业分类》（GB/T4754-2017）为准。带*的项为行业组合类别，其中，</w:t>
      </w:r>
      <w:r>
        <w:rPr>
          <w:rFonts w:hint="eastAsia" w:ascii="宋体" w:hAnsi="宋体" w:eastAsia="宋体" w:cs="宋体"/>
          <w:b/>
          <w:bCs/>
          <w:color w:val="auto"/>
          <w:spacing w:val="-2"/>
          <w:sz w:val="21"/>
          <w:szCs w:val="21"/>
        </w:rPr>
        <w:t>工业包括</w:t>
      </w:r>
      <w:r>
        <w:rPr>
          <w:rFonts w:hint="eastAsia" w:ascii="宋体" w:hAnsi="宋体" w:eastAsia="宋体" w:cs="宋体"/>
          <w:color w:val="auto"/>
          <w:spacing w:val="-2"/>
          <w:sz w:val="21"/>
          <w:szCs w:val="21"/>
        </w:rPr>
        <w:t>采矿业，制造业，电力、热力、燃气及水生产和供应业；</w:t>
      </w:r>
      <w:r>
        <w:rPr>
          <w:rFonts w:hint="eastAsia" w:ascii="宋体" w:hAnsi="宋体" w:eastAsia="宋体" w:cs="宋体"/>
          <w:b/>
          <w:bCs/>
          <w:color w:val="auto"/>
          <w:spacing w:val="-2"/>
          <w:sz w:val="21"/>
          <w:szCs w:val="21"/>
        </w:rPr>
        <w:t>交通运输业包括</w:t>
      </w:r>
      <w:r>
        <w:rPr>
          <w:rFonts w:hint="eastAsia" w:ascii="宋体" w:hAnsi="宋体" w:eastAsia="宋体" w:cs="宋体"/>
          <w:color w:val="auto"/>
          <w:spacing w:val="-2"/>
          <w:sz w:val="21"/>
          <w:szCs w:val="21"/>
        </w:rPr>
        <w:t>道路运输业，水上运输业，航空运输业，管道运输业，多式联运和运输代理业、装卸搬运，不包括铁路运输业；</w:t>
      </w:r>
      <w:r>
        <w:rPr>
          <w:rFonts w:hint="eastAsia" w:ascii="宋体" w:hAnsi="宋体" w:eastAsia="宋体" w:cs="宋体"/>
          <w:b/>
          <w:bCs/>
          <w:color w:val="auto"/>
          <w:spacing w:val="-2"/>
          <w:sz w:val="21"/>
          <w:szCs w:val="21"/>
        </w:rPr>
        <w:t>仓储业</w:t>
      </w:r>
      <w:r>
        <w:rPr>
          <w:rFonts w:hint="eastAsia" w:ascii="宋体" w:hAnsi="宋体" w:eastAsia="宋体" w:cs="宋体"/>
          <w:color w:val="auto"/>
          <w:spacing w:val="-2"/>
          <w:sz w:val="21"/>
          <w:szCs w:val="21"/>
        </w:rPr>
        <w:t>包括通用仓储，低温仓储，危险品仓储，谷物、棉花等农产品仓储，中药材仓储和其他仓储业;信息传输业包括电信、广播电视和卫星传输服务，互联网和相关服务；</w:t>
      </w:r>
      <w:r>
        <w:rPr>
          <w:rFonts w:hint="eastAsia" w:ascii="宋体" w:hAnsi="宋体" w:eastAsia="宋体" w:cs="宋体"/>
          <w:b/>
          <w:bCs/>
          <w:color w:val="auto"/>
          <w:spacing w:val="-2"/>
          <w:sz w:val="21"/>
          <w:szCs w:val="21"/>
        </w:rPr>
        <w:t>其他未列明行业</w:t>
      </w:r>
      <w:r>
        <w:rPr>
          <w:rFonts w:hint="eastAsia" w:ascii="宋体" w:hAnsi="宋体" w:eastAsia="宋体" w:cs="宋体"/>
          <w:color w:val="auto"/>
          <w:spacing w:val="-2"/>
          <w:sz w:val="21"/>
          <w:szCs w:val="21"/>
        </w:rPr>
        <w:t>包括科学研究和技术服务业，水利、环境和公共设施管理业，居民服务、修理和其他服务业，社会工作，文化、体育和娱乐业，以及房地产中介服务，其他房地产业等，不包括自有房地产经营活动。</w:t>
      </w:r>
    </w:p>
    <w:p w14:paraId="312C9E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00A7E01">
      <w:pPr>
        <w:spacing w:before="253" w:line="194" w:lineRule="auto"/>
        <w:rPr>
          <w:rFonts w:hint="eastAsia" w:ascii="宋体" w:hAnsi="宋体" w:eastAsia="宋体" w:cs="宋体"/>
          <w:color w:val="auto"/>
          <w:spacing w:val="-2"/>
          <w:sz w:val="24"/>
          <w:szCs w:val="24"/>
        </w:rPr>
      </w:pPr>
    </w:p>
    <w:p w14:paraId="4F782FA7">
      <w:pPr>
        <w:spacing w:before="253" w:line="194" w:lineRule="auto"/>
        <w:rPr>
          <w:rFonts w:hint="eastAsia" w:ascii="宋体" w:hAnsi="宋体" w:eastAsia="宋体" w:cs="宋体"/>
          <w:color w:val="auto"/>
          <w:spacing w:val="-2"/>
          <w:sz w:val="24"/>
          <w:szCs w:val="24"/>
        </w:rPr>
      </w:pPr>
    </w:p>
    <w:p w14:paraId="036FE3BB">
      <w:pPr>
        <w:spacing w:before="253" w:line="194" w:lineRule="auto"/>
        <w:rPr>
          <w:rFonts w:hint="eastAsia" w:ascii="宋体" w:hAnsi="宋体" w:eastAsia="宋体" w:cs="宋体"/>
          <w:color w:val="auto"/>
          <w:spacing w:val="-2"/>
          <w:sz w:val="24"/>
          <w:szCs w:val="24"/>
        </w:rPr>
      </w:pPr>
    </w:p>
    <w:p w14:paraId="2A1E5AC0">
      <w:pPr>
        <w:spacing w:before="253" w:line="194" w:lineRule="auto"/>
        <w:rPr>
          <w:rFonts w:hint="eastAsia" w:ascii="宋体" w:hAnsi="宋体" w:eastAsia="宋体" w:cs="宋体"/>
          <w:color w:val="auto"/>
          <w:spacing w:val="-2"/>
          <w:sz w:val="24"/>
          <w:szCs w:val="24"/>
        </w:rPr>
      </w:pPr>
    </w:p>
    <w:p w14:paraId="3F86B485">
      <w:pPr>
        <w:spacing w:before="253" w:line="194" w:lineRule="auto"/>
        <w:rPr>
          <w:rFonts w:hint="eastAsia" w:ascii="宋体" w:hAnsi="宋体" w:eastAsia="宋体" w:cs="宋体"/>
          <w:color w:val="auto"/>
          <w:spacing w:val="-2"/>
          <w:sz w:val="24"/>
          <w:szCs w:val="24"/>
        </w:rPr>
      </w:pPr>
    </w:p>
    <w:p w14:paraId="1E25EC2A">
      <w:pPr>
        <w:spacing w:before="253" w:line="194" w:lineRule="auto"/>
        <w:rPr>
          <w:rFonts w:hint="eastAsia" w:ascii="宋体" w:hAnsi="宋体" w:eastAsia="宋体" w:cs="宋体"/>
          <w:color w:val="auto"/>
          <w:spacing w:val="-2"/>
          <w:sz w:val="24"/>
          <w:szCs w:val="24"/>
        </w:rPr>
      </w:pPr>
    </w:p>
    <w:p w14:paraId="6F56A603">
      <w:pPr>
        <w:spacing w:before="253" w:line="194" w:lineRule="auto"/>
        <w:rPr>
          <w:rFonts w:hint="eastAsia" w:ascii="宋体" w:hAnsi="宋体" w:eastAsia="宋体" w:cs="宋体"/>
          <w:color w:val="auto"/>
          <w:spacing w:val="-2"/>
          <w:sz w:val="24"/>
          <w:szCs w:val="24"/>
        </w:rPr>
      </w:pPr>
    </w:p>
    <w:p w14:paraId="1B8D690C">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12800F8">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15951B69">
      <w:pPr>
        <w:pStyle w:val="23"/>
        <w:rPr>
          <w:rFonts w:hint="eastAsia" w:ascii="宋体" w:hAnsi="宋体" w:eastAsia="宋体" w:cs="宋体"/>
          <w:b/>
          <w:bCs/>
          <w:color w:val="auto"/>
          <w:kern w:val="0"/>
          <w:sz w:val="18"/>
          <w:szCs w:val="18"/>
        </w:rPr>
      </w:pPr>
    </w:p>
    <w:p w14:paraId="159EB1D0">
      <w:pPr>
        <w:widowControl/>
        <w:shd w:val="clear" w:color="auto" w:fill="auto"/>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36"/>
          <w:szCs w:val="36"/>
          <w:highlight w:val="none"/>
          <w:lang w:bidi="ar"/>
        </w:rPr>
        <w:t>中小企业声明函（</w:t>
      </w:r>
      <w:r>
        <w:rPr>
          <w:rFonts w:hint="eastAsia" w:ascii="宋体" w:hAnsi="宋体" w:eastAsia="宋体" w:cs="宋体"/>
          <w:b/>
          <w:color w:val="auto"/>
          <w:kern w:val="0"/>
          <w:sz w:val="36"/>
          <w:szCs w:val="36"/>
          <w:highlight w:val="none"/>
          <w:lang w:val="en-US" w:eastAsia="zh-CN" w:bidi="ar"/>
        </w:rPr>
        <w:t>工程、</w:t>
      </w:r>
      <w:r>
        <w:rPr>
          <w:rFonts w:hint="eastAsia" w:ascii="宋体" w:hAnsi="宋体" w:eastAsia="宋体" w:cs="宋体"/>
          <w:b/>
          <w:color w:val="auto"/>
          <w:kern w:val="0"/>
          <w:sz w:val="36"/>
          <w:szCs w:val="36"/>
          <w:highlight w:val="none"/>
          <w:lang w:bidi="ar"/>
        </w:rPr>
        <w:t>服务）</w:t>
      </w:r>
    </w:p>
    <w:p w14:paraId="3FE61CE0">
      <w:pPr>
        <w:pStyle w:val="14"/>
        <w:shd w:val="clear" w:color="auto" w:fill="auto"/>
        <w:rPr>
          <w:rFonts w:hint="eastAsia" w:ascii="宋体" w:hAnsi="宋体" w:eastAsia="宋体" w:cs="宋体"/>
          <w:color w:val="auto"/>
          <w:highlight w:val="none"/>
        </w:rPr>
      </w:pPr>
    </w:p>
    <w:p w14:paraId="0C8730E8">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温州市龙湾区综合行政执法局</w:t>
      </w:r>
      <w:r>
        <w:rPr>
          <w:rFonts w:hint="eastAsia" w:ascii="宋体" w:hAnsi="宋体" w:eastAsia="宋体" w:cs="宋体"/>
          <w:b/>
          <w:bCs/>
          <w:color w:val="auto"/>
          <w:kern w:val="0"/>
          <w:szCs w:val="21"/>
          <w:highlight w:val="none"/>
          <w:u w:val="single"/>
        </w:rPr>
        <w:t>:</w:t>
      </w:r>
    </w:p>
    <w:p w14:paraId="0999E93C">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eastAsia="zh-CN"/>
        </w:rPr>
        <w:t>温州市方略工程项目管理有限公司</w:t>
      </w:r>
      <w:r>
        <w:rPr>
          <w:rFonts w:hint="eastAsia" w:ascii="宋体" w:hAnsi="宋体" w:eastAsia="宋体" w:cs="宋体"/>
          <w:b/>
          <w:bCs/>
          <w:color w:val="auto"/>
          <w:kern w:val="0"/>
          <w:szCs w:val="21"/>
          <w:highlight w:val="none"/>
          <w:u w:val="single"/>
        </w:rPr>
        <w:t>：</w:t>
      </w:r>
    </w:p>
    <w:p w14:paraId="4D076D74">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b/>
          <w:color w:val="auto"/>
          <w:szCs w:val="21"/>
          <w:highlight w:val="none"/>
          <w:u w:val="single"/>
        </w:rPr>
        <w:t xml:space="preserve">（单位名称） </w:t>
      </w:r>
      <w:r>
        <w:rPr>
          <w:rFonts w:hint="eastAsia" w:ascii="宋体" w:hAnsi="宋体" w:eastAsia="宋体" w:cs="宋体"/>
          <w:bCs/>
          <w:color w:val="auto"/>
          <w:szCs w:val="21"/>
          <w:highlight w:val="none"/>
        </w:rPr>
        <w:t xml:space="preserve">的 </w:t>
      </w:r>
      <w:r>
        <w:rPr>
          <w:rFonts w:hint="eastAsia" w:ascii="宋体" w:hAnsi="宋体" w:eastAsia="宋体" w:cs="宋体"/>
          <w:b/>
          <w:color w:val="auto"/>
          <w:szCs w:val="21"/>
          <w:highlight w:val="none"/>
          <w:u w:val="single"/>
        </w:rPr>
        <w:t xml:space="preserve">（项目名称） </w:t>
      </w:r>
      <w:r>
        <w:rPr>
          <w:rFonts w:hint="eastAsia" w:ascii="宋体" w:hAnsi="宋体" w:eastAsia="宋体" w:cs="宋体"/>
          <w:bCs/>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5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37"/>
        <w:gridCol w:w="1075"/>
        <w:gridCol w:w="1375"/>
        <w:gridCol w:w="1063"/>
        <w:gridCol w:w="1150"/>
        <w:gridCol w:w="1200"/>
        <w:gridCol w:w="1737"/>
      </w:tblGrid>
      <w:tr w14:paraId="1529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663FBBC9">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037" w:type="dxa"/>
            <w:noWrap w:val="0"/>
            <w:vAlign w:val="center"/>
          </w:tcPr>
          <w:p w14:paraId="2301D89F">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075" w:type="dxa"/>
            <w:noWrap w:val="0"/>
            <w:vAlign w:val="center"/>
          </w:tcPr>
          <w:p w14:paraId="5B6B7854">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所属行业</w:t>
            </w:r>
          </w:p>
        </w:tc>
        <w:tc>
          <w:tcPr>
            <w:tcW w:w="1375" w:type="dxa"/>
            <w:noWrap w:val="0"/>
            <w:vAlign w:val="center"/>
          </w:tcPr>
          <w:p w14:paraId="47EF557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企业名称</w:t>
            </w:r>
          </w:p>
        </w:tc>
        <w:tc>
          <w:tcPr>
            <w:tcW w:w="1063" w:type="dxa"/>
            <w:noWrap w:val="0"/>
            <w:vAlign w:val="center"/>
          </w:tcPr>
          <w:p w14:paraId="244B84A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从业人员（人）</w:t>
            </w:r>
          </w:p>
        </w:tc>
        <w:tc>
          <w:tcPr>
            <w:tcW w:w="1150" w:type="dxa"/>
            <w:noWrap w:val="0"/>
            <w:vAlign w:val="center"/>
          </w:tcPr>
          <w:p w14:paraId="448C8A22">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营业收入（万元）</w:t>
            </w:r>
          </w:p>
        </w:tc>
        <w:tc>
          <w:tcPr>
            <w:tcW w:w="1200" w:type="dxa"/>
            <w:noWrap w:val="0"/>
            <w:vAlign w:val="center"/>
          </w:tcPr>
          <w:p w14:paraId="72556421">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资产总额（万元）</w:t>
            </w:r>
          </w:p>
        </w:tc>
        <w:tc>
          <w:tcPr>
            <w:tcW w:w="1737" w:type="dxa"/>
            <w:noWrap w:val="0"/>
            <w:vAlign w:val="center"/>
          </w:tcPr>
          <w:p w14:paraId="09C9C94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属于（填入大型、中型、小型或微型）企业</w:t>
            </w:r>
          </w:p>
        </w:tc>
      </w:tr>
      <w:tr w14:paraId="70F7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057E99C2">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037" w:type="dxa"/>
            <w:noWrap w:val="0"/>
            <w:vAlign w:val="center"/>
          </w:tcPr>
          <w:p w14:paraId="081318DE">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shd w:val="clear" w:color="auto" w:fill="auto"/>
            <w:noWrap w:val="0"/>
            <w:vAlign w:val="center"/>
          </w:tcPr>
          <w:p w14:paraId="0A7854C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其他未列明行业</w:t>
            </w:r>
          </w:p>
        </w:tc>
        <w:tc>
          <w:tcPr>
            <w:tcW w:w="1375" w:type="dxa"/>
            <w:noWrap w:val="0"/>
            <w:vAlign w:val="center"/>
          </w:tcPr>
          <w:p w14:paraId="661822C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23A7E87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495435E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45A711C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3C56999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1169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53F0F448">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037" w:type="dxa"/>
            <w:noWrap w:val="0"/>
            <w:vAlign w:val="center"/>
          </w:tcPr>
          <w:p w14:paraId="708E4D39">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1F69AD5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16D44574">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1814C82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605A5BE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5E8437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3BD616F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70F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04F6F651">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037" w:type="dxa"/>
            <w:noWrap w:val="0"/>
            <w:vAlign w:val="center"/>
          </w:tcPr>
          <w:p w14:paraId="6ACDB617">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60E6CCF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69540D3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6763766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2BA4FA37">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41228D1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7C19212E">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5D56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6A72206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037" w:type="dxa"/>
            <w:noWrap w:val="0"/>
            <w:vAlign w:val="center"/>
          </w:tcPr>
          <w:p w14:paraId="335B4C0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0F5C0279">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2B2C614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396FB66E">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063603E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69C03AF">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7DA4DE51">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0AD9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1D34400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037" w:type="dxa"/>
            <w:noWrap w:val="0"/>
            <w:vAlign w:val="center"/>
          </w:tcPr>
          <w:p w14:paraId="394B4F5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570C9D03">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35E9506F">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35C75000">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66AA77E3">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7E122CE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5F688C2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3A6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1FB692C8">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037" w:type="dxa"/>
            <w:noWrap w:val="0"/>
            <w:vAlign w:val="center"/>
          </w:tcPr>
          <w:p w14:paraId="37A611C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606A4CE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3E6EDD5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1CB7E1F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5EF65B9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F85A686">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6511BD68">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0FB6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14:paraId="43B41D17">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037" w:type="dxa"/>
            <w:noWrap w:val="0"/>
            <w:vAlign w:val="center"/>
          </w:tcPr>
          <w:p w14:paraId="53006D1A">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14:paraId="5F8672CB">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14:paraId="2DED2CAC">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14:paraId="5D41ABAD">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14:paraId="246D91D2">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14:paraId="2FE62F34">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14:paraId="41CF8E55">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bl>
    <w:p w14:paraId="12B31E1C">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14:paraId="15804B0B">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本企业对上述声明内容的真实性负责。如有虚假，将依法承担相应责任。 </w:t>
      </w:r>
    </w:p>
    <w:p w14:paraId="053EA92F">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p>
    <w:p w14:paraId="591B772F">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企业名称（</w:t>
      </w:r>
      <w:r>
        <w:rPr>
          <w:rFonts w:hint="eastAsia" w:ascii="宋体" w:hAnsi="宋体" w:eastAsia="宋体" w:cs="宋体"/>
          <w:color w:val="auto"/>
          <w:spacing w:val="6"/>
          <w:szCs w:val="21"/>
          <w:highlight w:val="none"/>
        </w:rPr>
        <w:t xml:space="preserve">盖单位公章或 </w:t>
      </w:r>
      <w:r>
        <w:rPr>
          <w:rFonts w:hint="eastAsia" w:ascii="宋体" w:hAnsi="宋体" w:eastAsia="宋体" w:cs="宋体"/>
          <w:color w:val="auto"/>
          <w:spacing w:val="6"/>
          <w:szCs w:val="21"/>
          <w:highlight w:val="none"/>
          <w:lang w:eastAsia="zh-CN"/>
        </w:rPr>
        <w:t>CA签章</w:t>
      </w:r>
      <w:r>
        <w:rPr>
          <w:rFonts w:hint="eastAsia" w:ascii="宋体" w:hAnsi="宋体" w:eastAsia="宋体" w:cs="宋体"/>
          <w:bCs/>
          <w:color w:val="auto"/>
          <w:szCs w:val="21"/>
          <w:highlight w:val="none"/>
        </w:rPr>
        <w:t xml:space="preserve">）： </w:t>
      </w:r>
    </w:p>
    <w:p w14:paraId="462032C2">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日 期： </w:t>
      </w:r>
    </w:p>
    <w:p w14:paraId="3DA1DE9F">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说明： </w:t>
      </w:r>
    </w:p>
    <w:p w14:paraId="1E09EA21">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1）所有标的名称均需提供制造商所属行业、从业人员、营业收入、资产总额、所属企业类型等情况； </w:t>
      </w:r>
    </w:p>
    <w:p w14:paraId="0DAB3DA5">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2）联合体主办方和各成员单位分别提供此函。 </w:t>
      </w:r>
    </w:p>
    <w:p w14:paraId="0B3D97BB">
      <w:pPr>
        <w:widowControl/>
        <w:shd w:val="clear" w:color="auto" w:fill="auto"/>
        <w:spacing w:line="360" w:lineRule="exact"/>
        <w:jc w:val="left"/>
        <w:rPr>
          <w:rFonts w:hint="eastAsia" w:ascii="宋体" w:hAnsi="宋体" w:eastAsia="宋体" w:cs="宋体"/>
          <w:b/>
          <w:bCs/>
          <w:color w:val="auto"/>
          <w:kern w:val="0"/>
          <w:sz w:val="18"/>
          <w:szCs w:val="18"/>
          <w:highlight w:val="none"/>
          <w:u w:val="single"/>
          <w:lang w:bidi="ar"/>
        </w:rPr>
      </w:pPr>
      <w:r>
        <w:rPr>
          <w:rFonts w:hint="eastAsia" w:ascii="宋体" w:hAnsi="宋体" w:eastAsia="宋体" w:cs="宋体"/>
          <w:b/>
          <w:bCs/>
          <w:color w:val="auto"/>
          <w:kern w:val="0"/>
          <w:sz w:val="18"/>
          <w:szCs w:val="18"/>
          <w:highlight w:val="none"/>
          <w:u w:val="single"/>
          <w:lang w:bidi="ar"/>
        </w:rPr>
        <w:t xml:space="preserve">3）所有材料的制造商、服务企业均需在此函中列明。 </w:t>
      </w:r>
    </w:p>
    <w:p w14:paraId="5EFACFEE">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4）从业人员、营业收入、资产总额填报上一年度数据，无上一年度数据的新成立企业可不填报。 </w:t>
      </w:r>
    </w:p>
    <w:p w14:paraId="3BA77F42">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5）所属行业请根据《关于印发中小企业划型标准规定的通知》工信部联企业〔2011〕300 号文件标准填写。 </w:t>
      </w:r>
    </w:p>
    <w:p w14:paraId="70BDCF05">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08E3B304">
      <w:pPr>
        <w:widowControl/>
        <w:shd w:val="clear" w:color="auto" w:fill="auto"/>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14:paraId="7A9B47A9">
      <w:pPr>
        <w:widowControl/>
        <w:shd w:val="clear" w:color="auto" w:fill="auto"/>
        <w:spacing w:before="100" w:beforeAutospacing="1" w:after="100" w:afterAutospacing="1" w:line="440" w:lineRule="atLeast"/>
        <w:jc w:val="center"/>
        <w:rPr>
          <w:rFonts w:hint="eastAsia" w:ascii="宋体" w:hAnsi="宋体" w:eastAsia="宋体" w:cs="宋体"/>
          <w:b/>
          <w:bCs/>
          <w:color w:val="auto"/>
          <w:sz w:val="24"/>
          <w:highlight w:val="none"/>
        </w:rPr>
      </w:pPr>
      <w:bookmarkStart w:id="50" w:name="OLE_LINK14"/>
      <w:bookmarkStart w:id="51" w:name="OLE_LINK13"/>
      <w:r>
        <w:rPr>
          <w:rFonts w:hint="eastAsia" w:ascii="宋体" w:hAnsi="宋体" w:eastAsia="宋体" w:cs="宋体"/>
          <w:b/>
          <w:bCs/>
          <w:color w:val="auto"/>
          <w:sz w:val="24"/>
          <w:highlight w:val="none"/>
        </w:rPr>
        <w:t>残疾人福利性单位声明函</w:t>
      </w:r>
    </w:p>
    <w:p w14:paraId="6D373229">
      <w:pPr>
        <w:pStyle w:val="14"/>
        <w:shd w:val="clear" w:color="auto" w:fill="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【非残疾人福利性单位不需提供】</w:t>
      </w:r>
    </w:p>
    <w:bookmarkEnd w:id="50"/>
    <w:bookmarkEnd w:id="51"/>
    <w:p w14:paraId="3052A535">
      <w:pPr>
        <w:shd w:val="clear" w:color="auto" w:fill="auto"/>
        <w:spacing w:line="588" w:lineRule="exact"/>
        <w:rPr>
          <w:rFonts w:hint="eastAsia" w:ascii="宋体" w:hAnsi="宋体" w:eastAsia="宋体" w:cs="宋体"/>
          <w:b/>
          <w:color w:val="auto"/>
          <w:spacing w:val="6"/>
          <w:sz w:val="30"/>
          <w:szCs w:val="30"/>
          <w:highlight w:val="none"/>
        </w:rPr>
      </w:pPr>
    </w:p>
    <w:p w14:paraId="0022228C">
      <w:pPr>
        <w:pStyle w:val="14"/>
        <w:shd w:val="clear" w:color="auto" w:fill="auto"/>
        <w:rPr>
          <w:rFonts w:hint="eastAsia" w:ascii="宋体" w:hAnsi="宋体" w:eastAsia="宋体" w:cs="宋体"/>
          <w:color w:val="auto"/>
          <w:highlight w:val="none"/>
        </w:rPr>
      </w:pPr>
    </w:p>
    <w:p w14:paraId="55174842">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温州市龙湾区综合行政执法局</w:t>
      </w:r>
      <w:r>
        <w:rPr>
          <w:rFonts w:hint="eastAsia" w:ascii="宋体" w:hAnsi="宋体" w:eastAsia="宋体" w:cs="宋体"/>
          <w:b/>
          <w:bCs/>
          <w:color w:val="auto"/>
          <w:kern w:val="0"/>
          <w:szCs w:val="21"/>
          <w:highlight w:val="none"/>
          <w:u w:val="single"/>
        </w:rPr>
        <w:t>:</w:t>
      </w:r>
    </w:p>
    <w:p w14:paraId="6E239686">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eastAsia="zh-CN"/>
        </w:rPr>
        <w:t>温州市方略工程项目管理有限公司</w:t>
      </w:r>
      <w:r>
        <w:rPr>
          <w:rFonts w:hint="eastAsia" w:ascii="宋体" w:hAnsi="宋体" w:eastAsia="宋体" w:cs="宋体"/>
          <w:b/>
          <w:bCs/>
          <w:color w:val="auto"/>
          <w:kern w:val="0"/>
          <w:szCs w:val="21"/>
          <w:highlight w:val="none"/>
          <w:u w:val="single"/>
        </w:rPr>
        <w:t>：</w:t>
      </w:r>
    </w:p>
    <w:p w14:paraId="1F9348BC">
      <w:pPr>
        <w:shd w:val="clear" w:color="auto" w:fill="auto"/>
        <w:spacing w:line="588" w:lineRule="exact"/>
        <w:ind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09079F">
      <w:pPr>
        <w:shd w:val="clear" w:color="auto" w:fill="auto"/>
        <w:spacing w:line="588" w:lineRule="exact"/>
        <w:ind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6909495A">
      <w:pPr>
        <w:shd w:val="clear" w:color="auto" w:fill="auto"/>
        <w:spacing w:line="588" w:lineRule="exact"/>
        <w:ind w:firstLine="452" w:firstLineChars="200"/>
        <w:rPr>
          <w:rFonts w:hint="eastAsia" w:ascii="宋体" w:hAnsi="宋体" w:eastAsia="宋体" w:cs="宋体"/>
          <w:color w:val="auto"/>
          <w:spacing w:val="6"/>
          <w:szCs w:val="21"/>
          <w:highlight w:val="none"/>
        </w:rPr>
      </w:pPr>
    </w:p>
    <w:p w14:paraId="2407E4A3">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p>
    <w:p w14:paraId="587DD2E6">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投标人全称（盖单位公章或 </w:t>
      </w:r>
      <w:r>
        <w:rPr>
          <w:rFonts w:hint="eastAsia" w:ascii="宋体" w:hAnsi="宋体" w:eastAsia="宋体" w:cs="宋体"/>
          <w:color w:val="auto"/>
          <w:spacing w:val="6"/>
          <w:szCs w:val="21"/>
          <w:highlight w:val="none"/>
          <w:lang w:eastAsia="zh-CN"/>
        </w:rPr>
        <w:t>CA签章</w:t>
      </w:r>
      <w:r>
        <w:rPr>
          <w:rFonts w:hint="eastAsia" w:ascii="宋体" w:hAnsi="宋体" w:eastAsia="宋体" w:cs="宋体"/>
          <w:color w:val="auto"/>
          <w:spacing w:val="6"/>
          <w:szCs w:val="21"/>
          <w:highlight w:val="none"/>
        </w:rPr>
        <w:t>）：</w:t>
      </w:r>
    </w:p>
    <w:p w14:paraId="343543ED">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14:paraId="4EE26C4B">
      <w:pPr>
        <w:shd w:val="clear" w:color="auto" w:fill="auto"/>
        <w:tabs>
          <w:tab w:val="left" w:pos="4860"/>
        </w:tabs>
        <w:spacing w:line="588" w:lineRule="exact"/>
        <w:ind w:right="1560" w:firstLine="472" w:firstLineChars="200"/>
        <w:jc w:val="center"/>
        <w:rPr>
          <w:rFonts w:hint="eastAsia" w:ascii="宋体" w:hAnsi="宋体" w:eastAsia="宋体" w:cs="宋体"/>
          <w:color w:val="auto"/>
          <w:spacing w:val="6"/>
          <w:sz w:val="22"/>
          <w:szCs w:val="22"/>
          <w:highlight w:val="none"/>
        </w:rPr>
      </w:pPr>
    </w:p>
    <w:p w14:paraId="79371E97">
      <w:pPr>
        <w:shd w:val="clear" w:color="auto" w:fill="auto"/>
        <w:tabs>
          <w:tab w:val="left" w:pos="4860"/>
        </w:tabs>
        <w:spacing w:line="588" w:lineRule="exact"/>
        <w:ind w:right="15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备注说明：</w:t>
      </w:r>
    </w:p>
    <w:p w14:paraId="7ED1EF50">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如中标，将在中标公示中将此残疾人福利性单位声明函予以公示，接受社会监督。</w:t>
      </w:r>
    </w:p>
    <w:p w14:paraId="6BCFBB0B">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投标人提供的《残疾人福利性单位声明函》与事实不符的，依照《政府采购法》第七十七条第一款的规定追究法律责任。</w:t>
      </w:r>
    </w:p>
    <w:p w14:paraId="643E00FF">
      <w:pPr>
        <w:shd w:val="clear" w:color="auto" w:fill="auto"/>
        <w:tabs>
          <w:tab w:val="left" w:pos="0"/>
        </w:tabs>
        <w:spacing w:line="588" w:lineRule="exact"/>
        <w:ind w:right="11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3.不符合可不提供。</w:t>
      </w:r>
    </w:p>
    <w:p w14:paraId="6EC7F9BB">
      <w:pPr>
        <w:pStyle w:val="24"/>
        <w:shd w:val="clear" w:color="auto" w:fill="auto"/>
        <w:spacing w:afterLines="0" w:line="360" w:lineRule="auto"/>
        <w:ind w:firstLine="440"/>
        <w:rPr>
          <w:rFonts w:hint="eastAsia" w:ascii="宋体" w:hAnsi="宋体" w:eastAsia="宋体" w:cs="宋体"/>
          <w:snapToGrid w:val="0"/>
          <w:color w:val="auto"/>
          <w:sz w:val="22"/>
          <w:szCs w:val="22"/>
          <w:highlight w:val="none"/>
        </w:rPr>
      </w:pPr>
    </w:p>
    <w:p w14:paraId="7359D9E5">
      <w:pPr>
        <w:pStyle w:val="24"/>
        <w:shd w:val="clear" w:color="auto" w:fill="auto"/>
        <w:spacing w:afterLines="0" w:line="360" w:lineRule="auto"/>
        <w:ind w:firstLine="440"/>
        <w:rPr>
          <w:rFonts w:hint="eastAsia" w:ascii="宋体" w:hAnsi="宋体" w:eastAsia="宋体" w:cs="宋体"/>
          <w:snapToGrid w:val="0"/>
          <w:color w:val="auto"/>
          <w:sz w:val="22"/>
          <w:szCs w:val="22"/>
          <w:highlight w:val="none"/>
        </w:rPr>
      </w:pPr>
    </w:p>
    <w:p w14:paraId="754B54B9">
      <w:pPr>
        <w:widowControl/>
        <w:shd w:val="clear" w:color="auto" w:fill="auto"/>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14:paraId="0A2B250E">
      <w:pPr>
        <w:widowControl/>
        <w:shd w:val="clear" w:color="auto" w:fill="auto"/>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监狱企业声明函</w:t>
      </w:r>
    </w:p>
    <w:p w14:paraId="0A11E07E">
      <w:pPr>
        <w:widowControl/>
        <w:shd w:val="clear" w:color="auto" w:fill="auto"/>
        <w:jc w:val="center"/>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【非监狱企业不需提供】</w:t>
      </w:r>
    </w:p>
    <w:p w14:paraId="794D3011">
      <w:pPr>
        <w:pStyle w:val="14"/>
        <w:shd w:val="clear" w:color="auto" w:fill="auto"/>
        <w:rPr>
          <w:rFonts w:hint="eastAsia" w:ascii="宋体" w:hAnsi="宋体" w:eastAsia="宋体" w:cs="宋体"/>
          <w:color w:val="auto"/>
          <w:highlight w:val="none"/>
        </w:rPr>
      </w:pPr>
    </w:p>
    <w:p w14:paraId="1E00DEC9">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温州市龙湾区综合行政执法局</w:t>
      </w:r>
      <w:r>
        <w:rPr>
          <w:rFonts w:hint="eastAsia" w:ascii="宋体" w:hAnsi="宋体" w:eastAsia="宋体" w:cs="宋体"/>
          <w:b/>
          <w:bCs/>
          <w:color w:val="auto"/>
          <w:kern w:val="0"/>
          <w:szCs w:val="21"/>
          <w:highlight w:val="none"/>
          <w:u w:val="single"/>
        </w:rPr>
        <w:t>:</w:t>
      </w:r>
    </w:p>
    <w:p w14:paraId="3376B883">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eastAsia="zh-CN"/>
        </w:rPr>
        <w:t>温州市方略工程项目管理有限公司</w:t>
      </w:r>
      <w:r>
        <w:rPr>
          <w:rFonts w:hint="eastAsia" w:ascii="宋体" w:hAnsi="宋体" w:eastAsia="宋体" w:cs="宋体"/>
          <w:b/>
          <w:bCs/>
          <w:color w:val="auto"/>
          <w:kern w:val="0"/>
          <w:szCs w:val="21"/>
          <w:highlight w:val="none"/>
          <w:u w:val="single"/>
        </w:rPr>
        <w:t>：</w:t>
      </w:r>
    </w:p>
    <w:p w14:paraId="5264EE23">
      <w:pPr>
        <w:widowControl/>
        <w:shd w:val="clear" w:color="auto" w:fill="auto"/>
        <w:spacing w:line="360" w:lineRule="auto"/>
        <w:ind w:firstLine="642" w:firstLineChars="300"/>
        <w:jc w:val="left"/>
        <w:rPr>
          <w:rFonts w:hint="eastAsia" w:ascii="宋体" w:hAnsi="宋体" w:eastAsia="宋体" w:cs="宋体"/>
          <w:color w:val="auto"/>
          <w:kern w:val="0"/>
          <w:szCs w:val="21"/>
          <w:highlight w:val="none"/>
          <w:lang w:bidi="ar"/>
        </w:rPr>
      </w:pPr>
    </w:p>
    <w:p w14:paraId="160F5CD2">
      <w:pPr>
        <w:widowControl/>
        <w:shd w:val="clear" w:color="auto" w:fill="auto"/>
        <w:spacing w:line="360" w:lineRule="auto"/>
        <w:ind w:firstLine="642" w:firstLineChars="3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本企业郑重声明，根据《关于政府采购支持监狱企业发展有关问题的通知》（财库[2014]68 号）的规定，本企业为监狱企业。 </w:t>
      </w:r>
    </w:p>
    <w:p w14:paraId="048F7816">
      <w:pPr>
        <w:widowControl/>
        <w:shd w:val="clear" w:color="auto" w:fill="auto"/>
        <w:spacing w:line="360" w:lineRule="auto"/>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根据上述标准，我企业属于监狱企业的理由为：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 </w:t>
      </w:r>
    </w:p>
    <w:p w14:paraId="73935813">
      <w:pPr>
        <w:widowControl/>
        <w:shd w:val="clear" w:color="auto" w:fill="auto"/>
        <w:spacing w:line="360" w:lineRule="auto"/>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本企业参加</w:t>
      </w:r>
      <w:r>
        <w:rPr>
          <w:rFonts w:hint="eastAsia" w:ascii="宋体" w:hAnsi="宋体" w:eastAsia="宋体" w:cs="宋体"/>
          <w:b/>
          <w:bCs/>
          <w:color w:val="auto"/>
          <w:kern w:val="0"/>
          <w:szCs w:val="21"/>
          <w:highlight w:val="none"/>
          <w:u w:val="single"/>
          <w:lang w:bidi="ar"/>
        </w:rPr>
        <w:t xml:space="preserve">（招标人名称） </w:t>
      </w:r>
      <w:r>
        <w:rPr>
          <w:rFonts w:hint="eastAsia" w:ascii="宋体" w:hAnsi="宋体" w:eastAsia="宋体" w:cs="宋体"/>
          <w:color w:val="auto"/>
          <w:kern w:val="0"/>
          <w:szCs w:val="21"/>
          <w:highlight w:val="none"/>
          <w:lang w:bidi="ar"/>
        </w:rPr>
        <w:t>单位的</w:t>
      </w:r>
      <w:r>
        <w:rPr>
          <w:rFonts w:hint="eastAsia" w:ascii="宋体" w:hAnsi="宋体" w:eastAsia="宋体" w:cs="宋体"/>
          <w:b/>
          <w:bCs/>
          <w:color w:val="auto"/>
          <w:kern w:val="0"/>
          <w:szCs w:val="21"/>
          <w:highlight w:val="none"/>
          <w:u w:val="single"/>
          <w:lang w:bidi="ar"/>
        </w:rPr>
        <w:t xml:space="preserve"> （项目名称）</w:t>
      </w:r>
      <w:r>
        <w:rPr>
          <w:rFonts w:hint="eastAsia" w:ascii="宋体" w:hAnsi="宋体" w:eastAsia="宋体" w:cs="宋体"/>
          <w:color w:val="auto"/>
          <w:kern w:val="0"/>
          <w:szCs w:val="21"/>
          <w:highlight w:val="none"/>
          <w:lang w:bidi="ar"/>
        </w:rPr>
        <w:t xml:space="preserve"> 项目的采购活动，并由本企业为本项目提供货物。 </w:t>
      </w:r>
    </w:p>
    <w:p w14:paraId="420BF2E6">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lang w:bidi="ar"/>
        </w:rPr>
        <w:t xml:space="preserve">本公司对上述声明的真实性负责。如有虚假，将依法承担相应责任。 </w:t>
      </w:r>
    </w:p>
    <w:p w14:paraId="41359B30">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投标人全称（盖单位公章或 </w:t>
      </w:r>
      <w:r>
        <w:rPr>
          <w:rFonts w:hint="eastAsia" w:ascii="宋体" w:hAnsi="宋体" w:eastAsia="宋体" w:cs="宋体"/>
          <w:color w:val="auto"/>
          <w:kern w:val="0"/>
          <w:szCs w:val="21"/>
          <w:highlight w:val="none"/>
          <w:lang w:eastAsia="zh-CN" w:bidi="ar"/>
        </w:rPr>
        <w:t>CA签章</w:t>
      </w:r>
      <w:r>
        <w:rPr>
          <w:rFonts w:hint="eastAsia" w:ascii="宋体" w:hAnsi="宋体" w:eastAsia="宋体" w:cs="宋体"/>
          <w:color w:val="auto"/>
          <w:kern w:val="0"/>
          <w:szCs w:val="21"/>
          <w:highlight w:val="none"/>
          <w:lang w:bidi="ar"/>
        </w:rPr>
        <w:t xml:space="preserve">）： </w:t>
      </w:r>
    </w:p>
    <w:p w14:paraId="06966115">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日期： 年 月 日 </w:t>
      </w:r>
    </w:p>
    <w:p w14:paraId="2739B378">
      <w:pPr>
        <w:widowControl/>
        <w:shd w:val="clear" w:color="auto" w:fill="auto"/>
        <w:spacing w:line="360" w:lineRule="auto"/>
        <w:jc w:val="left"/>
        <w:rPr>
          <w:rFonts w:hint="eastAsia" w:ascii="宋体" w:hAnsi="宋体" w:eastAsia="宋体" w:cs="宋体"/>
          <w:color w:val="auto"/>
          <w:kern w:val="0"/>
          <w:szCs w:val="21"/>
          <w:highlight w:val="none"/>
          <w:lang w:bidi="ar"/>
        </w:rPr>
      </w:pPr>
    </w:p>
    <w:p w14:paraId="6441D9C0">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说明： </w:t>
      </w:r>
    </w:p>
    <w:p w14:paraId="454B3150">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1）监狱企业参加政府采购活动时，应当提供由省级以上监狱管理局、戒毒管理局（含新疆生产建设兵团）出具的属于监狱企业的证明文件。 </w:t>
      </w:r>
    </w:p>
    <w:p w14:paraId="34789E85">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4D6F8FC">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3）非监狱企业不需提供此声明函。 </w:t>
      </w:r>
    </w:p>
    <w:p w14:paraId="1CF203D4">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4）联合体主办方和各成员单位分别提供此函。 </w:t>
      </w:r>
    </w:p>
    <w:p w14:paraId="60207E45">
      <w:pPr>
        <w:pStyle w:val="4"/>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76B00D1">
      <w:pPr>
        <w:autoSpaceDE w:val="0"/>
        <w:autoSpaceDN w:val="0"/>
        <w:rPr>
          <w:rFonts w:hint="eastAsia" w:ascii="宋体" w:hAnsi="宋体" w:eastAsia="宋体" w:cs="宋体"/>
          <w:b/>
          <w:bCs/>
          <w:color w:val="auto"/>
          <w:szCs w:val="21"/>
          <w:lang w:val="zh-CN"/>
        </w:rPr>
      </w:pPr>
      <w:r>
        <w:rPr>
          <w:rFonts w:hint="eastAsia" w:ascii="宋体" w:hAnsi="宋体" w:eastAsia="宋体" w:cs="宋体"/>
          <w:b/>
          <w:bCs/>
          <w:color w:val="auto"/>
          <w:szCs w:val="21"/>
        </w:rPr>
        <w:t>附件4：</w:t>
      </w:r>
      <w:r>
        <w:rPr>
          <w:rFonts w:hint="eastAsia" w:ascii="宋体" w:hAnsi="宋体" w:eastAsia="宋体" w:cs="宋体"/>
          <w:b/>
          <w:bCs/>
          <w:color w:val="auto"/>
          <w:szCs w:val="21"/>
          <w:lang w:val="zh-CN"/>
        </w:rPr>
        <w:t>联合协议</w:t>
      </w:r>
    </w:p>
    <w:p w14:paraId="59B849AB">
      <w:pPr>
        <w:widowControl/>
        <w:adjustRightInd w:val="0"/>
        <w:spacing w:line="400" w:lineRule="exact"/>
        <w:ind w:firstLine="428" w:firstLineChars="200"/>
        <w:jc w:val="left"/>
        <w:rPr>
          <w:rFonts w:hint="eastAsia" w:ascii="宋体" w:hAnsi="宋体" w:eastAsia="宋体" w:cs="宋体"/>
          <w:b/>
          <w:color w:val="auto"/>
          <w:szCs w:val="21"/>
        </w:rPr>
      </w:pPr>
      <w:r>
        <w:rPr>
          <w:rFonts w:hint="eastAsia" w:ascii="宋体" w:hAnsi="宋体" w:eastAsia="宋体" w:cs="宋体"/>
          <w:b/>
          <w:color w:val="auto"/>
          <w:szCs w:val="21"/>
        </w:rPr>
        <w:t>（以联合体形式投标的，提供联合协议；本项目不接受联合体投标或者投标人不以联合体形式投标的，则不需要提供）</w:t>
      </w:r>
    </w:p>
    <w:p w14:paraId="0212EA82">
      <w:pPr>
        <w:snapToGrid w:val="0"/>
        <w:spacing w:line="360" w:lineRule="auto"/>
        <w:ind w:firstLine="576"/>
        <w:rPr>
          <w:rFonts w:hint="eastAsia" w:ascii="新宋体" w:hAnsi="新宋体" w:eastAsia="新宋体" w:cs="新宋体"/>
          <w:color w:val="auto"/>
          <w:kern w:val="0"/>
          <w:sz w:val="21"/>
          <w:szCs w:val="21"/>
          <w:highlight w:val="none"/>
          <w:u w:val="single"/>
        </w:rPr>
      </w:pPr>
    </w:p>
    <w:p w14:paraId="2E4A4242">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u w:val="single"/>
        </w:rPr>
        <w:t>（联合体所有成员名称）</w:t>
      </w:r>
      <w:r>
        <w:rPr>
          <w:rFonts w:hint="eastAsia" w:ascii="新宋体" w:hAnsi="新宋体" w:eastAsia="新宋体" w:cs="新宋体"/>
          <w:color w:val="auto"/>
          <w:kern w:val="0"/>
          <w:sz w:val="21"/>
          <w:szCs w:val="21"/>
          <w:highlight w:val="none"/>
        </w:rPr>
        <w:t>自愿</w:t>
      </w:r>
      <w:r>
        <w:rPr>
          <w:rFonts w:hint="eastAsia" w:ascii="新宋体" w:hAnsi="新宋体" w:eastAsia="新宋体" w:cs="新宋体"/>
          <w:color w:val="auto"/>
          <w:kern w:val="0"/>
          <w:sz w:val="21"/>
          <w:szCs w:val="21"/>
          <w:highlight w:val="none"/>
          <w:lang w:val="zh-CN"/>
        </w:rPr>
        <w:t>组成一个联合体，以一个投标人的身份</w:t>
      </w:r>
      <w:r>
        <w:rPr>
          <w:rFonts w:hint="eastAsia" w:ascii="新宋体" w:hAnsi="新宋体" w:eastAsia="新宋体" w:cs="新宋体"/>
          <w:color w:val="auto"/>
          <w:kern w:val="0"/>
          <w:sz w:val="21"/>
          <w:szCs w:val="21"/>
          <w:highlight w:val="none"/>
        </w:rPr>
        <w:t>参加</w:t>
      </w:r>
      <w:r>
        <w:rPr>
          <w:rFonts w:hint="eastAsia" w:ascii="新宋体" w:hAnsi="新宋体" w:eastAsia="新宋体" w:cs="新宋体"/>
          <w:color w:val="auto"/>
          <w:sz w:val="21"/>
          <w:szCs w:val="21"/>
          <w:highlight w:val="none"/>
        </w:rPr>
        <w:t>（项目名称）【项目编号：   】</w:t>
      </w:r>
      <w:r>
        <w:rPr>
          <w:rFonts w:hint="eastAsia" w:ascii="新宋体" w:hAnsi="新宋体" w:eastAsia="新宋体" w:cs="新宋体"/>
          <w:color w:val="auto"/>
          <w:kern w:val="0"/>
          <w:sz w:val="21"/>
          <w:szCs w:val="21"/>
          <w:highlight w:val="none"/>
          <w:lang w:val="zh-CN"/>
        </w:rPr>
        <w:t xml:space="preserve">投标。 </w:t>
      </w:r>
    </w:p>
    <w:p w14:paraId="032FC5EF">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一、各方一致决定，</w:t>
      </w:r>
      <w:r>
        <w:rPr>
          <w:rFonts w:hint="eastAsia" w:ascii="新宋体" w:hAnsi="新宋体" w:eastAsia="新宋体" w:cs="新宋体"/>
          <w:color w:val="auto"/>
          <w:kern w:val="0"/>
          <w:sz w:val="21"/>
          <w:szCs w:val="21"/>
          <w:highlight w:val="none"/>
          <w:u w:val="single"/>
        </w:rPr>
        <w:t>（某联合体成员名称）</w:t>
      </w:r>
      <w:r>
        <w:rPr>
          <w:rFonts w:hint="eastAsia" w:ascii="新宋体" w:hAnsi="新宋体" w:eastAsia="新宋体" w:cs="新宋体"/>
          <w:color w:val="auto"/>
          <w:kern w:val="0"/>
          <w:sz w:val="21"/>
          <w:szCs w:val="21"/>
          <w:highlight w:val="none"/>
        </w:rPr>
        <w:t>为联合体</w:t>
      </w:r>
      <w:r>
        <w:rPr>
          <w:rFonts w:hint="eastAsia" w:ascii="新宋体" w:hAnsi="新宋体" w:eastAsia="新宋体" w:cs="新宋体"/>
          <w:color w:val="auto"/>
          <w:kern w:val="0"/>
          <w:sz w:val="21"/>
          <w:szCs w:val="21"/>
          <w:highlight w:val="none"/>
          <w:lang w:val="zh-CN"/>
        </w:rPr>
        <w:t>牵头人</w:t>
      </w:r>
      <w:r>
        <w:rPr>
          <w:rFonts w:hint="eastAsia" w:ascii="新宋体" w:hAnsi="新宋体" w:eastAsia="新宋体" w:cs="新宋体"/>
          <w:color w:val="auto"/>
          <w:sz w:val="21"/>
          <w:szCs w:val="21"/>
          <w:highlight w:val="none"/>
        </w:rPr>
        <w:t>，代表所有联合体成员负责投标和合同实施阶段的主办、协调工作</w:t>
      </w:r>
      <w:r>
        <w:rPr>
          <w:rFonts w:hint="eastAsia" w:ascii="新宋体" w:hAnsi="新宋体" w:eastAsia="新宋体" w:cs="新宋体"/>
          <w:color w:val="auto"/>
          <w:kern w:val="0"/>
          <w:sz w:val="21"/>
          <w:szCs w:val="21"/>
          <w:highlight w:val="none"/>
          <w:lang w:val="zh-CN"/>
        </w:rPr>
        <w:t>。</w:t>
      </w:r>
    </w:p>
    <w:p w14:paraId="36D5AE4A">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二、</w:t>
      </w:r>
      <w:r>
        <w:rPr>
          <w:rFonts w:hint="eastAsia" w:ascii="新宋体" w:hAnsi="新宋体" w:eastAsia="新宋体" w:cs="新宋体"/>
          <w:color w:val="auto"/>
          <w:sz w:val="21"/>
          <w:szCs w:val="21"/>
          <w:highlight w:val="none"/>
        </w:rPr>
        <w:t>所有联合体成员各方签署授权书，授权书载明的</w:t>
      </w:r>
      <w:r>
        <w:rPr>
          <w:rFonts w:hint="eastAsia" w:ascii="新宋体" w:hAnsi="新宋体" w:eastAsia="新宋体" w:cs="新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35F4B79">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三、本次联合</w:t>
      </w:r>
      <w:r>
        <w:rPr>
          <w:rFonts w:hint="eastAsia" w:ascii="新宋体" w:hAnsi="新宋体" w:eastAsia="新宋体" w:cs="新宋体"/>
          <w:color w:val="auto"/>
          <w:kern w:val="0"/>
          <w:sz w:val="21"/>
          <w:szCs w:val="21"/>
          <w:highlight w:val="none"/>
        </w:rPr>
        <w:t>投标</w:t>
      </w:r>
      <w:r>
        <w:rPr>
          <w:rFonts w:hint="eastAsia" w:ascii="新宋体" w:hAnsi="新宋体" w:eastAsia="新宋体" w:cs="新宋体"/>
          <w:color w:val="auto"/>
          <w:kern w:val="0"/>
          <w:sz w:val="21"/>
          <w:szCs w:val="21"/>
          <w:highlight w:val="none"/>
          <w:lang w:val="zh-CN"/>
        </w:rPr>
        <w:t>中，分工和合同份额如下：</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2319"/>
        <w:gridCol w:w="2342"/>
        <w:gridCol w:w="2342"/>
      </w:tblGrid>
      <w:tr w14:paraId="626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69" w:type="dxa"/>
            <w:vAlign w:val="center"/>
          </w:tcPr>
          <w:p w14:paraId="7440D72D">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联合体成员名称</w:t>
            </w:r>
          </w:p>
        </w:tc>
        <w:tc>
          <w:tcPr>
            <w:tcW w:w="2291" w:type="dxa"/>
            <w:vAlign w:val="center"/>
          </w:tcPr>
          <w:p w14:paraId="317C268C">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承担的工作和义务</w:t>
            </w:r>
          </w:p>
        </w:tc>
        <w:tc>
          <w:tcPr>
            <w:tcW w:w="2313" w:type="dxa"/>
            <w:vAlign w:val="center"/>
          </w:tcPr>
          <w:p w14:paraId="06DC04F1">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承担的合同份额（该成员工作内容占合同总金额的比例）</w:t>
            </w:r>
          </w:p>
        </w:tc>
        <w:tc>
          <w:tcPr>
            <w:tcW w:w="2313" w:type="dxa"/>
            <w:vAlign w:val="center"/>
          </w:tcPr>
          <w:p w14:paraId="1095AE92">
            <w:pPr>
              <w:keepNext w:val="0"/>
              <w:keepLines w:val="0"/>
              <w:suppressLineNumbers w:val="0"/>
              <w:snapToGrid w:val="0"/>
              <w:spacing w:before="0" w:beforeAutospacing="0" w:after="0" w:afterAutospacing="0" w:line="360" w:lineRule="auto"/>
              <w:ind w:left="0" w:right="0" w:firstLine="0"/>
              <w:jc w:val="both"/>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企业划型（大型、中型、小型、微型）</w:t>
            </w:r>
          </w:p>
        </w:tc>
      </w:tr>
      <w:tr w14:paraId="6D4B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69" w:type="dxa"/>
            <w:vAlign w:val="center"/>
          </w:tcPr>
          <w:p w14:paraId="32182EE2">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291" w:type="dxa"/>
            <w:vAlign w:val="center"/>
          </w:tcPr>
          <w:p w14:paraId="090EEFBD">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36EB24BF">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207CDB7A">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r>
      <w:tr w14:paraId="0F71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69" w:type="dxa"/>
            <w:vAlign w:val="center"/>
          </w:tcPr>
          <w:p w14:paraId="0B01D589">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w:t>
            </w:r>
          </w:p>
        </w:tc>
        <w:tc>
          <w:tcPr>
            <w:tcW w:w="2291" w:type="dxa"/>
            <w:vAlign w:val="center"/>
          </w:tcPr>
          <w:p w14:paraId="0CB47DD7">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3A7203F2">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c>
          <w:tcPr>
            <w:tcW w:w="2313" w:type="dxa"/>
            <w:vAlign w:val="center"/>
          </w:tcPr>
          <w:p w14:paraId="28B5EC7F">
            <w:pPr>
              <w:keepNext w:val="0"/>
              <w:keepLines w:val="0"/>
              <w:suppressLineNumbers w:val="0"/>
              <w:snapToGrid w:val="0"/>
              <w:spacing w:before="0" w:beforeAutospacing="0" w:after="0" w:afterAutospacing="0" w:line="360" w:lineRule="auto"/>
              <w:ind w:left="0" w:right="0" w:firstLine="480"/>
              <w:jc w:val="center"/>
              <w:rPr>
                <w:rFonts w:hint="eastAsia" w:ascii="新宋体" w:hAnsi="新宋体" w:eastAsia="新宋体" w:cs="新宋体"/>
                <w:color w:val="auto"/>
                <w:kern w:val="0"/>
                <w:sz w:val="21"/>
                <w:szCs w:val="21"/>
                <w:highlight w:val="none"/>
                <w:lang w:val="zh-CN"/>
              </w:rPr>
            </w:pPr>
          </w:p>
        </w:tc>
      </w:tr>
    </w:tbl>
    <w:p w14:paraId="596D00F9">
      <w:pPr>
        <w:pStyle w:val="311"/>
        <w:snapToGrid w:val="0"/>
        <w:spacing w:before="0" w:line="360" w:lineRule="auto"/>
        <w:ind w:firstLine="480"/>
        <w:rPr>
          <w:rFonts w:hint="eastAsia" w:ascii="新宋体" w:hAnsi="新宋体" w:eastAsia="新宋体" w:cs="新宋体"/>
          <w:b/>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注：</w:t>
      </w:r>
      <w:r>
        <w:rPr>
          <w:rFonts w:hint="eastAsia" w:ascii="新宋体" w:hAnsi="新宋体" w:eastAsia="新宋体" w:cs="新宋体"/>
          <w:b/>
          <w:color w:val="auto"/>
          <w:kern w:val="0"/>
          <w:sz w:val="21"/>
          <w:szCs w:val="21"/>
          <w:highlight w:val="none"/>
          <w:lang w:val="zh-CN"/>
        </w:rPr>
        <w:t>联合体成员为中小</w:t>
      </w:r>
      <w:r>
        <w:rPr>
          <w:rFonts w:hint="eastAsia" w:ascii="新宋体" w:hAnsi="新宋体" w:eastAsia="新宋体" w:cs="新宋体"/>
          <w:b/>
          <w:color w:val="auto"/>
          <w:kern w:val="0"/>
          <w:sz w:val="21"/>
          <w:szCs w:val="21"/>
          <w:highlight w:val="none"/>
          <w:lang w:val="en-US" w:eastAsia="zh-CN"/>
        </w:rPr>
        <w:t>微</w:t>
      </w:r>
      <w:r>
        <w:rPr>
          <w:rFonts w:hint="eastAsia" w:ascii="新宋体" w:hAnsi="新宋体" w:eastAsia="新宋体" w:cs="新宋体"/>
          <w:b/>
          <w:color w:val="auto"/>
          <w:kern w:val="0"/>
          <w:sz w:val="21"/>
          <w:szCs w:val="21"/>
          <w:highlight w:val="none"/>
          <w:lang w:val="zh-CN"/>
        </w:rPr>
        <w:t>企业的，应提供联合体成员的</w:t>
      </w:r>
      <w:r>
        <w:rPr>
          <w:rFonts w:hint="eastAsia" w:ascii="新宋体" w:hAnsi="新宋体" w:eastAsia="新宋体" w:cs="新宋体"/>
          <w:b/>
          <w:color w:val="auto"/>
          <w:sz w:val="21"/>
          <w:szCs w:val="21"/>
          <w:highlight w:val="none"/>
        </w:rPr>
        <w:t>中小企业声明函；未提供的视为非中小</w:t>
      </w:r>
      <w:r>
        <w:rPr>
          <w:rFonts w:hint="eastAsia" w:ascii="新宋体" w:hAnsi="新宋体" w:eastAsia="新宋体" w:cs="新宋体"/>
          <w:b/>
          <w:color w:val="auto"/>
          <w:sz w:val="21"/>
          <w:szCs w:val="21"/>
          <w:highlight w:val="none"/>
          <w:lang w:val="en-US" w:eastAsia="zh-CN"/>
        </w:rPr>
        <w:t>微</w:t>
      </w:r>
      <w:r>
        <w:rPr>
          <w:rFonts w:hint="eastAsia" w:ascii="新宋体" w:hAnsi="新宋体" w:eastAsia="新宋体" w:cs="新宋体"/>
          <w:b/>
          <w:color w:val="auto"/>
          <w:sz w:val="21"/>
          <w:szCs w:val="21"/>
          <w:highlight w:val="none"/>
        </w:rPr>
        <w:t>企业。</w:t>
      </w:r>
    </w:p>
    <w:p w14:paraId="1E5669ED">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五、如果中标，</w:t>
      </w:r>
      <w:r>
        <w:rPr>
          <w:rFonts w:hint="eastAsia" w:ascii="新宋体" w:hAnsi="新宋体" w:eastAsia="新宋体" w:cs="新宋体"/>
          <w:color w:val="auto"/>
          <w:sz w:val="21"/>
          <w:szCs w:val="21"/>
          <w:highlight w:val="none"/>
        </w:rPr>
        <w:t>联合体各成员方共同与采购人签订合同，并就采购合同约定的事项对采购人承担连带责任。</w:t>
      </w:r>
    </w:p>
    <w:p w14:paraId="4ED26550">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六、有关本次联合投标的其他事宜：</w:t>
      </w:r>
    </w:p>
    <w:p w14:paraId="68DD2ADD">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1、联合体各方不再单独参加或者与其他供应商另外组成联合体参加同一合同项下的政府采购活动。</w:t>
      </w:r>
    </w:p>
    <w:p w14:paraId="2DF8C7BF">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2、联合体中有同类资质的各方按照联合体分工承担相同工作的，按照资质等级较低的供应商确定资质等级。</w:t>
      </w:r>
    </w:p>
    <w:p w14:paraId="493B9023">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3、本协议提交采购人、采购代理机构后，联合体各方不得以任何形式对上述内容进行修改或撤销。</w:t>
      </w:r>
    </w:p>
    <w:p w14:paraId="18667C48">
      <w:pPr>
        <w:snapToGrid w:val="0"/>
        <w:spacing w:line="360" w:lineRule="auto"/>
        <w:ind w:firstLine="4494" w:firstLineChars="210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联合体成员名称(电子签名/公章)：</w:t>
      </w:r>
    </w:p>
    <w:p w14:paraId="7E0669AC">
      <w:pPr>
        <w:snapToGrid w:val="0"/>
        <w:spacing w:line="360" w:lineRule="auto"/>
        <w:ind w:firstLine="4494" w:firstLineChars="210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联合体成员名称(电子签名/公章)：</w:t>
      </w:r>
    </w:p>
    <w:p w14:paraId="3EE7BA9E">
      <w:pPr>
        <w:snapToGrid w:val="0"/>
        <w:spacing w:line="360" w:lineRule="auto"/>
        <w:ind w:right="96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 xml:space="preserve">                   ……</w:t>
      </w:r>
    </w:p>
    <w:p w14:paraId="7AF9329D">
      <w:pPr>
        <w:snapToGrid w:val="0"/>
        <w:spacing w:line="360" w:lineRule="auto"/>
        <w:ind w:right="480" w:firstLine="4494" w:firstLineChars="210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日期：  年  月   日</w:t>
      </w:r>
    </w:p>
    <w:p w14:paraId="475B9848">
      <w:pPr>
        <w:spacing w:line="360" w:lineRule="auto"/>
        <w:ind w:right="42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注：按本格式和要求提供。</w:t>
      </w:r>
    </w:p>
    <w:p w14:paraId="0CB1664F">
      <w:pPr>
        <w:autoSpaceDE w:val="0"/>
        <w:autoSpaceDN w:val="0"/>
        <w:jc w:val="center"/>
        <w:rPr>
          <w:rFonts w:ascii="宋体" w:hAnsi="宋体" w:cs="宋体"/>
          <w:b/>
          <w:color w:val="auto"/>
          <w:spacing w:val="6"/>
          <w:sz w:val="32"/>
          <w:szCs w:val="32"/>
          <w:highlight w:val="none"/>
        </w:rPr>
      </w:pPr>
    </w:p>
    <w:p w14:paraId="442946DA">
      <w:pPr>
        <w:widowControl/>
        <w:jc w:val="left"/>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br w:type="page"/>
      </w:r>
    </w:p>
    <w:p w14:paraId="4EA20E4E">
      <w:pPr>
        <w:autoSpaceDE w:val="0"/>
        <w:autoSpaceDN w:val="0"/>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附件</w:t>
      </w:r>
      <w:r>
        <w:rPr>
          <w:rFonts w:hint="eastAsia" w:ascii="宋体" w:hAnsi="宋体" w:eastAsia="宋体" w:cs="宋体"/>
          <w:b/>
          <w:bCs/>
          <w:color w:val="auto"/>
          <w:szCs w:val="21"/>
        </w:rPr>
        <w:t>5</w:t>
      </w:r>
      <w:r>
        <w:rPr>
          <w:rFonts w:hint="eastAsia" w:ascii="宋体" w:hAnsi="宋体" w:eastAsia="宋体" w:cs="宋体"/>
          <w:b/>
          <w:bCs/>
          <w:color w:val="auto"/>
          <w:szCs w:val="21"/>
          <w:lang w:val="zh-CN"/>
        </w:rPr>
        <w:t>：分包意向协议</w:t>
      </w:r>
    </w:p>
    <w:p w14:paraId="185B0B90">
      <w:pPr>
        <w:widowControl/>
        <w:spacing w:line="400" w:lineRule="exact"/>
        <w:ind w:firstLine="107" w:firstLineChars="5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b/>
          <w:color w:val="auto"/>
          <w:szCs w:val="21"/>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rPr>
        <w:t>）</w:t>
      </w:r>
    </w:p>
    <w:p w14:paraId="24684C7B">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u w:val="single"/>
        </w:rPr>
        <w:t>（投标人名称）</w:t>
      </w:r>
      <w:r>
        <w:rPr>
          <w:rFonts w:hint="eastAsia" w:ascii="新宋体" w:hAnsi="新宋体" w:eastAsia="新宋体" w:cs="新宋体"/>
          <w:color w:val="auto"/>
          <w:kern w:val="0"/>
          <w:sz w:val="21"/>
          <w:szCs w:val="21"/>
          <w:highlight w:val="none"/>
          <w:lang w:val="zh-CN"/>
        </w:rPr>
        <w:t>若成为</w:t>
      </w:r>
      <w:r>
        <w:rPr>
          <w:rFonts w:hint="eastAsia" w:ascii="新宋体" w:hAnsi="新宋体" w:eastAsia="新宋体" w:cs="新宋体"/>
          <w:color w:val="auto"/>
          <w:sz w:val="21"/>
          <w:szCs w:val="21"/>
          <w:highlight w:val="none"/>
        </w:rPr>
        <w:t>（项目名称）【项目编号：     】</w:t>
      </w:r>
      <w:r>
        <w:rPr>
          <w:rFonts w:hint="eastAsia" w:ascii="新宋体" w:hAnsi="新宋体" w:eastAsia="新宋体" w:cs="新宋体"/>
          <w:color w:val="auto"/>
          <w:kern w:val="0"/>
          <w:sz w:val="21"/>
          <w:szCs w:val="21"/>
          <w:highlight w:val="none"/>
          <w:lang w:val="zh-CN"/>
        </w:rPr>
        <w:t>的中标供应商，将依法采取分包方式履行合同。</w:t>
      </w:r>
      <w:r>
        <w:rPr>
          <w:rFonts w:hint="eastAsia" w:ascii="新宋体" w:hAnsi="新宋体" w:eastAsia="新宋体" w:cs="新宋体"/>
          <w:color w:val="auto"/>
          <w:kern w:val="0"/>
          <w:sz w:val="21"/>
          <w:szCs w:val="21"/>
          <w:highlight w:val="none"/>
          <w:u w:val="single"/>
        </w:rPr>
        <w:t>（投标人名称）</w:t>
      </w:r>
      <w:r>
        <w:rPr>
          <w:rFonts w:hint="eastAsia" w:ascii="新宋体" w:hAnsi="新宋体" w:eastAsia="新宋体" w:cs="新宋体"/>
          <w:color w:val="auto"/>
          <w:kern w:val="0"/>
          <w:sz w:val="21"/>
          <w:szCs w:val="21"/>
          <w:highlight w:val="none"/>
        </w:rPr>
        <w:t>与</w:t>
      </w:r>
      <w:r>
        <w:rPr>
          <w:rFonts w:hint="eastAsia" w:ascii="新宋体" w:hAnsi="新宋体" w:eastAsia="新宋体" w:cs="新宋体"/>
          <w:color w:val="auto"/>
          <w:kern w:val="0"/>
          <w:sz w:val="21"/>
          <w:szCs w:val="21"/>
          <w:highlight w:val="none"/>
          <w:u w:val="single"/>
        </w:rPr>
        <w:t>（所有分包供应商名称）</w:t>
      </w:r>
      <w:r>
        <w:rPr>
          <w:rFonts w:hint="eastAsia" w:ascii="新宋体" w:hAnsi="新宋体" w:eastAsia="新宋体" w:cs="新宋体"/>
          <w:color w:val="auto"/>
          <w:kern w:val="0"/>
          <w:sz w:val="21"/>
          <w:szCs w:val="21"/>
          <w:highlight w:val="none"/>
        </w:rPr>
        <w:t>达成分包意向协议</w:t>
      </w:r>
      <w:r>
        <w:rPr>
          <w:rFonts w:hint="eastAsia" w:ascii="新宋体" w:hAnsi="新宋体" w:eastAsia="新宋体" w:cs="新宋体"/>
          <w:color w:val="auto"/>
          <w:kern w:val="0"/>
          <w:sz w:val="21"/>
          <w:szCs w:val="21"/>
          <w:highlight w:val="none"/>
          <w:lang w:val="zh-CN"/>
        </w:rPr>
        <w:t xml:space="preserve">。 </w:t>
      </w:r>
    </w:p>
    <w:p w14:paraId="443E7561">
      <w:pPr>
        <w:snapToGrid w:val="0"/>
        <w:spacing w:line="360" w:lineRule="auto"/>
        <w:ind w:firstLine="576"/>
        <w:rPr>
          <w:rFonts w:hint="eastAsia" w:ascii="新宋体" w:hAnsi="新宋体" w:eastAsia="新宋体" w:cs="新宋体"/>
          <w:color w:val="auto"/>
          <w:kern w:val="0"/>
          <w:sz w:val="21"/>
          <w:szCs w:val="21"/>
          <w:highlight w:val="none"/>
          <w:u w:val="single"/>
        </w:rPr>
      </w:pPr>
      <w:r>
        <w:rPr>
          <w:rFonts w:hint="eastAsia" w:ascii="新宋体" w:hAnsi="新宋体" w:eastAsia="新宋体" w:cs="新宋体"/>
          <w:b/>
          <w:color w:val="auto"/>
          <w:kern w:val="0"/>
          <w:sz w:val="21"/>
          <w:szCs w:val="21"/>
          <w:highlight w:val="none"/>
        </w:rPr>
        <w:t>一、</w:t>
      </w:r>
      <w:r>
        <w:rPr>
          <w:rFonts w:hint="eastAsia" w:ascii="新宋体" w:hAnsi="新宋体" w:eastAsia="新宋体" w:cs="新宋体"/>
          <w:b/>
          <w:color w:val="auto"/>
          <w:kern w:val="0"/>
          <w:sz w:val="21"/>
          <w:szCs w:val="21"/>
          <w:highlight w:val="none"/>
          <w:lang w:val="zh-CN"/>
        </w:rPr>
        <w:t>分包内容和合同份额</w:t>
      </w:r>
    </w:p>
    <w:tbl>
      <w:tblPr>
        <w:tblStyle w:val="55"/>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103"/>
        <w:gridCol w:w="3363"/>
        <w:gridCol w:w="2154"/>
      </w:tblGrid>
      <w:tr w14:paraId="22C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00" w:type="pct"/>
            <w:gridSpan w:val="4"/>
            <w:vAlign w:val="center"/>
          </w:tcPr>
          <w:p w14:paraId="58793659">
            <w:pPr>
              <w:keepNext w:val="0"/>
              <w:keepLines w:val="0"/>
              <w:suppressLineNumbers w:val="0"/>
              <w:snapToGrid w:val="0"/>
              <w:spacing w:before="0" w:beforeAutospacing="0" w:after="0" w:afterAutospacing="0"/>
              <w:ind w:left="0" w:right="0"/>
              <w:jc w:val="center"/>
              <w:rPr>
                <w:rFonts w:hint="eastAsia" w:ascii="新宋体" w:hAnsi="新宋体" w:eastAsia="新宋体" w:cs="新宋体"/>
                <w:b/>
                <w:color w:val="auto"/>
                <w:kern w:val="0"/>
                <w:sz w:val="21"/>
                <w:szCs w:val="21"/>
                <w:highlight w:val="none"/>
                <w:lang w:val="zh-CN"/>
              </w:rPr>
            </w:pPr>
            <w:r>
              <w:rPr>
                <w:rFonts w:hint="eastAsia" w:ascii="新宋体" w:hAnsi="新宋体" w:eastAsia="新宋体" w:cs="新宋体"/>
                <w:color w:val="auto"/>
                <w:kern w:val="0"/>
                <w:sz w:val="21"/>
                <w:szCs w:val="21"/>
                <w:highlight w:val="none"/>
              </w:rPr>
              <w:t>投标人</w:t>
            </w:r>
            <w:r>
              <w:rPr>
                <w:rFonts w:hint="eastAsia" w:ascii="新宋体" w:hAnsi="新宋体" w:eastAsia="新宋体" w:cs="新宋体"/>
                <w:b/>
                <w:color w:val="auto"/>
                <w:kern w:val="0"/>
                <w:sz w:val="21"/>
                <w:szCs w:val="21"/>
                <w:highlight w:val="none"/>
                <w:lang w:val="zh-CN"/>
              </w:rPr>
              <w:t>自身情况</w:t>
            </w:r>
          </w:p>
        </w:tc>
      </w:tr>
      <w:tr w14:paraId="2C86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017" w:type="pct"/>
            <w:vAlign w:val="center"/>
          </w:tcPr>
          <w:p w14:paraId="70223C54">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投标人</w:t>
            </w:r>
            <w:r>
              <w:rPr>
                <w:rFonts w:hint="eastAsia" w:ascii="新宋体" w:hAnsi="新宋体" w:eastAsia="新宋体" w:cs="新宋体"/>
                <w:color w:val="auto"/>
                <w:kern w:val="0"/>
                <w:sz w:val="21"/>
                <w:szCs w:val="21"/>
                <w:highlight w:val="none"/>
                <w:lang w:val="zh-CN"/>
              </w:rPr>
              <w:t>名称</w:t>
            </w:r>
          </w:p>
        </w:tc>
        <w:tc>
          <w:tcPr>
            <w:tcW w:w="1099" w:type="pct"/>
            <w:vAlign w:val="center"/>
          </w:tcPr>
          <w:p w14:paraId="4896FA6A">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投标人</w:t>
            </w:r>
            <w:r>
              <w:rPr>
                <w:rFonts w:hint="eastAsia" w:ascii="新宋体" w:hAnsi="新宋体" w:eastAsia="新宋体" w:cs="新宋体"/>
                <w:color w:val="auto"/>
                <w:kern w:val="0"/>
                <w:sz w:val="21"/>
                <w:szCs w:val="21"/>
                <w:highlight w:val="none"/>
                <w:lang w:val="zh-CN"/>
              </w:rPr>
              <w:t>自身承担的工作内容</w:t>
            </w:r>
          </w:p>
        </w:tc>
        <w:tc>
          <w:tcPr>
            <w:tcW w:w="1758" w:type="pct"/>
            <w:vAlign w:val="center"/>
          </w:tcPr>
          <w:p w14:paraId="3D06AB3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自身承担的合同份额</w:t>
            </w:r>
          </w:p>
          <w:p w14:paraId="524CA5E5">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（该工作内容占合同金额的比例）</w:t>
            </w:r>
          </w:p>
        </w:tc>
        <w:tc>
          <w:tcPr>
            <w:tcW w:w="1124" w:type="pct"/>
            <w:vAlign w:val="center"/>
          </w:tcPr>
          <w:p w14:paraId="2609E41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企业划型</w:t>
            </w:r>
          </w:p>
          <w:p w14:paraId="5EAADA83">
            <w:pPr>
              <w:pStyle w:val="424"/>
              <w:keepNext w:val="0"/>
              <w:keepLines w:val="0"/>
              <w:suppressLineNumbers w:val="0"/>
              <w:spacing w:before="0" w:beforeAutospacing="0" w:after="0" w:afterAutospacing="0" w:line="240" w:lineRule="auto"/>
              <w:ind w:left="0" w:right="0" w:firstLine="0" w:firstLineChars="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（填：大型、中型、小型、微型）</w:t>
            </w:r>
          </w:p>
        </w:tc>
      </w:tr>
      <w:tr w14:paraId="73F5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7" w:type="pct"/>
            <w:vAlign w:val="center"/>
          </w:tcPr>
          <w:p w14:paraId="1E52BE8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099" w:type="pct"/>
            <w:vAlign w:val="center"/>
          </w:tcPr>
          <w:p w14:paraId="31997FBD">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758" w:type="pct"/>
            <w:vAlign w:val="center"/>
          </w:tcPr>
          <w:p w14:paraId="2853F6C2">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124" w:type="pct"/>
            <w:vAlign w:val="center"/>
          </w:tcPr>
          <w:p w14:paraId="27F29EE3">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r>
      <w:tr w14:paraId="2C37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00" w:type="pct"/>
            <w:gridSpan w:val="4"/>
            <w:vAlign w:val="center"/>
          </w:tcPr>
          <w:p w14:paraId="77CB6A7B">
            <w:pPr>
              <w:keepNext w:val="0"/>
              <w:keepLines w:val="0"/>
              <w:suppressLineNumbers w:val="0"/>
              <w:snapToGrid w:val="0"/>
              <w:spacing w:before="0" w:beforeAutospacing="0" w:after="0" w:afterAutospacing="0"/>
              <w:ind w:left="0" w:right="0"/>
              <w:jc w:val="center"/>
              <w:rPr>
                <w:rFonts w:hint="eastAsia" w:ascii="新宋体" w:hAnsi="新宋体" w:eastAsia="新宋体" w:cs="新宋体"/>
                <w:b/>
                <w:color w:val="auto"/>
                <w:kern w:val="0"/>
                <w:sz w:val="21"/>
                <w:szCs w:val="21"/>
                <w:highlight w:val="none"/>
                <w:lang w:val="zh-CN"/>
              </w:rPr>
            </w:pPr>
            <w:r>
              <w:rPr>
                <w:rFonts w:hint="eastAsia" w:ascii="新宋体" w:hAnsi="新宋体" w:eastAsia="新宋体" w:cs="新宋体"/>
                <w:b/>
                <w:color w:val="auto"/>
                <w:kern w:val="0"/>
                <w:sz w:val="21"/>
                <w:szCs w:val="21"/>
                <w:highlight w:val="none"/>
                <w:lang w:val="zh-CN"/>
              </w:rPr>
              <w:t>分包供应商情况</w:t>
            </w:r>
          </w:p>
        </w:tc>
      </w:tr>
      <w:tr w14:paraId="10B7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017" w:type="pct"/>
            <w:vAlign w:val="center"/>
          </w:tcPr>
          <w:p w14:paraId="1A755A17">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分包供应商名称</w:t>
            </w:r>
          </w:p>
        </w:tc>
        <w:tc>
          <w:tcPr>
            <w:tcW w:w="1099" w:type="pct"/>
            <w:vAlign w:val="center"/>
          </w:tcPr>
          <w:p w14:paraId="6814BCE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分包供应商承担的工作内容</w:t>
            </w:r>
          </w:p>
        </w:tc>
        <w:tc>
          <w:tcPr>
            <w:tcW w:w="1758" w:type="pct"/>
            <w:vAlign w:val="center"/>
          </w:tcPr>
          <w:p w14:paraId="679D989C">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分包供应商承担的合同份额</w:t>
            </w:r>
          </w:p>
          <w:p w14:paraId="777CBEF6">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（该工作内容占合同金额的比例）</w:t>
            </w:r>
          </w:p>
        </w:tc>
        <w:tc>
          <w:tcPr>
            <w:tcW w:w="1124" w:type="pct"/>
            <w:vAlign w:val="center"/>
          </w:tcPr>
          <w:p w14:paraId="5A7E4F38">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企业划型</w:t>
            </w:r>
          </w:p>
          <w:p w14:paraId="6E7174F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（填：大型、中型、小型、微型）</w:t>
            </w:r>
          </w:p>
        </w:tc>
      </w:tr>
      <w:tr w14:paraId="73AF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7" w:type="pct"/>
            <w:vAlign w:val="center"/>
          </w:tcPr>
          <w:p w14:paraId="2716DCD0">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099" w:type="pct"/>
            <w:vAlign w:val="center"/>
          </w:tcPr>
          <w:p w14:paraId="0E5592EE">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758" w:type="pct"/>
            <w:vAlign w:val="center"/>
          </w:tcPr>
          <w:p w14:paraId="3FC5E546">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124" w:type="pct"/>
            <w:vAlign w:val="center"/>
          </w:tcPr>
          <w:p w14:paraId="6DAD420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r>
      <w:tr w14:paraId="62D8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17" w:type="pct"/>
            <w:vAlign w:val="center"/>
          </w:tcPr>
          <w:p w14:paraId="1AF80112">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rPr>
              <w:t>……</w:t>
            </w:r>
          </w:p>
        </w:tc>
        <w:tc>
          <w:tcPr>
            <w:tcW w:w="1099" w:type="pct"/>
            <w:vAlign w:val="center"/>
          </w:tcPr>
          <w:p w14:paraId="018D327B">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758" w:type="pct"/>
            <w:vAlign w:val="center"/>
          </w:tcPr>
          <w:p w14:paraId="45752CFD">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c>
          <w:tcPr>
            <w:tcW w:w="1124" w:type="pct"/>
            <w:vAlign w:val="center"/>
          </w:tcPr>
          <w:p w14:paraId="30DC2A1E">
            <w:pPr>
              <w:keepNext w:val="0"/>
              <w:keepLines w:val="0"/>
              <w:suppressLineNumbers w:val="0"/>
              <w:snapToGrid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zh-CN"/>
              </w:rPr>
            </w:pPr>
          </w:p>
        </w:tc>
      </w:tr>
    </w:tbl>
    <w:p w14:paraId="156D3A67">
      <w:pPr>
        <w:pStyle w:val="311"/>
        <w:snapToGrid w:val="0"/>
        <w:spacing w:before="0"/>
        <w:ind w:firstLine="480"/>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注：分包供应商应具备承担相应工作内容相应资质条件。</w:t>
      </w:r>
    </w:p>
    <w:p w14:paraId="259820F4">
      <w:pPr>
        <w:pStyle w:val="311"/>
        <w:snapToGrid w:val="0"/>
        <w:spacing w:before="0"/>
        <w:ind w:firstLine="482"/>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b/>
          <w:color w:val="auto"/>
          <w:kern w:val="0"/>
          <w:sz w:val="21"/>
          <w:szCs w:val="21"/>
          <w:highlight w:val="none"/>
          <w:lang w:val="zh-CN"/>
        </w:rPr>
        <w:t>分包供应商为中小</w:t>
      </w:r>
      <w:r>
        <w:rPr>
          <w:rFonts w:hint="eastAsia" w:ascii="新宋体" w:hAnsi="新宋体" w:eastAsia="新宋体" w:cs="新宋体"/>
          <w:b/>
          <w:color w:val="auto"/>
          <w:kern w:val="0"/>
          <w:sz w:val="21"/>
          <w:szCs w:val="21"/>
          <w:highlight w:val="none"/>
          <w:lang w:val="en-US" w:eastAsia="zh-CN"/>
        </w:rPr>
        <w:t>微</w:t>
      </w:r>
      <w:r>
        <w:rPr>
          <w:rFonts w:hint="eastAsia" w:ascii="新宋体" w:hAnsi="新宋体" w:eastAsia="新宋体" w:cs="新宋体"/>
          <w:b/>
          <w:color w:val="auto"/>
          <w:kern w:val="0"/>
          <w:sz w:val="21"/>
          <w:szCs w:val="21"/>
          <w:highlight w:val="none"/>
          <w:lang w:val="zh-CN"/>
        </w:rPr>
        <w:t>企业的，应提供分包供应商的</w:t>
      </w:r>
      <w:r>
        <w:rPr>
          <w:rFonts w:hint="eastAsia" w:ascii="新宋体" w:hAnsi="新宋体" w:eastAsia="新宋体" w:cs="新宋体"/>
          <w:b/>
          <w:color w:val="auto"/>
          <w:sz w:val="21"/>
          <w:szCs w:val="21"/>
          <w:highlight w:val="none"/>
        </w:rPr>
        <w:t>中小企业声明函；未提供的视为非中小</w:t>
      </w:r>
      <w:r>
        <w:rPr>
          <w:rFonts w:hint="eastAsia" w:ascii="新宋体" w:hAnsi="新宋体" w:eastAsia="新宋体" w:cs="新宋体"/>
          <w:b/>
          <w:color w:val="auto"/>
          <w:sz w:val="21"/>
          <w:szCs w:val="21"/>
          <w:highlight w:val="none"/>
          <w:lang w:val="en-US" w:eastAsia="zh-CN"/>
        </w:rPr>
        <w:t>微</w:t>
      </w:r>
      <w:r>
        <w:rPr>
          <w:rFonts w:hint="eastAsia" w:ascii="新宋体" w:hAnsi="新宋体" w:eastAsia="新宋体" w:cs="新宋体"/>
          <w:b/>
          <w:color w:val="auto"/>
          <w:sz w:val="21"/>
          <w:szCs w:val="21"/>
          <w:highlight w:val="none"/>
        </w:rPr>
        <w:t>企业。</w:t>
      </w:r>
    </w:p>
    <w:p w14:paraId="3B318F4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3DF9E844">
      <w:pPr>
        <w:snapToGrid w:val="0"/>
        <w:spacing w:line="360" w:lineRule="auto"/>
        <w:ind w:firstLine="642" w:firstLineChars="3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203CCA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9B722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0046F0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260C55FA">
      <w:pPr>
        <w:snapToGrid w:val="0"/>
        <w:spacing w:line="360" w:lineRule="auto"/>
        <w:ind w:left="584"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2D6CD8C9">
      <w:pPr>
        <w:snapToGrid w:val="0"/>
        <w:spacing w:line="360" w:lineRule="auto"/>
        <w:ind w:left="584"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73B768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rPr>
        <w:t xml:space="preserve">                                 </w:t>
      </w:r>
    </w:p>
    <w:p w14:paraId="52737509">
      <w:pPr>
        <w:snapToGrid w:val="0"/>
        <w:spacing w:line="360" w:lineRule="auto"/>
        <w:ind w:firstLine="576"/>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21160424">
      <w:pPr>
        <w:snapToGrid w:val="0"/>
        <w:spacing w:line="360" w:lineRule="auto"/>
        <w:ind w:firstLine="576"/>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p>
    <w:p w14:paraId="16C9AED9">
      <w:pPr>
        <w:snapToGrid w:val="0"/>
        <w:spacing w:line="360" w:lineRule="auto"/>
        <w:ind w:firstLine="576"/>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七、其他</w:t>
      </w:r>
    </w:p>
    <w:p w14:paraId="788DC5CF">
      <w:pPr>
        <w:snapToGrid w:val="0"/>
        <w:spacing w:line="360" w:lineRule="auto"/>
        <w:ind w:left="5225" w:leftChars="342" w:hanging="4494" w:hangingChars="21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p>
    <w:p w14:paraId="253F71B1">
      <w:pPr>
        <w:snapToGrid w:val="0"/>
        <w:spacing w:line="360" w:lineRule="auto"/>
        <w:ind w:left="5225" w:leftChars="342" w:hanging="4494" w:hangingChars="21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sz w:val="21"/>
          <w:szCs w:val="21"/>
          <w:highlight w:val="none"/>
        </w:rPr>
        <w:t>中小企业合同金额达到%，小微企业合同金额达到%</w:t>
      </w:r>
      <w:r>
        <w:rPr>
          <w:rFonts w:hint="eastAsia" w:ascii="新宋体" w:hAnsi="新宋体" w:eastAsia="新宋体" w:cs="新宋体"/>
          <w:color w:val="auto"/>
          <w:kern w:val="0"/>
          <w:sz w:val="21"/>
          <w:szCs w:val="21"/>
          <w:highlight w:val="none"/>
          <w:lang w:val="zh-CN"/>
        </w:rPr>
        <w:t xml:space="preserve"> 。  </w:t>
      </w:r>
    </w:p>
    <w:p w14:paraId="5208C227">
      <w:pPr>
        <w:snapToGrid w:val="0"/>
        <w:spacing w:line="360" w:lineRule="auto"/>
        <w:ind w:left="5225" w:leftChars="342" w:hanging="4494" w:hangingChars="21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 xml:space="preserve">                                     </w:t>
      </w:r>
      <w:r>
        <w:rPr>
          <w:rFonts w:hint="eastAsia" w:ascii="新宋体" w:hAnsi="新宋体" w:eastAsia="新宋体" w:cs="新宋体"/>
          <w:color w:val="auto"/>
          <w:kern w:val="0"/>
          <w:sz w:val="21"/>
          <w:szCs w:val="21"/>
          <w:highlight w:val="none"/>
          <w:lang w:val="en-US" w:eastAsia="zh-CN"/>
        </w:rPr>
        <w:t xml:space="preserve">   </w:t>
      </w:r>
      <w:r>
        <w:rPr>
          <w:rFonts w:hint="eastAsia" w:ascii="新宋体" w:hAnsi="新宋体" w:eastAsia="新宋体" w:cs="新宋体"/>
          <w:color w:val="auto"/>
          <w:kern w:val="0"/>
          <w:sz w:val="21"/>
          <w:szCs w:val="21"/>
          <w:highlight w:val="none"/>
          <w:lang w:val="zh-CN"/>
        </w:rPr>
        <w:t xml:space="preserve"> 投标人名称(电子签名)：</w:t>
      </w:r>
    </w:p>
    <w:p w14:paraId="7402A168">
      <w:pPr>
        <w:snapToGrid w:val="0"/>
        <w:spacing w:line="360" w:lineRule="auto"/>
        <w:ind w:firstLine="5136" w:firstLineChars="24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分包供应商名称(电子签名/公章)：</w:t>
      </w:r>
    </w:p>
    <w:p w14:paraId="085C3BAD">
      <w:pPr>
        <w:snapToGrid w:val="0"/>
        <w:spacing w:line="360" w:lineRule="auto"/>
        <w:ind w:left="5225" w:leftChars="342" w:hanging="4494" w:hangingChars="2100"/>
        <w:jc w:val="left"/>
        <w:rPr>
          <w:rFonts w:hint="eastAsia" w:ascii="新宋体" w:hAnsi="新宋体" w:eastAsia="新宋体" w:cs="新宋体"/>
          <w:color w:val="auto"/>
          <w:kern w:val="0"/>
          <w:sz w:val="21"/>
          <w:szCs w:val="21"/>
          <w:highlight w:val="none"/>
          <w:lang w:val="zh-CN"/>
        </w:rPr>
      </w:pPr>
      <w:r>
        <w:rPr>
          <w:rFonts w:hint="eastAsia" w:ascii="新宋体" w:hAnsi="新宋体" w:eastAsia="新宋体" w:cs="新宋体"/>
          <w:color w:val="auto"/>
          <w:kern w:val="0"/>
          <w:sz w:val="21"/>
          <w:szCs w:val="21"/>
          <w:highlight w:val="none"/>
          <w:lang w:val="zh-CN"/>
        </w:rPr>
        <w:t xml:space="preserve">                                      </w:t>
      </w:r>
      <w:r>
        <w:rPr>
          <w:rFonts w:hint="eastAsia" w:ascii="新宋体" w:hAnsi="新宋体" w:eastAsia="新宋体" w:cs="新宋体"/>
          <w:color w:val="auto"/>
          <w:kern w:val="0"/>
          <w:sz w:val="21"/>
          <w:szCs w:val="21"/>
          <w:highlight w:val="none"/>
          <w:lang w:val="en-US" w:eastAsia="zh-CN"/>
        </w:rPr>
        <w:t xml:space="preserve">   </w:t>
      </w:r>
      <w:r>
        <w:rPr>
          <w:rFonts w:hint="eastAsia" w:ascii="新宋体" w:hAnsi="新宋体" w:eastAsia="新宋体" w:cs="新宋体"/>
          <w:color w:val="auto"/>
          <w:kern w:val="0"/>
          <w:sz w:val="21"/>
          <w:szCs w:val="21"/>
          <w:highlight w:val="none"/>
          <w:lang w:val="zh-CN"/>
        </w:rPr>
        <w:t>日期：  年  月   日</w:t>
      </w:r>
    </w:p>
    <w:p w14:paraId="7080659D">
      <w:pPr>
        <w:spacing w:line="360" w:lineRule="auto"/>
        <w:ind w:right="42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注：按本格式和要求提供。</w:t>
      </w:r>
    </w:p>
    <w:p w14:paraId="70D2E351">
      <w:pPr>
        <w:rPr>
          <w:rFonts w:hint="eastAsia" w:ascii="宋体" w:hAnsi="宋体" w:eastAsia="宋体" w:cs="宋体"/>
          <w:color w:val="auto"/>
          <w:sz w:val="36"/>
          <w:szCs w:val="36"/>
          <w:highlight w:val="none"/>
        </w:rPr>
      </w:pPr>
      <w:r>
        <w:rPr>
          <w:rFonts w:hint="eastAsia" w:ascii="新宋体" w:hAnsi="新宋体" w:eastAsia="新宋体" w:cs="新宋体"/>
          <w:b w:val="0"/>
          <w:color w:val="auto"/>
          <w:spacing w:val="0"/>
          <w:sz w:val="21"/>
          <w:szCs w:val="21"/>
          <w:highlight w:val="none"/>
        </w:rPr>
        <w:t>如需享受中小企业优惠政策的，还需提供意向分包单位中小企业声明函。</w:t>
      </w:r>
    </w:p>
    <w:p w14:paraId="5E1166AA">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C21BE9E">
      <w:pPr>
        <w:pStyle w:val="4"/>
        <w:rPr>
          <w:rFonts w:hint="eastAsia" w:ascii="宋体" w:hAnsi="宋体" w:eastAsia="宋体" w:cs="宋体"/>
          <w:color w:val="auto"/>
          <w:sz w:val="36"/>
          <w:szCs w:val="36"/>
          <w:highlight w:val="none"/>
        </w:rPr>
      </w:pPr>
      <w:bookmarkStart w:id="52" w:name="_Toc12455"/>
      <w:r>
        <w:rPr>
          <w:rFonts w:hint="eastAsia" w:ascii="宋体" w:hAnsi="宋体" w:eastAsia="宋体" w:cs="宋体"/>
          <w:color w:val="auto"/>
          <w:sz w:val="36"/>
          <w:szCs w:val="36"/>
          <w:highlight w:val="none"/>
        </w:rPr>
        <w:t>第三部分   合同条款及格式</w:t>
      </w:r>
      <w:bookmarkEnd w:id="52"/>
    </w:p>
    <w:p w14:paraId="675F4D13">
      <w:pPr>
        <w:autoSpaceDE w:val="0"/>
        <w:autoSpaceDN w:val="0"/>
        <w:adjustRightInd w:val="0"/>
        <w:snapToGrid w:val="0"/>
        <w:spacing w:line="460" w:lineRule="atLeast"/>
        <w:jc w:val="center"/>
        <w:rPr>
          <w:rFonts w:hint="eastAsia" w:ascii="宋体" w:hAnsi="宋体" w:eastAsia="宋体" w:cs="宋体"/>
          <w:b/>
          <w:bCs/>
          <w:color w:val="auto"/>
          <w:sz w:val="22"/>
          <w:szCs w:val="22"/>
          <w:highlight w:val="none"/>
          <w:lang w:val="zh-CN"/>
        </w:rPr>
      </w:pPr>
      <w:bookmarkStart w:id="53" w:name="_Toc246996253"/>
      <w:bookmarkStart w:id="54" w:name="_Toc179632628"/>
      <w:bookmarkStart w:id="55" w:name="_Toc221374630"/>
      <w:bookmarkStart w:id="56" w:name="_Toc221423623"/>
      <w:bookmarkStart w:id="57" w:name="_Toc152042388"/>
      <w:bookmarkStart w:id="58" w:name="_Toc265529387"/>
      <w:bookmarkStart w:id="59" w:name="_Toc296602498"/>
      <w:bookmarkStart w:id="60" w:name="_Toc246996996"/>
      <w:bookmarkStart w:id="61" w:name="_Toc223716002"/>
      <w:bookmarkStart w:id="62" w:name="_Toc221356955"/>
      <w:bookmarkStart w:id="63" w:name="_Toc222114883"/>
      <w:bookmarkStart w:id="64" w:name="_Toc247085768"/>
      <w:bookmarkStart w:id="65" w:name="_Toc239145358"/>
      <w:bookmarkStart w:id="66" w:name="_Toc152045610"/>
      <w:bookmarkStart w:id="67" w:name="_Toc144974578"/>
      <w:bookmarkStart w:id="68" w:name="_Toc241404206"/>
      <w:bookmarkStart w:id="69" w:name="_Toc221356891"/>
      <w:r>
        <w:rPr>
          <w:rFonts w:hint="eastAsia" w:ascii="宋体" w:hAnsi="宋体" w:eastAsia="宋体" w:cs="宋体"/>
          <w:b/>
          <w:bCs/>
          <w:color w:val="auto"/>
          <w:sz w:val="22"/>
          <w:szCs w:val="22"/>
          <w:highlight w:val="none"/>
          <w:lang w:val="zh-CN"/>
        </w:rPr>
        <w:t>（注：该合同样本仅做参考，中标后，以采购人与供应商签订的正式合同为准。）</w:t>
      </w:r>
    </w:p>
    <w:p w14:paraId="063341F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Arial Unicode MS"/>
          <w:sz w:val="22"/>
          <w:szCs w:val="22"/>
          <w:highlight w:val="none"/>
        </w:rPr>
      </w:pPr>
    </w:p>
    <w:p w14:paraId="67F137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Arial Unicode MS"/>
          <w:sz w:val="21"/>
          <w:szCs w:val="21"/>
          <w:highlight w:val="none"/>
        </w:rPr>
      </w:pPr>
      <w:r>
        <w:rPr>
          <w:rFonts w:hint="eastAsia" w:ascii="宋体" w:hAnsi="宋体" w:cs="Arial Unicode MS"/>
          <w:sz w:val="21"/>
          <w:szCs w:val="21"/>
          <w:highlight w:val="none"/>
        </w:rPr>
        <w:t>甲方：</w:t>
      </w:r>
      <w:r>
        <w:rPr>
          <w:rFonts w:hint="eastAsia" w:ascii="宋体" w:hAnsi="宋体" w:cs="Arial Unicode MS"/>
          <w:sz w:val="21"/>
          <w:szCs w:val="21"/>
          <w:highlight w:val="none"/>
          <w:lang w:val="en-US" w:eastAsia="zh-CN"/>
        </w:rPr>
        <w:t xml:space="preserve">                                </w:t>
      </w:r>
      <w:r>
        <w:rPr>
          <w:rFonts w:hint="eastAsia" w:ascii="宋体" w:hAnsi="宋体" w:cs="Arial Unicode MS"/>
          <w:sz w:val="21"/>
          <w:szCs w:val="21"/>
          <w:highlight w:val="none"/>
        </w:rPr>
        <w:t xml:space="preserve">    </w:t>
      </w:r>
      <w:r>
        <w:rPr>
          <w:rFonts w:hint="eastAsia" w:ascii="宋体" w:hAnsi="宋体" w:cs="Arial Unicode MS"/>
          <w:sz w:val="21"/>
          <w:szCs w:val="21"/>
          <w:highlight w:val="none"/>
          <w:lang w:val="en-US" w:eastAsia="zh-CN"/>
        </w:rPr>
        <w:t xml:space="preserve">           </w:t>
      </w:r>
      <w:r>
        <w:rPr>
          <w:rFonts w:hint="eastAsia" w:ascii="宋体" w:hAnsi="宋体" w:cs="Arial Unicode MS"/>
          <w:sz w:val="21"/>
          <w:szCs w:val="21"/>
          <w:highlight w:val="none"/>
        </w:rPr>
        <w:t>（以下简称甲方）</w:t>
      </w:r>
    </w:p>
    <w:p w14:paraId="69B6EEE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rPr>
      </w:pPr>
      <w:r>
        <w:rPr>
          <w:rFonts w:hint="eastAsia" w:ascii="宋体" w:hAnsi="宋体" w:cs="Arial Unicode MS"/>
          <w:sz w:val="21"/>
          <w:szCs w:val="21"/>
          <w:highlight w:val="none"/>
        </w:rPr>
        <w:t xml:space="preserve">乙方：　　　　　　　　　                  </w:t>
      </w:r>
      <w:r>
        <w:rPr>
          <w:rFonts w:hint="eastAsia" w:ascii="宋体" w:hAnsi="宋体" w:cs="Arial Unicode MS"/>
          <w:sz w:val="21"/>
          <w:szCs w:val="21"/>
          <w:highlight w:val="none"/>
          <w:lang w:val="en-US" w:eastAsia="zh-CN"/>
        </w:rPr>
        <w:t xml:space="preserve">           </w:t>
      </w:r>
      <w:r>
        <w:rPr>
          <w:rFonts w:hint="eastAsia" w:ascii="宋体" w:hAnsi="宋体" w:cs="Arial Unicode MS"/>
          <w:sz w:val="21"/>
          <w:szCs w:val="21"/>
          <w:highlight w:val="none"/>
        </w:rPr>
        <w:t>（以下简称乙方）</w:t>
      </w:r>
    </w:p>
    <w:p w14:paraId="1B3B3659">
      <w:pPr>
        <w:spacing w:line="360" w:lineRule="auto"/>
        <w:ind w:right="26" w:firstLine="602"/>
        <w:rPr>
          <w:rFonts w:ascii="宋体" w:cs="Arial Unicode MS"/>
          <w:b/>
          <w:sz w:val="21"/>
          <w:szCs w:val="21"/>
        </w:rPr>
      </w:pPr>
      <w:r>
        <w:rPr>
          <w:rFonts w:hint="eastAsia" w:ascii="宋体" w:hAnsi="宋体" w:cs="Arial Unicode MS"/>
          <w:b/>
          <w:sz w:val="21"/>
          <w:szCs w:val="21"/>
        </w:rPr>
        <w:t>一、本合同签订依据：</w:t>
      </w:r>
    </w:p>
    <w:p w14:paraId="1B62FD83">
      <w:pPr>
        <w:spacing w:line="360" w:lineRule="auto"/>
        <w:ind w:firstLine="428" w:firstLineChars="200"/>
        <w:rPr>
          <w:rFonts w:ascii="Arial" w:hAnsi="Arial" w:cs="Arial"/>
          <w:sz w:val="21"/>
          <w:szCs w:val="21"/>
        </w:rPr>
      </w:pPr>
      <w:r>
        <w:rPr>
          <w:rFonts w:hint="eastAsia" w:ascii="宋体" w:hAnsi="宋体" w:cs="Arial Unicode MS"/>
          <w:sz w:val="21"/>
          <w:szCs w:val="21"/>
          <w:highlight w:val="none"/>
        </w:rPr>
        <w:t>依照</w:t>
      </w:r>
      <w:r>
        <w:rPr>
          <w:rFonts w:hint="eastAsia" w:ascii="宋体" w:hAnsi="宋体" w:cs="Arial Unicode MS"/>
          <w:sz w:val="21"/>
          <w:szCs w:val="21"/>
          <w:highlight w:val="none"/>
          <w:lang w:val="zh-CN"/>
        </w:rPr>
        <w:t>《中华人民共和国民法典》、</w:t>
      </w:r>
      <w:r>
        <w:rPr>
          <w:rFonts w:hint="eastAsia" w:ascii="宋体" w:hAnsi="宋体" w:cs="Arial Unicode MS"/>
          <w:sz w:val="21"/>
          <w:szCs w:val="21"/>
          <w:highlight w:val="none"/>
        </w:rPr>
        <w:t>《中华人民共和国政府采购法》，遵循平等、自愿、公平和诚信的原则，乙方接受甲方委托，在甲方委托事宜范围内依法组织开展</w:t>
      </w:r>
      <w:r>
        <w:rPr>
          <w:rFonts w:hint="eastAsia" w:ascii="Arial" w:hAnsi="宋体" w:cs="Arial"/>
          <w:sz w:val="21"/>
          <w:szCs w:val="21"/>
          <w:u w:val="single"/>
        </w:rPr>
        <w:t>2025年龙湾区污水处理厂日常进出水监督性水质检测及外围管网水质排查溯源检测</w:t>
      </w:r>
      <w:r>
        <w:rPr>
          <w:rFonts w:hint="eastAsia" w:ascii="宋体" w:hAnsi="宋体" w:cs="Arial Unicode MS"/>
          <w:sz w:val="21"/>
          <w:szCs w:val="21"/>
          <w:highlight w:val="none"/>
        </w:rPr>
        <w:t>工作。经甲乙双方协商一致，签订如下协议：</w:t>
      </w:r>
    </w:p>
    <w:p w14:paraId="7DA4258F">
      <w:pPr>
        <w:spacing w:line="360" w:lineRule="auto"/>
        <w:ind w:right="26" w:firstLine="602"/>
        <w:rPr>
          <w:rFonts w:hint="eastAsia" w:ascii="宋体" w:eastAsia="宋体" w:cs="Arial Unicode MS"/>
          <w:b/>
          <w:sz w:val="21"/>
          <w:szCs w:val="21"/>
          <w:lang w:eastAsia="zh-CN"/>
        </w:rPr>
      </w:pPr>
      <w:r>
        <w:rPr>
          <w:rFonts w:hint="eastAsia" w:ascii="宋体" w:hAnsi="宋体" w:cs="Arial Unicode MS"/>
          <w:b/>
          <w:sz w:val="21"/>
          <w:szCs w:val="21"/>
        </w:rPr>
        <w:t>二、本合同的基本内容</w:t>
      </w:r>
      <w:r>
        <w:rPr>
          <w:rFonts w:hint="eastAsia" w:ascii="宋体" w:hAnsi="宋体" w:cs="Arial Unicode MS"/>
          <w:b/>
          <w:sz w:val="21"/>
          <w:szCs w:val="21"/>
          <w:lang w:eastAsia="zh-CN"/>
        </w:rPr>
        <w:t>：</w:t>
      </w:r>
    </w:p>
    <w:p w14:paraId="07AE2D21">
      <w:pPr>
        <w:spacing w:line="360" w:lineRule="auto"/>
        <w:ind w:firstLine="428" w:firstLineChars="200"/>
        <w:rPr>
          <w:rFonts w:ascii="Arial" w:hAnsi="Arial" w:cs="Arial"/>
          <w:sz w:val="21"/>
          <w:szCs w:val="21"/>
          <w:u w:val="none"/>
        </w:rPr>
      </w:pPr>
      <w:r>
        <w:rPr>
          <w:rFonts w:hint="eastAsia" w:ascii="Arial" w:hAnsi="宋体" w:cs="Arial"/>
          <w:sz w:val="21"/>
          <w:szCs w:val="21"/>
        </w:rPr>
        <w:t>项目名称：</w:t>
      </w:r>
      <w:r>
        <w:rPr>
          <w:rFonts w:hint="eastAsia" w:ascii="Arial" w:hAnsi="宋体" w:cs="Arial"/>
          <w:sz w:val="21"/>
          <w:szCs w:val="21"/>
          <w:u w:val="single"/>
        </w:rPr>
        <w:t>2025年龙湾区污水处理厂日常进出水监督性水质检测及外围管网水质排查溯源检测服务</w:t>
      </w:r>
    </w:p>
    <w:p w14:paraId="3BBEA70A">
      <w:pPr>
        <w:spacing w:line="360" w:lineRule="auto"/>
        <w:ind w:firstLine="428" w:firstLineChars="200"/>
        <w:rPr>
          <w:rFonts w:ascii="Arial" w:hAnsi="宋体" w:cs="Arial"/>
          <w:sz w:val="21"/>
          <w:szCs w:val="21"/>
        </w:rPr>
      </w:pPr>
      <w:r>
        <w:rPr>
          <w:rFonts w:hint="eastAsia" w:ascii="Arial" w:hAnsi="宋体" w:cs="Arial"/>
          <w:sz w:val="21"/>
          <w:szCs w:val="21"/>
          <w:lang w:eastAsia="zh-CN"/>
        </w:rPr>
        <w:t>服务期</w:t>
      </w:r>
      <w:r>
        <w:rPr>
          <w:rFonts w:hint="eastAsia" w:ascii="Arial" w:hAnsi="宋体" w:cs="Arial"/>
          <w:sz w:val="21"/>
          <w:szCs w:val="21"/>
        </w:rPr>
        <w:t>：</w:t>
      </w:r>
      <w:r>
        <w:rPr>
          <w:rFonts w:hint="eastAsia" w:ascii="Arial" w:hAnsi="Arial" w:cs="Arial"/>
          <w:sz w:val="21"/>
          <w:szCs w:val="21"/>
          <w:u w:val="single"/>
        </w:rPr>
        <w:t>一年。</w:t>
      </w:r>
    </w:p>
    <w:p w14:paraId="02ADC42D">
      <w:pPr>
        <w:spacing w:line="360" w:lineRule="auto"/>
        <w:ind w:right="26" w:firstLine="428" w:firstLineChars="200"/>
        <w:rPr>
          <w:rFonts w:hint="eastAsia" w:ascii="宋体" w:hAnsi="宋体" w:eastAsia="宋体" w:cs="Arial Unicode MS"/>
          <w:b/>
          <w:sz w:val="21"/>
          <w:szCs w:val="21"/>
          <w:lang w:eastAsia="zh-CN"/>
        </w:rPr>
      </w:pPr>
      <w:r>
        <w:rPr>
          <w:rFonts w:hint="eastAsia" w:ascii="宋体" w:hAnsi="宋体" w:eastAsia="宋体" w:cs="Arial Unicode MS"/>
          <w:b w:val="0"/>
          <w:bCs/>
          <w:sz w:val="21"/>
          <w:szCs w:val="21"/>
          <w:lang w:eastAsia="zh-CN"/>
        </w:rPr>
        <w:t>质量目标：</w:t>
      </w:r>
      <w:r>
        <w:rPr>
          <w:rFonts w:hint="eastAsia" w:ascii="宋体" w:hAnsi="宋体" w:eastAsia="宋体" w:cs="Arial Unicode MS"/>
          <w:b w:val="0"/>
          <w:bCs/>
          <w:sz w:val="21"/>
          <w:szCs w:val="21"/>
          <w:u w:val="single"/>
          <w:lang w:eastAsia="zh-CN"/>
        </w:rPr>
        <w:t>符合相关国家标准及采购人要求</w:t>
      </w:r>
    </w:p>
    <w:p w14:paraId="1CCF6421">
      <w:pPr>
        <w:spacing w:line="360" w:lineRule="auto"/>
        <w:ind w:right="26" w:firstLine="602"/>
        <w:rPr>
          <w:rFonts w:ascii="宋体" w:cs="Arial Unicode MS"/>
          <w:b/>
          <w:sz w:val="21"/>
          <w:szCs w:val="21"/>
        </w:rPr>
      </w:pPr>
      <w:r>
        <w:rPr>
          <w:rFonts w:hint="eastAsia" w:ascii="宋体" w:hAnsi="宋体" w:cs="Arial Unicode MS"/>
          <w:b/>
          <w:sz w:val="21"/>
          <w:szCs w:val="21"/>
        </w:rPr>
        <w:t>三、检测内容：</w:t>
      </w:r>
    </w:p>
    <w:tbl>
      <w:tblPr>
        <w:tblStyle w:val="54"/>
        <w:tblW w:w="914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95"/>
        <w:gridCol w:w="825"/>
        <w:gridCol w:w="1263"/>
        <w:gridCol w:w="1412"/>
        <w:gridCol w:w="1510"/>
        <w:gridCol w:w="1324"/>
      </w:tblGrid>
      <w:tr w14:paraId="1F3B8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5" w:type="dxa"/>
            <w:tcBorders>
              <w:top w:val="single" w:color="auto" w:sz="12" w:space="0"/>
            </w:tcBorders>
            <w:noWrap w:val="0"/>
            <w:vAlign w:val="center"/>
          </w:tcPr>
          <w:p w14:paraId="552DD9A9">
            <w:pPr>
              <w:keepNext w:val="0"/>
              <w:keepLines w:val="0"/>
              <w:suppressLineNumbers w:val="0"/>
              <w:adjustRightInd w:val="0"/>
              <w:snapToGrid w:val="0"/>
              <w:spacing w:before="0" w:beforeAutospacing="0" w:after="0" w:afterAutospacing="0" w:line="360" w:lineRule="auto"/>
              <w:ind w:left="0" w:right="0"/>
              <w:jc w:val="center"/>
              <w:rPr>
                <w:rFonts w:ascii="宋体"/>
                <w:b/>
                <w:bCs/>
                <w:sz w:val="21"/>
                <w:szCs w:val="21"/>
              </w:rPr>
            </w:pPr>
            <w:r>
              <w:rPr>
                <w:rFonts w:hint="eastAsia" w:ascii="宋体" w:hAnsi="宋体"/>
                <w:b/>
                <w:bCs/>
                <w:sz w:val="21"/>
                <w:szCs w:val="21"/>
              </w:rPr>
              <w:t>序号</w:t>
            </w:r>
          </w:p>
        </w:tc>
        <w:tc>
          <w:tcPr>
            <w:tcW w:w="1895" w:type="dxa"/>
            <w:tcBorders>
              <w:top w:val="single" w:color="auto" w:sz="12" w:space="0"/>
            </w:tcBorders>
            <w:noWrap w:val="0"/>
            <w:vAlign w:val="center"/>
          </w:tcPr>
          <w:p w14:paraId="18941C86">
            <w:pPr>
              <w:keepNext w:val="0"/>
              <w:keepLines w:val="0"/>
              <w:suppressLineNumbers w:val="0"/>
              <w:adjustRightInd w:val="0"/>
              <w:snapToGrid w:val="0"/>
              <w:spacing w:before="0" w:beforeAutospacing="0" w:after="0" w:afterAutospacing="0" w:line="360" w:lineRule="auto"/>
              <w:ind w:left="0" w:right="0"/>
              <w:jc w:val="center"/>
              <w:rPr>
                <w:rFonts w:ascii="宋体"/>
                <w:b/>
                <w:bCs/>
                <w:sz w:val="21"/>
                <w:szCs w:val="21"/>
              </w:rPr>
            </w:pPr>
            <w:r>
              <w:rPr>
                <w:rFonts w:hint="eastAsia" w:ascii="宋体" w:hAnsi="宋体"/>
                <w:b/>
                <w:bCs/>
                <w:sz w:val="21"/>
                <w:szCs w:val="21"/>
              </w:rPr>
              <w:t>名称</w:t>
            </w:r>
          </w:p>
        </w:tc>
        <w:tc>
          <w:tcPr>
            <w:tcW w:w="825" w:type="dxa"/>
            <w:tcBorders>
              <w:top w:val="single" w:color="auto" w:sz="12" w:space="0"/>
            </w:tcBorders>
            <w:noWrap w:val="0"/>
            <w:vAlign w:val="center"/>
          </w:tcPr>
          <w:p w14:paraId="5D6F52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单位</w:t>
            </w:r>
          </w:p>
        </w:tc>
        <w:tc>
          <w:tcPr>
            <w:tcW w:w="1263" w:type="dxa"/>
            <w:tcBorders>
              <w:top w:val="single" w:color="auto" w:sz="12" w:space="0"/>
            </w:tcBorders>
            <w:noWrap w:val="0"/>
            <w:vAlign w:val="center"/>
          </w:tcPr>
          <w:p w14:paraId="6CD55B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b/>
                <w:bCs/>
                <w:sz w:val="21"/>
                <w:szCs w:val="21"/>
                <w:lang w:val="en-US" w:eastAsia="zh-CN"/>
              </w:rPr>
            </w:pPr>
            <w:r>
              <w:rPr>
                <w:rFonts w:hint="eastAsia" w:ascii="宋体" w:hAnsi="宋体"/>
                <w:b/>
                <w:bCs/>
                <w:sz w:val="21"/>
                <w:szCs w:val="21"/>
                <w:lang w:val="en-US" w:eastAsia="zh-CN"/>
              </w:rPr>
              <w:t>数量</w:t>
            </w:r>
          </w:p>
        </w:tc>
        <w:tc>
          <w:tcPr>
            <w:tcW w:w="1412" w:type="dxa"/>
            <w:tcBorders>
              <w:top w:val="single" w:color="auto" w:sz="12" w:space="0"/>
            </w:tcBorders>
            <w:noWrap w:val="0"/>
            <w:vAlign w:val="center"/>
          </w:tcPr>
          <w:p w14:paraId="27B442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b/>
                <w:bCs/>
                <w:sz w:val="21"/>
                <w:szCs w:val="21"/>
              </w:rPr>
            </w:pPr>
            <w:r>
              <w:rPr>
                <w:rFonts w:hint="eastAsia" w:ascii="宋体" w:hAnsi="宋体"/>
                <w:b/>
                <w:bCs/>
                <w:sz w:val="21"/>
                <w:szCs w:val="21"/>
              </w:rPr>
              <w:t>综合单价</w:t>
            </w:r>
          </w:p>
        </w:tc>
        <w:tc>
          <w:tcPr>
            <w:tcW w:w="1510" w:type="dxa"/>
            <w:tcBorders>
              <w:top w:val="single" w:color="auto" w:sz="12" w:space="0"/>
            </w:tcBorders>
            <w:noWrap w:val="0"/>
            <w:vAlign w:val="center"/>
          </w:tcPr>
          <w:p w14:paraId="06E286C7">
            <w:pPr>
              <w:keepNext w:val="0"/>
              <w:keepLines w:val="0"/>
              <w:suppressLineNumbers w:val="0"/>
              <w:adjustRightInd w:val="0"/>
              <w:snapToGrid w:val="0"/>
              <w:spacing w:before="0" w:beforeAutospacing="0" w:after="0" w:afterAutospacing="0" w:line="360" w:lineRule="auto"/>
              <w:ind w:left="0" w:right="0"/>
              <w:jc w:val="center"/>
              <w:rPr>
                <w:rFonts w:hint="default" w:ascii="宋体" w:eastAsia="宋体"/>
                <w:b/>
                <w:bCs/>
                <w:sz w:val="21"/>
                <w:szCs w:val="21"/>
                <w:lang w:val="en-US" w:eastAsia="zh-CN"/>
              </w:rPr>
            </w:pPr>
            <w:r>
              <w:rPr>
                <w:rFonts w:hint="eastAsia" w:ascii="宋体"/>
                <w:b/>
                <w:bCs/>
                <w:sz w:val="21"/>
                <w:szCs w:val="21"/>
                <w:lang w:val="en-US" w:eastAsia="zh-CN"/>
              </w:rPr>
              <w:t>合计</w:t>
            </w:r>
          </w:p>
        </w:tc>
        <w:tc>
          <w:tcPr>
            <w:tcW w:w="1324" w:type="dxa"/>
            <w:tcBorders>
              <w:top w:val="single" w:color="auto" w:sz="12" w:space="0"/>
            </w:tcBorders>
            <w:noWrap w:val="0"/>
            <w:vAlign w:val="center"/>
          </w:tcPr>
          <w:p w14:paraId="6598BC91">
            <w:pPr>
              <w:keepNext w:val="0"/>
              <w:keepLines w:val="0"/>
              <w:suppressLineNumbers w:val="0"/>
              <w:adjustRightInd w:val="0"/>
              <w:snapToGrid w:val="0"/>
              <w:spacing w:before="0" w:beforeAutospacing="0" w:after="0" w:afterAutospacing="0" w:line="360" w:lineRule="auto"/>
              <w:ind w:left="0" w:right="0"/>
              <w:jc w:val="center"/>
              <w:rPr>
                <w:rFonts w:ascii="宋体"/>
                <w:b/>
                <w:bCs/>
                <w:sz w:val="21"/>
                <w:szCs w:val="21"/>
              </w:rPr>
            </w:pPr>
            <w:r>
              <w:rPr>
                <w:rFonts w:hint="eastAsia" w:ascii="宋体" w:hAnsi="宋体"/>
                <w:b/>
                <w:bCs/>
                <w:sz w:val="21"/>
                <w:szCs w:val="21"/>
              </w:rPr>
              <w:t>备注</w:t>
            </w:r>
          </w:p>
        </w:tc>
      </w:tr>
      <w:tr w14:paraId="0E7B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5" w:type="dxa"/>
            <w:noWrap w:val="0"/>
            <w:vAlign w:val="center"/>
          </w:tcPr>
          <w:p w14:paraId="2F18438F">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68CB0F8C">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825" w:type="dxa"/>
            <w:noWrap w:val="0"/>
            <w:vAlign w:val="center"/>
          </w:tcPr>
          <w:p w14:paraId="22E945B6">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1263" w:type="dxa"/>
            <w:noWrap w:val="0"/>
            <w:vAlign w:val="center"/>
          </w:tcPr>
          <w:p w14:paraId="222DDF8D">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1412" w:type="dxa"/>
            <w:noWrap w:val="0"/>
            <w:vAlign w:val="center"/>
          </w:tcPr>
          <w:p w14:paraId="331DBB83">
            <w:pPr>
              <w:keepNext w:val="0"/>
              <w:keepLines w:val="0"/>
              <w:suppressLineNumbers w:val="0"/>
              <w:adjustRightInd w:val="0"/>
              <w:snapToGrid w:val="0"/>
              <w:spacing w:before="0" w:beforeAutospacing="0" w:after="0" w:afterAutospacing="0" w:line="360" w:lineRule="auto"/>
              <w:ind w:left="0" w:right="0"/>
              <w:rPr>
                <w:rFonts w:ascii="宋体" w:cs="Arial Unicode MS"/>
                <w:sz w:val="21"/>
                <w:szCs w:val="21"/>
              </w:rPr>
            </w:pPr>
          </w:p>
        </w:tc>
        <w:tc>
          <w:tcPr>
            <w:tcW w:w="1510" w:type="dxa"/>
            <w:noWrap w:val="0"/>
            <w:vAlign w:val="center"/>
          </w:tcPr>
          <w:p w14:paraId="77A5232B">
            <w:pPr>
              <w:keepNext w:val="0"/>
              <w:keepLines w:val="0"/>
              <w:suppressLineNumbers w:val="0"/>
              <w:adjustRightInd w:val="0"/>
              <w:snapToGrid w:val="0"/>
              <w:spacing w:before="0" w:beforeAutospacing="0" w:after="0" w:afterAutospacing="0" w:line="360" w:lineRule="auto"/>
              <w:ind w:left="0" w:right="0"/>
              <w:jc w:val="center"/>
              <w:rPr>
                <w:rFonts w:ascii="宋体"/>
                <w:sz w:val="21"/>
                <w:szCs w:val="21"/>
              </w:rPr>
            </w:pPr>
          </w:p>
        </w:tc>
        <w:tc>
          <w:tcPr>
            <w:tcW w:w="1324" w:type="dxa"/>
            <w:noWrap w:val="0"/>
            <w:vAlign w:val="center"/>
          </w:tcPr>
          <w:p w14:paraId="6CB4B570">
            <w:pPr>
              <w:keepNext w:val="0"/>
              <w:keepLines w:val="0"/>
              <w:suppressLineNumbers w:val="0"/>
              <w:adjustRightInd w:val="0"/>
              <w:snapToGrid w:val="0"/>
              <w:spacing w:before="0" w:beforeAutospacing="0" w:after="0" w:afterAutospacing="0" w:line="360" w:lineRule="auto"/>
              <w:ind w:left="0" w:right="0"/>
              <w:jc w:val="center"/>
              <w:rPr>
                <w:rFonts w:ascii="宋体"/>
                <w:sz w:val="21"/>
                <w:szCs w:val="21"/>
              </w:rPr>
            </w:pPr>
          </w:p>
        </w:tc>
      </w:tr>
      <w:tr w14:paraId="66F04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5" w:type="dxa"/>
            <w:noWrap w:val="0"/>
            <w:vAlign w:val="center"/>
          </w:tcPr>
          <w:p w14:paraId="74DAA1F2">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2743046E">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825" w:type="dxa"/>
            <w:noWrap w:val="0"/>
            <w:vAlign w:val="center"/>
          </w:tcPr>
          <w:p w14:paraId="566ABE0B">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263" w:type="dxa"/>
            <w:noWrap w:val="0"/>
            <w:vAlign w:val="center"/>
          </w:tcPr>
          <w:p w14:paraId="55908160">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412" w:type="dxa"/>
            <w:noWrap w:val="0"/>
            <w:vAlign w:val="center"/>
          </w:tcPr>
          <w:p w14:paraId="0E3B412E">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510" w:type="dxa"/>
            <w:noWrap w:val="0"/>
            <w:vAlign w:val="top"/>
          </w:tcPr>
          <w:p w14:paraId="1067CADB">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c>
          <w:tcPr>
            <w:tcW w:w="1324" w:type="dxa"/>
            <w:noWrap w:val="0"/>
            <w:vAlign w:val="top"/>
          </w:tcPr>
          <w:p w14:paraId="2FAD5833">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r>
      <w:tr w14:paraId="1E4EB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5" w:type="dxa"/>
            <w:noWrap w:val="0"/>
            <w:vAlign w:val="center"/>
          </w:tcPr>
          <w:p w14:paraId="642ADB58">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75A9EEB0">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825" w:type="dxa"/>
            <w:noWrap w:val="0"/>
            <w:vAlign w:val="center"/>
          </w:tcPr>
          <w:p w14:paraId="4B989C34">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263" w:type="dxa"/>
            <w:noWrap w:val="0"/>
            <w:vAlign w:val="center"/>
          </w:tcPr>
          <w:p w14:paraId="07D4EFB1">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412" w:type="dxa"/>
            <w:noWrap w:val="0"/>
            <w:vAlign w:val="center"/>
          </w:tcPr>
          <w:p w14:paraId="2392CE26">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510" w:type="dxa"/>
            <w:noWrap w:val="0"/>
            <w:vAlign w:val="top"/>
          </w:tcPr>
          <w:p w14:paraId="70401803">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c>
          <w:tcPr>
            <w:tcW w:w="1324" w:type="dxa"/>
            <w:noWrap w:val="0"/>
            <w:vAlign w:val="top"/>
          </w:tcPr>
          <w:p w14:paraId="6450CE8D">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r>
      <w:tr w14:paraId="65E92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5" w:type="dxa"/>
            <w:noWrap w:val="0"/>
            <w:vAlign w:val="center"/>
          </w:tcPr>
          <w:p w14:paraId="16B049A4">
            <w:pPr>
              <w:keepNext w:val="0"/>
              <w:keepLines w:val="0"/>
              <w:suppressLineNumbers w:val="0"/>
              <w:adjustRightInd w:val="0"/>
              <w:snapToGrid w:val="0"/>
              <w:spacing w:before="0" w:beforeAutospacing="0" w:after="0" w:afterAutospacing="0" w:line="360" w:lineRule="auto"/>
              <w:ind w:left="0" w:right="0"/>
              <w:jc w:val="center"/>
              <w:rPr>
                <w:rFonts w:ascii="宋体" w:cs="Arial Unicode MS"/>
                <w:sz w:val="21"/>
                <w:szCs w:val="21"/>
              </w:rPr>
            </w:pPr>
          </w:p>
        </w:tc>
        <w:tc>
          <w:tcPr>
            <w:tcW w:w="1895" w:type="dxa"/>
            <w:noWrap w:val="0"/>
            <w:vAlign w:val="center"/>
          </w:tcPr>
          <w:p w14:paraId="31387FE1">
            <w:pPr>
              <w:keepNext w:val="0"/>
              <w:keepLines w:val="0"/>
              <w:suppressLineNumbers w:val="0"/>
              <w:adjustRightInd w:val="0"/>
              <w:snapToGrid w:val="0"/>
              <w:spacing w:before="0" w:beforeAutospacing="0" w:after="0" w:afterAutospacing="0" w:line="360" w:lineRule="auto"/>
              <w:ind w:left="0" w:right="0"/>
              <w:jc w:val="center"/>
              <w:rPr>
                <w:rFonts w:hint="default" w:ascii="宋体" w:eastAsia="宋体"/>
                <w:b/>
                <w:bCs w:val="0"/>
                <w:sz w:val="21"/>
                <w:szCs w:val="21"/>
                <w:lang w:val="en-US" w:eastAsia="zh-CN"/>
              </w:rPr>
            </w:pPr>
            <w:r>
              <w:rPr>
                <w:rFonts w:hint="eastAsia" w:ascii="宋体"/>
                <w:b/>
                <w:bCs w:val="0"/>
                <w:sz w:val="21"/>
                <w:szCs w:val="21"/>
                <w:lang w:val="en-US" w:eastAsia="zh-CN"/>
              </w:rPr>
              <w:t>合同总价</w:t>
            </w:r>
          </w:p>
        </w:tc>
        <w:tc>
          <w:tcPr>
            <w:tcW w:w="825" w:type="dxa"/>
            <w:noWrap w:val="0"/>
            <w:vAlign w:val="center"/>
          </w:tcPr>
          <w:p w14:paraId="5932BC58">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263" w:type="dxa"/>
            <w:noWrap w:val="0"/>
            <w:vAlign w:val="center"/>
          </w:tcPr>
          <w:p w14:paraId="7A1E662B">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412" w:type="dxa"/>
            <w:noWrap w:val="0"/>
            <w:vAlign w:val="center"/>
          </w:tcPr>
          <w:p w14:paraId="5E1F42CF">
            <w:pPr>
              <w:keepNext w:val="0"/>
              <w:keepLines w:val="0"/>
              <w:suppressLineNumbers w:val="0"/>
              <w:adjustRightInd w:val="0"/>
              <w:snapToGrid w:val="0"/>
              <w:spacing w:before="0" w:beforeAutospacing="0" w:after="0" w:afterAutospacing="0" w:line="360" w:lineRule="auto"/>
              <w:ind w:left="0" w:right="0"/>
              <w:rPr>
                <w:rFonts w:ascii="宋体"/>
                <w:bCs/>
                <w:sz w:val="21"/>
                <w:szCs w:val="21"/>
              </w:rPr>
            </w:pPr>
          </w:p>
        </w:tc>
        <w:tc>
          <w:tcPr>
            <w:tcW w:w="1510" w:type="dxa"/>
            <w:noWrap w:val="0"/>
            <w:vAlign w:val="top"/>
          </w:tcPr>
          <w:p w14:paraId="417CAF19">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c>
          <w:tcPr>
            <w:tcW w:w="1324" w:type="dxa"/>
            <w:noWrap w:val="0"/>
            <w:vAlign w:val="top"/>
          </w:tcPr>
          <w:p w14:paraId="0BBD0091">
            <w:pPr>
              <w:keepNext w:val="0"/>
              <w:keepLines w:val="0"/>
              <w:suppressLineNumbers w:val="0"/>
              <w:adjustRightInd w:val="0"/>
              <w:snapToGrid w:val="0"/>
              <w:spacing w:before="0" w:beforeAutospacing="0" w:after="0" w:afterAutospacing="0" w:line="360" w:lineRule="auto"/>
              <w:ind w:left="0" w:right="0"/>
              <w:jc w:val="center"/>
              <w:rPr>
                <w:rFonts w:ascii="宋体"/>
                <w:bCs/>
                <w:sz w:val="21"/>
                <w:szCs w:val="21"/>
              </w:rPr>
            </w:pPr>
          </w:p>
        </w:tc>
      </w:tr>
    </w:tbl>
    <w:p w14:paraId="654D5CBC">
      <w:pPr>
        <w:snapToGrid w:val="0"/>
        <w:spacing w:line="360" w:lineRule="auto"/>
        <w:rPr>
          <w:rFonts w:ascii="宋体"/>
          <w:sz w:val="21"/>
          <w:szCs w:val="21"/>
          <w:u w:val="single"/>
        </w:rPr>
      </w:pPr>
      <w:r>
        <w:rPr>
          <w:rFonts w:ascii="宋体" w:hAnsi="宋体"/>
          <w:b/>
          <w:bCs/>
          <w:sz w:val="21"/>
          <w:szCs w:val="21"/>
        </w:rPr>
        <w:t xml:space="preserve">   </w:t>
      </w:r>
      <w:r>
        <w:rPr>
          <w:rFonts w:hint="eastAsia" w:ascii="宋体" w:hAnsi="宋体"/>
          <w:b w:val="0"/>
          <w:bCs w:val="0"/>
          <w:sz w:val="21"/>
          <w:szCs w:val="21"/>
        </w:rPr>
        <w:t>注：</w:t>
      </w:r>
      <w:r>
        <w:rPr>
          <w:rFonts w:hint="eastAsia" w:ascii="宋体" w:hAnsi="宋体"/>
          <w:b w:val="0"/>
          <w:bCs w:val="0"/>
          <w:sz w:val="21"/>
          <w:szCs w:val="21"/>
          <w:u w:val="single"/>
        </w:rPr>
        <w:t>综合单价包括完成本项目服务可能发生的各项指标检测项目所需的机械设备及人工、技术服务、检测费、样品保存费、交通费、等一切费用并承担一切风险责任</w:t>
      </w:r>
      <w:r>
        <w:rPr>
          <w:rFonts w:hint="eastAsia" w:ascii="宋体" w:hAnsi="宋体" w:cs="宋体"/>
          <w:b w:val="0"/>
          <w:bCs w:val="0"/>
          <w:sz w:val="21"/>
          <w:szCs w:val="21"/>
          <w:u w:val="single"/>
        </w:rPr>
        <w:t>。</w:t>
      </w:r>
    </w:p>
    <w:p w14:paraId="336D1327">
      <w:pPr>
        <w:snapToGrid w:val="0"/>
        <w:spacing w:before="156" w:beforeLines="50" w:line="360" w:lineRule="auto"/>
        <w:rPr>
          <w:rFonts w:ascii="宋体" w:cs="Arial Unicode MS"/>
          <w:b/>
          <w:sz w:val="21"/>
          <w:szCs w:val="21"/>
        </w:rPr>
      </w:pPr>
      <w:r>
        <w:rPr>
          <w:rFonts w:hint="eastAsia" w:ascii="宋体" w:hAnsi="宋体" w:cs="Arial Unicode MS"/>
          <w:b/>
          <w:sz w:val="21"/>
          <w:szCs w:val="21"/>
        </w:rPr>
        <w:t>四、双方责任</w:t>
      </w:r>
    </w:p>
    <w:p w14:paraId="6A1D179F">
      <w:pPr>
        <w:tabs>
          <w:tab w:val="left" w:pos="720"/>
          <w:tab w:val="left" w:pos="1134"/>
        </w:tabs>
        <w:snapToGrid w:val="0"/>
        <w:spacing w:line="360" w:lineRule="auto"/>
        <w:ind w:left="365" w:leftChars="171"/>
        <w:rPr>
          <w:rFonts w:ascii="宋体"/>
          <w:b/>
          <w:sz w:val="21"/>
          <w:szCs w:val="21"/>
        </w:rPr>
      </w:pPr>
      <w:r>
        <w:rPr>
          <w:rFonts w:hint="eastAsia" w:ascii="宋体" w:hAnsi="宋体"/>
          <w:b/>
          <w:sz w:val="21"/>
          <w:szCs w:val="21"/>
          <w:lang w:val="en-US" w:eastAsia="zh-CN"/>
        </w:rPr>
        <w:t>1、</w:t>
      </w:r>
      <w:r>
        <w:rPr>
          <w:rFonts w:hint="eastAsia" w:ascii="宋体" w:hAnsi="宋体"/>
          <w:b/>
          <w:sz w:val="21"/>
          <w:szCs w:val="21"/>
        </w:rPr>
        <w:t>甲方责任</w:t>
      </w:r>
      <w:r>
        <w:rPr>
          <w:rFonts w:hint="eastAsia" w:ascii="宋体" w:hAnsi="宋体"/>
          <w:b/>
          <w:sz w:val="21"/>
          <w:szCs w:val="21"/>
          <w:lang w:val="en-US" w:eastAsia="zh-CN"/>
        </w:rPr>
        <w:t>及义务</w:t>
      </w:r>
      <w:r>
        <w:rPr>
          <w:rFonts w:hint="eastAsia" w:ascii="宋体" w:hAnsi="宋体"/>
          <w:b/>
          <w:sz w:val="21"/>
          <w:szCs w:val="21"/>
        </w:rPr>
        <w:t>：</w:t>
      </w:r>
    </w:p>
    <w:p w14:paraId="6DDF29D9">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协助乙方做好检测的相关协调工作；</w:t>
      </w:r>
    </w:p>
    <w:p w14:paraId="18FD59A8">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协助乙方协调有关单位提供符合各检测现场工作要求的有关必备条件；</w:t>
      </w:r>
    </w:p>
    <w:p w14:paraId="13E2BF22">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负责向乙方提供检测项目档案资料、以往检测记录资料；</w:t>
      </w:r>
    </w:p>
    <w:p w14:paraId="1C0BBBAF">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负责组织对乙方检测成果报告进行验收；</w:t>
      </w:r>
    </w:p>
    <w:p w14:paraId="6882891E">
      <w:pPr>
        <w:widowControl w:val="0"/>
        <w:numPr>
          <w:ilvl w:val="0"/>
          <w:numId w:val="11"/>
        </w:numPr>
        <w:tabs>
          <w:tab w:val="left" w:pos="540"/>
        </w:tabs>
        <w:snapToGrid w:val="0"/>
        <w:spacing w:line="360" w:lineRule="auto"/>
        <w:ind w:left="540" w:hanging="540"/>
        <w:jc w:val="both"/>
        <w:rPr>
          <w:rFonts w:ascii="宋体"/>
          <w:sz w:val="21"/>
          <w:szCs w:val="21"/>
        </w:rPr>
      </w:pPr>
      <w:r>
        <w:rPr>
          <w:rFonts w:hint="eastAsia" w:ascii="宋体" w:hAnsi="宋体"/>
          <w:sz w:val="21"/>
          <w:szCs w:val="21"/>
        </w:rPr>
        <w:t>按合同约定按时向乙方支付费用。</w:t>
      </w:r>
    </w:p>
    <w:p w14:paraId="5155C166">
      <w:pPr>
        <w:tabs>
          <w:tab w:val="left" w:pos="720"/>
          <w:tab w:val="left" w:pos="1134"/>
        </w:tabs>
        <w:snapToGrid w:val="0"/>
        <w:spacing w:line="360" w:lineRule="auto"/>
        <w:ind w:left="365" w:leftChars="171"/>
        <w:rPr>
          <w:rFonts w:ascii="宋体"/>
          <w:b/>
          <w:sz w:val="21"/>
          <w:szCs w:val="21"/>
        </w:rPr>
      </w:pPr>
      <w:r>
        <w:rPr>
          <w:rFonts w:ascii="宋体" w:hAnsi="宋体"/>
          <w:b/>
          <w:sz w:val="21"/>
          <w:szCs w:val="21"/>
        </w:rPr>
        <w:t>2</w:t>
      </w:r>
      <w:r>
        <w:rPr>
          <w:rFonts w:hint="eastAsia" w:ascii="宋体" w:hAnsi="宋体"/>
          <w:b/>
          <w:sz w:val="21"/>
          <w:szCs w:val="21"/>
        </w:rPr>
        <w:t>、乙方责任</w:t>
      </w:r>
      <w:r>
        <w:rPr>
          <w:rFonts w:hint="eastAsia" w:ascii="宋体" w:hAnsi="宋体"/>
          <w:b/>
          <w:sz w:val="21"/>
          <w:szCs w:val="21"/>
          <w:lang w:val="en-US" w:eastAsia="zh-CN"/>
        </w:rPr>
        <w:t>及义务</w:t>
      </w:r>
      <w:r>
        <w:rPr>
          <w:rFonts w:hint="eastAsia" w:ascii="宋体" w:hAnsi="宋体"/>
          <w:b/>
          <w:sz w:val="21"/>
          <w:szCs w:val="21"/>
        </w:rPr>
        <w:t>：</w:t>
      </w:r>
    </w:p>
    <w:p w14:paraId="3EE4E92C">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乙方在检测实施前，应根据不同的检测样品，结合检测现场的现状编制科学、规范、符合实际情况的检查实施方案，报甲方批准实施；</w:t>
      </w:r>
    </w:p>
    <w:p w14:paraId="69179B1B">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乙方</w:t>
      </w:r>
      <w:r>
        <w:rPr>
          <w:rFonts w:hint="eastAsia" w:ascii="Arial" w:hAnsi="Arial" w:cs="Arial"/>
          <w:sz w:val="21"/>
          <w:szCs w:val="21"/>
        </w:rPr>
        <w:t>应定期到现场采样，</w:t>
      </w:r>
      <w:r>
        <w:rPr>
          <w:rFonts w:hint="eastAsia" w:ascii="宋体" w:hAnsi="宋体"/>
          <w:sz w:val="21"/>
          <w:szCs w:val="21"/>
        </w:rPr>
        <w:t>按照现行国家有关检测的技术标准、规范，按合同要求进行检测，并定期向甲方反映工作情况和存在问题，对于甲方提出的技术要求和合理变更以及必要的检验应当接受；</w:t>
      </w:r>
    </w:p>
    <w:p w14:paraId="6D4C5900">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检测所需的设备、仪器、工具、材料、防护措施以及检测、试验</w:t>
      </w:r>
      <w:r>
        <w:rPr>
          <w:rFonts w:ascii="宋体" w:hAnsi="宋体"/>
          <w:sz w:val="21"/>
          <w:szCs w:val="21"/>
        </w:rPr>
        <w:t xml:space="preserve"> </w:t>
      </w:r>
      <w:r>
        <w:rPr>
          <w:rFonts w:hint="eastAsia" w:ascii="宋体" w:hAnsi="宋体"/>
          <w:sz w:val="21"/>
          <w:szCs w:val="21"/>
        </w:rPr>
        <w:t>，均由乙方自行配备</w:t>
      </w:r>
      <w:r>
        <w:rPr>
          <w:rFonts w:hint="eastAsia" w:ascii="Arial" w:hAnsi="Arial" w:cs="Arial"/>
          <w:sz w:val="21"/>
          <w:szCs w:val="21"/>
        </w:rPr>
        <w:t>，其费用包含在投标报价中</w:t>
      </w:r>
      <w:r>
        <w:rPr>
          <w:rFonts w:hint="eastAsia" w:ascii="宋体" w:hAnsi="宋体"/>
          <w:sz w:val="21"/>
          <w:szCs w:val="21"/>
        </w:rPr>
        <w:t>；</w:t>
      </w:r>
    </w:p>
    <w:p w14:paraId="3E3BE7E2">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sz w:val="21"/>
          <w:szCs w:val="21"/>
        </w:rPr>
        <w:t>乙方必须为现场工</w:t>
      </w:r>
      <w:r>
        <w:rPr>
          <w:rFonts w:hint="eastAsia" w:ascii="宋体" w:hAnsi="宋体"/>
          <w:color w:val="auto"/>
          <w:sz w:val="21"/>
          <w:szCs w:val="21"/>
        </w:rPr>
        <w:t>作人员购买意外伤亡保险；</w:t>
      </w:r>
    </w:p>
    <w:p w14:paraId="6E0F1E5D">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color w:val="auto"/>
          <w:sz w:val="21"/>
          <w:szCs w:val="21"/>
        </w:rPr>
        <w:t>在检测过程中导致的任何事故，均由乙方全权负责，甲方对此不承担任何责任；</w:t>
      </w:r>
    </w:p>
    <w:p w14:paraId="04925188">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color w:val="auto"/>
          <w:sz w:val="21"/>
          <w:szCs w:val="21"/>
        </w:rPr>
        <w:t>乙方应按照相关规范确定检测内容，完善表格，提供技术电子文档；</w:t>
      </w:r>
    </w:p>
    <w:p w14:paraId="10489142">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Arial" w:hAnsi="Arial" w:cs="Arial"/>
          <w:color w:val="auto"/>
          <w:sz w:val="21"/>
          <w:szCs w:val="21"/>
        </w:rPr>
        <w:t>乙方每季度的月初必须要提供各镇街水质检测数据分析及汇总报告；</w:t>
      </w:r>
    </w:p>
    <w:p w14:paraId="44CE778E">
      <w:pPr>
        <w:widowControl w:val="0"/>
        <w:numPr>
          <w:ilvl w:val="0"/>
          <w:numId w:val="12"/>
        </w:numPr>
        <w:tabs>
          <w:tab w:val="left" w:pos="540"/>
        </w:tabs>
        <w:snapToGrid w:val="0"/>
        <w:spacing w:line="360" w:lineRule="auto"/>
        <w:ind w:left="540" w:hanging="540"/>
        <w:jc w:val="both"/>
        <w:rPr>
          <w:rFonts w:ascii="宋体"/>
          <w:color w:val="auto"/>
          <w:sz w:val="21"/>
          <w:szCs w:val="21"/>
        </w:rPr>
      </w:pPr>
      <w:r>
        <w:rPr>
          <w:rFonts w:hint="eastAsia" w:ascii="宋体" w:hAnsi="宋体"/>
          <w:color w:val="auto"/>
          <w:sz w:val="21"/>
          <w:szCs w:val="21"/>
        </w:rPr>
        <w:t>分析整理检测数据，编制检测报告，并向甲方提供</w:t>
      </w:r>
      <w:r>
        <w:rPr>
          <w:rFonts w:ascii="宋体" w:hAnsi="宋体"/>
          <w:color w:val="auto"/>
          <w:sz w:val="21"/>
          <w:szCs w:val="21"/>
          <w:u w:val="single"/>
        </w:rPr>
        <w:t xml:space="preserve"> </w:t>
      </w:r>
      <w:r>
        <w:rPr>
          <w:rFonts w:hint="eastAsia" w:ascii="宋体" w:hAnsi="宋体"/>
          <w:color w:val="auto"/>
          <w:sz w:val="21"/>
          <w:szCs w:val="21"/>
          <w:u w:val="single"/>
        </w:rPr>
        <w:t>2</w:t>
      </w:r>
      <w:r>
        <w:rPr>
          <w:rFonts w:ascii="宋体" w:hAnsi="宋体"/>
          <w:color w:val="auto"/>
          <w:sz w:val="21"/>
          <w:szCs w:val="21"/>
          <w:u w:val="single"/>
        </w:rPr>
        <w:t xml:space="preserve"> </w:t>
      </w:r>
      <w:r>
        <w:rPr>
          <w:rFonts w:hint="eastAsia" w:ascii="宋体" w:hAnsi="宋体"/>
          <w:color w:val="auto"/>
          <w:sz w:val="21"/>
          <w:szCs w:val="21"/>
        </w:rPr>
        <w:t>份正式报告和有关电子文档；</w:t>
      </w:r>
    </w:p>
    <w:p w14:paraId="1AF5407D">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color w:val="auto"/>
          <w:sz w:val="21"/>
          <w:szCs w:val="21"/>
        </w:rPr>
        <w:t>乙方对其提交的检查</w:t>
      </w:r>
      <w:r>
        <w:rPr>
          <w:rFonts w:hint="eastAsia" w:ascii="宋体" w:hAnsi="宋体"/>
          <w:sz w:val="21"/>
          <w:szCs w:val="21"/>
        </w:rPr>
        <w:t>数据、计算数据、技术分析及结论等成果的质量负全部责任；</w:t>
      </w:r>
    </w:p>
    <w:p w14:paraId="3868EAB1">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协助对甲方的技术进行保密；</w:t>
      </w:r>
    </w:p>
    <w:p w14:paraId="57E84898">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向甲方提供必要的检测咨询服务；</w:t>
      </w:r>
    </w:p>
    <w:p w14:paraId="5B35C7FA">
      <w:pPr>
        <w:widowControl w:val="0"/>
        <w:numPr>
          <w:ilvl w:val="0"/>
          <w:numId w:val="12"/>
        </w:numPr>
        <w:tabs>
          <w:tab w:val="left" w:pos="540"/>
        </w:tabs>
        <w:snapToGrid w:val="0"/>
        <w:spacing w:line="360" w:lineRule="auto"/>
        <w:ind w:left="540" w:hanging="540"/>
        <w:jc w:val="both"/>
        <w:rPr>
          <w:rFonts w:ascii="宋体"/>
          <w:sz w:val="21"/>
          <w:szCs w:val="21"/>
        </w:rPr>
      </w:pPr>
      <w:r>
        <w:rPr>
          <w:rFonts w:hint="eastAsia" w:ascii="宋体" w:hAnsi="宋体"/>
          <w:sz w:val="21"/>
          <w:szCs w:val="21"/>
        </w:rPr>
        <w:t>若组织验收，则验收时所涉及的专家审查费均由乙方承担；合同执行期间，遵守法律法规及其他有关规定，接受甲方及其他有关部门的监督、检查和管理。</w:t>
      </w:r>
    </w:p>
    <w:p w14:paraId="3FEC6542">
      <w:pPr>
        <w:widowControl w:val="0"/>
        <w:numPr>
          <w:ilvl w:val="0"/>
          <w:numId w:val="12"/>
        </w:numPr>
        <w:tabs>
          <w:tab w:val="left" w:pos="540"/>
        </w:tabs>
        <w:snapToGrid w:val="0"/>
        <w:spacing w:line="360" w:lineRule="auto"/>
        <w:ind w:left="540" w:hanging="540"/>
        <w:jc w:val="both"/>
        <w:rPr>
          <w:rFonts w:hint="eastAsia" w:ascii="宋体" w:hAnsi="宋体"/>
          <w:sz w:val="21"/>
          <w:szCs w:val="21"/>
          <w:lang w:eastAsia="zh-CN"/>
        </w:rPr>
      </w:pPr>
      <w:r>
        <w:rPr>
          <w:rFonts w:hint="eastAsia" w:ascii="宋体" w:hAnsi="宋体"/>
          <w:sz w:val="21"/>
          <w:szCs w:val="21"/>
          <w:lang w:eastAsia="zh-CN"/>
        </w:rPr>
        <w:t>当天采集的样品应在当天送达实验室。采样须全过程定位录像，完成样品采集后，按规范将采样单填写完整，样品及记录（含录像等资料）经采购单位确认后，现场采样方可结束；运输过程中应保持平稳，以防颠簸造成的成果破损。</w:t>
      </w:r>
    </w:p>
    <w:p w14:paraId="0D580F3C">
      <w:pPr>
        <w:widowControl w:val="0"/>
        <w:numPr>
          <w:ilvl w:val="0"/>
          <w:numId w:val="12"/>
        </w:numPr>
        <w:tabs>
          <w:tab w:val="left" w:pos="540"/>
        </w:tabs>
        <w:snapToGrid w:val="0"/>
        <w:spacing w:line="360" w:lineRule="auto"/>
        <w:ind w:left="540" w:hanging="540"/>
        <w:jc w:val="both"/>
        <w:rPr>
          <w:rFonts w:hint="eastAsia" w:ascii="宋体" w:hAnsi="宋体"/>
          <w:b/>
          <w:bCs/>
          <w:color w:val="0000FF"/>
          <w:sz w:val="21"/>
          <w:szCs w:val="21"/>
          <w:lang w:val="en-US" w:eastAsia="zh-CN"/>
        </w:rPr>
      </w:pPr>
      <w:r>
        <w:rPr>
          <w:rFonts w:hint="eastAsia" w:ascii="宋体" w:hAnsi="宋体"/>
          <w:b/>
          <w:bCs/>
          <w:color w:val="0000FF"/>
          <w:sz w:val="21"/>
          <w:szCs w:val="21"/>
          <w:lang w:val="en-US" w:eastAsia="zh-CN"/>
        </w:rPr>
        <w:t>应根据甲方工作需求，选派符合甲方要求的乙方员工到甲方指定地点工作，应优先留用甲方原有的在岗且合格的服务人员。</w:t>
      </w:r>
    </w:p>
    <w:p w14:paraId="5F4C795C">
      <w:pPr>
        <w:adjustRightInd w:val="0"/>
        <w:snapToGrid w:val="0"/>
        <w:spacing w:line="360" w:lineRule="auto"/>
        <w:rPr>
          <w:rFonts w:ascii="宋体" w:cs="Arial Unicode MS"/>
          <w:b/>
          <w:sz w:val="21"/>
          <w:szCs w:val="21"/>
        </w:rPr>
      </w:pPr>
      <w:r>
        <w:rPr>
          <w:rFonts w:hint="eastAsia" w:ascii="宋体" w:hAnsi="宋体" w:cs="Arial Unicode MS"/>
          <w:b/>
          <w:sz w:val="21"/>
          <w:szCs w:val="21"/>
        </w:rPr>
        <w:t>五、对检测结论异议的处理</w:t>
      </w:r>
    </w:p>
    <w:p w14:paraId="3D66D5FA">
      <w:pPr>
        <w:adjustRightInd w:val="0"/>
        <w:snapToGrid w:val="0"/>
        <w:spacing w:line="360" w:lineRule="auto"/>
        <w:ind w:firstLine="428" w:firstLineChars="200"/>
        <w:rPr>
          <w:rFonts w:ascii="宋体"/>
          <w:sz w:val="21"/>
          <w:szCs w:val="21"/>
        </w:rPr>
      </w:pPr>
      <w:r>
        <w:rPr>
          <w:rFonts w:hint="eastAsia" w:ascii="宋体" w:hAnsi="宋体" w:cs="Arial Unicode MS"/>
          <w:sz w:val="21"/>
          <w:szCs w:val="21"/>
        </w:rPr>
        <w:t>甲方对检测结论有异议的，可由双方共同认可的检测机构复检。复检结论与原检测结论相同，由甲方支付复检费用；反之，则由乙方承担复检费用。对复检结论仍有异议的，可向主管部门申请专家论证解决。</w:t>
      </w:r>
    </w:p>
    <w:p w14:paraId="4180219E">
      <w:pPr>
        <w:adjustRightInd w:val="0"/>
        <w:snapToGrid w:val="0"/>
        <w:spacing w:line="360" w:lineRule="auto"/>
        <w:rPr>
          <w:rFonts w:ascii="宋体" w:cs="Arial Unicode MS"/>
          <w:b/>
          <w:sz w:val="21"/>
          <w:szCs w:val="21"/>
        </w:rPr>
      </w:pPr>
      <w:r>
        <w:rPr>
          <w:rFonts w:hint="eastAsia" w:ascii="宋体" w:hAnsi="宋体" w:cs="Arial Unicode MS"/>
          <w:b/>
          <w:sz w:val="21"/>
          <w:szCs w:val="21"/>
        </w:rPr>
        <w:t>六、违约责任</w:t>
      </w:r>
      <w:r>
        <w:rPr>
          <w:rFonts w:ascii="宋体" w:hAnsi="宋体" w:cs="Arial Unicode MS"/>
          <w:b/>
          <w:sz w:val="21"/>
          <w:szCs w:val="21"/>
        </w:rPr>
        <w:t xml:space="preserve"> </w:t>
      </w:r>
    </w:p>
    <w:p w14:paraId="2766B321">
      <w:pPr>
        <w:adjustRightInd w:val="0"/>
        <w:snapToGrid w:val="0"/>
        <w:spacing w:line="360" w:lineRule="auto"/>
        <w:rPr>
          <w:rFonts w:ascii="宋体" w:cs="Arial Unicode MS"/>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1</w:t>
      </w:r>
      <w:r>
        <w:rPr>
          <w:rFonts w:hint="eastAsia" w:ascii="宋体" w:hAnsi="宋体" w:cs="Arial Unicode MS"/>
          <w:color w:val="auto"/>
          <w:sz w:val="21"/>
          <w:szCs w:val="21"/>
        </w:rPr>
        <w:t>）因甲方未履行义务而造成乙方无法按时保质地完成检测业务的，甲方应当承担相应的经济损失，并赔偿由此给乙方造成的损失。完成检测业务的时限由双方另行约定。</w:t>
      </w:r>
    </w:p>
    <w:p w14:paraId="056EF562">
      <w:pPr>
        <w:adjustRightInd w:val="0"/>
        <w:snapToGrid w:val="0"/>
        <w:spacing w:line="360" w:lineRule="auto"/>
        <w:rPr>
          <w:rFonts w:ascii="宋体" w:cs="Arial Unicode MS"/>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2</w:t>
      </w:r>
      <w:r>
        <w:rPr>
          <w:rFonts w:hint="eastAsia" w:ascii="宋体" w:hAnsi="宋体" w:cs="Arial Unicode MS"/>
          <w:color w:val="auto"/>
          <w:sz w:val="21"/>
          <w:szCs w:val="21"/>
        </w:rPr>
        <w:t>）检测报告信息错误、未按照约定检测依据进行检测或者检测结论判断错误的，乙方应进行更正或免费重新进行检测，给甲方造成损失的应予以赔偿，由甲方原因造成上述错误的除外。</w:t>
      </w:r>
    </w:p>
    <w:p w14:paraId="4C188705">
      <w:pPr>
        <w:adjustRightInd w:val="0"/>
        <w:snapToGrid w:val="0"/>
        <w:spacing w:line="360" w:lineRule="auto"/>
        <w:rPr>
          <w:rFonts w:ascii="宋体"/>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3</w:t>
      </w:r>
      <w:r>
        <w:rPr>
          <w:rFonts w:hint="eastAsia" w:ascii="宋体" w:hAnsi="宋体" w:cs="Arial Unicode MS"/>
          <w:color w:val="auto"/>
          <w:sz w:val="21"/>
          <w:szCs w:val="21"/>
        </w:rPr>
        <w:t>）甲方如发现乙方违反本合同规定，甲方有权单方面终止合同。</w:t>
      </w:r>
    </w:p>
    <w:p w14:paraId="33071390">
      <w:pPr>
        <w:adjustRightInd w:val="0"/>
        <w:snapToGrid w:val="0"/>
        <w:spacing w:line="360" w:lineRule="auto"/>
        <w:rPr>
          <w:rFonts w:hint="eastAsia" w:ascii="宋体" w:hAnsi="宋体" w:cs="Arial Unicode MS"/>
          <w:color w:val="auto"/>
          <w:sz w:val="21"/>
          <w:szCs w:val="21"/>
        </w:rPr>
      </w:pPr>
      <w:r>
        <w:rPr>
          <w:rFonts w:hint="eastAsia" w:ascii="宋体" w:hAnsi="宋体" w:cs="Arial Unicode MS"/>
          <w:color w:val="auto"/>
          <w:sz w:val="21"/>
          <w:szCs w:val="21"/>
        </w:rPr>
        <w:t>（</w:t>
      </w:r>
      <w:r>
        <w:rPr>
          <w:rFonts w:ascii="宋体" w:hAnsi="宋体" w:cs="Arial Unicode MS"/>
          <w:color w:val="auto"/>
          <w:sz w:val="21"/>
          <w:szCs w:val="21"/>
        </w:rPr>
        <w:t>4</w:t>
      </w:r>
      <w:r>
        <w:rPr>
          <w:rFonts w:hint="eastAsia" w:ascii="宋体" w:hAnsi="宋体" w:cs="Arial Unicode MS"/>
          <w:color w:val="auto"/>
          <w:sz w:val="21"/>
          <w:szCs w:val="21"/>
        </w:rPr>
        <w:t>）乙方应按</w:t>
      </w:r>
      <w:r>
        <w:rPr>
          <w:rFonts w:hint="eastAsia" w:ascii="宋体" w:hAnsi="宋体" w:eastAsia="宋体" w:cs="宋体"/>
          <w:kern w:val="0"/>
          <w:sz w:val="21"/>
          <w:szCs w:val="21"/>
        </w:rPr>
        <w:t>国家技术</w:t>
      </w:r>
      <w:r>
        <w:rPr>
          <w:rFonts w:hint="eastAsia" w:ascii="宋体" w:hAnsi="宋体" w:eastAsia="宋体" w:cs="宋体"/>
          <w:kern w:val="0"/>
          <w:sz w:val="21"/>
          <w:szCs w:val="21"/>
          <w:lang w:val="en-US" w:eastAsia="zh-CN"/>
        </w:rPr>
        <w:t>标准</w:t>
      </w:r>
      <w:r>
        <w:rPr>
          <w:rFonts w:hint="eastAsia" w:ascii="宋体" w:hAnsi="宋体" w:eastAsia="宋体" w:cs="宋体"/>
          <w:kern w:val="0"/>
          <w:sz w:val="21"/>
          <w:szCs w:val="21"/>
        </w:rPr>
        <w:t>和</w:t>
      </w:r>
      <w:r>
        <w:rPr>
          <w:rFonts w:hint="eastAsia" w:ascii="宋体" w:hAnsi="宋体" w:eastAsia="宋体" w:cs="宋体"/>
          <w:kern w:val="0"/>
          <w:sz w:val="21"/>
          <w:szCs w:val="21"/>
          <w:lang w:val="en-US" w:eastAsia="zh-CN"/>
        </w:rPr>
        <w:t>投标</w:t>
      </w:r>
      <w:r>
        <w:rPr>
          <w:rFonts w:hint="eastAsia" w:ascii="宋体" w:hAnsi="宋体" w:eastAsia="宋体" w:cs="宋体"/>
          <w:kern w:val="0"/>
          <w:sz w:val="21"/>
          <w:szCs w:val="21"/>
        </w:rPr>
        <w:t>所承诺的服务质量标准</w:t>
      </w:r>
      <w:r>
        <w:rPr>
          <w:rFonts w:hint="eastAsia" w:ascii="宋体" w:hAnsi="宋体" w:cs="Arial Unicode MS"/>
          <w:color w:val="auto"/>
          <w:sz w:val="21"/>
          <w:szCs w:val="21"/>
        </w:rPr>
        <w:t>落实各项质量保证措施，</w:t>
      </w:r>
      <w:r>
        <w:rPr>
          <w:rFonts w:hint="eastAsia" w:ascii="宋体" w:hAnsi="宋体" w:cs="Arial Unicode MS"/>
          <w:color w:val="auto"/>
          <w:sz w:val="21"/>
          <w:szCs w:val="21"/>
          <w:lang w:val="en-US" w:eastAsia="zh-CN"/>
        </w:rPr>
        <w:t>甲方</w:t>
      </w:r>
      <w:r>
        <w:rPr>
          <w:rFonts w:hint="eastAsia" w:ascii="宋体" w:hAnsi="宋体" w:cs="Arial Unicode MS"/>
          <w:color w:val="auto"/>
          <w:sz w:val="21"/>
          <w:szCs w:val="21"/>
        </w:rPr>
        <w:t>有权对乙方的监测数据质量进行监督和实验室对比，如有造假或监测结果严重不符合实际，将扣除该批次的监测费用，并取消合同。</w:t>
      </w:r>
    </w:p>
    <w:p w14:paraId="1DBCE3CB">
      <w:pPr>
        <w:adjustRightInd w:val="0"/>
        <w:snapToGrid w:val="0"/>
        <w:spacing w:line="360" w:lineRule="auto"/>
        <w:rPr>
          <w:rFonts w:hint="eastAsia" w:ascii="宋体" w:hAnsi="宋体" w:eastAsia="宋体" w:cs="Cambria Math"/>
          <w:sz w:val="21"/>
          <w:szCs w:val="21"/>
        </w:rPr>
      </w:pPr>
      <w:r>
        <w:rPr>
          <w:rFonts w:hint="eastAsia" w:ascii="宋体" w:hAnsi="宋体" w:eastAsia="宋体" w:cs="Cambria Math"/>
          <w:sz w:val="21"/>
          <w:szCs w:val="21"/>
          <w:lang w:val="en-US" w:eastAsia="zh-CN"/>
        </w:rPr>
        <w:t>（5）</w:t>
      </w:r>
      <w:r>
        <w:rPr>
          <w:rFonts w:hint="eastAsia" w:ascii="宋体" w:hAnsi="宋体" w:eastAsia="宋体" w:cs="Cambria Math"/>
          <w:sz w:val="21"/>
          <w:szCs w:val="21"/>
          <w:lang w:eastAsia="zh-CN"/>
        </w:rPr>
        <w:t>甲方</w:t>
      </w:r>
      <w:r>
        <w:rPr>
          <w:rFonts w:hint="eastAsia" w:ascii="宋体" w:hAnsi="宋体" w:eastAsia="宋体" w:cs="Cambria Math"/>
          <w:sz w:val="21"/>
          <w:szCs w:val="21"/>
        </w:rPr>
        <w:t>将不定时进行质控样考核，对两次未达到质控样考核要求的，从当季服务款中直接扣除人民币</w:t>
      </w:r>
      <w:r>
        <w:rPr>
          <w:rFonts w:hint="eastAsia" w:ascii="宋体" w:hAnsi="宋体" w:eastAsia="宋体" w:cs="Cambria Math"/>
          <w:sz w:val="21"/>
          <w:szCs w:val="21"/>
          <w:lang w:eastAsia="zh-CN"/>
        </w:rPr>
        <w:t>伍</w:t>
      </w:r>
      <w:r>
        <w:rPr>
          <w:rFonts w:hint="eastAsia" w:ascii="宋体" w:hAnsi="宋体" w:eastAsia="宋体" w:cs="Cambria Math"/>
          <w:sz w:val="21"/>
          <w:szCs w:val="21"/>
        </w:rPr>
        <w:t>万元整</w:t>
      </w:r>
      <w:r>
        <w:rPr>
          <w:rFonts w:hint="eastAsia" w:ascii="宋体" w:hAnsi="宋体" w:eastAsia="宋体" w:cs="Cambria Math"/>
          <w:sz w:val="21"/>
          <w:szCs w:val="21"/>
          <w:lang w:eastAsia="zh-CN"/>
        </w:rPr>
        <w:t>人民币</w:t>
      </w:r>
      <w:r>
        <w:rPr>
          <w:rFonts w:hint="eastAsia" w:ascii="宋体" w:hAnsi="宋体" w:eastAsia="宋体" w:cs="Cambria Math"/>
          <w:sz w:val="21"/>
          <w:szCs w:val="21"/>
        </w:rPr>
        <w:t>。三次未达到质控样考核要求的，</w:t>
      </w:r>
      <w:r>
        <w:rPr>
          <w:rFonts w:hint="eastAsia" w:ascii="宋体" w:hAnsi="宋体" w:eastAsia="宋体" w:cs="Cambria Math"/>
          <w:sz w:val="21"/>
          <w:szCs w:val="21"/>
          <w:lang w:eastAsia="zh-CN"/>
        </w:rPr>
        <w:t>甲方</w:t>
      </w:r>
      <w:r>
        <w:rPr>
          <w:rFonts w:hint="eastAsia" w:ascii="宋体" w:hAnsi="宋体" w:eastAsia="宋体" w:cs="Cambria Math"/>
          <w:sz w:val="21"/>
          <w:szCs w:val="21"/>
        </w:rPr>
        <w:t>有权单方面终止合同。</w:t>
      </w:r>
    </w:p>
    <w:p w14:paraId="5C1E0CA4">
      <w:pPr>
        <w:adjustRightInd w:val="0"/>
        <w:snapToGrid w:val="0"/>
        <w:spacing w:line="360" w:lineRule="auto"/>
        <w:rPr>
          <w:rFonts w:ascii="宋体"/>
          <w:color w:val="auto"/>
          <w:sz w:val="21"/>
          <w:szCs w:val="21"/>
        </w:rPr>
      </w:pPr>
      <w:r>
        <w:rPr>
          <w:rFonts w:hint="eastAsia" w:ascii="宋体" w:hAnsi="宋体" w:cs="Arial Unicode MS"/>
          <w:color w:val="auto"/>
          <w:sz w:val="21"/>
          <w:szCs w:val="21"/>
        </w:rPr>
        <w:t>（</w:t>
      </w:r>
      <w:r>
        <w:rPr>
          <w:rFonts w:hint="eastAsia" w:ascii="宋体" w:hAnsi="宋体" w:cs="Arial Unicode MS"/>
          <w:color w:val="auto"/>
          <w:sz w:val="21"/>
          <w:szCs w:val="21"/>
          <w:lang w:val="en-US" w:eastAsia="zh-CN"/>
        </w:rPr>
        <w:t>6</w:t>
      </w:r>
      <w:r>
        <w:rPr>
          <w:rFonts w:hint="eastAsia" w:ascii="宋体" w:hAnsi="宋体" w:cs="Arial Unicode MS"/>
          <w:color w:val="auto"/>
          <w:sz w:val="21"/>
          <w:szCs w:val="21"/>
        </w:rPr>
        <w:t>）其他违约责任：</w:t>
      </w:r>
      <w:r>
        <w:rPr>
          <w:rFonts w:ascii="宋体" w:hAnsi="宋体"/>
          <w:color w:val="auto"/>
          <w:sz w:val="21"/>
          <w:szCs w:val="21"/>
          <w:u w:val="single"/>
        </w:rPr>
        <w:t xml:space="preserve">                                                  </w:t>
      </w:r>
      <w:r>
        <w:rPr>
          <w:rFonts w:hint="eastAsia" w:ascii="宋体" w:hAnsi="宋体"/>
          <w:color w:val="auto"/>
          <w:sz w:val="21"/>
          <w:szCs w:val="21"/>
        </w:rPr>
        <w:t>。</w:t>
      </w:r>
    </w:p>
    <w:p w14:paraId="79293FDA">
      <w:pPr>
        <w:adjustRightInd w:val="0"/>
        <w:snapToGrid w:val="0"/>
        <w:spacing w:line="360" w:lineRule="auto"/>
        <w:rPr>
          <w:rFonts w:ascii="宋体"/>
          <w:b/>
          <w:color w:val="auto"/>
          <w:sz w:val="21"/>
          <w:szCs w:val="21"/>
        </w:rPr>
      </w:pPr>
      <w:r>
        <w:rPr>
          <w:rFonts w:hint="eastAsia" w:ascii="宋体" w:hAnsi="宋体" w:cs="Arial Unicode MS"/>
          <w:b/>
          <w:color w:val="auto"/>
          <w:sz w:val="21"/>
          <w:szCs w:val="21"/>
        </w:rPr>
        <w:t>七、其他约定事项</w:t>
      </w:r>
    </w:p>
    <w:p w14:paraId="5A14DBE9">
      <w:pPr>
        <w:adjustRightInd w:val="0"/>
        <w:snapToGrid w:val="0"/>
        <w:spacing w:line="360" w:lineRule="auto"/>
        <w:ind w:firstLine="428" w:firstLineChars="200"/>
        <w:rPr>
          <w:rFonts w:hint="eastAsia" w:ascii="宋体" w:hAnsi="宋体" w:cs="Arial Unicode MS"/>
          <w:sz w:val="21"/>
          <w:szCs w:val="21"/>
          <w:u w:val="single"/>
        </w:rPr>
      </w:pPr>
      <w:r>
        <w:rPr>
          <w:rFonts w:hint="eastAsia" w:ascii="宋体" w:hAnsi="宋体" w:cs="Arial Unicode MS"/>
          <w:sz w:val="21"/>
          <w:szCs w:val="21"/>
          <w:u w:val="single"/>
        </w:rPr>
        <w:t xml:space="preserve">                                               。</w:t>
      </w:r>
    </w:p>
    <w:p w14:paraId="6EC37C04">
      <w:pPr>
        <w:tabs>
          <w:tab w:val="left" w:pos="578"/>
          <w:tab w:val="left" w:pos="2317"/>
        </w:tabs>
        <w:snapToGrid w:val="0"/>
        <w:spacing w:before="156" w:beforeLines="50" w:line="360" w:lineRule="auto"/>
        <w:rPr>
          <w:rFonts w:ascii="宋体" w:cs="Arial Unicode MS"/>
          <w:b/>
          <w:bCs/>
          <w:sz w:val="21"/>
          <w:szCs w:val="21"/>
        </w:rPr>
      </w:pPr>
      <w:r>
        <w:rPr>
          <w:rFonts w:hint="eastAsia" w:ascii="宋体" w:hAnsi="宋体" w:cs="Arial Unicode MS"/>
          <w:b/>
          <w:bCs/>
          <w:sz w:val="21"/>
          <w:szCs w:val="21"/>
        </w:rPr>
        <w:t>八、合同价款的支付与结算</w:t>
      </w:r>
    </w:p>
    <w:p w14:paraId="49C7715D">
      <w:pPr>
        <w:adjustRightInd w:val="0"/>
        <w:snapToGrid w:val="0"/>
        <w:spacing w:line="360" w:lineRule="auto"/>
        <w:ind w:firstLine="428" w:firstLineChars="200"/>
        <w:rPr>
          <w:rFonts w:ascii="宋体" w:cs="Arial Unicode MS"/>
          <w:b w:val="0"/>
          <w:bCs/>
          <w:sz w:val="21"/>
          <w:szCs w:val="21"/>
        </w:rPr>
      </w:pPr>
      <w:r>
        <w:rPr>
          <w:rFonts w:hint="eastAsia" w:ascii="宋体" w:hAnsi="宋体" w:cs="Arial Unicode MS"/>
          <w:b w:val="0"/>
          <w:bCs/>
          <w:sz w:val="21"/>
          <w:szCs w:val="21"/>
        </w:rPr>
        <w:t>（</w:t>
      </w:r>
      <w:r>
        <w:rPr>
          <w:rFonts w:ascii="宋体" w:hAnsi="宋体" w:cs="Arial Unicode MS"/>
          <w:b w:val="0"/>
          <w:bCs/>
          <w:sz w:val="21"/>
          <w:szCs w:val="21"/>
        </w:rPr>
        <w:t>1</w:t>
      </w:r>
      <w:r>
        <w:rPr>
          <w:rFonts w:hint="eastAsia" w:ascii="宋体" w:hAnsi="宋体" w:cs="Arial Unicode MS"/>
          <w:b w:val="0"/>
          <w:bCs/>
          <w:sz w:val="21"/>
          <w:szCs w:val="21"/>
        </w:rPr>
        <w:t>）在乙方按合同规定的项目工作进度计划和质量要求完成相应的工作并履行了合同中相应的责任和义务后，甲方将按下列进度、金额及本合同其它相关条款，向受托方支付合同款。</w:t>
      </w:r>
    </w:p>
    <w:p w14:paraId="174D8A27">
      <w:pPr>
        <w:adjustRightInd w:val="0"/>
        <w:snapToGrid w:val="0"/>
        <w:spacing w:line="360" w:lineRule="auto"/>
        <w:ind w:firstLine="428" w:firstLineChars="200"/>
        <w:rPr>
          <w:rFonts w:hint="eastAsia" w:ascii="宋体" w:hAnsi="宋体" w:cs="Arial Unicode MS"/>
          <w:b w:val="0"/>
          <w:bCs/>
          <w:sz w:val="21"/>
          <w:szCs w:val="21"/>
        </w:rPr>
      </w:pPr>
      <w:r>
        <w:rPr>
          <w:rFonts w:hint="eastAsia" w:ascii="宋体" w:hAnsi="宋体" w:cs="Arial Unicode MS"/>
          <w:b w:val="0"/>
          <w:bCs/>
          <w:sz w:val="21"/>
          <w:szCs w:val="21"/>
        </w:rPr>
        <w:t>（</w:t>
      </w:r>
      <w:r>
        <w:rPr>
          <w:rFonts w:ascii="宋体" w:hAnsi="宋体" w:cs="Arial Unicode MS"/>
          <w:b w:val="0"/>
          <w:bCs/>
          <w:sz w:val="21"/>
          <w:szCs w:val="21"/>
        </w:rPr>
        <w:t>2</w:t>
      </w:r>
      <w:r>
        <w:rPr>
          <w:rFonts w:hint="eastAsia" w:ascii="宋体" w:hAnsi="宋体" w:cs="Arial Unicode MS"/>
          <w:b w:val="0"/>
          <w:bCs/>
          <w:sz w:val="21"/>
          <w:szCs w:val="21"/>
        </w:rPr>
        <w:t>）</w:t>
      </w:r>
      <w:r>
        <w:rPr>
          <w:rFonts w:hint="eastAsia" w:ascii="宋体" w:hAnsi="宋体" w:cs="Arial Unicode MS"/>
          <w:b w:val="0"/>
          <w:bCs/>
          <w:sz w:val="21"/>
          <w:szCs w:val="21"/>
          <w:lang w:val="en-US" w:eastAsia="zh-CN"/>
        </w:rPr>
        <w:t>预付款：</w:t>
      </w:r>
      <w:r>
        <w:rPr>
          <w:rFonts w:hint="eastAsia" w:ascii="宋体" w:hAnsi="宋体" w:cs="Arial Unicode MS"/>
          <w:b w:val="0"/>
          <w:bCs/>
          <w:sz w:val="21"/>
          <w:szCs w:val="21"/>
          <w:lang w:eastAsia="zh-CN"/>
        </w:rPr>
        <w:t>在合同签订且具备实施条件后</w:t>
      </w:r>
      <w:r>
        <w:rPr>
          <w:rFonts w:hint="eastAsia" w:ascii="宋体" w:hAnsi="宋体" w:cs="Arial Unicode MS"/>
          <w:b w:val="0"/>
          <w:bCs/>
          <w:sz w:val="21"/>
          <w:szCs w:val="21"/>
          <w:lang w:val="en-US" w:eastAsia="zh-CN"/>
        </w:rPr>
        <w:t>7个工作日</w:t>
      </w:r>
      <w:r>
        <w:rPr>
          <w:rFonts w:hint="eastAsia" w:ascii="宋体" w:hAnsi="宋体" w:cs="Arial Unicode MS"/>
          <w:b w:val="0"/>
          <w:bCs/>
          <w:sz w:val="21"/>
          <w:szCs w:val="21"/>
          <w:lang w:eastAsia="zh-CN"/>
        </w:rPr>
        <w:t>甲方向乙方支付合同总额的</w:t>
      </w:r>
      <w:r>
        <w:rPr>
          <w:rFonts w:hint="eastAsia" w:ascii="宋体" w:hAnsi="宋体" w:cs="Arial Unicode MS"/>
          <w:b w:val="0"/>
          <w:bCs/>
          <w:sz w:val="21"/>
          <w:szCs w:val="21"/>
          <w:lang w:val="en-US" w:eastAsia="zh-CN"/>
        </w:rPr>
        <w:t>4</w:t>
      </w:r>
      <w:r>
        <w:rPr>
          <w:rFonts w:hint="eastAsia" w:ascii="宋体" w:hAnsi="宋体" w:cs="Arial Unicode MS"/>
          <w:b w:val="0"/>
          <w:bCs/>
          <w:sz w:val="21"/>
          <w:szCs w:val="21"/>
          <w:lang w:eastAsia="zh-CN"/>
        </w:rPr>
        <w:t>0%作为预付款。甲方在支付第一期款项时予以扣回，如不足抵扣的，则在下期结算款支付时扣回预付款。</w:t>
      </w:r>
    </w:p>
    <w:p w14:paraId="67ADF442">
      <w:pPr>
        <w:adjustRightInd w:val="0"/>
        <w:snapToGrid w:val="0"/>
        <w:spacing w:line="360" w:lineRule="auto"/>
        <w:ind w:firstLine="428" w:firstLineChars="200"/>
        <w:rPr>
          <w:rFonts w:hint="eastAsia" w:ascii="宋体" w:hAnsi="宋体" w:cs="Arial Unicode MS"/>
          <w:b w:val="0"/>
          <w:bCs/>
          <w:sz w:val="21"/>
          <w:szCs w:val="21"/>
        </w:rPr>
      </w:pPr>
      <w:r>
        <w:rPr>
          <w:rFonts w:hint="eastAsia" w:ascii="宋体" w:hAnsi="宋体" w:cs="Arial Unicode MS"/>
          <w:b w:val="0"/>
          <w:bCs/>
          <w:sz w:val="21"/>
          <w:szCs w:val="21"/>
        </w:rPr>
        <w:t>（</w:t>
      </w:r>
      <w:r>
        <w:rPr>
          <w:rFonts w:hint="eastAsia" w:ascii="宋体" w:hAnsi="宋体" w:cs="Arial Unicode MS"/>
          <w:b w:val="0"/>
          <w:bCs/>
          <w:sz w:val="21"/>
          <w:szCs w:val="21"/>
          <w:lang w:val="en-US" w:eastAsia="zh-CN"/>
        </w:rPr>
        <w:t>3</w:t>
      </w:r>
      <w:r>
        <w:rPr>
          <w:rFonts w:hint="eastAsia" w:ascii="宋体" w:hAnsi="宋体" w:cs="Arial Unicode MS"/>
          <w:b w:val="0"/>
          <w:bCs/>
          <w:sz w:val="21"/>
          <w:szCs w:val="21"/>
        </w:rPr>
        <w:t>）乙方完成</w:t>
      </w:r>
      <w:r>
        <w:rPr>
          <w:rFonts w:hint="eastAsia" w:ascii="宋体" w:hAnsi="宋体" w:cs="Arial Unicode MS"/>
          <w:b w:val="0"/>
          <w:bCs/>
          <w:sz w:val="21"/>
          <w:szCs w:val="21"/>
          <w:lang w:val="en-US" w:eastAsia="zh-CN"/>
        </w:rPr>
        <w:t>合同</w:t>
      </w:r>
      <w:r>
        <w:rPr>
          <w:rFonts w:hint="eastAsia" w:hAnsi="宋体" w:cs="宋体"/>
          <w:color w:val="auto"/>
          <w:szCs w:val="21"/>
          <w:highlight w:val="none"/>
          <w:lang w:val="en-US" w:eastAsia="zh-CN"/>
        </w:rPr>
        <w:t>约定的所有检测工作且检测报告经评审合格提交甲方后，甲方向乙方支付全部工作内容的100%价款，扣除违约金后（同时乙方需出具相应价款100%的正式税务发票）。</w:t>
      </w:r>
    </w:p>
    <w:p w14:paraId="4606B1F5">
      <w:pPr>
        <w:adjustRightInd w:val="0"/>
        <w:snapToGrid w:val="0"/>
        <w:spacing w:line="360" w:lineRule="auto"/>
        <w:ind w:firstLine="428" w:firstLineChars="200"/>
        <w:rPr>
          <w:rFonts w:hint="eastAsia" w:ascii="宋体" w:hAnsi="宋体" w:eastAsia="宋体" w:cs="Arial Unicode MS"/>
          <w:b w:val="0"/>
          <w:bCs/>
          <w:sz w:val="21"/>
          <w:szCs w:val="21"/>
        </w:rPr>
      </w:pPr>
      <w:r>
        <w:rPr>
          <w:rFonts w:hint="eastAsia" w:ascii="宋体" w:hAnsi="宋体" w:eastAsia="宋体" w:cs="Arial Unicode MS"/>
          <w:b w:val="0"/>
          <w:bCs/>
          <w:sz w:val="21"/>
          <w:szCs w:val="21"/>
        </w:rPr>
        <w:t>说明</w:t>
      </w:r>
      <w:r>
        <w:rPr>
          <w:rFonts w:hint="eastAsia" w:ascii="宋体" w:hAnsi="宋体" w:eastAsia="宋体" w:cs="Arial Unicode MS"/>
          <w:b w:val="0"/>
          <w:bCs/>
          <w:sz w:val="21"/>
          <w:szCs w:val="21"/>
          <w:lang w:eastAsia="zh-CN"/>
        </w:rPr>
        <w:t>：</w:t>
      </w:r>
      <w:r>
        <w:rPr>
          <w:rFonts w:hint="eastAsia" w:ascii="宋体" w:hAnsi="宋体" w:eastAsia="宋体" w:cs="Arial Unicode MS"/>
          <w:b w:val="0"/>
          <w:bCs/>
          <w:sz w:val="21"/>
          <w:szCs w:val="21"/>
        </w:rPr>
        <w:t>1</w:t>
      </w:r>
      <w:r>
        <w:rPr>
          <w:rFonts w:hint="eastAsia" w:ascii="宋体" w:hAnsi="宋体" w:eastAsia="宋体" w:cs="Arial Unicode MS"/>
          <w:b w:val="0"/>
          <w:bCs/>
          <w:sz w:val="21"/>
          <w:szCs w:val="21"/>
          <w:lang w:eastAsia="zh-CN"/>
        </w:rPr>
        <w:t>）</w:t>
      </w:r>
      <w:r>
        <w:rPr>
          <w:rFonts w:hint="eastAsia" w:ascii="宋体" w:hAnsi="宋体" w:eastAsia="宋体" w:cs="Arial Unicode MS"/>
          <w:b w:val="0"/>
          <w:bCs/>
          <w:sz w:val="21"/>
          <w:szCs w:val="21"/>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453BB0B3">
      <w:pPr>
        <w:adjustRightInd w:val="0"/>
        <w:snapToGrid w:val="0"/>
        <w:spacing w:line="360" w:lineRule="auto"/>
        <w:ind w:firstLine="428" w:firstLineChars="200"/>
        <w:rPr>
          <w:rFonts w:hint="eastAsia" w:ascii="宋体" w:hAnsi="宋体" w:eastAsia="宋体" w:cs="Arial Unicode MS"/>
          <w:b w:val="0"/>
          <w:bCs/>
          <w:sz w:val="21"/>
          <w:szCs w:val="21"/>
        </w:rPr>
      </w:pPr>
      <w:r>
        <w:rPr>
          <w:rFonts w:hint="eastAsia" w:ascii="宋体" w:hAnsi="宋体" w:eastAsia="宋体" w:cs="Arial Unicode MS"/>
          <w:b w:val="0"/>
          <w:bCs/>
          <w:sz w:val="21"/>
          <w:szCs w:val="21"/>
        </w:rPr>
        <w:t>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6B68B889">
      <w:pPr>
        <w:adjustRightInd w:val="0"/>
        <w:snapToGrid w:val="0"/>
        <w:spacing w:line="360" w:lineRule="auto"/>
        <w:ind w:firstLine="428" w:firstLineChars="200"/>
        <w:rPr>
          <w:rFonts w:hint="eastAsia" w:ascii="宋体" w:hAnsi="宋体" w:eastAsia="宋体" w:cs="Arial Unicode MS"/>
          <w:b w:val="0"/>
          <w:bCs/>
          <w:sz w:val="21"/>
          <w:szCs w:val="21"/>
        </w:rPr>
      </w:pPr>
      <w:r>
        <w:rPr>
          <w:rFonts w:hint="eastAsia" w:ascii="宋体" w:hAnsi="宋体" w:eastAsia="宋体" w:cs="Arial Unicode MS"/>
          <w:b w:val="0"/>
          <w:bCs/>
          <w:sz w:val="21"/>
          <w:szCs w:val="21"/>
        </w:rPr>
        <w:t>3</w:t>
      </w:r>
      <w:r>
        <w:rPr>
          <w:rFonts w:hint="eastAsia" w:ascii="宋体" w:hAnsi="宋体" w:eastAsia="宋体" w:cs="Arial Unicode MS"/>
          <w:b w:val="0"/>
          <w:bCs/>
          <w:sz w:val="21"/>
          <w:szCs w:val="21"/>
          <w:lang w:eastAsia="zh-CN"/>
        </w:rPr>
        <w:t>）</w:t>
      </w:r>
      <w:r>
        <w:rPr>
          <w:rFonts w:hint="eastAsia" w:ascii="宋体" w:hAnsi="宋体" w:eastAsia="宋体" w:cs="Arial Unicode MS"/>
          <w:b w:val="0"/>
          <w:bCs/>
          <w:sz w:val="21"/>
          <w:szCs w:val="21"/>
        </w:rPr>
        <w:t>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0C4556B1">
      <w:pPr>
        <w:adjustRightInd w:val="0"/>
        <w:snapToGrid w:val="0"/>
        <w:spacing w:line="360" w:lineRule="auto"/>
        <w:rPr>
          <w:rFonts w:ascii="宋体"/>
          <w:b/>
          <w:sz w:val="21"/>
          <w:szCs w:val="21"/>
        </w:rPr>
      </w:pPr>
      <w:r>
        <w:rPr>
          <w:rFonts w:hint="eastAsia" w:ascii="宋体" w:hAnsi="宋体" w:cs="Arial Unicode MS"/>
          <w:b/>
          <w:sz w:val="21"/>
          <w:szCs w:val="21"/>
        </w:rPr>
        <w:t>九、争议的解决方式</w:t>
      </w:r>
    </w:p>
    <w:p w14:paraId="58BA68A7">
      <w:pPr>
        <w:adjustRightInd w:val="0"/>
        <w:snapToGrid w:val="0"/>
        <w:spacing w:line="360" w:lineRule="auto"/>
        <w:ind w:firstLine="428" w:firstLineChars="200"/>
        <w:rPr>
          <w:rFonts w:ascii="宋体"/>
          <w:spacing w:val="-6"/>
          <w:sz w:val="21"/>
          <w:szCs w:val="21"/>
          <w:highlight w:val="yellow"/>
        </w:rPr>
      </w:pPr>
      <w:r>
        <w:rPr>
          <w:rFonts w:ascii="宋体" w:hAnsi="宋体" w:eastAsia="宋体" w:cs="Arial"/>
          <w:color w:val="auto"/>
          <w:sz w:val="21"/>
          <w:szCs w:val="21"/>
          <w:highlight w:val="none"/>
        </w:rPr>
        <w:t>如发生合同纠纷，甲、乙双方协商解决；协商不成时，可提请相关部门调解；协商不能解决的，任何一方有权在合同签约地选择仲裁或诉讼的途径解决。</w:t>
      </w:r>
    </w:p>
    <w:p w14:paraId="451C4507">
      <w:pPr>
        <w:adjustRightInd w:val="0"/>
        <w:snapToGrid w:val="0"/>
        <w:spacing w:line="360" w:lineRule="auto"/>
        <w:rPr>
          <w:rFonts w:ascii="宋体"/>
          <w:sz w:val="21"/>
          <w:szCs w:val="21"/>
        </w:rPr>
      </w:pPr>
      <w:r>
        <w:rPr>
          <w:rFonts w:hint="eastAsia" w:ascii="宋体" w:hAnsi="宋体" w:cs="Arial Unicode MS"/>
          <w:b/>
          <w:sz w:val="21"/>
          <w:szCs w:val="21"/>
        </w:rPr>
        <w:t>十、附则</w:t>
      </w:r>
    </w:p>
    <w:p w14:paraId="0A20A764">
      <w:pPr>
        <w:adjustRightInd w:val="0"/>
        <w:snapToGrid w:val="0"/>
        <w:spacing w:line="360" w:lineRule="auto"/>
        <w:ind w:firstLine="428" w:firstLineChars="200"/>
        <w:rPr>
          <w:rFonts w:ascii="宋体"/>
          <w:sz w:val="21"/>
          <w:szCs w:val="21"/>
        </w:rPr>
      </w:pPr>
      <w:r>
        <w:rPr>
          <w:rFonts w:hint="eastAsia" w:ascii="宋体" w:hAnsi="宋体" w:cs="Arial Unicode MS"/>
          <w:sz w:val="21"/>
          <w:szCs w:val="21"/>
        </w:rPr>
        <w:t>本合同自双方签字或者盖章之日起生效。本合同一式</w:t>
      </w:r>
      <w:r>
        <w:rPr>
          <w:rFonts w:ascii="宋体" w:hAnsi="宋体" w:cs="Arial Unicode MS"/>
          <w:sz w:val="21"/>
          <w:szCs w:val="21"/>
        </w:rPr>
        <w:t xml:space="preserve"> </w:t>
      </w:r>
      <w:r>
        <w:rPr>
          <w:rFonts w:ascii="宋体" w:hAnsi="宋体" w:cs="Arial Unicode MS"/>
          <w:sz w:val="21"/>
          <w:szCs w:val="21"/>
          <w:u w:val="single"/>
        </w:rPr>
        <w:t xml:space="preserve">   </w:t>
      </w:r>
      <w:r>
        <w:rPr>
          <w:rFonts w:hint="eastAsia" w:ascii="宋体" w:hAnsi="宋体" w:cs="Arial Unicode MS"/>
          <w:sz w:val="21"/>
          <w:szCs w:val="21"/>
        </w:rPr>
        <w:t>份，双方各执</w:t>
      </w:r>
      <w:r>
        <w:rPr>
          <w:rFonts w:ascii="宋体" w:hAnsi="宋体" w:cs="Arial Unicode MS"/>
          <w:sz w:val="21"/>
          <w:szCs w:val="21"/>
          <w:u w:val="single"/>
        </w:rPr>
        <w:t xml:space="preserve">    </w:t>
      </w:r>
      <w:r>
        <w:rPr>
          <w:rFonts w:hint="eastAsia" w:ascii="宋体" w:hAnsi="宋体" w:cs="Arial Unicode MS"/>
          <w:sz w:val="21"/>
          <w:szCs w:val="21"/>
        </w:rPr>
        <w:t>份。</w:t>
      </w:r>
    </w:p>
    <w:p w14:paraId="77095250">
      <w:pPr>
        <w:adjustRightInd w:val="0"/>
        <w:snapToGrid w:val="0"/>
        <w:spacing w:line="360" w:lineRule="auto"/>
        <w:rPr>
          <w:rFonts w:ascii="宋体"/>
          <w:b/>
          <w:bCs/>
          <w:sz w:val="21"/>
          <w:szCs w:val="21"/>
        </w:rPr>
      </w:pPr>
      <w:r>
        <w:rPr>
          <w:rFonts w:hint="eastAsia" w:ascii="宋体" w:hAnsi="宋体"/>
          <w:sz w:val="21"/>
          <w:szCs w:val="21"/>
        </w:rPr>
        <w:t>甲</w:t>
      </w:r>
      <w:r>
        <w:rPr>
          <w:rFonts w:ascii="宋体" w:hAnsi="宋体"/>
          <w:sz w:val="21"/>
          <w:szCs w:val="21"/>
        </w:rPr>
        <w:t xml:space="preserve">    </w:t>
      </w:r>
      <w:r>
        <w:rPr>
          <w:rFonts w:hint="eastAsia" w:ascii="宋体" w:hAnsi="宋体"/>
          <w:sz w:val="21"/>
          <w:szCs w:val="21"/>
        </w:rPr>
        <w:t>方：（盖章）</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乙</w:t>
      </w:r>
      <w:r>
        <w:rPr>
          <w:rFonts w:ascii="宋体" w:hAnsi="宋体"/>
          <w:sz w:val="21"/>
          <w:szCs w:val="21"/>
        </w:rPr>
        <w:t xml:space="preserve">    </w:t>
      </w:r>
      <w:r>
        <w:rPr>
          <w:rFonts w:hint="eastAsia" w:ascii="宋体" w:hAnsi="宋体"/>
          <w:sz w:val="21"/>
          <w:szCs w:val="21"/>
        </w:rPr>
        <w:t>方：（盖章）</w:t>
      </w:r>
      <w:r>
        <w:rPr>
          <w:rFonts w:ascii="宋体" w:hAnsi="宋体"/>
          <w:sz w:val="21"/>
          <w:szCs w:val="21"/>
          <w:u w:val="single"/>
        </w:rPr>
        <w:t xml:space="preserve">              </w:t>
      </w:r>
    </w:p>
    <w:p w14:paraId="5E59D421">
      <w:pPr>
        <w:adjustRightInd w:val="0"/>
        <w:snapToGrid w:val="0"/>
        <w:spacing w:line="360" w:lineRule="auto"/>
        <w:rPr>
          <w:rFonts w:ascii="宋体"/>
          <w:sz w:val="21"/>
          <w:szCs w:val="21"/>
        </w:rPr>
      </w:pP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址：</w:t>
      </w:r>
      <w:r>
        <w:rPr>
          <w:rFonts w:ascii="宋体" w:hAnsi="宋体"/>
          <w:sz w:val="21"/>
          <w:szCs w:val="21"/>
          <w:u w:val="single"/>
        </w:rPr>
        <w:t xml:space="preserve">                     </w:t>
      </w:r>
    </w:p>
    <w:p w14:paraId="3B6450C0">
      <w:pPr>
        <w:adjustRightInd w:val="0"/>
        <w:snapToGrid w:val="0"/>
        <w:spacing w:line="360" w:lineRule="auto"/>
        <w:rPr>
          <w:rFonts w:ascii="宋体"/>
          <w:sz w:val="21"/>
          <w:szCs w:val="21"/>
        </w:rPr>
      </w:pPr>
      <w:r>
        <w:rPr>
          <w:rFonts w:hint="eastAsia" w:ascii="宋体" w:hAnsi="宋体"/>
          <w:sz w:val="21"/>
          <w:szCs w:val="21"/>
        </w:rPr>
        <w:t>法定代表人（签字或盖章）：</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法定代表人（签字或盖章）：</w:t>
      </w:r>
      <w:r>
        <w:rPr>
          <w:rFonts w:ascii="宋体" w:hAnsi="宋体"/>
          <w:sz w:val="21"/>
          <w:szCs w:val="21"/>
          <w:u w:val="single"/>
        </w:rPr>
        <w:t xml:space="preserve">                   </w:t>
      </w:r>
    </w:p>
    <w:p w14:paraId="5E5B9BA1">
      <w:pPr>
        <w:adjustRightInd w:val="0"/>
        <w:snapToGrid w:val="0"/>
        <w:spacing w:line="360" w:lineRule="auto"/>
        <w:rPr>
          <w:rFonts w:ascii="宋体"/>
          <w:sz w:val="21"/>
          <w:szCs w:val="21"/>
        </w:rPr>
      </w:pPr>
      <w:r>
        <w:rPr>
          <w:rFonts w:hint="eastAsia" w:ascii="宋体" w:hAnsi="宋体"/>
          <w:sz w:val="21"/>
          <w:szCs w:val="21"/>
        </w:rPr>
        <w:t>授权代表（签字或盖章）：</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授权代表（签字或盖章）：</w:t>
      </w:r>
      <w:r>
        <w:rPr>
          <w:rFonts w:ascii="宋体" w:hAnsi="宋体"/>
          <w:sz w:val="21"/>
          <w:szCs w:val="21"/>
          <w:u w:val="single"/>
        </w:rPr>
        <w:t xml:space="preserve">                   </w:t>
      </w:r>
    </w:p>
    <w:p w14:paraId="102A2F73">
      <w:pPr>
        <w:adjustRightInd w:val="0"/>
        <w:snapToGrid w:val="0"/>
        <w:spacing w:line="360" w:lineRule="auto"/>
        <w:rPr>
          <w:rFonts w:ascii="宋体"/>
          <w:sz w:val="21"/>
          <w:szCs w:val="21"/>
        </w:rPr>
      </w:pPr>
      <w:r>
        <w:rPr>
          <w:rFonts w:hint="eastAsia" w:ascii="宋体" w:hAnsi="宋体"/>
          <w:sz w:val="21"/>
          <w:szCs w:val="21"/>
        </w:rPr>
        <w:t>开户银行：</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开户银行：</w:t>
      </w:r>
      <w:r>
        <w:rPr>
          <w:rFonts w:ascii="宋体" w:hAnsi="宋体"/>
          <w:sz w:val="21"/>
          <w:szCs w:val="21"/>
          <w:u w:val="single"/>
        </w:rPr>
        <w:t xml:space="preserve">                     </w:t>
      </w:r>
    </w:p>
    <w:p w14:paraId="377EA46F">
      <w:pPr>
        <w:adjustRightInd w:val="0"/>
        <w:snapToGrid w:val="0"/>
        <w:spacing w:line="360" w:lineRule="auto"/>
        <w:rPr>
          <w:rFonts w:ascii="宋体"/>
          <w:sz w:val="21"/>
          <w:szCs w:val="21"/>
        </w:rPr>
      </w:pPr>
      <w:r>
        <w:rPr>
          <w:rFonts w:hint="eastAsia" w:ascii="宋体" w:hAnsi="宋体"/>
          <w:sz w:val="21"/>
          <w:szCs w:val="21"/>
        </w:rPr>
        <w:t>账</w:t>
      </w:r>
      <w:r>
        <w:rPr>
          <w:rFonts w:ascii="宋体" w:hAnsi="宋体"/>
          <w:sz w:val="21"/>
          <w:szCs w:val="21"/>
        </w:rPr>
        <w:t xml:space="preserve">    </w:t>
      </w:r>
      <w:r>
        <w:rPr>
          <w:rFonts w:hint="eastAsia" w:ascii="宋体" w:hAnsi="宋体"/>
          <w:sz w:val="21"/>
          <w:szCs w:val="21"/>
        </w:rPr>
        <w:t>号：</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账</w:t>
      </w:r>
      <w:r>
        <w:rPr>
          <w:rFonts w:ascii="宋体" w:hAnsi="宋体"/>
          <w:sz w:val="21"/>
          <w:szCs w:val="21"/>
        </w:rPr>
        <w:t xml:space="preserve">    </w:t>
      </w:r>
      <w:r>
        <w:rPr>
          <w:rFonts w:hint="eastAsia" w:ascii="宋体" w:hAnsi="宋体"/>
          <w:sz w:val="21"/>
          <w:szCs w:val="21"/>
        </w:rPr>
        <w:t>号：</w:t>
      </w:r>
      <w:r>
        <w:rPr>
          <w:rFonts w:ascii="宋体" w:hAnsi="宋体"/>
          <w:sz w:val="21"/>
          <w:szCs w:val="21"/>
          <w:u w:val="single"/>
        </w:rPr>
        <w:t xml:space="preserve">                     </w:t>
      </w:r>
    </w:p>
    <w:p w14:paraId="53A0C211">
      <w:pPr>
        <w:adjustRightInd w:val="0"/>
        <w:snapToGrid w:val="0"/>
        <w:spacing w:line="360" w:lineRule="auto"/>
        <w:rPr>
          <w:rFonts w:ascii="宋体"/>
          <w:sz w:val="21"/>
          <w:szCs w:val="21"/>
        </w:rPr>
      </w:pPr>
      <w:r>
        <w:rPr>
          <w:rFonts w:hint="eastAsia" w:ascii="宋体" w:hAnsi="宋体"/>
          <w:sz w:val="21"/>
          <w:szCs w:val="21"/>
        </w:rPr>
        <w:t>邮政编码：</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邮政编码：</w:t>
      </w:r>
      <w:r>
        <w:rPr>
          <w:rFonts w:ascii="宋体" w:hAnsi="宋体"/>
          <w:sz w:val="21"/>
          <w:szCs w:val="21"/>
          <w:u w:val="single"/>
        </w:rPr>
        <w:t xml:space="preserve">                     </w:t>
      </w:r>
    </w:p>
    <w:p w14:paraId="4EDB5C66">
      <w:pPr>
        <w:adjustRightInd w:val="0"/>
        <w:snapToGrid w:val="0"/>
        <w:spacing w:line="360" w:lineRule="auto"/>
        <w:rPr>
          <w:rFonts w:ascii="宋体"/>
          <w:sz w:val="21"/>
          <w:szCs w:val="21"/>
        </w:rPr>
      </w:pPr>
      <w:r>
        <w:rPr>
          <w:rFonts w:hint="eastAsia" w:ascii="宋体" w:hAnsi="宋体"/>
          <w:sz w:val="21"/>
          <w:szCs w:val="21"/>
        </w:rPr>
        <w:t>单位电话：</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单位电话：</w:t>
      </w:r>
      <w:r>
        <w:rPr>
          <w:rFonts w:ascii="宋体" w:hAnsi="宋体"/>
          <w:sz w:val="21"/>
          <w:szCs w:val="21"/>
          <w:u w:val="single"/>
        </w:rPr>
        <w:t xml:space="preserve">                     </w:t>
      </w:r>
    </w:p>
    <w:p w14:paraId="4F38D641">
      <w:pPr>
        <w:adjustRightInd w:val="0"/>
        <w:snapToGrid w:val="0"/>
        <w:spacing w:line="360" w:lineRule="auto"/>
        <w:rPr>
          <w:rFonts w:ascii="宋体"/>
          <w:sz w:val="21"/>
          <w:szCs w:val="21"/>
        </w:rPr>
      </w:pPr>
      <w:r>
        <w:rPr>
          <w:rFonts w:hint="eastAsia" w:ascii="宋体" w:hAnsi="宋体"/>
          <w:sz w:val="21"/>
          <w:szCs w:val="21"/>
        </w:rPr>
        <w:t>联</w:t>
      </w:r>
      <w:r>
        <w:rPr>
          <w:rFonts w:ascii="宋体" w:hAnsi="宋体"/>
          <w:sz w:val="21"/>
          <w:szCs w:val="21"/>
        </w:rPr>
        <w:t xml:space="preserve"> </w:t>
      </w:r>
      <w:r>
        <w:rPr>
          <w:rFonts w:hint="eastAsia" w:ascii="宋体" w:hAnsi="宋体"/>
          <w:sz w:val="21"/>
          <w:szCs w:val="21"/>
        </w:rPr>
        <w:t>系</w:t>
      </w:r>
      <w:r>
        <w:rPr>
          <w:rFonts w:ascii="宋体" w:hAnsi="宋体"/>
          <w:sz w:val="21"/>
          <w:szCs w:val="21"/>
        </w:rPr>
        <w:t xml:space="preserve"> </w:t>
      </w:r>
      <w:r>
        <w:rPr>
          <w:rFonts w:hint="eastAsia" w:ascii="宋体" w:hAnsi="宋体"/>
          <w:sz w:val="21"/>
          <w:szCs w:val="21"/>
        </w:rPr>
        <w:t>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联</w:t>
      </w:r>
      <w:r>
        <w:rPr>
          <w:rFonts w:ascii="宋体" w:hAnsi="宋体"/>
          <w:sz w:val="21"/>
          <w:szCs w:val="21"/>
        </w:rPr>
        <w:t xml:space="preserve"> </w:t>
      </w:r>
      <w:r>
        <w:rPr>
          <w:rFonts w:hint="eastAsia" w:ascii="宋体" w:hAnsi="宋体"/>
          <w:sz w:val="21"/>
          <w:szCs w:val="21"/>
        </w:rPr>
        <w:t>系</w:t>
      </w:r>
      <w:r>
        <w:rPr>
          <w:rFonts w:ascii="宋体" w:hAnsi="宋体"/>
          <w:sz w:val="21"/>
          <w:szCs w:val="21"/>
        </w:rPr>
        <w:t xml:space="preserve"> </w:t>
      </w:r>
      <w:r>
        <w:rPr>
          <w:rFonts w:hint="eastAsia" w:ascii="宋体" w:hAnsi="宋体"/>
          <w:sz w:val="21"/>
          <w:szCs w:val="21"/>
        </w:rPr>
        <w:t>人：</w:t>
      </w:r>
      <w:r>
        <w:rPr>
          <w:rFonts w:ascii="宋体" w:hAnsi="宋体"/>
          <w:sz w:val="21"/>
          <w:szCs w:val="21"/>
          <w:u w:val="single"/>
        </w:rPr>
        <w:t xml:space="preserve">                     </w:t>
      </w:r>
    </w:p>
    <w:p w14:paraId="3B89CBDE">
      <w:pPr>
        <w:adjustRightInd w:val="0"/>
        <w:snapToGrid w:val="0"/>
        <w:spacing w:line="360" w:lineRule="auto"/>
        <w:rPr>
          <w:rFonts w:ascii="宋体"/>
          <w:sz w:val="21"/>
          <w:szCs w:val="21"/>
        </w:rPr>
      </w:pPr>
      <w:r>
        <w:rPr>
          <w:rFonts w:hint="eastAsia" w:ascii="宋体" w:hAnsi="宋体"/>
          <w:sz w:val="21"/>
          <w:szCs w:val="21"/>
        </w:rPr>
        <w:t>联系人手机：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联系人手机：</w:t>
      </w:r>
      <w:r>
        <w:rPr>
          <w:rFonts w:ascii="宋体" w:hAnsi="宋体"/>
          <w:sz w:val="21"/>
          <w:szCs w:val="21"/>
          <w:u w:val="single"/>
        </w:rPr>
        <w:t xml:space="preserve">                   </w:t>
      </w:r>
    </w:p>
    <w:p w14:paraId="60ABB6BE">
      <w:pPr>
        <w:adjustRightInd w:val="0"/>
        <w:snapToGrid w:val="0"/>
        <w:spacing w:line="360" w:lineRule="auto"/>
        <w:rPr>
          <w:rFonts w:ascii="宋体"/>
          <w:sz w:val="21"/>
          <w:szCs w:val="21"/>
        </w:rPr>
      </w:pPr>
      <w:r>
        <w:rPr>
          <w:rFonts w:hint="eastAsia" w:ascii="宋体" w:hAnsi="宋体"/>
          <w:sz w:val="21"/>
          <w:szCs w:val="21"/>
        </w:rPr>
        <w:t>合同订立时间：</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合同订立地点：</w:t>
      </w:r>
      <w:r>
        <w:rPr>
          <w:rFonts w:ascii="宋体" w:hAnsi="宋体"/>
          <w:sz w:val="21"/>
          <w:szCs w:val="21"/>
          <w:u w:val="single"/>
        </w:rPr>
        <w:t xml:space="preserve">                                                  </w:t>
      </w:r>
    </w:p>
    <w:p w14:paraId="0DD32D41">
      <w:pPr>
        <w:spacing w:line="360" w:lineRule="auto"/>
        <w:ind w:firstLine="428"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lang w:val="en-US" w:eastAsia="zh-CN"/>
        </w:rPr>
        <w:t>成交供应商与采购人签订合同后，2工作日内将合同扫描件发送邮箱：243995196@qq.com。</w:t>
      </w:r>
    </w:p>
    <w:p w14:paraId="05F215AB">
      <w:pPr>
        <w:spacing w:line="360" w:lineRule="auto"/>
        <w:rPr>
          <w:rFonts w:hint="eastAsia" w:ascii="宋体" w:hAnsi="宋体" w:eastAsia="宋体" w:cs="宋体"/>
          <w:color w:val="auto"/>
          <w:sz w:val="21"/>
          <w:szCs w:val="21"/>
          <w:highlight w:val="none"/>
        </w:rPr>
      </w:pPr>
      <w:bookmarkStart w:id="70" w:name="_Toc21106"/>
      <w:bookmarkStart w:id="71" w:name="_Toc5314"/>
      <w:r>
        <w:rPr>
          <w:rFonts w:hint="eastAsia" w:ascii="宋体" w:hAnsi="宋体" w:eastAsia="宋体" w:cs="宋体"/>
          <w:color w:val="auto"/>
          <w:sz w:val="21"/>
          <w:szCs w:val="21"/>
          <w:highlight w:val="none"/>
        </w:rPr>
        <w:br w:type="page"/>
      </w:r>
    </w:p>
    <w:p w14:paraId="00892D8A">
      <w:pPr>
        <w:pStyle w:val="22"/>
        <w:ind w:firstLine="0" w:firstLineChars="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一</w:t>
      </w:r>
    </w:p>
    <w:p w14:paraId="19CCEFC9">
      <w:pPr>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6"/>
          <w:szCs w:val="36"/>
          <w:lang w:val="en-US" w:eastAsia="zh-CN"/>
        </w:rPr>
        <w:t>服务考核细则</w:t>
      </w:r>
    </w:p>
    <w:p w14:paraId="46086495">
      <w:pPr>
        <w:tabs>
          <w:tab w:val="left" w:pos="5630"/>
        </w:tabs>
        <w:ind w:right="326" w:rightChars="0" w:firstLine="428" w:firstLineChars="200"/>
        <w:jc w:val="center"/>
        <w:rPr>
          <w:rFonts w:hint="eastAsia" w:ascii="宋体" w:hAnsi="宋体" w:eastAsia="宋体" w:cs="宋体"/>
          <w:color w:val="C00000"/>
          <w:lang w:eastAsia="zh-CN"/>
        </w:rPr>
      </w:pPr>
    </w:p>
    <w:tbl>
      <w:tblPr>
        <w:tblStyle w:val="54"/>
        <w:tblpPr w:leftFromText="180" w:rightFromText="180" w:vertAnchor="text" w:horzAnchor="page" w:tblpX="1083" w:tblpY="204"/>
        <w:tblOverlap w:val="never"/>
        <w:tblW w:w="9678" w:type="dxa"/>
        <w:tblInd w:w="0" w:type="dxa"/>
        <w:tblLayout w:type="fixed"/>
        <w:tblCellMar>
          <w:top w:w="0" w:type="dxa"/>
          <w:left w:w="0" w:type="dxa"/>
          <w:bottom w:w="0" w:type="dxa"/>
          <w:right w:w="0" w:type="dxa"/>
        </w:tblCellMar>
      </w:tblPr>
      <w:tblGrid>
        <w:gridCol w:w="1096"/>
        <w:gridCol w:w="5374"/>
        <w:gridCol w:w="2269"/>
        <w:gridCol w:w="939"/>
      </w:tblGrid>
      <w:tr w14:paraId="35128B3D">
        <w:tblPrEx>
          <w:tblCellMar>
            <w:top w:w="0" w:type="dxa"/>
            <w:left w:w="0" w:type="dxa"/>
            <w:bottom w:w="0" w:type="dxa"/>
            <w:right w:w="0" w:type="dxa"/>
          </w:tblCellMar>
        </w:tblPrEx>
        <w:trPr>
          <w:trHeight w:val="636" w:hRule="atLeast"/>
          <w:tblHeader/>
        </w:trPr>
        <w:tc>
          <w:tcPr>
            <w:tcW w:w="1096" w:type="dxa"/>
            <w:tcBorders>
              <w:top w:val="single" w:color="000000" w:sz="6" w:space="0"/>
              <w:left w:val="single" w:color="000000" w:sz="6" w:space="0"/>
              <w:bottom w:val="single" w:color="000000" w:sz="6" w:space="0"/>
              <w:right w:val="single" w:color="000000" w:sz="6" w:space="0"/>
            </w:tcBorders>
            <w:noWrap w:val="0"/>
            <w:vAlign w:val="center"/>
          </w:tcPr>
          <w:p w14:paraId="44B8AEF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考核内容</w:t>
            </w:r>
          </w:p>
        </w:tc>
        <w:tc>
          <w:tcPr>
            <w:tcW w:w="5374" w:type="dxa"/>
            <w:tcBorders>
              <w:top w:val="single" w:color="000000" w:sz="6" w:space="0"/>
              <w:bottom w:val="single" w:color="000000" w:sz="6" w:space="0"/>
              <w:right w:val="single" w:color="000000" w:sz="6" w:space="0"/>
            </w:tcBorders>
            <w:noWrap w:val="0"/>
            <w:vAlign w:val="center"/>
          </w:tcPr>
          <w:p w14:paraId="6342074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考核具体要求</w:t>
            </w:r>
          </w:p>
        </w:tc>
        <w:tc>
          <w:tcPr>
            <w:tcW w:w="2269" w:type="dxa"/>
            <w:tcBorders>
              <w:top w:val="single" w:color="000000" w:sz="6" w:space="0"/>
              <w:bottom w:val="single" w:color="000000" w:sz="6" w:space="0"/>
              <w:right w:val="single" w:color="000000" w:sz="6" w:space="0"/>
            </w:tcBorders>
            <w:noWrap w:val="0"/>
            <w:vAlign w:val="center"/>
          </w:tcPr>
          <w:p w14:paraId="22EE62F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考核办法</w:t>
            </w:r>
          </w:p>
        </w:tc>
        <w:tc>
          <w:tcPr>
            <w:tcW w:w="939" w:type="dxa"/>
            <w:tcBorders>
              <w:top w:val="single" w:color="000000" w:sz="6" w:space="0"/>
              <w:bottom w:val="single" w:color="000000" w:sz="6" w:space="0"/>
              <w:right w:val="single" w:color="000000" w:sz="6" w:space="0"/>
            </w:tcBorders>
            <w:noWrap w:val="0"/>
            <w:vAlign w:val="center"/>
          </w:tcPr>
          <w:p w14:paraId="00869A2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考核得分</w:t>
            </w:r>
          </w:p>
        </w:tc>
      </w:tr>
      <w:tr w14:paraId="118F18D6">
        <w:tblPrEx>
          <w:tblCellMar>
            <w:top w:w="0" w:type="dxa"/>
            <w:left w:w="0" w:type="dxa"/>
            <w:bottom w:w="0" w:type="dxa"/>
            <w:right w:w="0" w:type="dxa"/>
          </w:tblCellMar>
        </w:tblPrEx>
        <w:trPr>
          <w:trHeight w:val="1631" w:hRule="atLeast"/>
        </w:trPr>
        <w:tc>
          <w:tcPr>
            <w:tcW w:w="1096" w:type="dxa"/>
            <w:tcBorders>
              <w:left w:val="single" w:color="000000" w:sz="6" w:space="0"/>
              <w:bottom w:val="single" w:color="000000" w:sz="6" w:space="0"/>
              <w:right w:val="single" w:color="000000" w:sz="6" w:space="0"/>
            </w:tcBorders>
            <w:noWrap w:val="0"/>
            <w:vAlign w:val="center"/>
          </w:tcPr>
          <w:p w14:paraId="2F8F18F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人员要求</w:t>
            </w:r>
          </w:p>
        </w:tc>
        <w:tc>
          <w:tcPr>
            <w:tcW w:w="5374" w:type="dxa"/>
            <w:tcBorders>
              <w:bottom w:val="single" w:color="000000" w:sz="6" w:space="0"/>
              <w:right w:val="single" w:color="000000" w:sz="6" w:space="0"/>
            </w:tcBorders>
            <w:noWrap w:val="0"/>
            <w:vAlign w:val="center"/>
          </w:tcPr>
          <w:p w14:paraId="312E9B91">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配备人员；</w:t>
            </w:r>
            <w:r>
              <w:rPr>
                <w:rFonts w:hint="eastAsia" w:ascii="宋体" w:hAnsi="宋体" w:cs="宋体"/>
                <w:color w:val="auto"/>
                <w:kern w:val="0"/>
                <w:sz w:val="22"/>
                <w:szCs w:val="22"/>
                <w:lang w:val="en-US" w:eastAsia="zh-CN"/>
              </w:rPr>
              <w:t>大专</w:t>
            </w:r>
            <w:r>
              <w:rPr>
                <w:rFonts w:hint="eastAsia" w:ascii="宋体" w:hAnsi="宋体" w:eastAsia="宋体" w:cs="宋体"/>
                <w:color w:val="auto"/>
                <w:kern w:val="0"/>
                <w:sz w:val="22"/>
                <w:szCs w:val="22"/>
                <w:lang w:eastAsia="zh-CN"/>
              </w:rPr>
              <w:t>及以上学历</w:t>
            </w:r>
            <w:r>
              <w:rPr>
                <w:rFonts w:hint="eastAsia" w:ascii="宋体" w:hAnsi="宋体" w:eastAsia="宋体" w:cs="宋体"/>
                <w:color w:val="auto"/>
                <w:kern w:val="0"/>
                <w:sz w:val="22"/>
                <w:szCs w:val="22"/>
                <w:lang w:val="en-US" w:eastAsia="zh-CN"/>
              </w:rPr>
              <w:t>，具有市政给排水专业资格证书的或技术职称</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能操作EXCEL、WORD、PPT等办公软件；人员</w:t>
            </w:r>
            <w:r>
              <w:rPr>
                <w:rFonts w:hint="eastAsia" w:ascii="宋体" w:hAnsi="宋体" w:eastAsia="宋体" w:cs="宋体"/>
                <w:color w:val="auto"/>
                <w:kern w:val="0"/>
                <w:sz w:val="22"/>
                <w:szCs w:val="22"/>
                <w:lang w:val="zh-CN" w:eastAsia="zh-CN"/>
              </w:rPr>
              <w:t>身体健康、品行端正，</w:t>
            </w:r>
            <w:r>
              <w:rPr>
                <w:rFonts w:hint="eastAsia" w:ascii="宋体" w:hAnsi="宋体" w:eastAsia="宋体" w:cs="宋体"/>
                <w:color w:val="auto"/>
                <w:kern w:val="0"/>
                <w:sz w:val="22"/>
                <w:szCs w:val="22"/>
                <w:lang w:val="en-US" w:eastAsia="zh-CN"/>
              </w:rPr>
              <w:t>需要驾驶要求的须</w:t>
            </w:r>
            <w:r>
              <w:rPr>
                <w:rFonts w:hint="eastAsia" w:ascii="宋体" w:hAnsi="宋体" w:eastAsia="宋体" w:cs="宋体"/>
                <w:color w:val="auto"/>
                <w:kern w:val="0"/>
                <w:sz w:val="22"/>
                <w:szCs w:val="22"/>
                <w:lang w:val="zh-CN" w:eastAsia="zh-CN"/>
              </w:rPr>
              <w:t>具有驾驶证。</w:t>
            </w:r>
          </w:p>
        </w:tc>
        <w:tc>
          <w:tcPr>
            <w:tcW w:w="2269" w:type="dxa"/>
            <w:tcBorders>
              <w:bottom w:val="single" w:color="000000" w:sz="6" w:space="0"/>
              <w:right w:val="single" w:color="000000" w:sz="6" w:space="0"/>
            </w:tcBorders>
            <w:noWrap w:val="0"/>
            <w:vAlign w:val="center"/>
          </w:tcPr>
          <w:p w14:paraId="49A46EAC">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总分20分，每发现一</w:t>
            </w:r>
            <w:r>
              <w:rPr>
                <w:rFonts w:hint="eastAsia" w:ascii="宋体" w:hAnsi="宋体" w:cs="宋体"/>
                <w:color w:val="auto"/>
                <w:kern w:val="0"/>
                <w:sz w:val="22"/>
                <w:szCs w:val="22"/>
                <w:lang w:val="en-US" w:eastAsia="zh-CN"/>
              </w:rPr>
              <w:t>个</w:t>
            </w:r>
            <w:r>
              <w:rPr>
                <w:rFonts w:hint="eastAsia" w:ascii="宋体" w:hAnsi="宋体" w:eastAsia="宋体" w:cs="宋体"/>
                <w:color w:val="auto"/>
                <w:kern w:val="0"/>
                <w:sz w:val="22"/>
                <w:szCs w:val="22"/>
                <w:lang w:val="en-US" w:eastAsia="zh-CN"/>
              </w:rPr>
              <w:t>不符合要求人员情况，扣5分</w:t>
            </w:r>
          </w:p>
        </w:tc>
        <w:tc>
          <w:tcPr>
            <w:tcW w:w="939" w:type="dxa"/>
            <w:tcBorders>
              <w:bottom w:val="single" w:color="000000" w:sz="6" w:space="0"/>
              <w:right w:val="single" w:color="000000" w:sz="6" w:space="0"/>
            </w:tcBorders>
            <w:noWrap w:val="0"/>
            <w:vAlign w:val="center"/>
          </w:tcPr>
          <w:p w14:paraId="5C730A07">
            <w:pPr>
              <w:keepNext w:val="0"/>
              <w:keepLines w:val="0"/>
              <w:suppressLineNumbers w:val="0"/>
              <w:tabs>
                <w:tab w:val="left" w:pos="5460"/>
              </w:tabs>
              <w:spacing w:before="0" w:beforeAutospacing="0" w:after="0" w:afterAutospacing="0"/>
              <w:ind w:left="0" w:right="2985" w:rightChars="1395"/>
              <w:jc w:val="center"/>
              <w:rPr>
                <w:rFonts w:hint="eastAsia" w:ascii="宋体" w:hAnsi="宋体" w:eastAsia="宋体" w:cs="宋体"/>
                <w:color w:val="auto"/>
                <w:kern w:val="0"/>
                <w:sz w:val="22"/>
                <w:szCs w:val="22"/>
                <w:lang w:val="en-US" w:eastAsia="zh-CN"/>
              </w:rPr>
            </w:pPr>
          </w:p>
        </w:tc>
      </w:tr>
      <w:tr w14:paraId="5C19C6D9">
        <w:tblPrEx>
          <w:tblCellMar>
            <w:top w:w="0" w:type="dxa"/>
            <w:left w:w="0" w:type="dxa"/>
            <w:bottom w:w="0" w:type="dxa"/>
            <w:right w:w="0" w:type="dxa"/>
          </w:tblCellMar>
        </w:tblPrEx>
        <w:trPr>
          <w:trHeight w:val="2423" w:hRule="atLeast"/>
        </w:trPr>
        <w:tc>
          <w:tcPr>
            <w:tcW w:w="1096" w:type="dxa"/>
            <w:tcBorders>
              <w:left w:val="single" w:color="000000" w:sz="6" w:space="0"/>
              <w:bottom w:val="single" w:color="000000" w:sz="6" w:space="0"/>
              <w:right w:val="single" w:color="000000" w:sz="6" w:space="0"/>
            </w:tcBorders>
            <w:noWrap w:val="0"/>
            <w:vAlign w:val="center"/>
          </w:tcPr>
          <w:p w14:paraId="7A1AACC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工作纪律</w:t>
            </w:r>
          </w:p>
        </w:tc>
        <w:tc>
          <w:tcPr>
            <w:tcW w:w="5374" w:type="dxa"/>
            <w:tcBorders>
              <w:bottom w:val="single" w:color="000000" w:sz="6" w:space="0"/>
              <w:right w:val="single" w:color="000000" w:sz="6" w:space="0"/>
            </w:tcBorders>
            <w:noWrap w:val="0"/>
            <w:vAlign w:val="center"/>
          </w:tcPr>
          <w:p w14:paraId="2C1E3912">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工作期间内不做与工作无关的事情；</w:t>
            </w:r>
            <w:r>
              <w:rPr>
                <w:rFonts w:hint="eastAsia" w:ascii="宋体" w:hAnsi="宋体" w:eastAsia="宋体" w:cs="宋体"/>
                <w:color w:val="auto"/>
                <w:kern w:val="0"/>
                <w:sz w:val="22"/>
                <w:szCs w:val="22"/>
                <w:lang w:val="en-US" w:eastAsia="zh-CN"/>
              </w:rPr>
              <w:t>不得</w:t>
            </w:r>
            <w:r>
              <w:rPr>
                <w:rFonts w:hint="eastAsia" w:ascii="宋体" w:hAnsi="宋体" w:eastAsia="宋体" w:cs="宋体"/>
                <w:color w:val="auto"/>
                <w:kern w:val="0"/>
                <w:sz w:val="22"/>
                <w:szCs w:val="22"/>
                <w:lang w:eastAsia="zh-CN"/>
              </w:rPr>
              <w:t>出现脱岗或睡岗现象；</w:t>
            </w:r>
            <w:r>
              <w:rPr>
                <w:rFonts w:hint="eastAsia" w:ascii="宋体" w:hAnsi="宋体" w:eastAsia="宋体" w:cs="宋体"/>
                <w:color w:val="auto"/>
                <w:kern w:val="0"/>
                <w:sz w:val="22"/>
                <w:szCs w:val="22"/>
                <w:lang w:val="en-US" w:eastAsia="zh-CN"/>
              </w:rPr>
              <w:t>不得</w:t>
            </w:r>
            <w:r>
              <w:rPr>
                <w:rFonts w:hint="eastAsia" w:ascii="宋体" w:hAnsi="宋体" w:eastAsia="宋体" w:cs="宋体"/>
                <w:color w:val="auto"/>
                <w:kern w:val="0"/>
                <w:sz w:val="22"/>
                <w:szCs w:val="22"/>
                <w:lang w:eastAsia="zh-CN"/>
              </w:rPr>
              <w:t>饮酒及酒后上岗；对甲方提出的问题</w:t>
            </w:r>
            <w:r>
              <w:rPr>
                <w:rFonts w:hint="eastAsia" w:ascii="宋体" w:hAnsi="宋体" w:eastAsia="宋体" w:cs="宋体"/>
                <w:color w:val="auto"/>
                <w:kern w:val="0"/>
                <w:sz w:val="22"/>
                <w:szCs w:val="22"/>
                <w:lang w:val="en-US" w:eastAsia="zh-CN"/>
              </w:rPr>
              <w:t>要</w:t>
            </w:r>
            <w:r>
              <w:rPr>
                <w:rFonts w:hint="eastAsia" w:ascii="宋体" w:hAnsi="宋体" w:eastAsia="宋体" w:cs="宋体"/>
                <w:color w:val="auto"/>
                <w:kern w:val="0"/>
                <w:sz w:val="22"/>
                <w:szCs w:val="22"/>
                <w:lang w:eastAsia="zh-CN"/>
              </w:rPr>
              <w:t>整改到位；服从甲方人员管理、认真地完成甲方管理人员要求的其他正常工作任务；</w:t>
            </w:r>
            <w:r>
              <w:rPr>
                <w:rFonts w:hint="eastAsia" w:ascii="宋体" w:hAnsi="宋体" w:eastAsia="宋体" w:cs="宋体"/>
                <w:color w:val="auto"/>
                <w:kern w:val="0"/>
                <w:sz w:val="22"/>
                <w:szCs w:val="22"/>
                <w:lang w:val="en-US" w:eastAsia="zh-CN"/>
              </w:rPr>
              <w:t>不得与被</w:t>
            </w:r>
            <w:r>
              <w:rPr>
                <w:rFonts w:hint="eastAsia" w:ascii="宋体" w:hAnsi="宋体" w:cs="宋体"/>
                <w:color w:val="auto"/>
                <w:kern w:val="0"/>
                <w:sz w:val="22"/>
                <w:szCs w:val="22"/>
                <w:lang w:val="en-US" w:eastAsia="zh-CN"/>
              </w:rPr>
              <w:t>检测</w:t>
            </w:r>
            <w:r>
              <w:rPr>
                <w:rFonts w:hint="eastAsia" w:ascii="宋体" w:hAnsi="宋体" w:eastAsia="宋体" w:cs="宋体"/>
                <w:color w:val="auto"/>
                <w:kern w:val="0"/>
                <w:sz w:val="22"/>
                <w:szCs w:val="22"/>
                <w:lang w:val="en-US" w:eastAsia="zh-CN"/>
              </w:rPr>
              <w:t>单位</w:t>
            </w:r>
            <w:r>
              <w:rPr>
                <w:rFonts w:hint="eastAsia" w:ascii="宋体" w:hAnsi="宋体" w:cs="宋体"/>
                <w:color w:val="auto"/>
                <w:kern w:val="0"/>
                <w:sz w:val="22"/>
                <w:szCs w:val="22"/>
                <w:lang w:val="en-US" w:eastAsia="zh-CN"/>
              </w:rPr>
              <w:t>或主体单位</w:t>
            </w:r>
            <w:r>
              <w:rPr>
                <w:rFonts w:hint="eastAsia" w:ascii="宋体" w:hAnsi="宋体" w:eastAsia="宋体" w:cs="宋体"/>
                <w:color w:val="auto"/>
                <w:kern w:val="0"/>
                <w:sz w:val="22"/>
                <w:szCs w:val="22"/>
                <w:lang w:val="en-US" w:eastAsia="zh-CN"/>
              </w:rPr>
              <w:t>发生吃、拿、卡、要等问题；不得发生有债纠纷，不得发生经济往来。</w:t>
            </w:r>
          </w:p>
        </w:tc>
        <w:tc>
          <w:tcPr>
            <w:tcW w:w="2269" w:type="dxa"/>
            <w:tcBorders>
              <w:bottom w:val="single" w:color="000000" w:sz="6" w:space="0"/>
              <w:right w:val="single" w:color="000000" w:sz="6" w:space="0"/>
            </w:tcBorders>
            <w:noWrap w:val="0"/>
            <w:vAlign w:val="center"/>
          </w:tcPr>
          <w:p w14:paraId="378B96D0">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总分2</w:t>
            </w:r>
            <w:r>
              <w:rPr>
                <w:rFonts w:hint="eastAsia" w:ascii="宋体" w:hAnsi="宋体" w:cs="宋体"/>
                <w:color w:val="auto"/>
                <w:kern w:val="0"/>
                <w:sz w:val="22"/>
                <w:szCs w:val="22"/>
                <w:lang w:val="en-US" w:eastAsia="zh-CN"/>
              </w:rPr>
              <w:t>0</w:t>
            </w:r>
            <w:r>
              <w:rPr>
                <w:rFonts w:hint="eastAsia" w:ascii="宋体" w:hAnsi="宋体" w:eastAsia="宋体" w:cs="宋体"/>
                <w:color w:val="auto"/>
                <w:kern w:val="0"/>
                <w:sz w:val="22"/>
                <w:szCs w:val="22"/>
                <w:lang w:val="en-US" w:eastAsia="zh-CN"/>
              </w:rPr>
              <w:t>分，每发现一起不遵守工作纪律情况，扣4</w:t>
            </w:r>
            <w:r>
              <w:rPr>
                <w:rFonts w:hint="eastAsia" w:ascii="宋体" w:hAnsi="宋体" w:eastAsia="宋体" w:cs="宋体"/>
                <w:color w:val="auto"/>
                <w:kern w:val="0"/>
                <w:sz w:val="22"/>
                <w:szCs w:val="22"/>
                <w:lang w:eastAsia="zh-CN"/>
              </w:rPr>
              <w:t>分</w:t>
            </w:r>
          </w:p>
        </w:tc>
        <w:tc>
          <w:tcPr>
            <w:tcW w:w="939" w:type="dxa"/>
            <w:tcBorders>
              <w:bottom w:val="single" w:color="000000" w:sz="6" w:space="0"/>
              <w:right w:val="single" w:color="000000" w:sz="6" w:space="0"/>
            </w:tcBorders>
            <w:noWrap w:val="0"/>
            <w:vAlign w:val="center"/>
          </w:tcPr>
          <w:p w14:paraId="3301BDF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15080CD0">
        <w:tblPrEx>
          <w:tblCellMar>
            <w:top w:w="0" w:type="dxa"/>
            <w:left w:w="0" w:type="dxa"/>
            <w:bottom w:w="0" w:type="dxa"/>
            <w:right w:w="0" w:type="dxa"/>
          </w:tblCellMar>
        </w:tblPrEx>
        <w:trPr>
          <w:trHeight w:val="1016" w:hRule="atLeast"/>
        </w:trPr>
        <w:tc>
          <w:tcPr>
            <w:tcW w:w="1096" w:type="dxa"/>
            <w:tcBorders>
              <w:left w:val="single" w:color="000000" w:sz="6" w:space="0"/>
              <w:bottom w:val="single" w:color="000000" w:sz="6" w:space="0"/>
              <w:right w:val="single" w:color="000000" w:sz="6" w:space="0"/>
            </w:tcBorders>
            <w:noWrap w:val="0"/>
            <w:vAlign w:val="center"/>
          </w:tcPr>
          <w:p w14:paraId="6F50B33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工作台账</w:t>
            </w:r>
          </w:p>
        </w:tc>
        <w:tc>
          <w:tcPr>
            <w:tcW w:w="5374" w:type="dxa"/>
            <w:tcBorders>
              <w:bottom w:val="single" w:color="000000" w:sz="6" w:space="0"/>
              <w:right w:val="single" w:color="000000" w:sz="6" w:space="0"/>
            </w:tcBorders>
            <w:noWrap w:val="0"/>
            <w:vAlign w:val="center"/>
          </w:tcPr>
          <w:p w14:paraId="2CF75195">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每个月按时提供考核台账；</w:t>
            </w:r>
            <w:r>
              <w:rPr>
                <w:rFonts w:hint="eastAsia" w:ascii="宋体" w:hAnsi="宋体" w:eastAsia="宋体" w:cs="宋体"/>
                <w:color w:val="auto"/>
                <w:kern w:val="0"/>
                <w:sz w:val="22"/>
                <w:szCs w:val="22"/>
                <w:lang w:val="en-US" w:eastAsia="zh-CN"/>
              </w:rPr>
              <w:t>考核台账记录规范。</w:t>
            </w:r>
          </w:p>
        </w:tc>
        <w:tc>
          <w:tcPr>
            <w:tcW w:w="2269" w:type="dxa"/>
            <w:tcBorders>
              <w:bottom w:val="single" w:color="000000" w:sz="6" w:space="0"/>
              <w:right w:val="single" w:color="000000" w:sz="6" w:space="0"/>
            </w:tcBorders>
            <w:noWrap w:val="0"/>
            <w:vAlign w:val="center"/>
          </w:tcPr>
          <w:p w14:paraId="7B2C10B3">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w:t>
            </w:r>
            <w:r>
              <w:rPr>
                <w:rFonts w:hint="eastAsia" w:ascii="宋体" w:hAnsi="宋体" w:cs="宋体"/>
                <w:color w:val="auto"/>
                <w:kern w:val="0"/>
                <w:sz w:val="22"/>
                <w:szCs w:val="22"/>
                <w:lang w:val="en-US" w:eastAsia="zh-CN"/>
              </w:rPr>
              <w:t>10</w:t>
            </w:r>
            <w:r>
              <w:rPr>
                <w:rFonts w:hint="eastAsia" w:ascii="宋体" w:hAnsi="宋体" w:eastAsia="宋体" w:cs="宋体"/>
                <w:color w:val="auto"/>
                <w:kern w:val="0"/>
                <w:sz w:val="22"/>
                <w:szCs w:val="22"/>
                <w:lang w:val="en-US" w:eastAsia="zh-CN"/>
              </w:rPr>
              <w:t>分，每发现</w:t>
            </w:r>
            <w:r>
              <w:rPr>
                <w:rFonts w:hint="eastAsia" w:ascii="宋体" w:hAnsi="宋体" w:cs="宋体"/>
                <w:color w:val="auto"/>
                <w:kern w:val="0"/>
                <w:sz w:val="22"/>
                <w:szCs w:val="22"/>
                <w:lang w:val="en-US" w:eastAsia="zh-CN"/>
              </w:rPr>
              <w:t>一</w:t>
            </w:r>
            <w:r>
              <w:rPr>
                <w:rFonts w:hint="eastAsia" w:ascii="宋体" w:hAnsi="宋体" w:eastAsia="宋体" w:cs="宋体"/>
                <w:color w:val="auto"/>
                <w:kern w:val="0"/>
                <w:sz w:val="22"/>
                <w:szCs w:val="22"/>
                <w:lang w:val="en-US" w:eastAsia="zh-CN"/>
              </w:rPr>
              <w:t>起台账不规范情况，扣</w:t>
            </w:r>
            <w:r>
              <w:rPr>
                <w:rFonts w:hint="eastAsia" w:ascii="宋体" w:hAnsi="宋体" w:cs="宋体"/>
                <w:color w:val="auto"/>
                <w:kern w:val="0"/>
                <w:sz w:val="22"/>
                <w:szCs w:val="22"/>
                <w:lang w:val="en-US" w:eastAsia="zh-CN"/>
              </w:rPr>
              <w:t>5</w:t>
            </w:r>
            <w:r>
              <w:rPr>
                <w:rFonts w:hint="eastAsia" w:ascii="宋体" w:hAnsi="宋体" w:eastAsia="宋体" w:cs="宋体"/>
                <w:color w:val="auto"/>
                <w:kern w:val="0"/>
                <w:sz w:val="22"/>
                <w:szCs w:val="22"/>
                <w:lang w:val="en-US" w:eastAsia="zh-CN"/>
              </w:rPr>
              <w:t>分</w:t>
            </w:r>
          </w:p>
        </w:tc>
        <w:tc>
          <w:tcPr>
            <w:tcW w:w="939" w:type="dxa"/>
            <w:tcBorders>
              <w:bottom w:val="single" w:color="000000" w:sz="6" w:space="0"/>
              <w:right w:val="single" w:color="000000" w:sz="6" w:space="0"/>
            </w:tcBorders>
            <w:noWrap w:val="0"/>
            <w:vAlign w:val="center"/>
          </w:tcPr>
          <w:p w14:paraId="6809ACD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1AF6759C">
        <w:tblPrEx>
          <w:tblCellMar>
            <w:top w:w="0" w:type="dxa"/>
            <w:left w:w="0" w:type="dxa"/>
            <w:bottom w:w="0" w:type="dxa"/>
            <w:right w:w="0" w:type="dxa"/>
          </w:tblCellMar>
        </w:tblPrEx>
        <w:trPr>
          <w:trHeight w:val="1082" w:hRule="atLeast"/>
        </w:trPr>
        <w:tc>
          <w:tcPr>
            <w:tcW w:w="1096" w:type="dxa"/>
            <w:tcBorders>
              <w:left w:val="single" w:color="000000" w:sz="6" w:space="0"/>
              <w:bottom w:val="single" w:color="000000" w:sz="6" w:space="0"/>
              <w:right w:val="single" w:color="000000" w:sz="6" w:space="0"/>
            </w:tcBorders>
            <w:noWrap w:val="0"/>
            <w:vAlign w:val="center"/>
          </w:tcPr>
          <w:p w14:paraId="2B9C3AE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保密要求</w:t>
            </w:r>
          </w:p>
        </w:tc>
        <w:tc>
          <w:tcPr>
            <w:tcW w:w="5374" w:type="dxa"/>
            <w:tcBorders>
              <w:bottom w:val="single" w:color="000000" w:sz="6" w:space="0"/>
              <w:right w:val="single" w:color="000000" w:sz="6" w:space="0"/>
            </w:tcBorders>
            <w:noWrap w:val="0"/>
            <w:vAlign w:val="center"/>
          </w:tcPr>
          <w:p w14:paraId="75458896">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不得有泄露专项</w:t>
            </w:r>
            <w:r>
              <w:rPr>
                <w:rFonts w:hint="eastAsia" w:ascii="宋体" w:hAnsi="宋体" w:cs="宋体"/>
                <w:color w:val="auto"/>
                <w:kern w:val="0"/>
                <w:sz w:val="22"/>
                <w:szCs w:val="22"/>
                <w:lang w:val="en-US" w:eastAsia="zh-CN"/>
              </w:rPr>
              <w:t>检测报告内容及结果</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提供的检测报告</w:t>
            </w:r>
            <w:r>
              <w:rPr>
                <w:rFonts w:hint="eastAsia" w:ascii="宋体" w:hAnsi="宋体" w:eastAsia="宋体" w:cs="宋体"/>
                <w:color w:val="auto"/>
                <w:kern w:val="0"/>
                <w:sz w:val="22"/>
                <w:szCs w:val="22"/>
                <w:lang w:val="en-US" w:eastAsia="zh-CN"/>
              </w:rPr>
              <w:t>不得发生弄虚作假的行为；不得私自泄露与工作单位相关的文件和通知。</w:t>
            </w:r>
          </w:p>
        </w:tc>
        <w:tc>
          <w:tcPr>
            <w:tcW w:w="2269" w:type="dxa"/>
            <w:tcBorders>
              <w:bottom w:val="single" w:color="000000" w:sz="6" w:space="0"/>
              <w:right w:val="single" w:color="000000" w:sz="6" w:space="0"/>
            </w:tcBorders>
            <w:noWrap w:val="0"/>
            <w:vAlign w:val="center"/>
          </w:tcPr>
          <w:p w14:paraId="2BA2F673">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总分20，每发现一起未落实要求情况，扣10</w:t>
            </w:r>
            <w:r>
              <w:rPr>
                <w:rFonts w:hint="eastAsia" w:ascii="宋体" w:hAnsi="宋体" w:eastAsia="宋体" w:cs="宋体"/>
                <w:color w:val="auto"/>
                <w:kern w:val="0"/>
                <w:sz w:val="22"/>
                <w:szCs w:val="22"/>
                <w:lang w:eastAsia="zh-CN"/>
              </w:rPr>
              <w:t>分</w:t>
            </w:r>
          </w:p>
        </w:tc>
        <w:tc>
          <w:tcPr>
            <w:tcW w:w="939" w:type="dxa"/>
            <w:tcBorders>
              <w:bottom w:val="single" w:color="000000" w:sz="6" w:space="0"/>
              <w:right w:val="single" w:color="000000" w:sz="6" w:space="0"/>
            </w:tcBorders>
            <w:noWrap w:val="0"/>
            <w:vAlign w:val="center"/>
          </w:tcPr>
          <w:p w14:paraId="1984DBD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01E18C09">
        <w:tblPrEx>
          <w:tblCellMar>
            <w:top w:w="0" w:type="dxa"/>
            <w:left w:w="0" w:type="dxa"/>
            <w:bottom w:w="0" w:type="dxa"/>
            <w:right w:w="0" w:type="dxa"/>
          </w:tblCellMar>
        </w:tblPrEx>
        <w:trPr>
          <w:trHeight w:val="1082" w:hRule="atLeast"/>
        </w:trPr>
        <w:tc>
          <w:tcPr>
            <w:tcW w:w="1096" w:type="dxa"/>
            <w:tcBorders>
              <w:left w:val="single" w:color="000000" w:sz="6" w:space="0"/>
              <w:bottom w:val="single" w:color="000000" w:sz="6" w:space="0"/>
              <w:right w:val="single" w:color="000000" w:sz="6" w:space="0"/>
            </w:tcBorders>
            <w:noWrap w:val="0"/>
            <w:vAlign w:val="center"/>
          </w:tcPr>
          <w:p w14:paraId="4D3CE0C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工作配合</w:t>
            </w:r>
          </w:p>
        </w:tc>
        <w:tc>
          <w:tcPr>
            <w:tcW w:w="5374" w:type="dxa"/>
            <w:tcBorders>
              <w:bottom w:val="single" w:color="000000" w:sz="6" w:space="0"/>
              <w:right w:val="single" w:color="000000" w:sz="6" w:space="0"/>
            </w:tcBorders>
            <w:noWrap w:val="0"/>
            <w:vAlign w:val="center"/>
          </w:tcPr>
          <w:p w14:paraId="24CE1146">
            <w:pPr>
              <w:keepNext w:val="0"/>
              <w:keepLines w:val="0"/>
              <w:suppressLineNumbers w:val="0"/>
              <w:spacing w:before="0" w:beforeAutospacing="0" w:after="0" w:afterAutospacing="0"/>
              <w:ind w:left="0" w:right="0"/>
              <w:jc w:val="left"/>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如遇突发情况，未按甲方需要到现场检测的，或无法提供检测报务的</w:t>
            </w:r>
          </w:p>
        </w:tc>
        <w:tc>
          <w:tcPr>
            <w:tcW w:w="2269" w:type="dxa"/>
            <w:tcBorders>
              <w:bottom w:val="single" w:color="000000" w:sz="6" w:space="0"/>
              <w:right w:val="single" w:color="000000" w:sz="6" w:space="0"/>
            </w:tcBorders>
            <w:shd w:val="clear" w:color="auto" w:fill="auto"/>
            <w:noWrap w:val="0"/>
            <w:vAlign w:val="center"/>
          </w:tcPr>
          <w:p w14:paraId="04123ECD">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总分</w:t>
            </w: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lang w:val="en-US" w:eastAsia="zh-CN"/>
              </w:rPr>
              <w:t>0，每发现一起未落实要求情况，扣</w:t>
            </w:r>
            <w:r>
              <w:rPr>
                <w:rFonts w:hint="eastAsia" w:ascii="宋体" w:hAnsi="宋体" w:cs="宋体"/>
                <w:color w:val="auto"/>
                <w:kern w:val="0"/>
                <w:sz w:val="22"/>
                <w:szCs w:val="22"/>
                <w:lang w:val="en-US" w:eastAsia="zh-CN"/>
              </w:rPr>
              <w:t>5</w:t>
            </w:r>
            <w:r>
              <w:rPr>
                <w:rFonts w:hint="eastAsia" w:ascii="宋体" w:hAnsi="宋体" w:eastAsia="宋体" w:cs="宋体"/>
                <w:color w:val="auto"/>
                <w:kern w:val="0"/>
                <w:sz w:val="22"/>
                <w:szCs w:val="22"/>
                <w:lang w:eastAsia="zh-CN"/>
              </w:rPr>
              <w:t>分</w:t>
            </w:r>
          </w:p>
        </w:tc>
        <w:tc>
          <w:tcPr>
            <w:tcW w:w="939" w:type="dxa"/>
            <w:tcBorders>
              <w:bottom w:val="single" w:color="000000" w:sz="6" w:space="0"/>
              <w:right w:val="single" w:color="000000" w:sz="6" w:space="0"/>
            </w:tcBorders>
            <w:noWrap w:val="0"/>
            <w:vAlign w:val="center"/>
          </w:tcPr>
          <w:p w14:paraId="7EC5BBE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2F1888CB">
        <w:tblPrEx>
          <w:tblCellMar>
            <w:top w:w="0" w:type="dxa"/>
            <w:left w:w="0" w:type="dxa"/>
            <w:bottom w:w="0" w:type="dxa"/>
            <w:right w:w="0" w:type="dxa"/>
          </w:tblCellMar>
        </w:tblPrEx>
        <w:trPr>
          <w:trHeight w:val="876" w:hRule="atLeast"/>
        </w:trPr>
        <w:tc>
          <w:tcPr>
            <w:tcW w:w="1096" w:type="dxa"/>
            <w:tcBorders>
              <w:top w:val="single" w:color="auto" w:sz="4" w:space="0"/>
              <w:left w:val="single" w:color="000000" w:sz="6" w:space="0"/>
              <w:bottom w:val="single" w:color="auto" w:sz="4" w:space="0"/>
              <w:right w:val="single" w:color="000000" w:sz="6" w:space="0"/>
            </w:tcBorders>
            <w:noWrap w:val="0"/>
            <w:vAlign w:val="center"/>
          </w:tcPr>
          <w:p w14:paraId="7D6419E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其他</w:t>
            </w:r>
          </w:p>
        </w:tc>
        <w:tc>
          <w:tcPr>
            <w:tcW w:w="5374" w:type="dxa"/>
            <w:tcBorders>
              <w:top w:val="single" w:color="auto" w:sz="4" w:space="0"/>
              <w:bottom w:val="single" w:color="auto" w:sz="4" w:space="0"/>
              <w:right w:val="single" w:color="000000" w:sz="6" w:space="0"/>
            </w:tcBorders>
            <w:noWrap w:val="0"/>
            <w:vAlign w:val="center"/>
          </w:tcPr>
          <w:p w14:paraId="13968855">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所提供的服务行为被上级单位处罚；被媒体曝光，产生恶劣影响。</w:t>
            </w:r>
          </w:p>
        </w:tc>
        <w:tc>
          <w:tcPr>
            <w:tcW w:w="2269" w:type="dxa"/>
            <w:tcBorders>
              <w:top w:val="single" w:color="auto" w:sz="4" w:space="0"/>
              <w:bottom w:val="single" w:color="auto" w:sz="4" w:space="0"/>
              <w:right w:val="single" w:color="000000" w:sz="6" w:space="0"/>
            </w:tcBorders>
            <w:noWrap w:val="0"/>
            <w:vAlign w:val="center"/>
          </w:tcPr>
          <w:p w14:paraId="26E18F7D">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总分</w:t>
            </w:r>
            <w:r>
              <w:rPr>
                <w:rFonts w:hint="eastAsia" w:ascii="宋体" w:hAnsi="宋体" w:cs="宋体"/>
                <w:color w:val="auto"/>
                <w:kern w:val="0"/>
                <w:sz w:val="22"/>
                <w:szCs w:val="22"/>
                <w:lang w:val="en-US" w:eastAsia="zh-CN"/>
              </w:rPr>
              <w:t>20</w:t>
            </w:r>
            <w:r>
              <w:rPr>
                <w:rFonts w:hint="eastAsia" w:ascii="宋体" w:hAnsi="宋体" w:eastAsia="宋体" w:cs="宋体"/>
                <w:color w:val="auto"/>
                <w:kern w:val="0"/>
                <w:sz w:val="22"/>
                <w:szCs w:val="22"/>
                <w:lang w:val="en-US" w:eastAsia="zh-CN"/>
              </w:rPr>
              <w:t>分，每发现一起类似情况，扣</w:t>
            </w:r>
            <w:r>
              <w:rPr>
                <w:rFonts w:hint="eastAsia" w:ascii="宋体" w:hAnsi="宋体" w:cs="宋体"/>
                <w:color w:val="auto"/>
                <w:kern w:val="0"/>
                <w:sz w:val="22"/>
                <w:szCs w:val="22"/>
                <w:lang w:val="en-US" w:eastAsia="zh-CN"/>
              </w:rPr>
              <w:t>10</w:t>
            </w:r>
            <w:r>
              <w:rPr>
                <w:rFonts w:hint="eastAsia" w:ascii="宋体" w:hAnsi="宋体" w:eastAsia="宋体" w:cs="宋体"/>
                <w:color w:val="auto"/>
                <w:kern w:val="0"/>
                <w:sz w:val="22"/>
                <w:szCs w:val="22"/>
                <w:lang w:val="en-US" w:eastAsia="zh-CN"/>
              </w:rPr>
              <w:t>分</w:t>
            </w:r>
          </w:p>
        </w:tc>
        <w:tc>
          <w:tcPr>
            <w:tcW w:w="939" w:type="dxa"/>
            <w:tcBorders>
              <w:top w:val="single" w:color="auto" w:sz="4" w:space="0"/>
              <w:bottom w:val="single" w:color="auto" w:sz="4" w:space="0"/>
              <w:right w:val="single" w:color="000000" w:sz="6" w:space="0"/>
            </w:tcBorders>
            <w:noWrap w:val="0"/>
            <w:vAlign w:val="center"/>
          </w:tcPr>
          <w:p w14:paraId="2CCCC7B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r w14:paraId="1D7C98D3">
        <w:tblPrEx>
          <w:tblCellMar>
            <w:top w:w="0" w:type="dxa"/>
            <w:left w:w="0" w:type="dxa"/>
            <w:bottom w:w="0" w:type="dxa"/>
            <w:right w:w="0" w:type="dxa"/>
          </w:tblCellMar>
        </w:tblPrEx>
        <w:trPr>
          <w:trHeight w:val="876" w:hRule="atLeast"/>
        </w:trPr>
        <w:tc>
          <w:tcPr>
            <w:tcW w:w="9678" w:type="dxa"/>
            <w:gridSpan w:val="4"/>
            <w:tcBorders>
              <w:top w:val="single" w:color="auto" w:sz="4" w:space="0"/>
              <w:left w:val="single" w:color="000000" w:sz="6" w:space="0"/>
              <w:bottom w:val="single" w:color="000000" w:sz="6" w:space="0"/>
              <w:right w:val="single" w:color="000000" w:sz="6" w:space="0"/>
            </w:tcBorders>
            <w:noWrap w:val="0"/>
            <w:vAlign w:val="center"/>
          </w:tcPr>
          <w:p w14:paraId="6CAD884A">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备注：甲方根据日常监管，按以上考核表以季度进行评分，每季度总分为100分；每季度考核9</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lang w:eastAsia="zh-CN"/>
              </w:rPr>
              <w:t>（含）分以上，全额支付该季度服务费用；</w:t>
            </w:r>
            <w:r>
              <w:rPr>
                <w:rFonts w:hint="eastAsia" w:ascii="宋体" w:hAnsi="宋体" w:eastAsia="宋体" w:cs="宋体"/>
                <w:color w:val="auto"/>
                <w:sz w:val="22"/>
                <w:szCs w:val="22"/>
                <w:lang w:val="en-US" w:eastAsia="zh-CN"/>
              </w:rPr>
              <w:t>考核得分不足90分的，每扣1分扣5000元；考核季度累计扣分10分以上，对中标人提出警告；如中标人一年内二次考核不合格（考核得分不足85分）的；采购人有权单方终止本合同，由中标人承担一切损失和责任。</w:t>
            </w:r>
          </w:p>
          <w:p w14:paraId="5FC5F70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lang w:val="en-US" w:eastAsia="zh-CN"/>
              </w:rPr>
            </w:pPr>
          </w:p>
        </w:tc>
      </w:tr>
    </w:tbl>
    <w:p w14:paraId="022F458E">
      <w:pPr>
        <w:pStyle w:val="22"/>
        <w:rPr>
          <w:rFonts w:hint="eastAsia" w:ascii="宋体" w:hAnsi="宋体" w:eastAsia="宋体" w:cs="宋体"/>
          <w:b/>
          <w:bCs/>
          <w:color w:val="000000"/>
          <w:kern w:val="0"/>
          <w:sz w:val="24"/>
          <w:szCs w:val="24"/>
          <w:lang w:val="en-US" w:eastAsia="zh-CN"/>
        </w:rPr>
      </w:pPr>
    </w:p>
    <w:p w14:paraId="46E6519E">
      <w:pPr>
        <w:pStyle w:val="23"/>
        <w:rPr>
          <w:rFonts w:hint="eastAsia" w:ascii="宋体" w:hAnsi="宋体" w:eastAsia="宋体" w:cs="宋体"/>
          <w:lang w:val="en-US" w:eastAsia="zh-CN"/>
        </w:rPr>
      </w:pPr>
    </w:p>
    <w:p w14:paraId="47A0E068">
      <w:pPr>
        <w:pStyle w:val="22"/>
        <w:ind w:firstLine="200"/>
        <w:rPr>
          <w:rFonts w:hint="eastAsia" w:ascii="宋体" w:hAnsi="宋体" w:eastAsia="宋体" w:cs="宋体"/>
          <w:color w:val="auto"/>
          <w:highlight w:val="none"/>
        </w:rPr>
      </w:pPr>
    </w:p>
    <w:p w14:paraId="1B803A69">
      <w:pPr>
        <w:pStyle w:val="4"/>
        <w:rPr>
          <w:rFonts w:hint="eastAsia" w:ascii="宋体" w:hAnsi="宋体" w:eastAsia="宋体" w:cs="宋体"/>
          <w:color w:val="auto"/>
          <w:sz w:val="36"/>
          <w:szCs w:val="36"/>
          <w:highlight w:val="none"/>
        </w:rPr>
      </w:pPr>
      <w:bookmarkStart w:id="72" w:name="_Toc5173"/>
    </w:p>
    <w:p w14:paraId="359C925E">
      <w:pPr>
        <w:pStyle w:val="4"/>
        <w:rPr>
          <w:rFonts w:hint="eastAsia" w:ascii="宋体" w:hAnsi="宋体" w:eastAsia="宋体" w:cs="宋体"/>
          <w:color w:val="auto"/>
          <w:sz w:val="36"/>
          <w:szCs w:val="36"/>
          <w:highlight w:val="none"/>
        </w:rPr>
      </w:pPr>
    </w:p>
    <w:p w14:paraId="48E858EB">
      <w:pPr>
        <w:pStyle w:val="4"/>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磋商响应文件格式</w:t>
      </w:r>
      <w:bookmarkEnd w:id="70"/>
      <w:bookmarkEnd w:id="71"/>
      <w:bookmarkEnd w:id="72"/>
    </w:p>
    <w:p w14:paraId="55AAE21F">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（资格审查资料封面，供参考）</w:t>
      </w:r>
    </w:p>
    <w:p w14:paraId="1DDA9492">
      <w:pPr>
        <w:rPr>
          <w:rFonts w:hint="eastAsia" w:ascii="宋体" w:hAnsi="宋体" w:eastAsia="宋体" w:cs="宋体"/>
          <w:color w:val="auto"/>
          <w:highlight w:val="none"/>
        </w:rPr>
      </w:pPr>
    </w:p>
    <w:p w14:paraId="0432FB55">
      <w:pPr>
        <w:rPr>
          <w:rFonts w:hint="eastAsia" w:ascii="宋体" w:hAnsi="宋体" w:eastAsia="宋体" w:cs="宋体"/>
          <w:color w:val="auto"/>
          <w:highlight w:val="none"/>
        </w:rPr>
      </w:pPr>
    </w:p>
    <w:p w14:paraId="49AC82F7">
      <w:pPr>
        <w:rPr>
          <w:rFonts w:hint="eastAsia" w:ascii="宋体" w:hAnsi="宋体" w:eastAsia="宋体" w:cs="宋体"/>
          <w:color w:val="auto"/>
          <w:highlight w:val="none"/>
        </w:rPr>
      </w:pPr>
    </w:p>
    <w:p w14:paraId="2421C40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磋商响应文件</w:t>
      </w:r>
    </w:p>
    <w:p w14:paraId="498F75BA">
      <w:pPr>
        <w:rPr>
          <w:rFonts w:hint="eastAsia" w:ascii="宋体" w:hAnsi="宋体" w:eastAsia="宋体" w:cs="宋体"/>
          <w:color w:val="auto"/>
          <w:sz w:val="28"/>
          <w:szCs w:val="28"/>
          <w:highlight w:val="none"/>
        </w:rPr>
      </w:pPr>
    </w:p>
    <w:p w14:paraId="30BD0C7C">
      <w:pPr>
        <w:ind w:firstLine="4260" w:firstLineChars="1500"/>
        <w:rPr>
          <w:rFonts w:hint="eastAsia" w:ascii="宋体" w:hAnsi="宋体" w:eastAsia="宋体" w:cs="宋体"/>
          <w:color w:val="auto"/>
          <w:sz w:val="28"/>
          <w:szCs w:val="28"/>
          <w:highlight w:val="none"/>
          <w:lang w:val="en-US" w:eastAsia="zh-CN"/>
        </w:rPr>
      </w:pPr>
    </w:p>
    <w:p w14:paraId="379D3490">
      <w:pPr>
        <w:pStyle w:val="22"/>
        <w:ind w:firstLine="281"/>
        <w:rPr>
          <w:rFonts w:hint="eastAsia" w:ascii="宋体" w:hAnsi="宋体" w:eastAsia="宋体" w:cs="宋体"/>
          <w:color w:val="auto"/>
          <w:sz w:val="28"/>
          <w:szCs w:val="28"/>
          <w:highlight w:val="none"/>
        </w:rPr>
      </w:pPr>
    </w:p>
    <w:p w14:paraId="6553A585">
      <w:pPr>
        <w:pStyle w:val="22"/>
        <w:ind w:firstLine="281"/>
        <w:rPr>
          <w:rFonts w:hint="eastAsia" w:ascii="宋体" w:hAnsi="宋体" w:eastAsia="宋体" w:cs="宋体"/>
          <w:color w:val="auto"/>
          <w:sz w:val="28"/>
          <w:szCs w:val="28"/>
          <w:highlight w:val="none"/>
        </w:rPr>
      </w:pPr>
    </w:p>
    <w:p w14:paraId="7984EE63">
      <w:pPr>
        <w:rPr>
          <w:rFonts w:hint="eastAsia" w:ascii="宋体" w:hAnsi="宋体" w:eastAsia="宋体" w:cs="宋体"/>
          <w:color w:val="auto"/>
          <w:sz w:val="28"/>
          <w:szCs w:val="28"/>
          <w:highlight w:val="none"/>
        </w:rPr>
      </w:pPr>
    </w:p>
    <w:p w14:paraId="26E1020E">
      <w:pPr>
        <w:rPr>
          <w:rFonts w:hint="eastAsia" w:ascii="宋体" w:hAnsi="宋体" w:eastAsia="宋体" w:cs="宋体"/>
          <w:color w:val="auto"/>
          <w:sz w:val="28"/>
          <w:szCs w:val="28"/>
          <w:highlight w:val="none"/>
        </w:rPr>
      </w:pPr>
    </w:p>
    <w:p w14:paraId="748DF5B3">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资格审查资料</w:t>
      </w:r>
    </w:p>
    <w:p w14:paraId="2C419E95">
      <w:pPr>
        <w:spacing w:line="360" w:lineRule="auto"/>
        <w:rPr>
          <w:rFonts w:hint="eastAsia" w:ascii="宋体" w:hAnsi="宋体" w:eastAsia="宋体" w:cs="宋体"/>
          <w:color w:val="auto"/>
          <w:szCs w:val="21"/>
          <w:highlight w:val="none"/>
        </w:rPr>
      </w:pPr>
    </w:p>
    <w:p w14:paraId="413F2048">
      <w:pPr>
        <w:spacing w:line="360" w:lineRule="auto"/>
        <w:rPr>
          <w:rFonts w:hint="eastAsia" w:ascii="宋体" w:hAnsi="宋体" w:eastAsia="宋体" w:cs="宋体"/>
          <w:color w:val="auto"/>
          <w:szCs w:val="21"/>
          <w:highlight w:val="none"/>
        </w:rPr>
      </w:pPr>
    </w:p>
    <w:p w14:paraId="517CBCD7">
      <w:pPr>
        <w:spacing w:line="360" w:lineRule="auto"/>
        <w:rPr>
          <w:rFonts w:hint="eastAsia" w:ascii="宋体" w:hAnsi="宋体" w:eastAsia="宋体" w:cs="宋体"/>
          <w:color w:val="auto"/>
          <w:szCs w:val="21"/>
          <w:highlight w:val="none"/>
        </w:rPr>
      </w:pPr>
    </w:p>
    <w:p w14:paraId="5DD20DDC">
      <w:pPr>
        <w:spacing w:line="360" w:lineRule="auto"/>
        <w:rPr>
          <w:rFonts w:hint="eastAsia" w:ascii="宋体" w:hAnsi="宋体" w:eastAsia="宋体" w:cs="宋体"/>
          <w:color w:val="auto"/>
          <w:szCs w:val="21"/>
          <w:highlight w:val="none"/>
        </w:rPr>
      </w:pPr>
    </w:p>
    <w:p w14:paraId="108060BF">
      <w:pPr>
        <w:spacing w:line="360" w:lineRule="auto"/>
        <w:rPr>
          <w:rFonts w:hint="eastAsia" w:ascii="宋体" w:hAnsi="宋体" w:eastAsia="宋体" w:cs="宋体"/>
          <w:color w:val="auto"/>
          <w:szCs w:val="21"/>
          <w:highlight w:val="none"/>
        </w:rPr>
      </w:pPr>
    </w:p>
    <w:p w14:paraId="59B5AE8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（盖章或 </w:t>
      </w:r>
      <w:r>
        <w:rPr>
          <w:rFonts w:hint="eastAsia" w:ascii="宋体" w:hAnsi="宋体" w:eastAsia="宋体" w:cs="宋体"/>
          <w:color w:val="auto"/>
          <w:sz w:val="28"/>
          <w:szCs w:val="28"/>
          <w:highlight w:val="none"/>
          <w:lang w:eastAsia="zh-CN"/>
        </w:rPr>
        <w:t>CA签章</w:t>
      </w:r>
      <w:r>
        <w:rPr>
          <w:rFonts w:hint="eastAsia" w:ascii="宋体" w:hAnsi="宋体" w:eastAsia="宋体" w:cs="宋体"/>
          <w:color w:val="auto"/>
          <w:sz w:val="28"/>
          <w:szCs w:val="28"/>
          <w:highlight w:val="none"/>
        </w:rPr>
        <w:t>）</w:t>
      </w:r>
    </w:p>
    <w:p w14:paraId="5F0D1BC2">
      <w:pPr>
        <w:rPr>
          <w:rFonts w:hint="eastAsia" w:ascii="宋体" w:hAnsi="宋体" w:eastAsia="宋体" w:cs="宋体"/>
          <w:color w:val="auto"/>
          <w:sz w:val="28"/>
          <w:szCs w:val="28"/>
          <w:highlight w:val="none"/>
          <w:u w:val="single"/>
        </w:rPr>
      </w:pPr>
    </w:p>
    <w:p w14:paraId="64E7C7D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47899675">
      <w:pPr>
        <w:rPr>
          <w:rFonts w:hint="eastAsia" w:ascii="宋体" w:hAnsi="宋体" w:eastAsia="宋体" w:cs="宋体"/>
          <w:color w:val="auto"/>
          <w:sz w:val="28"/>
          <w:szCs w:val="28"/>
          <w:highlight w:val="none"/>
        </w:rPr>
      </w:pPr>
    </w:p>
    <w:p w14:paraId="0CA457B5">
      <w:pPr>
        <w:overflowPunct w:val="0"/>
        <w:spacing w:line="380" w:lineRule="exact"/>
        <w:ind w:firstLine="2777"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6B4C8D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0F22A44">
      <w:pPr>
        <w:jc w:val="center"/>
        <w:rPr>
          <w:rFonts w:hint="eastAsia" w:ascii="宋体" w:hAnsi="宋体" w:eastAsia="宋体" w:cs="宋体"/>
          <w:b/>
          <w:bCs/>
          <w:color w:val="auto"/>
          <w:sz w:val="52"/>
          <w:szCs w:val="52"/>
          <w:highlight w:val="none"/>
        </w:rPr>
      </w:pPr>
      <w:bookmarkStart w:id="73" w:name="_Toc465107614"/>
      <w:bookmarkStart w:id="74" w:name="_Toc504034734"/>
    </w:p>
    <w:p w14:paraId="707D300F">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p>
    <w:p w14:paraId="0D5D5AAD">
      <w:pPr>
        <w:pStyle w:val="53"/>
        <w:rPr>
          <w:rFonts w:hint="eastAsia" w:ascii="宋体" w:hAnsi="宋体" w:eastAsia="宋体" w:cs="宋体"/>
          <w:color w:val="auto"/>
          <w:highlight w:val="none"/>
        </w:rPr>
      </w:pPr>
    </w:p>
    <w:p w14:paraId="62849295">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14:paraId="3A83DFFD">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营业执照(或事业法人登记证书或其它工商等登记证明材料)</w:t>
      </w:r>
    </w:p>
    <w:p w14:paraId="0031D735">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资格条件承诺函</w:t>
      </w:r>
    </w:p>
    <w:p w14:paraId="7E0E57B2">
      <w:pPr>
        <w:numPr>
          <w:ilvl w:val="0"/>
          <w:numId w:val="13"/>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申请材料真实性声明</w:t>
      </w:r>
    </w:p>
    <w:p w14:paraId="08EA2867">
      <w:pPr>
        <w:numPr>
          <w:ilvl w:val="0"/>
          <w:numId w:val="13"/>
        </w:numPr>
        <w:spacing w:beforeLines="50" w:afterLines="50" w:line="480" w:lineRule="auto"/>
        <w:ind w:left="0" w:leftChars="0" w:firstLine="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w:t>
      </w:r>
    </w:p>
    <w:p w14:paraId="70E70217">
      <w:pPr>
        <w:numPr>
          <w:ilvl w:val="0"/>
          <w:numId w:val="13"/>
        </w:numPr>
        <w:spacing w:beforeLines="50" w:afterLines="50" w:line="480" w:lineRule="auto"/>
        <w:ind w:left="0" w:leftChars="0" w:firstLine="420" w:firstLineChars="0"/>
        <w:jc w:val="left"/>
        <w:rPr>
          <w:rFonts w:hint="eastAsia"/>
          <w:lang w:val="en-US" w:eastAsia="zh-CN"/>
        </w:rPr>
      </w:pPr>
      <w:r>
        <w:rPr>
          <w:rFonts w:hint="eastAsia" w:ascii="宋体" w:hAnsi="宋体" w:eastAsia="宋体" w:cs="宋体"/>
          <w:color w:val="auto"/>
          <w:szCs w:val="21"/>
          <w:highlight w:val="none"/>
          <w:lang w:val="en-US" w:eastAsia="zh-CN"/>
        </w:rPr>
        <w:t>联合体协议书（联合体投标的须提供）</w:t>
      </w:r>
    </w:p>
    <w:p w14:paraId="4D2EE027">
      <w:pPr>
        <w:pStyle w:val="4"/>
        <w:spacing w:line="360" w:lineRule="auto"/>
        <w:ind w:left="420"/>
        <w:jc w:val="left"/>
        <w:rPr>
          <w:rFonts w:hint="eastAsia" w:ascii="宋体" w:hAnsi="宋体" w:eastAsia="宋体" w:cs="宋体"/>
          <w:b w:val="0"/>
          <w:color w:val="auto"/>
          <w:sz w:val="22"/>
          <w:szCs w:val="22"/>
          <w:highlight w:val="none"/>
        </w:rPr>
      </w:pPr>
    </w:p>
    <w:p w14:paraId="2F66B821">
      <w:pPr>
        <w:pStyle w:val="4"/>
        <w:spacing w:line="360" w:lineRule="auto"/>
        <w:ind w:left="420"/>
        <w:jc w:val="left"/>
        <w:rPr>
          <w:rFonts w:hint="eastAsia" w:ascii="宋体" w:hAnsi="宋体" w:eastAsia="宋体" w:cs="宋体"/>
          <w:b w:val="0"/>
          <w:color w:val="auto"/>
          <w:sz w:val="22"/>
          <w:szCs w:val="22"/>
          <w:highlight w:val="none"/>
        </w:rPr>
      </w:pPr>
    </w:p>
    <w:p w14:paraId="2343ABCE">
      <w:pPr>
        <w:pStyle w:val="4"/>
        <w:spacing w:line="360" w:lineRule="auto"/>
        <w:ind w:left="420"/>
        <w:jc w:val="left"/>
        <w:rPr>
          <w:rFonts w:hint="eastAsia" w:ascii="宋体" w:hAnsi="宋体" w:eastAsia="宋体" w:cs="宋体"/>
          <w:b w:val="0"/>
          <w:color w:val="auto"/>
          <w:sz w:val="22"/>
          <w:szCs w:val="22"/>
          <w:highlight w:val="none"/>
        </w:rPr>
      </w:pPr>
    </w:p>
    <w:p w14:paraId="3A8EF15C">
      <w:pPr>
        <w:pStyle w:val="4"/>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78EC74EA">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0D1D65CB">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一、</w:t>
      </w:r>
      <w:r>
        <w:rPr>
          <w:rFonts w:hint="eastAsia" w:ascii="宋体" w:hAnsi="宋体" w:eastAsia="宋体" w:cs="宋体"/>
          <w:b/>
          <w:color w:val="auto"/>
          <w:kern w:val="0"/>
          <w:sz w:val="28"/>
          <w:szCs w:val="28"/>
          <w:highlight w:val="none"/>
        </w:rPr>
        <w:t>法定代表人授权书</w:t>
      </w:r>
    </w:p>
    <w:p w14:paraId="3CEB525E">
      <w:pPr>
        <w:spacing w:line="420" w:lineRule="exact"/>
        <w:rPr>
          <w:rFonts w:hint="eastAsia" w:ascii="宋体" w:hAnsi="宋体" w:eastAsia="宋体" w:cs="宋体"/>
          <w:b/>
          <w:color w:val="auto"/>
          <w:sz w:val="22"/>
          <w:szCs w:val="22"/>
          <w:highlight w:val="none"/>
        </w:rPr>
      </w:pPr>
    </w:p>
    <w:p w14:paraId="0DEE1981">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51C9E1F4">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3E6E0B9B">
      <w:pPr>
        <w:spacing w:line="460" w:lineRule="exact"/>
        <w:rPr>
          <w:rFonts w:hint="eastAsia" w:ascii="宋体" w:hAnsi="宋体" w:eastAsia="宋体" w:cs="宋体"/>
          <w:color w:val="auto"/>
          <w:sz w:val="22"/>
          <w:szCs w:val="22"/>
          <w:highlight w:val="none"/>
          <w:u w:val="single"/>
        </w:rPr>
      </w:pPr>
    </w:p>
    <w:p w14:paraId="0B3C09BC">
      <w:pPr>
        <w:spacing w:line="460" w:lineRule="exact"/>
        <w:rPr>
          <w:rFonts w:hint="eastAsia" w:ascii="宋体" w:hAnsi="宋体" w:eastAsia="宋体" w:cs="宋体"/>
          <w:color w:val="auto"/>
          <w:sz w:val="22"/>
          <w:szCs w:val="22"/>
          <w:highlight w:val="none"/>
          <w:u w:val="single"/>
        </w:rPr>
      </w:pPr>
    </w:p>
    <w:p w14:paraId="72973172">
      <w:pPr>
        <w:spacing w:line="460" w:lineRule="exact"/>
        <w:ind w:firstLine="56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法定代</w:t>
      </w:r>
      <w:r>
        <w:rPr>
          <w:rFonts w:hint="eastAsia" w:ascii="宋体" w:hAnsi="宋体" w:eastAsia="宋体" w:cs="宋体"/>
          <w:color w:val="auto"/>
          <w:sz w:val="22"/>
          <w:szCs w:val="22"/>
          <w:highlight w:val="none"/>
          <w:u w:val="single"/>
        </w:rPr>
        <w:t>表</w:t>
      </w:r>
      <w:r>
        <w:rPr>
          <w:rFonts w:hint="eastAsia" w:ascii="宋体" w:hAnsi="宋体" w:eastAsia="宋体" w:cs="宋体"/>
          <w:color w:val="auto"/>
          <w:sz w:val="22"/>
          <w:szCs w:val="22"/>
          <w:highlight w:val="none"/>
          <w:u w:val="single"/>
          <w:lang w:val="en-US" w:eastAsia="zh-CN"/>
        </w:rPr>
        <w:t>人</w:t>
      </w:r>
      <w:r>
        <w:rPr>
          <w:rFonts w:hint="eastAsia" w:ascii="宋体" w:hAnsi="宋体" w:eastAsia="宋体" w:cs="宋体"/>
          <w:color w:val="auto"/>
          <w:sz w:val="22"/>
          <w:szCs w:val="22"/>
          <w:highlight w:val="none"/>
          <w:u w:val="single"/>
        </w:rPr>
        <w:t>姓名）</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为全权代表，参加贵处组织的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（项目名称、项目编号）</w:t>
      </w:r>
      <w:r>
        <w:rPr>
          <w:rFonts w:hint="eastAsia" w:ascii="宋体" w:hAnsi="宋体" w:eastAsia="宋体" w:cs="宋体"/>
          <w:color w:val="auto"/>
          <w:sz w:val="22"/>
          <w:szCs w:val="22"/>
          <w:highlight w:val="none"/>
        </w:rPr>
        <w:t>的采购活动，全权代表我方处理采购活动中的一切事宜。</w:t>
      </w:r>
    </w:p>
    <w:p w14:paraId="1A050638">
      <w:pPr>
        <w:spacing w:line="460" w:lineRule="exact"/>
        <w:ind w:firstLine="2955"/>
        <w:rPr>
          <w:rFonts w:hint="eastAsia" w:ascii="宋体" w:hAnsi="宋体" w:eastAsia="宋体" w:cs="宋体"/>
          <w:color w:val="auto"/>
          <w:sz w:val="22"/>
          <w:szCs w:val="22"/>
          <w:highlight w:val="none"/>
        </w:rPr>
      </w:pPr>
    </w:p>
    <w:p w14:paraId="269DB618">
      <w:pPr>
        <w:spacing w:line="460" w:lineRule="exact"/>
        <w:ind w:firstLine="2955"/>
        <w:rPr>
          <w:rFonts w:hint="eastAsia" w:ascii="宋体" w:hAnsi="宋体" w:eastAsia="宋体" w:cs="宋体"/>
          <w:color w:val="auto"/>
          <w:sz w:val="22"/>
          <w:szCs w:val="22"/>
          <w:highlight w:val="none"/>
        </w:rPr>
      </w:pPr>
    </w:p>
    <w:p w14:paraId="313601A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供应商全称（盖单位公章或 CA 章）：</w:t>
      </w:r>
    </w:p>
    <w:p w14:paraId="402890F8">
      <w:pPr>
        <w:spacing w:line="460" w:lineRule="exact"/>
        <w:ind w:firstLine="4043"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40EEF27B">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41EB3E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377F2FF6">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5F9C8A2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1CA5CAD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2371F05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F31C0C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6949FAFE">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F5E7E29">
      <w:pPr>
        <w:widowControl/>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CB8E58E">
      <w:pPr>
        <w:widowControl/>
        <w:adjustRightInd w:val="0"/>
        <w:snapToGrid w:val="0"/>
        <w:spacing w:line="360" w:lineRule="auto"/>
        <w:rPr>
          <w:rFonts w:hint="eastAsia" w:ascii="宋体" w:hAnsi="宋体" w:eastAsia="宋体" w:cs="宋体"/>
          <w:color w:val="auto"/>
          <w:sz w:val="22"/>
          <w:szCs w:val="22"/>
          <w:highlight w:val="none"/>
        </w:rPr>
      </w:pPr>
    </w:p>
    <w:p w14:paraId="412E508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895340" cy="3004185"/>
                <wp:effectExtent l="5080" t="4445" r="508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4E4B1F40">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64.2pt;z-index:251659264;mso-width-relative:page;mso-height-relative:page;" fillcolor="#FFFFFF" filled="t" stroked="t" coordsize="21600,21600" o:gfxdata="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uvVQtkAAAAJAQAADwAA&#10;AAAAAAABACAAAAAiAAAAZHJzL2Rvd25yZXYueG1sUEsBAhQAFAAAAAgAh07iQHW6cYVOAgAAoQQA&#10;AA4AAAAAAAAAAQAgAAAAKAEAAGRycy9lMm9Eb2MueG1sUEsFBgAAAAAGAAYAWQEAAOgFAAAAAA==&#10;">
                <v:fill on="t" focussize="0,0"/>
                <v:stroke color="#000000" miterlimit="8" joinstyle="miter"/>
                <v:imagedata o:title=""/>
                <o:lock v:ext="edit" aspectratio="f"/>
                <v:textbox>
                  <w:txbxContent>
                    <w:p w14:paraId="4E4B1F40">
                      <w:r>
                        <w:rPr>
                          <w:rFonts w:hint="eastAsia" w:ascii="新宋体" w:hAnsi="新宋体" w:eastAsia="新宋体"/>
                          <w:sz w:val="22"/>
                          <w:szCs w:val="22"/>
                        </w:rPr>
                        <w:t xml:space="preserve">  法定代表人身份证（正反面）：</w:t>
                      </w:r>
                    </w:p>
                  </w:txbxContent>
                </v:textbox>
              </v:shape>
            </w:pict>
          </mc:Fallback>
        </mc:AlternateContent>
      </w:r>
    </w:p>
    <w:p w14:paraId="29FCE32B">
      <w:pPr>
        <w:spacing w:line="460" w:lineRule="exact"/>
        <w:jc w:val="center"/>
        <w:rPr>
          <w:rFonts w:hint="eastAsia" w:ascii="宋体" w:hAnsi="宋体" w:eastAsia="宋体" w:cs="宋体"/>
          <w:b/>
          <w:bCs/>
          <w:color w:val="auto"/>
          <w:sz w:val="28"/>
          <w:szCs w:val="28"/>
          <w:highlight w:val="none"/>
        </w:rPr>
      </w:pPr>
    </w:p>
    <w:p w14:paraId="0E58FCEC">
      <w:pPr>
        <w:spacing w:line="460" w:lineRule="exact"/>
        <w:jc w:val="center"/>
        <w:rPr>
          <w:rFonts w:hint="eastAsia" w:ascii="宋体" w:hAnsi="宋体" w:eastAsia="宋体" w:cs="宋体"/>
          <w:b/>
          <w:bCs/>
          <w:color w:val="auto"/>
          <w:sz w:val="28"/>
          <w:szCs w:val="28"/>
          <w:highlight w:val="none"/>
        </w:rPr>
      </w:pPr>
    </w:p>
    <w:p w14:paraId="5875DC88">
      <w:pPr>
        <w:spacing w:line="460" w:lineRule="exact"/>
        <w:jc w:val="center"/>
        <w:rPr>
          <w:rFonts w:hint="eastAsia" w:ascii="宋体" w:hAnsi="宋体" w:eastAsia="宋体" w:cs="宋体"/>
          <w:b/>
          <w:bCs/>
          <w:color w:val="auto"/>
          <w:sz w:val="28"/>
          <w:szCs w:val="28"/>
          <w:highlight w:val="none"/>
        </w:rPr>
      </w:pPr>
    </w:p>
    <w:p w14:paraId="01028A5E">
      <w:pPr>
        <w:spacing w:line="460" w:lineRule="exact"/>
        <w:jc w:val="center"/>
        <w:rPr>
          <w:rFonts w:hint="eastAsia" w:ascii="宋体" w:hAnsi="宋体" w:eastAsia="宋体" w:cs="宋体"/>
          <w:b/>
          <w:bCs/>
          <w:color w:val="auto"/>
          <w:sz w:val="28"/>
          <w:szCs w:val="28"/>
          <w:highlight w:val="none"/>
        </w:rPr>
      </w:pPr>
    </w:p>
    <w:p w14:paraId="278D3110">
      <w:pPr>
        <w:spacing w:line="460" w:lineRule="exact"/>
        <w:jc w:val="center"/>
        <w:rPr>
          <w:rFonts w:hint="eastAsia" w:ascii="宋体" w:hAnsi="宋体" w:eastAsia="宋体" w:cs="宋体"/>
          <w:b/>
          <w:bCs/>
          <w:color w:val="auto"/>
          <w:sz w:val="28"/>
          <w:szCs w:val="28"/>
          <w:highlight w:val="none"/>
        </w:rPr>
      </w:pPr>
    </w:p>
    <w:p w14:paraId="1EB874F4">
      <w:pPr>
        <w:spacing w:line="460" w:lineRule="exact"/>
        <w:jc w:val="center"/>
        <w:rPr>
          <w:rFonts w:hint="eastAsia" w:ascii="宋体" w:hAnsi="宋体" w:eastAsia="宋体" w:cs="宋体"/>
          <w:b/>
          <w:bCs/>
          <w:color w:val="auto"/>
          <w:sz w:val="28"/>
          <w:szCs w:val="28"/>
          <w:highlight w:val="none"/>
        </w:rPr>
      </w:pPr>
    </w:p>
    <w:p w14:paraId="190CF2E6">
      <w:pPr>
        <w:spacing w:line="460" w:lineRule="exact"/>
        <w:jc w:val="center"/>
        <w:rPr>
          <w:rFonts w:hint="eastAsia" w:ascii="宋体" w:hAnsi="宋体" w:eastAsia="宋体" w:cs="宋体"/>
          <w:b/>
          <w:bCs/>
          <w:color w:val="auto"/>
          <w:sz w:val="28"/>
          <w:szCs w:val="28"/>
          <w:highlight w:val="none"/>
        </w:rPr>
      </w:pPr>
    </w:p>
    <w:p w14:paraId="4A2752D6">
      <w:pPr>
        <w:spacing w:line="460" w:lineRule="exact"/>
        <w:jc w:val="center"/>
        <w:rPr>
          <w:rFonts w:hint="eastAsia" w:ascii="宋体" w:hAnsi="宋体" w:eastAsia="宋体" w:cs="宋体"/>
          <w:b/>
          <w:bCs/>
          <w:color w:val="auto"/>
          <w:sz w:val="28"/>
          <w:szCs w:val="28"/>
          <w:highlight w:val="none"/>
        </w:rPr>
      </w:pPr>
    </w:p>
    <w:p w14:paraId="198C8E21">
      <w:pPr>
        <w:spacing w:line="460" w:lineRule="exact"/>
        <w:jc w:val="center"/>
        <w:rPr>
          <w:rFonts w:hint="eastAsia" w:ascii="宋体" w:hAnsi="宋体" w:eastAsia="宋体" w:cs="宋体"/>
          <w:b/>
          <w:bCs/>
          <w:color w:val="auto"/>
          <w:sz w:val="28"/>
          <w:szCs w:val="28"/>
          <w:highlight w:val="none"/>
        </w:rPr>
      </w:pPr>
    </w:p>
    <w:p w14:paraId="2654CFC2">
      <w:pPr>
        <w:spacing w:line="460" w:lineRule="exact"/>
        <w:jc w:val="center"/>
        <w:rPr>
          <w:rFonts w:hint="eastAsia" w:ascii="宋体" w:hAnsi="宋体" w:eastAsia="宋体" w:cs="宋体"/>
          <w:b/>
          <w:bCs/>
          <w:color w:val="auto"/>
          <w:sz w:val="28"/>
          <w:szCs w:val="28"/>
          <w:highlight w:val="none"/>
        </w:rPr>
      </w:pPr>
    </w:p>
    <w:p w14:paraId="0B930A5E">
      <w:pPr>
        <w:spacing w:line="460" w:lineRule="exact"/>
        <w:jc w:val="center"/>
        <w:rPr>
          <w:rFonts w:hint="eastAsia" w:ascii="宋体" w:hAnsi="宋体" w:eastAsia="宋体" w:cs="宋体"/>
          <w:b/>
          <w:bCs/>
          <w:color w:val="auto"/>
          <w:sz w:val="28"/>
          <w:szCs w:val="28"/>
          <w:highlight w:val="none"/>
        </w:rPr>
      </w:pPr>
    </w:p>
    <w:p w14:paraId="55358B84">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894070" cy="3913505"/>
                <wp:effectExtent l="4445" t="4445" r="6985"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61960646">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64.1pt;z-index:251660288;mso-width-relative:page;mso-height-relative:page;" fillcolor="#FFFFFF" filled="t" stroked="t" coordsize="21600,21600" o:gfxdata="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HqUMHZAAAACQ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61960646">
                      <w:r>
                        <w:rPr>
                          <w:rFonts w:hint="eastAsia" w:ascii="新宋体" w:hAnsi="新宋体" w:eastAsia="新宋体"/>
                          <w:sz w:val="22"/>
                          <w:szCs w:val="22"/>
                        </w:rPr>
                        <w:t xml:space="preserve">  授权代表身份证（正反面）：</w:t>
                      </w:r>
                    </w:p>
                  </w:txbxContent>
                </v:textbox>
              </v:shape>
            </w:pict>
          </mc:Fallback>
        </mc:AlternateContent>
      </w:r>
    </w:p>
    <w:p w14:paraId="242BC660">
      <w:pPr>
        <w:spacing w:line="460" w:lineRule="exact"/>
        <w:jc w:val="center"/>
        <w:rPr>
          <w:rFonts w:hint="eastAsia" w:ascii="宋体" w:hAnsi="宋体" w:eastAsia="宋体" w:cs="宋体"/>
          <w:b/>
          <w:bCs/>
          <w:color w:val="auto"/>
          <w:sz w:val="28"/>
          <w:szCs w:val="28"/>
          <w:highlight w:val="none"/>
        </w:rPr>
      </w:pPr>
    </w:p>
    <w:p w14:paraId="6C45CDAA">
      <w:pPr>
        <w:spacing w:line="460" w:lineRule="exact"/>
        <w:jc w:val="center"/>
        <w:rPr>
          <w:rFonts w:hint="eastAsia" w:ascii="宋体" w:hAnsi="宋体" w:eastAsia="宋体" w:cs="宋体"/>
          <w:b/>
          <w:bCs/>
          <w:color w:val="auto"/>
          <w:sz w:val="28"/>
          <w:szCs w:val="28"/>
          <w:highlight w:val="none"/>
        </w:rPr>
      </w:pPr>
    </w:p>
    <w:p w14:paraId="70243054">
      <w:pPr>
        <w:spacing w:line="460" w:lineRule="exact"/>
        <w:jc w:val="center"/>
        <w:rPr>
          <w:rFonts w:hint="eastAsia" w:ascii="宋体" w:hAnsi="宋体" w:eastAsia="宋体" w:cs="宋体"/>
          <w:b/>
          <w:bCs/>
          <w:color w:val="auto"/>
          <w:sz w:val="28"/>
          <w:szCs w:val="28"/>
          <w:highlight w:val="none"/>
        </w:rPr>
      </w:pPr>
    </w:p>
    <w:p w14:paraId="5587F41F">
      <w:pPr>
        <w:spacing w:line="460" w:lineRule="exact"/>
        <w:jc w:val="center"/>
        <w:rPr>
          <w:rFonts w:hint="eastAsia" w:ascii="宋体" w:hAnsi="宋体" w:eastAsia="宋体" w:cs="宋体"/>
          <w:b/>
          <w:bCs/>
          <w:color w:val="auto"/>
          <w:sz w:val="28"/>
          <w:szCs w:val="28"/>
          <w:highlight w:val="none"/>
        </w:rPr>
      </w:pPr>
    </w:p>
    <w:p w14:paraId="4BBE2627">
      <w:pPr>
        <w:spacing w:line="460" w:lineRule="exact"/>
        <w:jc w:val="center"/>
        <w:rPr>
          <w:rFonts w:hint="eastAsia" w:ascii="宋体" w:hAnsi="宋体" w:eastAsia="宋体" w:cs="宋体"/>
          <w:b/>
          <w:bCs/>
          <w:color w:val="auto"/>
          <w:sz w:val="28"/>
          <w:szCs w:val="28"/>
          <w:highlight w:val="none"/>
        </w:rPr>
      </w:pPr>
    </w:p>
    <w:p w14:paraId="2122F78C">
      <w:pPr>
        <w:spacing w:line="460" w:lineRule="exact"/>
        <w:jc w:val="center"/>
        <w:rPr>
          <w:rFonts w:hint="eastAsia" w:ascii="宋体" w:hAnsi="宋体" w:eastAsia="宋体" w:cs="宋体"/>
          <w:b/>
          <w:bCs/>
          <w:color w:val="auto"/>
          <w:sz w:val="28"/>
          <w:szCs w:val="28"/>
          <w:highlight w:val="none"/>
        </w:rPr>
      </w:pPr>
    </w:p>
    <w:p w14:paraId="1A3DC4D0">
      <w:pPr>
        <w:spacing w:line="460" w:lineRule="exact"/>
        <w:jc w:val="center"/>
        <w:rPr>
          <w:rFonts w:hint="eastAsia" w:ascii="宋体" w:hAnsi="宋体" w:eastAsia="宋体" w:cs="宋体"/>
          <w:b/>
          <w:bCs/>
          <w:color w:val="auto"/>
          <w:sz w:val="28"/>
          <w:szCs w:val="28"/>
          <w:highlight w:val="none"/>
        </w:rPr>
      </w:pPr>
    </w:p>
    <w:p w14:paraId="2246487C">
      <w:pPr>
        <w:spacing w:line="460" w:lineRule="exact"/>
        <w:jc w:val="center"/>
        <w:rPr>
          <w:rFonts w:hint="eastAsia" w:ascii="宋体" w:hAnsi="宋体" w:eastAsia="宋体" w:cs="宋体"/>
          <w:b/>
          <w:bCs/>
          <w:color w:val="auto"/>
          <w:sz w:val="28"/>
          <w:szCs w:val="28"/>
          <w:highlight w:val="none"/>
        </w:rPr>
      </w:pPr>
    </w:p>
    <w:p w14:paraId="082C9F7E">
      <w:pPr>
        <w:spacing w:line="460" w:lineRule="exact"/>
        <w:jc w:val="center"/>
        <w:rPr>
          <w:rFonts w:hint="eastAsia" w:ascii="宋体" w:hAnsi="宋体" w:eastAsia="宋体" w:cs="宋体"/>
          <w:b/>
          <w:bCs/>
          <w:color w:val="auto"/>
          <w:sz w:val="28"/>
          <w:szCs w:val="28"/>
          <w:highlight w:val="none"/>
        </w:rPr>
      </w:pPr>
    </w:p>
    <w:p w14:paraId="6A23C69C">
      <w:pPr>
        <w:spacing w:line="460" w:lineRule="exact"/>
        <w:jc w:val="center"/>
        <w:rPr>
          <w:rFonts w:hint="eastAsia" w:ascii="宋体" w:hAnsi="宋体" w:eastAsia="宋体" w:cs="宋体"/>
          <w:b/>
          <w:bCs/>
          <w:color w:val="auto"/>
          <w:sz w:val="28"/>
          <w:szCs w:val="28"/>
          <w:highlight w:val="none"/>
        </w:rPr>
      </w:pPr>
    </w:p>
    <w:p w14:paraId="1784F7E0">
      <w:pPr>
        <w:spacing w:line="460" w:lineRule="exact"/>
        <w:jc w:val="center"/>
        <w:rPr>
          <w:rFonts w:hint="eastAsia" w:ascii="宋体" w:hAnsi="宋体" w:eastAsia="宋体" w:cs="宋体"/>
          <w:b/>
          <w:bCs/>
          <w:color w:val="auto"/>
          <w:sz w:val="28"/>
          <w:szCs w:val="28"/>
          <w:highlight w:val="none"/>
        </w:rPr>
      </w:pPr>
    </w:p>
    <w:p w14:paraId="4C07D512">
      <w:pPr>
        <w:spacing w:line="460" w:lineRule="exact"/>
        <w:jc w:val="center"/>
        <w:rPr>
          <w:rFonts w:hint="eastAsia" w:ascii="宋体" w:hAnsi="宋体" w:eastAsia="宋体" w:cs="宋体"/>
          <w:b/>
          <w:bCs/>
          <w:color w:val="auto"/>
          <w:sz w:val="28"/>
          <w:szCs w:val="28"/>
          <w:highlight w:val="none"/>
        </w:rPr>
      </w:pPr>
    </w:p>
    <w:p w14:paraId="78A23128">
      <w:pPr>
        <w:spacing w:line="460" w:lineRule="exact"/>
        <w:jc w:val="center"/>
        <w:rPr>
          <w:rFonts w:hint="eastAsia" w:ascii="宋体" w:hAnsi="宋体" w:eastAsia="宋体" w:cs="宋体"/>
          <w:b/>
          <w:bCs/>
          <w:color w:val="auto"/>
          <w:sz w:val="28"/>
          <w:szCs w:val="28"/>
          <w:highlight w:val="none"/>
        </w:rPr>
      </w:pPr>
    </w:p>
    <w:p w14:paraId="76EB5B78">
      <w:pPr>
        <w:spacing w:line="460" w:lineRule="exact"/>
        <w:jc w:val="center"/>
        <w:rPr>
          <w:rFonts w:hint="eastAsia" w:ascii="宋体" w:hAnsi="宋体" w:eastAsia="宋体" w:cs="宋体"/>
          <w:b/>
          <w:bCs/>
          <w:color w:val="auto"/>
          <w:sz w:val="28"/>
          <w:szCs w:val="28"/>
          <w:highlight w:val="none"/>
        </w:rPr>
      </w:pPr>
    </w:p>
    <w:p w14:paraId="10E55B9F">
      <w:pPr>
        <w:spacing w:line="460" w:lineRule="exact"/>
        <w:jc w:val="center"/>
        <w:rPr>
          <w:rFonts w:hint="eastAsia" w:ascii="宋体" w:hAnsi="宋体" w:eastAsia="宋体" w:cs="宋体"/>
          <w:b/>
          <w:bCs/>
          <w:color w:val="auto"/>
          <w:sz w:val="28"/>
          <w:szCs w:val="28"/>
          <w:highlight w:val="none"/>
        </w:rPr>
      </w:pPr>
    </w:p>
    <w:p w14:paraId="63BEF58A">
      <w:pPr>
        <w:widowControl/>
        <w:adjustRightInd w:val="0"/>
        <w:snapToGrid w:val="0"/>
        <w:spacing w:line="360" w:lineRule="auto"/>
        <w:rPr>
          <w:rFonts w:hint="eastAsia" w:ascii="宋体" w:hAnsi="宋体" w:eastAsia="宋体" w:cs="宋体"/>
          <w:color w:val="auto"/>
          <w:sz w:val="22"/>
          <w:szCs w:val="22"/>
          <w:highlight w:val="none"/>
        </w:rPr>
      </w:pPr>
    </w:p>
    <w:p w14:paraId="2EB01737">
      <w:pPr>
        <w:widowControl/>
        <w:adjustRightInd w:val="0"/>
        <w:snapToGrid w:val="0"/>
        <w:spacing w:line="360" w:lineRule="auto"/>
        <w:rPr>
          <w:rFonts w:hint="eastAsia" w:ascii="宋体" w:hAnsi="宋体" w:eastAsia="宋体" w:cs="宋体"/>
          <w:color w:val="auto"/>
          <w:sz w:val="22"/>
          <w:szCs w:val="22"/>
          <w:highlight w:val="none"/>
        </w:rPr>
      </w:pPr>
    </w:p>
    <w:p w14:paraId="39CE6E1B">
      <w:pPr>
        <w:widowControl/>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24AF8511">
      <w:pPr>
        <w:pStyle w:val="22"/>
        <w:ind w:firstLine="321"/>
        <w:rPr>
          <w:rFonts w:hint="eastAsia" w:ascii="宋体" w:hAnsi="宋体" w:eastAsia="宋体" w:cs="宋体"/>
          <w:b/>
          <w:color w:val="auto"/>
          <w:kern w:val="0"/>
          <w:sz w:val="28"/>
          <w:szCs w:val="28"/>
          <w:highlight w:val="none"/>
          <w:lang w:eastAsia="zh-CN"/>
        </w:rPr>
      </w:pPr>
    </w:p>
    <w:p w14:paraId="2A4FDC44">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二、</w:t>
      </w:r>
      <w:r>
        <w:rPr>
          <w:rFonts w:hint="eastAsia" w:ascii="宋体" w:hAnsi="宋体" w:eastAsia="宋体" w:cs="宋体"/>
          <w:b/>
          <w:color w:val="auto"/>
          <w:kern w:val="0"/>
          <w:sz w:val="28"/>
          <w:szCs w:val="28"/>
          <w:highlight w:val="none"/>
        </w:rPr>
        <w:t>提供营业执照(或事业法人登记证书或其它工商等登记证明材料)</w:t>
      </w:r>
    </w:p>
    <w:p w14:paraId="7DAA2B19">
      <w:pPr>
        <w:pStyle w:val="22"/>
        <w:ind w:firstLine="321"/>
        <w:rPr>
          <w:rFonts w:hint="eastAsia" w:ascii="宋体" w:hAnsi="宋体" w:eastAsia="宋体" w:cs="宋体"/>
          <w:b/>
          <w:color w:val="auto"/>
          <w:kern w:val="0"/>
          <w:sz w:val="28"/>
          <w:szCs w:val="28"/>
          <w:highlight w:val="none"/>
          <w:lang w:eastAsia="zh-CN"/>
        </w:rPr>
      </w:pPr>
    </w:p>
    <w:p w14:paraId="47CFBA06">
      <w:pPr>
        <w:pStyle w:val="22"/>
        <w:ind w:firstLine="321"/>
        <w:rPr>
          <w:rFonts w:hint="eastAsia" w:ascii="宋体" w:hAnsi="宋体" w:eastAsia="宋体" w:cs="宋体"/>
          <w:b/>
          <w:color w:val="auto"/>
          <w:kern w:val="0"/>
          <w:sz w:val="28"/>
          <w:szCs w:val="28"/>
          <w:highlight w:val="none"/>
          <w:lang w:eastAsia="zh-CN"/>
        </w:rPr>
      </w:pPr>
    </w:p>
    <w:p w14:paraId="77794D2A">
      <w:pPr>
        <w:rPr>
          <w:rFonts w:hint="eastAsia" w:ascii="宋体" w:hAnsi="宋体" w:eastAsia="宋体" w:cs="宋体"/>
          <w:color w:val="auto"/>
          <w:highlight w:val="none"/>
        </w:rPr>
      </w:pPr>
    </w:p>
    <w:p w14:paraId="66368F99">
      <w:pPr>
        <w:pStyle w:val="53"/>
        <w:rPr>
          <w:rFonts w:hint="eastAsia" w:ascii="宋体" w:hAnsi="宋体" w:eastAsia="宋体" w:cs="宋体"/>
          <w:color w:val="auto"/>
          <w:highlight w:val="none"/>
        </w:rPr>
      </w:pPr>
    </w:p>
    <w:p w14:paraId="5726DC9C">
      <w:pPr>
        <w:rPr>
          <w:rFonts w:hint="eastAsia" w:ascii="宋体" w:hAnsi="宋体" w:eastAsia="宋体" w:cs="宋体"/>
          <w:color w:val="auto"/>
          <w:highlight w:val="none"/>
        </w:rPr>
      </w:pPr>
    </w:p>
    <w:p w14:paraId="09C5A034">
      <w:pPr>
        <w:pStyle w:val="53"/>
        <w:rPr>
          <w:rFonts w:hint="eastAsia" w:ascii="宋体" w:hAnsi="宋体" w:eastAsia="宋体" w:cs="宋体"/>
          <w:color w:val="auto"/>
          <w:highlight w:val="none"/>
        </w:rPr>
      </w:pPr>
    </w:p>
    <w:p w14:paraId="28BD1D1A">
      <w:pPr>
        <w:rPr>
          <w:rFonts w:hint="eastAsia" w:ascii="宋体" w:hAnsi="宋体" w:eastAsia="宋体" w:cs="宋体"/>
          <w:color w:val="auto"/>
          <w:highlight w:val="none"/>
        </w:rPr>
      </w:pPr>
    </w:p>
    <w:p w14:paraId="4C57B2E2">
      <w:pPr>
        <w:pStyle w:val="53"/>
        <w:rPr>
          <w:rFonts w:hint="eastAsia" w:ascii="宋体" w:hAnsi="宋体" w:eastAsia="宋体" w:cs="宋体"/>
          <w:color w:val="auto"/>
          <w:highlight w:val="none"/>
        </w:rPr>
      </w:pPr>
    </w:p>
    <w:p w14:paraId="0AA6F8A3">
      <w:pPr>
        <w:rPr>
          <w:rFonts w:hint="eastAsia" w:ascii="宋体" w:hAnsi="宋体" w:eastAsia="宋体" w:cs="宋体"/>
          <w:color w:val="auto"/>
          <w:highlight w:val="none"/>
        </w:rPr>
      </w:pPr>
    </w:p>
    <w:p w14:paraId="4D2C8FD0">
      <w:pPr>
        <w:pStyle w:val="53"/>
        <w:rPr>
          <w:rFonts w:hint="eastAsia" w:ascii="宋体" w:hAnsi="宋体" w:eastAsia="宋体" w:cs="宋体"/>
          <w:color w:val="auto"/>
          <w:highlight w:val="none"/>
        </w:rPr>
      </w:pPr>
    </w:p>
    <w:p w14:paraId="7415605B">
      <w:pPr>
        <w:rPr>
          <w:rFonts w:hint="eastAsia" w:ascii="宋体" w:hAnsi="宋体" w:eastAsia="宋体" w:cs="宋体"/>
          <w:color w:val="auto"/>
          <w:highlight w:val="none"/>
        </w:rPr>
      </w:pPr>
    </w:p>
    <w:p w14:paraId="4BE3728F">
      <w:pPr>
        <w:pStyle w:val="53"/>
        <w:rPr>
          <w:rFonts w:hint="eastAsia" w:ascii="宋体" w:hAnsi="宋体" w:eastAsia="宋体" w:cs="宋体"/>
          <w:color w:val="auto"/>
          <w:highlight w:val="none"/>
        </w:rPr>
      </w:pPr>
    </w:p>
    <w:p w14:paraId="73748124">
      <w:pPr>
        <w:rPr>
          <w:rFonts w:hint="eastAsia" w:ascii="宋体" w:hAnsi="宋体" w:eastAsia="宋体" w:cs="宋体"/>
          <w:color w:val="auto"/>
          <w:highlight w:val="none"/>
        </w:rPr>
      </w:pPr>
    </w:p>
    <w:p w14:paraId="18677A28">
      <w:pPr>
        <w:pStyle w:val="53"/>
        <w:rPr>
          <w:rFonts w:hint="eastAsia" w:ascii="宋体" w:hAnsi="宋体" w:eastAsia="宋体" w:cs="宋体"/>
          <w:color w:val="auto"/>
          <w:highlight w:val="none"/>
        </w:rPr>
      </w:pPr>
    </w:p>
    <w:p w14:paraId="59581033">
      <w:pPr>
        <w:rPr>
          <w:rFonts w:hint="eastAsia" w:ascii="宋体" w:hAnsi="宋体" w:eastAsia="宋体" w:cs="宋体"/>
          <w:color w:val="auto"/>
          <w:highlight w:val="none"/>
        </w:rPr>
      </w:pPr>
    </w:p>
    <w:p w14:paraId="2634621A">
      <w:pPr>
        <w:pStyle w:val="53"/>
        <w:rPr>
          <w:rFonts w:hint="eastAsia" w:ascii="宋体" w:hAnsi="宋体" w:eastAsia="宋体" w:cs="宋体"/>
          <w:color w:val="auto"/>
          <w:highlight w:val="none"/>
        </w:rPr>
      </w:pPr>
    </w:p>
    <w:p w14:paraId="7D5FDD19">
      <w:pPr>
        <w:rPr>
          <w:rFonts w:hint="eastAsia" w:ascii="宋体" w:hAnsi="宋体" w:eastAsia="宋体" w:cs="宋体"/>
          <w:color w:val="auto"/>
          <w:highlight w:val="none"/>
        </w:rPr>
      </w:pPr>
    </w:p>
    <w:p w14:paraId="636E59C6">
      <w:pPr>
        <w:pStyle w:val="53"/>
        <w:rPr>
          <w:rFonts w:hint="eastAsia" w:ascii="宋体" w:hAnsi="宋体" w:eastAsia="宋体" w:cs="宋体"/>
          <w:color w:val="auto"/>
          <w:highlight w:val="none"/>
        </w:rPr>
      </w:pPr>
    </w:p>
    <w:p w14:paraId="0306E935">
      <w:pPr>
        <w:rPr>
          <w:rFonts w:hint="eastAsia" w:ascii="宋体" w:hAnsi="宋体" w:eastAsia="宋体" w:cs="宋体"/>
          <w:color w:val="auto"/>
          <w:highlight w:val="none"/>
        </w:rPr>
      </w:pPr>
    </w:p>
    <w:p w14:paraId="7853EA58">
      <w:pPr>
        <w:pStyle w:val="53"/>
        <w:rPr>
          <w:rFonts w:hint="eastAsia" w:ascii="宋体" w:hAnsi="宋体" w:eastAsia="宋体" w:cs="宋体"/>
          <w:color w:val="auto"/>
          <w:highlight w:val="none"/>
        </w:rPr>
      </w:pPr>
    </w:p>
    <w:p w14:paraId="242237E6">
      <w:pPr>
        <w:rPr>
          <w:rFonts w:hint="eastAsia" w:ascii="宋体" w:hAnsi="宋体" w:eastAsia="宋体" w:cs="宋体"/>
          <w:color w:val="auto"/>
          <w:highlight w:val="none"/>
        </w:rPr>
      </w:pPr>
    </w:p>
    <w:p w14:paraId="4DE7FDEC">
      <w:pPr>
        <w:pStyle w:val="53"/>
        <w:rPr>
          <w:rFonts w:hint="eastAsia" w:ascii="宋体" w:hAnsi="宋体" w:eastAsia="宋体" w:cs="宋体"/>
          <w:color w:val="auto"/>
          <w:highlight w:val="none"/>
        </w:rPr>
      </w:pPr>
    </w:p>
    <w:p w14:paraId="7FDB64A6">
      <w:pPr>
        <w:rPr>
          <w:rFonts w:hint="eastAsia" w:ascii="宋体" w:hAnsi="宋体" w:eastAsia="宋体" w:cs="宋体"/>
          <w:color w:val="auto"/>
          <w:highlight w:val="none"/>
        </w:rPr>
      </w:pPr>
    </w:p>
    <w:p w14:paraId="71C1EF0A">
      <w:pPr>
        <w:pStyle w:val="53"/>
        <w:rPr>
          <w:rFonts w:hint="eastAsia" w:ascii="宋体" w:hAnsi="宋体" w:eastAsia="宋体" w:cs="宋体"/>
          <w:color w:val="auto"/>
          <w:highlight w:val="none"/>
        </w:rPr>
      </w:pPr>
    </w:p>
    <w:p w14:paraId="493F79DA">
      <w:pPr>
        <w:rPr>
          <w:rFonts w:hint="eastAsia" w:ascii="宋体" w:hAnsi="宋体" w:eastAsia="宋体" w:cs="宋体"/>
          <w:color w:val="auto"/>
          <w:highlight w:val="none"/>
        </w:rPr>
      </w:pPr>
    </w:p>
    <w:p w14:paraId="4B9B2DC6">
      <w:pPr>
        <w:pStyle w:val="53"/>
        <w:rPr>
          <w:rFonts w:hint="eastAsia" w:ascii="宋体" w:hAnsi="宋体" w:eastAsia="宋体" w:cs="宋体"/>
          <w:color w:val="auto"/>
          <w:highlight w:val="none"/>
        </w:rPr>
      </w:pPr>
    </w:p>
    <w:p w14:paraId="0E798936">
      <w:pPr>
        <w:rPr>
          <w:rFonts w:hint="eastAsia" w:ascii="宋体" w:hAnsi="宋体" w:eastAsia="宋体" w:cs="宋体"/>
          <w:color w:val="auto"/>
          <w:highlight w:val="none"/>
        </w:rPr>
      </w:pPr>
    </w:p>
    <w:p w14:paraId="0AF5E904">
      <w:pPr>
        <w:pStyle w:val="53"/>
        <w:rPr>
          <w:rFonts w:hint="eastAsia" w:ascii="宋体" w:hAnsi="宋体" w:eastAsia="宋体" w:cs="宋体"/>
          <w:color w:val="auto"/>
          <w:highlight w:val="none"/>
        </w:rPr>
      </w:pPr>
    </w:p>
    <w:p w14:paraId="1B12D2F1">
      <w:pPr>
        <w:rPr>
          <w:rFonts w:hint="eastAsia" w:ascii="宋体" w:hAnsi="宋体" w:eastAsia="宋体" w:cs="宋体"/>
          <w:color w:val="auto"/>
          <w:highlight w:val="none"/>
        </w:rPr>
      </w:pPr>
    </w:p>
    <w:p w14:paraId="4E02DC1E">
      <w:pPr>
        <w:pStyle w:val="53"/>
        <w:rPr>
          <w:rFonts w:hint="eastAsia" w:ascii="宋体" w:hAnsi="宋体" w:eastAsia="宋体" w:cs="宋体"/>
          <w:color w:val="auto"/>
          <w:highlight w:val="none"/>
        </w:rPr>
      </w:pPr>
    </w:p>
    <w:p w14:paraId="457649D8">
      <w:pPr>
        <w:pStyle w:val="22"/>
        <w:rPr>
          <w:rFonts w:hint="eastAsia" w:ascii="宋体" w:hAnsi="宋体" w:eastAsia="宋体" w:cs="宋体"/>
          <w:color w:val="auto"/>
          <w:highlight w:val="none"/>
        </w:rPr>
      </w:pPr>
    </w:p>
    <w:p w14:paraId="28C92E3B">
      <w:pPr>
        <w:rPr>
          <w:rFonts w:hint="eastAsia" w:ascii="宋体" w:hAnsi="宋体" w:eastAsia="宋体" w:cs="宋体"/>
          <w:color w:val="auto"/>
          <w:highlight w:val="none"/>
        </w:rPr>
      </w:pPr>
    </w:p>
    <w:p w14:paraId="656F4738">
      <w:pPr>
        <w:pStyle w:val="53"/>
        <w:rPr>
          <w:rFonts w:hint="eastAsia" w:ascii="宋体" w:hAnsi="宋体" w:eastAsia="宋体" w:cs="宋体"/>
          <w:color w:val="auto"/>
          <w:highlight w:val="none"/>
        </w:rPr>
      </w:pPr>
    </w:p>
    <w:p w14:paraId="2ACE97A5">
      <w:pPr>
        <w:pStyle w:val="22"/>
        <w:rPr>
          <w:rFonts w:hint="eastAsia" w:ascii="宋体" w:hAnsi="宋体" w:eastAsia="宋体" w:cs="宋体"/>
          <w:color w:val="auto"/>
          <w:highlight w:val="none"/>
        </w:rPr>
      </w:pPr>
    </w:p>
    <w:p w14:paraId="26A1EA60">
      <w:pPr>
        <w:pStyle w:val="53"/>
        <w:rPr>
          <w:rFonts w:hint="eastAsia" w:ascii="宋体" w:hAnsi="宋体" w:eastAsia="宋体" w:cs="宋体"/>
          <w:color w:val="auto"/>
          <w:highlight w:val="none"/>
        </w:rPr>
      </w:pPr>
    </w:p>
    <w:p w14:paraId="6FCE9508">
      <w:pPr>
        <w:pStyle w:val="4"/>
        <w:shd w:val="clear" w:color="auto" w:fill="auto"/>
        <w:jc w:val="center"/>
        <w:rPr>
          <w:rFonts w:hint="eastAsia" w:ascii="宋体" w:hAnsi="宋体" w:eastAsia="宋体" w:cs="宋体"/>
          <w:color w:val="auto"/>
          <w:kern w:val="0"/>
          <w:sz w:val="32"/>
          <w:szCs w:val="32"/>
          <w:highlight w:val="none"/>
          <w:lang w:val="zh-CN"/>
        </w:rPr>
      </w:pPr>
      <w:bookmarkStart w:id="75" w:name="_Toc22089"/>
      <w:r>
        <w:rPr>
          <w:rFonts w:hint="eastAsia" w:ascii="宋体" w:hAnsi="宋体" w:eastAsia="宋体" w:cs="宋体"/>
          <w:color w:val="auto"/>
          <w:kern w:val="0"/>
          <w:sz w:val="28"/>
          <w:szCs w:val="28"/>
          <w:highlight w:val="none"/>
        </w:rPr>
        <w:t>三、</w:t>
      </w:r>
      <w:r>
        <w:rPr>
          <w:rFonts w:hint="eastAsia" w:ascii="宋体" w:hAnsi="宋体" w:eastAsia="宋体" w:cs="宋体"/>
          <w:color w:val="auto"/>
          <w:kern w:val="0"/>
          <w:sz w:val="32"/>
          <w:szCs w:val="32"/>
          <w:highlight w:val="none"/>
          <w:lang w:val="zh-CN"/>
        </w:rPr>
        <w:t>资格条件承诺函</w:t>
      </w:r>
      <w:bookmarkEnd w:id="75"/>
    </w:p>
    <w:p w14:paraId="3A185EB8">
      <w:pPr>
        <w:shd w:val="clear" w:color="auto" w:fill="auto"/>
        <w:spacing w:line="440" w:lineRule="exact"/>
        <w:ind w:right="-156" w:rightChars="-73"/>
        <w:rPr>
          <w:rFonts w:hint="eastAsia" w:ascii="宋体" w:hAnsi="宋体" w:eastAsia="宋体" w:cs="宋体"/>
          <w:color w:val="auto"/>
          <w:sz w:val="22"/>
          <w:szCs w:val="22"/>
          <w:highlight w:val="none"/>
        </w:rPr>
      </w:pPr>
    </w:p>
    <w:p w14:paraId="00A29170">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789C53AE">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3B595E8C">
      <w:pPr>
        <w:shd w:val="clear" w:color="auto" w:fill="auto"/>
        <w:snapToGrid w:val="0"/>
        <w:spacing w:line="440" w:lineRule="exact"/>
        <w:rPr>
          <w:rFonts w:hint="eastAsia" w:ascii="宋体" w:hAnsi="宋体" w:eastAsia="宋体" w:cs="宋体"/>
          <w:color w:val="auto"/>
          <w:sz w:val="22"/>
          <w:szCs w:val="22"/>
          <w:highlight w:val="none"/>
        </w:rPr>
      </w:pPr>
    </w:p>
    <w:p w14:paraId="0A961FC2">
      <w:pPr>
        <w:widowControl/>
        <w:shd w:val="clear" w:color="auto" w:fill="auto"/>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（项目名称、项目编号）项目投标，现郑重承诺：</w:t>
      </w:r>
    </w:p>
    <w:p w14:paraId="4EE11D53">
      <w:pPr>
        <w:widowControl/>
        <w:shd w:val="clear" w:color="auto" w:fill="auto"/>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1.我方符合《中华人民共和国政府采购法》第二十二条规定的资格条件，即</w:t>
      </w:r>
    </w:p>
    <w:p w14:paraId="79B682E7">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14749F15">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347BEC10">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16607DE1">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288A3FF6">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608CAC0">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（6）我方符合“法律、行政法规规定的其他条件”。</w:t>
      </w:r>
    </w:p>
    <w:p w14:paraId="60C87440">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2.致本项目投标截止时间为止，我方未被“信用中国（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https://www.creditchina.gov.cn/</w:t>
      </w:r>
      <w:r>
        <w:rPr>
          <w:rStyle w:val="65"/>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中国政府采购网（http://www.ccgp.gov.cn）列列入失信被执行人名单、税收违法黑名单、政府采购严重违法失信行为记录名单。</w:t>
      </w:r>
    </w:p>
    <w:p w14:paraId="61C38048">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rPr>
        <w:t>在参加本项目前三年内（被通报或者处罚的违法行为有：</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至</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期间禁止参加政府采购活动但是期限届满，须附相关证明文件）。</w:t>
      </w:r>
    </w:p>
    <w:p w14:paraId="33815849">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p>
    <w:p w14:paraId="07C20102">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14:paraId="6506B67D">
      <w:pPr>
        <w:pStyle w:val="30"/>
        <w:shd w:val="clear" w:color="auto" w:fill="auto"/>
        <w:spacing w:line="600" w:lineRule="exact"/>
        <w:ind w:firstLine="4928" w:firstLineChars="2200"/>
        <w:rPr>
          <w:rFonts w:hint="eastAsia" w:ascii="宋体" w:hAnsi="宋体" w:eastAsia="宋体" w:cs="宋体"/>
          <w:color w:val="auto"/>
          <w:sz w:val="22"/>
          <w:szCs w:val="22"/>
          <w:highlight w:val="none"/>
        </w:rPr>
      </w:pPr>
    </w:p>
    <w:p w14:paraId="14BD5847">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投标人全称（盖章或 </w:t>
      </w:r>
      <w:r>
        <w:rPr>
          <w:rFonts w:hint="eastAsia" w:ascii="宋体" w:hAnsi="宋体" w:eastAsia="宋体" w:cs="宋体"/>
          <w:color w:val="auto"/>
          <w:sz w:val="22"/>
          <w:szCs w:val="22"/>
          <w:highlight w:val="none"/>
          <w:lang w:eastAsia="zh-CN"/>
        </w:rPr>
        <w:t>CA签章</w:t>
      </w:r>
      <w:r>
        <w:rPr>
          <w:rFonts w:hint="eastAsia" w:ascii="宋体" w:hAnsi="宋体" w:eastAsia="宋体" w:cs="宋体"/>
          <w:color w:val="auto"/>
          <w:sz w:val="22"/>
          <w:szCs w:val="22"/>
          <w:highlight w:val="none"/>
        </w:rPr>
        <w:t>）：</w:t>
      </w:r>
    </w:p>
    <w:p w14:paraId="22B5F94F">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11187604">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5C4B54C">
      <w:pPr>
        <w:shd w:val="clear" w:color="auto" w:fill="auto"/>
        <w:spacing w:line="380" w:lineRule="exact"/>
        <w:ind w:left="-364" w:leftChars="-171" w:hanging="1"/>
        <w:jc w:val="center"/>
        <w:rPr>
          <w:rFonts w:hint="eastAsia" w:ascii="宋体" w:hAnsi="宋体" w:eastAsia="宋体" w:cs="宋体"/>
          <w:bCs/>
          <w:color w:val="auto"/>
          <w:sz w:val="22"/>
          <w:szCs w:val="22"/>
          <w:highlight w:val="none"/>
        </w:rPr>
      </w:pPr>
    </w:p>
    <w:p w14:paraId="32C82B58">
      <w:pPr>
        <w:shd w:val="clear" w:color="auto" w:fill="auto"/>
        <w:spacing w:line="380" w:lineRule="exact"/>
        <w:ind w:left="-365" w:leftChars="-171" w:firstLine="448"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▲不提交本承诺书按无效标处理。</w:t>
      </w:r>
    </w:p>
    <w:p w14:paraId="2F55CE69">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060AB8E2">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p>
    <w:p w14:paraId="55502C69">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四、申请材料真实性声明</w:t>
      </w:r>
    </w:p>
    <w:p w14:paraId="08AB690D">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p>
    <w:p w14:paraId="1DD3634A">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2D6A7CBB">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6612758C">
      <w:pPr>
        <w:widowControl/>
        <w:shd w:val="clear" w:color="auto" w:fill="auto"/>
        <w:adjustRightInd w:val="0"/>
        <w:snapToGrid w:val="0"/>
        <w:spacing w:line="360" w:lineRule="auto"/>
        <w:jc w:val="left"/>
        <w:rPr>
          <w:rFonts w:hint="eastAsia" w:ascii="宋体" w:hAnsi="宋体" w:eastAsia="宋体" w:cs="宋体"/>
          <w:color w:val="auto"/>
          <w:kern w:val="0"/>
          <w:sz w:val="22"/>
          <w:szCs w:val="22"/>
          <w:highlight w:val="none"/>
        </w:rPr>
      </w:pPr>
    </w:p>
    <w:p w14:paraId="06D21A28">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我单位此次响应参与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（项目名称、项目编号）招投标活动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14:paraId="3E8D3212">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p>
    <w:p w14:paraId="46A1336B">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14:paraId="24AA4CFE">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投标人全称（盖章或 </w:t>
      </w:r>
      <w:r>
        <w:rPr>
          <w:rFonts w:hint="eastAsia" w:ascii="宋体" w:hAnsi="宋体" w:eastAsia="宋体" w:cs="宋体"/>
          <w:color w:val="auto"/>
          <w:sz w:val="22"/>
          <w:szCs w:val="22"/>
          <w:highlight w:val="none"/>
          <w:lang w:eastAsia="zh-CN"/>
        </w:rPr>
        <w:t>CA签章</w:t>
      </w:r>
      <w:r>
        <w:rPr>
          <w:rFonts w:hint="eastAsia" w:ascii="宋体" w:hAnsi="宋体" w:eastAsia="宋体" w:cs="宋体"/>
          <w:color w:val="auto"/>
          <w:sz w:val="22"/>
          <w:szCs w:val="22"/>
          <w:highlight w:val="none"/>
        </w:rPr>
        <w:t>）：</w:t>
      </w:r>
    </w:p>
    <w:p w14:paraId="65F4E483">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004A32DF">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1258CCB">
      <w:pPr>
        <w:pStyle w:val="4"/>
        <w:shd w:val="clear" w:color="auto" w:fill="auto"/>
        <w:rPr>
          <w:rFonts w:hint="eastAsia" w:ascii="宋体" w:hAnsi="宋体" w:eastAsia="宋体" w:cs="宋体"/>
          <w:color w:val="auto"/>
          <w:highlight w:val="none"/>
        </w:rPr>
      </w:pPr>
    </w:p>
    <w:p w14:paraId="3BAF7883">
      <w:pPr>
        <w:shd w:val="clear" w:color="auto" w:fill="auto"/>
        <w:rPr>
          <w:rFonts w:hint="eastAsia" w:ascii="宋体" w:hAnsi="宋体" w:eastAsia="宋体" w:cs="宋体"/>
          <w:color w:val="auto"/>
          <w:highlight w:val="none"/>
        </w:rPr>
      </w:pPr>
    </w:p>
    <w:p w14:paraId="138294F4">
      <w:pPr>
        <w:pStyle w:val="22"/>
        <w:shd w:val="clear" w:color="auto" w:fill="auto"/>
        <w:ind w:firstLine="200"/>
        <w:rPr>
          <w:rFonts w:hint="eastAsia" w:ascii="宋体" w:hAnsi="宋体" w:eastAsia="宋体" w:cs="宋体"/>
          <w:color w:val="auto"/>
          <w:highlight w:val="none"/>
        </w:rPr>
      </w:pPr>
    </w:p>
    <w:p w14:paraId="719E7FF6">
      <w:pPr>
        <w:shd w:val="clear" w:color="auto" w:fill="auto"/>
        <w:rPr>
          <w:rFonts w:hint="eastAsia" w:ascii="宋体" w:hAnsi="宋体" w:eastAsia="宋体" w:cs="宋体"/>
          <w:color w:val="auto"/>
          <w:highlight w:val="none"/>
        </w:rPr>
      </w:pPr>
    </w:p>
    <w:p w14:paraId="6C41F928">
      <w:pPr>
        <w:pStyle w:val="22"/>
        <w:shd w:val="clear" w:color="auto" w:fill="auto"/>
        <w:ind w:firstLine="200"/>
        <w:rPr>
          <w:rFonts w:hint="eastAsia" w:ascii="宋体" w:hAnsi="宋体" w:eastAsia="宋体" w:cs="宋体"/>
          <w:color w:val="auto"/>
          <w:highlight w:val="none"/>
        </w:rPr>
      </w:pPr>
    </w:p>
    <w:p w14:paraId="2C596690">
      <w:pPr>
        <w:shd w:val="clear" w:color="auto" w:fill="auto"/>
        <w:rPr>
          <w:rFonts w:hint="eastAsia" w:ascii="宋体" w:hAnsi="宋体" w:eastAsia="宋体" w:cs="宋体"/>
          <w:color w:val="auto"/>
          <w:highlight w:val="none"/>
        </w:rPr>
      </w:pPr>
    </w:p>
    <w:p w14:paraId="18F3E0ED">
      <w:pPr>
        <w:shd w:val="clear" w:color="auto" w:fill="auto"/>
        <w:rPr>
          <w:rFonts w:hint="eastAsia" w:ascii="宋体" w:hAnsi="宋体" w:eastAsia="宋体" w:cs="宋体"/>
          <w:color w:val="auto"/>
          <w:highlight w:val="none"/>
        </w:rPr>
      </w:pPr>
    </w:p>
    <w:p w14:paraId="171F51E8">
      <w:pPr>
        <w:shd w:val="clear" w:color="auto" w:fill="auto"/>
        <w:rPr>
          <w:rFonts w:hint="eastAsia" w:ascii="宋体" w:hAnsi="宋体" w:eastAsia="宋体" w:cs="宋体"/>
          <w:color w:val="auto"/>
          <w:highlight w:val="none"/>
        </w:rPr>
      </w:pPr>
    </w:p>
    <w:p w14:paraId="4F10073B">
      <w:pPr>
        <w:shd w:val="clear" w:color="auto" w:fill="auto"/>
        <w:rPr>
          <w:rFonts w:hint="eastAsia" w:ascii="宋体" w:hAnsi="宋体" w:eastAsia="宋体" w:cs="宋体"/>
          <w:color w:val="auto"/>
          <w:highlight w:val="none"/>
        </w:rPr>
      </w:pPr>
    </w:p>
    <w:p w14:paraId="589529E8">
      <w:pPr>
        <w:pStyle w:val="4"/>
        <w:shd w:val="clear" w:color="auto" w:fill="auto"/>
        <w:rPr>
          <w:rFonts w:hint="eastAsia" w:ascii="宋体" w:hAnsi="宋体" w:eastAsia="宋体" w:cs="宋体"/>
          <w:bCs/>
          <w:color w:val="auto"/>
          <w:highlight w:val="none"/>
        </w:rPr>
      </w:pPr>
    </w:p>
    <w:p w14:paraId="2872EBD7">
      <w:pPr>
        <w:rPr>
          <w:rFonts w:hint="eastAsia" w:ascii="宋体" w:hAnsi="宋体" w:eastAsia="宋体" w:cs="宋体"/>
          <w:color w:val="auto"/>
          <w:highlight w:val="none"/>
        </w:rPr>
      </w:pPr>
    </w:p>
    <w:p w14:paraId="0E5F2BFB">
      <w:pPr>
        <w:pStyle w:val="22"/>
        <w:rPr>
          <w:rFonts w:hint="eastAsia" w:ascii="宋体" w:hAnsi="宋体" w:eastAsia="宋体" w:cs="宋体"/>
          <w:color w:val="auto"/>
          <w:highlight w:val="none"/>
        </w:rPr>
      </w:pPr>
    </w:p>
    <w:p w14:paraId="6B54F19F">
      <w:pPr>
        <w:pStyle w:val="23"/>
        <w:rPr>
          <w:rFonts w:hint="eastAsia" w:ascii="宋体" w:hAnsi="宋体" w:eastAsia="宋体" w:cs="宋体"/>
          <w:color w:val="auto"/>
          <w:highlight w:val="none"/>
        </w:rPr>
      </w:pPr>
    </w:p>
    <w:p w14:paraId="7F4F9029">
      <w:pPr>
        <w:rPr>
          <w:rFonts w:hint="eastAsia" w:ascii="宋体" w:hAnsi="宋体" w:eastAsia="宋体" w:cs="宋体"/>
          <w:color w:val="auto"/>
          <w:highlight w:val="none"/>
        </w:rPr>
      </w:pPr>
    </w:p>
    <w:p w14:paraId="65FEE7CA">
      <w:pPr>
        <w:pStyle w:val="22"/>
        <w:rPr>
          <w:rFonts w:hint="eastAsia" w:ascii="宋体" w:hAnsi="宋体" w:eastAsia="宋体" w:cs="宋体"/>
          <w:color w:val="auto"/>
          <w:highlight w:val="none"/>
        </w:rPr>
      </w:pPr>
    </w:p>
    <w:p w14:paraId="344368B5">
      <w:pPr>
        <w:pStyle w:val="23"/>
        <w:rPr>
          <w:rFonts w:hint="eastAsia" w:ascii="宋体" w:hAnsi="宋体" w:eastAsia="宋体" w:cs="宋体"/>
          <w:color w:val="auto"/>
          <w:highlight w:val="none"/>
        </w:rPr>
      </w:pPr>
    </w:p>
    <w:p w14:paraId="6BD94488">
      <w:pPr>
        <w:rPr>
          <w:rFonts w:hint="eastAsia" w:ascii="宋体" w:hAnsi="宋体" w:eastAsia="宋体" w:cs="宋体"/>
          <w:color w:val="auto"/>
          <w:highlight w:val="none"/>
        </w:rPr>
      </w:pPr>
    </w:p>
    <w:p w14:paraId="14441377">
      <w:pPr>
        <w:pStyle w:val="53"/>
        <w:rPr>
          <w:rFonts w:hint="eastAsia" w:ascii="宋体" w:hAnsi="宋体" w:eastAsia="宋体" w:cs="宋体"/>
          <w:color w:val="auto"/>
          <w:highlight w:val="none"/>
        </w:rPr>
      </w:pPr>
    </w:p>
    <w:p w14:paraId="0E46A864">
      <w:pPr>
        <w:rPr>
          <w:rFonts w:hint="eastAsia" w:ascii="宋体" w:hAnsi="宋体" w:eastAsia="宋体" w:cs="宋体"/>
          <w:color w:val="auto"/>
          <w:highlight w:val="none"/>
        </w:rPr>
      </w:pPr>
    </w:p>
    <w:p w14:paraId="6304F930">
      <w:pPr>
        <w:pStyle w:val="53"/>
        <w:rPr>
          <w:rFonts w:hint="eastAsia" w:ascii="宋体" w:hAnsi="宋体" w:eastAsia="宋体" w:cs="宋体"/>
          <w:color w:val="auto"/>
          <w:highlight w:val="none"/>
        </w:rPr>
      </w:pPr>
    </w:p>
    <w:p w14:paraId="2785D3CD">
      <w:pPr>
        <w:rPr>
          <w:rFonts w:hint="eastAsia" w:ascii="宋体" w:hAnsi="宋体" w:eastAsia="宋体" w:cs="宋体"/>
          <w:color w:val="auto"/>
          <w:highlight w:val="none"/>
        </w:rPr>
      </w:pPr>
    </w:p>
    <w:p w14:paraId="760CAB49">
      <w:pPr>
        <w:pStyle w:val="53"/>
        <w:rPr>
          <w:rFonts w:hint="eastAsia" w:ascii="宋体" w:hAnsi="宋体" w:eastAsia="宋体" w:cs="宋体"/>
          <w:color w:val="auto"/>
          <w:highlight w:val="none"/>
        </w:rPr>
      </w:pPr>
    </w:p>
    <w:p w14:paraId="7C155F8B">
      <w:pPr>
        <w:pStyle w:val="22"/>
        <w:rPr>
          <w:rFonts w:hint="eastAsia" w:ascii="宋体" w:hAnsi="宋体" w:eastAsia="宋体" w:cs="宋体"/>
          <w:color w:val="auto"/>
          <w:highlight w:val="none"/>
        </w:rPr>
      </w:pPr>
    </w:p>
    <w:p w14:paraId="074287B6">
      <w:pPr>
        <w:pStyle w:val="23"/>
        <w:rPr>
          <w:rFonts w:hint="eastAsia" w:ascii="宋体" w:hAnsi="宋体" w:eastAsia="宋体" w:cs="宋体"/>
          <w:color w:val="auto"/>
          <w:highlight w:val="none"/>
        </w:rPr>
      </w:pPr>
    </w:p>
    <w:p w14:paraId="7695842F">
      <w:pPr>
        <w:rPr>
          <w:rFonts w:hint="eastAsia" w:ascii="宋体" w:hAnsi="宋体" w:eastAsia="宋体" w:cs="宋体"/>
          <w:color w:val="auto"/>
          <w:highlight w:val="none"/>
        </w:rPr>
      </w:pPr>
    </w:p>
    <w:p w14:paraId="43804477">
      <w:pPr>
        <w:pStyle w:val="22"/>
        <w:ind w:firstLine="321"/>
        <w:rPr>
          <w:rFonts w:hint="eastAsia" w:ascii="宋体" w:hAnsi="宋体" w:eastAsia="宋体" w:cs="宋体"/>
          <w:color w:val="auto"/>
          <w:highlight w:val="none"/>
        </w:rPr>
      </w:pPr>
    </w:p>
    <w:p w14:paraId="25D5A102">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五、中小企业声明函（或监狱企业证明文件）、残疾人福利性单位声明函</w:t>
      </w:r>
    </w:p>
    <w:p w14:paraId="373D10DF">
      <w:pPr>
        <w:jc w:val="center"/>
        <w:rPr>
          <w:rFonts w:hint="eastAsia" w:ascii="宋体" w:hAnsi="宋体" w:eastAsia="宋体" w:cs="宋体"/>
          <w:bCs/>
          <w:color w:val="auto"/>
          <w:sz w:val="24"/>
        </w:rPr>
      </w:pPr>
      <w:r>
        <w:rPr>
          <w:rFonts w:hint="eastAsia" w:ascii="宋体" w:hAnsi="宋体" w:eastAsia="宋体" w:cs="宋体"/>
          <w:color w:val="auto"/>
          <w:sz w:val="24"/>
        </w:rPr>
        <w:t>（则按采购文件第二部分</w:t>
      </w:r>
      <w:r>
        <w:rPr>
          <w:rFonts w:hint="eastAsia" w:ascii="宋体" w:hAnsi="宋体" w:eastAsia="宋体" w:cs="宋体"/>
          <w:sz w:val="24"/>
          <w:highlight w:val="none"/>
        </w:rPr>
        <w:t>相关</w:t>
      </w:r>
      <w:r>
        <w:rPr>
          <w:rFonts w:hint="eastAsia" w:ascii="宋体" w:hAnsi="宋体" w:cs="宋体"/>
          <w:sz w:val="24"/>
          <w:highlight w:val="none"/>
          <w:lang w:val="en-US" w:eastAsia="zh-CN"/>
        </w:rPr>
        <w:t>格式</w:t>
      </w:r>
      <w:r>
        <w:rPr>
          <w:rFonts w:hint="eastAsia" w:ascii="宋体" w:hAnsi="宋体" w:eastAsia="宋体" w:cs="宋体"/>
          <w:sz w:val="24"/>
          <w:highlight w:val="none"/>
        </w:rPr>
        <w:t>要求提供</w:t>
      </w:r>
      <w:r>
        <w:rPr>
          <w:rFonts w:hint="eastAsia" w:ascii="宋体" w:hAnsi="宋体" w:cs="宋体"/>
          <w:sz w:val="24"/>
          <w:highlight w:val="none"/>
          <w:lang w:val="en-US" w:eastAsia="zh-CN"/>
        </w:rPr>
        <w:t>声明函</w:t>
      </w:r>
      <w:r>
        <w:rPr>
          <w:rFonts w:hint="eastAsia" w:ascii="宋体" w:hAnsi="宋体" w:eastAsia="宋体" w:cs="宋体"/>
          <w:color w:val="auto"/>
          <w:sz w:val="24"/>
        </w:rPr>
        <w:t>）</w:t>
      </w:r>
    </w:p>
    <w:p w14:paraId="5F1D16BC">
      <w:pPr>
        <w:pStyle w:val="22"/>
        <w:rPr>
          <w:rFonts w:hint="eastAsia" w:ascii="宋体" w:hAnsi="宋体" w:eastAsia="宋体" w:cs="宋体"/>
          <w:color w:val="auto"/>
          <w:highlight w:val="none"/>
        </w:rPr>
      </w:pPr>
    </w:p>
    <w:p w14:paraId="6328BD0D">
      <w:pPr>
        <w:rPr>
          <w:rFonts w:hint="eastAsia" w:ascii="宋体" w:hAnsi="宋体" w:eastAsia="宋体" w:cs="宋体"/>
          <w:color w:val="auto"/>
          <w:highlight w:val="none"/>
        </w:rPr>
      </w:pPr>
    </w:p>
    <w:p w14:paraId="5241E93A">
      <w:pPr>
        <w:pStyle w:val="53"/>
        <w:rPr>
          <w:rFonts w:hint="eastAsia" w:ascii="宋体" w:hAnsi="宋体" w:eastAsia="宋体" w:cs="宋体"/>
          <w:color w:val="auto"/>
          <w:highlight w:val="none"/>
        </w:rPr>
      </w:pPr>
    </w:p>
    <w:p w14:paraId="3A1C73A2">
      <w:pPr>
        <w:pStyle w:val="22"/>
        <w:rPr>
          <w:rFonts w:hint="eastAsia" w:ascii="宋体" w:hAnsi="宋体" w:eastAsia="宋体" w:cs="宋体"/>
          <w:color w:val="auto"/>
          <w:highlight w:val="none"/>
        </w:rPr>
      </w:pPr>
    </w:p>
    <w:p w14:paraId="7F1A9343">
      <w:pPr>
        <w:pStyle w:val="24"/>
        <w:spacing w:after="120"/>
        <w:rPr>
          <w:rFonts w:hint="eastAsia" w:ascii="宋体" w:hAnsi="宋体" w:eastAsia="宋体" w:cs="宋体"/>
          <w:color w:val="auto"/>
          <w:highlight w:val="none"/>
        </w:rPr>
      </w:pPr>
    </w:p>
    <w:p w14:paraId="78298278">
      <w:pPr>
        <w:pStyle w:val="24"/>
        <w:spacing w:after="120" w:line="360" w:lineRule="auto"/>
        <w:ind w:left="442" w:firstLine="442"/>
        <w:jc w:val="center"/>
        <w:rPr>
          <w:rFonts w:hint="eastAsia" w:ascii="宋体" w:hAnsi="宋体" w:eastAsia="宋体" w:cs="宋体"/>
          <w:b/>
          <w:bCs/>
          <w:color w:val="auto"/>
          <w:sz w:val="22"/>
          <w:szCs w:val="22"/>
          <w:highlight w:val="none"/>
        </w:rPr>
      </w:pPr>
    </w:p>
    <w:p w14:paraId="2D46E4E4">
      <w:pPr>
        <w:tabs>
          <w:tab w:val="left" w:pos="0"/>
          <w:tab w:val="left" w:pos="600"/>
        </w:tabs>
        <w:spacing w:line="400" w:lineRule="exact"/>
        <w:jc w:val="center"/>
        <w:rPr>
          <w:rFonts w:hint="eastAsia" w:ascii="宋体" w:hAnsi="宋体" w:eastAsia="宋体" w:cs="宋体"/>
          <w:b/>
          <w:color w:val="auto"/>
          <w:highlight w:val="none"/>
        </w:rPr>
      </w:pPr>
    </w:p>
    <w:p w14:paraId="72CF117C">
      <w:pPr>
        <w:widowControl/>
        <w:adjustRightInd w:val="0"/>
        <w:snapToGrid w:val="0"/>
        <w:spacing w:line="360" w:lineRule="auto"/>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六</w:t>
      </w:r>
      <w:r>
        <w:rPr>
          <w:rFonts w:hint="eastAsia" w:ascii="宋体" w:hAnsi="宋体" w:eastAsia="宋体" w:cs="宋体"/>
          <w:b/>
          <w:color w:val="auto"/>
          <w:kern w:val="0"/>
          <w:sz w:val="28"/>
          <w:szCs w:val="28"/>
        </w:rPr>
        <w:t>、</w:t>
      </w:r>
      <w:r>
        <w:rPr>
          <w:rFonts w:hint="eastAsia" w:ascii="宋体" w:hAnsi="宋体" w:eastAsia="宋体" w:cs="宋体"/>
          <w:b/>
          <w:color w:val="auto"/>
          <w:kern w:val="0"/>
          <w:sz w:val="28"/>
          <w:szCs w:val="28"/>
          <w:lang w:val="en-US" w:eastAsia="zh-CN"/>
        </w:rPr>
        <w:t>联合体协议书</w:t>
      </w:r>
    </w:p>
    <w:p w14:paraId="21BC83FB">
      <w:pPr>
        <w:widowControl/>
        <w:adjustRightInd w:val="0"/>
        <w:snapToGrid w:val="0"/>
        <w:spacing w:line="360" w:lineRule="auto"/>
        <w:jc w:val="center"/>
        <w:rPr>
          <w:rFonts w:hint="eastAsia" w:ascii="宋体" w:hAnsi="宋体" w:eastAsia="宋体" w:cs="宋体"/>
          <w:b/>
          <w:color w:val="auto"/>
          <w:kern w:val="0"/>
          <w:sz w:val="28"/>
          <w:szCs w:val="28"/>
          <w:lang w:eastAsia="zh-CN"/>
        </w:rPr>
      </w:pPr>
      <w:r>
        <w:rPr>
          <w:rFonts w:hint="eastAsia" w:ascii="宋体" w:hAnsi="宋体" w:eastAsia="宋体" w:cs="宋体"/>
          <w:b/>
          <w:color w:val="auto"/>
          <w:kern w:val="0"/>
          <w:sz w:val="28"/>
          <w:szCs w:val="28"/>
          <w:lang w:val="en-US" w:eastAsia="zh-CN"/>
        </w:rPr>
        <w:t>（联合体投标的须提供，非联合体投标的不用提供）</w:t>
      </w:r>
    </w:p>
    <w:p w14:paraId="6F9C320E">
      <w:pPr>
        <w:pStyle w:val="45"/>
        <w:rPr>
          <w:rFonts w:hint="eastAsia" w:ascii="宋体" w:hAnsi="宋体" w:eastAsia="宋体" w:cs="宋体"/>
          <w:color w:val="auto"/>
          <w:highlight w:val="none"/>
          <w:lang w:eastAsia="zh-CN"/>
        </w:rPr>
      </w:pPr>
    </w:p>
    <w:p w14:paraId="69CB49AE">
      <w:pPr>
        <w:rPr>
          <w:rFonts w:hint="eastAsia" w:ascii="宋体" w:hAnsi="宋体" w:eastAsia="宋体" w:cs="宋体"/>
          <w:color w:val="auto"/>
          <w:highlight w:val="none"/>
          <w:lang w:eastAsia="zh-CN"/>
        </w:rPr>
      </w:pPr>
    </w:p>
    <w:p w14:paraId="06302581">
      <w:pPr>
        <w:pStyle w:val="22"/>
        <w:rPr>
          <w:rFonts w:hint="eastAsia" w:ascii="宋体" w:hAnsi="宋体" w:eastAsia="宋体" w:cs="宋体"/>
          <w:color w:val="auto"/>
          <w:highlight w:val="none"/>
          <w:lang w:eastAsia="zh-CN"/>
        </w:rPr>
      </w:pPr>
    </w:p>
    <w:p w14:paraId="28E0C8FA">
      <w:pPr>
        <w:rPr>
          <w:rFonts w:hint="eastAsia" w:ascii="宋体" w:hAnsi="宋体" w:eastAsia="宋体" w:cs="宋体"/>
          <w:color w:val="auto"/>
          <w:highlight w:val="none"/>
          <w:lang w:eastAsia="zh-CN"/>
        </w:rPr>
      </w:pPr>
    </w:p>
    <w:p w14:paraId="67288B8F">
      <w:pPr>
        <w:pStyle w:val="22"/>
        <w:rPr>
          <w:rFonts w:hint="eastAsia" w:ascii="宋体" w:hAnsi="宋体" w:eastAsia="宋体" w:cs="宋体"/>
          <w:color w:val="auto"/>
          <w:highlight w:val="none"/>
          <w:lang w:eastAsia="zh-CN"/>
        </w:rPr>
      </w:pPr>
    </w:p>
    <w:p w14:paraId="1C3ABD28">
      <w:pPr>
        <w:rPr>
          <w:rFonts w:hint="eastAsia" w:ascii="宋体" w:hAnsi="宋体" w:eastAsia="宋体" w:cs="宋体"/>
          <w:color w:val="auto"/>
          <w:highlight w:val="none"/>
          <w:lang w:eastAsia="zh-CN"/>
        </w:rPr>
      </w:pPr>
    </w:p>
    <w:p w14:paraId="062B9275">
      <w:pPr>
        <w:pStyle w:val="22"/>
        <w:rPr>
          <w:rFonts w:hint="eastAsia" w:ascii="宋体" w:hAnsi="宋体" w:eastAsia="宋体" w:cs="宋体"/>
          <w:color w:val="auto"/>
          <w:highlight w:val="none"/>
          <w:lang w:eastAsia="zh-CN"/>
        </w:rPr>
      </w:pPr>
    </w:p>
    <w:p w14:paraId="1CC0F5D8">
      <w:pPr>
        <w:rPr>
          <w:rFonts w:hint="eastAsia" w:ascii="宋体" w:hAnsi="宋体" w:eastAsia="宋体" w:cs="宋体"/>
          <w:color w:val="auto"/>
          <w:highlight w:val="none"/>
          <w:lang w:eastAsia="zh-CN"/>
        </w:rPr>
      </w:pPr>
    </w:p>
    <w:p w14:paraId="0F664172">
      <w:pPr>
        <w:widowControl/>
        <w:adjustRightInd w:val="0"/>
        <w:snapToGrid w:val="0"/>
        <w:spacing w:line="360" w:lineRule="auto"/>
        <w:ind w:firstLine="448"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14:paraId="4BDBB2D0">
      <w:pPr>
        <w:pStyle w:val="22"/>
        <w:rPr>
          <w:rFonts w:hint="eastAsia" w:ascii="宋体" w:hAnsi="宋体" w:eastAsia="宋体" w:cs="宋体"/>
          <w:color w:val="auto"/>
          <w:highlight w:val="none"/>
        </w:rPr>
      </w:pPr>
    </w:p>
    <w:p w14:paraId="118C6615">
      <w:pPr>
        <w:pStyle w:val="4"/>
        <w:jc w:val="left"/>
        <w:rPr>
          <w:rFonts w:hint="eastAsia" w:ascii="宋体" w:hAnsi="宋体" w:eastAsia="宋体" w:cs="宋体"/>
          <w:b w:val="0"/>
          <w:color w:val="auto"/>
          <w:szCs w:val="21"/>
          <w:highlight w:val="none"/>
        </w:rPr>
      </w:pPr>
    </w:p>
    <w:p w14:paraId="04EFEA3C">
      <w:pPr>
        <w:pStyle w:val="4"/>
        <w:jc w:val="left"/>
        <w:rPr>
          <w:rFonts w:hint="eastAsia" w:ascii="宋体" w:hAnsi="宋体" w:eastAsia="宋体" w:cs="宋体"/>
          <w:b w:val="0"/>
          <w:color w:val="auto"/>
          <w:szCs w:val="21"/>
          <w:highlight w:val="none"/>
        </w:rPr>
      </w:pPr>
    </w:p>
    <w:p w14:paraId="4A965DD1">
      <w:pPr>
        <w:pStyle w:val="4"/>
        <w:jc w:val="left"/>
        <w:rPr>
          <w:rFonts w:hint="eastAsia" w:ascii="宋体" w:hAnsi="宋体" w:eastAsia="宋体" w:cs="宋体"/>
          <w:b w:val="0"/>
          <w:color w:val="auto"/>
          <w:szCs w:val="21"/>
          <w:highlight w:val="none"/>
        </w:rPr>
      </w:pPr>
    </w:p>
    <w:p w14:paraId="3C1021C6">
      <w:pPr>
        <w:pStyle w:val="4"/>
        <w:jc w:val="left"/>
        <w:rPr>
          <w:rFonts w:hint="eastAsia" w:ascii="宋体" w:hAnsi="宋体" w:eastAsia="宋体" w:cs="宋体"/>
          <w:color w:val="auto"/>
          <w:sz w:val="22"/>
          <w:szCs w:val="22"/>
          <w:highlight w:val="none"/>
        </w:rPr>
      </w:pPr>
      <w:r>
        <w:rPr>
          <w:rFonts w:hint="eastAsia" w:ascii="宋体" w:hAnsi="宋体" w:eastAsia="宋体" w:cs="宋体"/>
          <w:b w:val="0"/>
          <w:color w:val="auto"/>
          <w:szCs w:val="21"/>
          <w:highlight w:val="none"/>
        </w:rPr>
        <w:br w:type="page"/>
      </w:r>
      <w:r>
        <w:rPr>
          <w:rFonts w:hint="eastAsia" w:ascii="宋体" w:hAnsi="宋体" w:eastAsia="宋体" w:cs="宋体"/>
          <w:color w:val="auto"/>
          <w:sz w:val="22"/>
          <w:szCs w:val="22"/>
          <w:highlight w:val="none"/>
        </w:rPr>
        <w:t xml:space="preserve"> </w:t>
      </w:r>
    </w:p>
    <w:p w14:paraId="7E290588">
      <w:pPr>
        <w:rPr>
          <w:rFonts w:hint="eastAsia" w:ascii="宋体" w:hAnsi="宋体" w:eastAsia="宋体" w:cs="宋体"/>
          <w:color w:val="auto"/>
          <w:highlight w:val="none"/>
        </w:rPr>
      </w:pPr>
    </w:p>
    <w:p w14:paraId="53232F7F">
      <w:pPr>
        <w:rPr>
          <w:rFonts w:hint="eastAsia" w:ascii="宋体" w:hAnsi="宋体" w:eastAsia="宋体" w:cs="宋体"/>
          <w:color w:val="auto"/>
          <w:highlight w:val="none"/>
        </w:rPr>
      </w:pPr>
    </w:p>
    <w:p w14:paraId="570539CD">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（商务技术标封面，供参考）</w:t>
      </w:r>
      <w:bookmarkEnd w:id="73"/>
      <w:bookmarkEnd w:id="74"/>
    </w:p>
    <w:p w14:paraId="459363A7">
      <w:pPr>
        <w:rPr>
          <w:rFonts w:hint="eastAsia" w:ascii="宋体" w:hAnsi="宋体" w:eastAsia="宋体" w:cs="宋体"/>
          <w:color w:val="auto"/>
          <w:highlight w:val="none"/>
        </w:rPr>
      </w:pPr>
    </w:p>
    <w:p w14:paraId="0E1951F7">
      <w:pPr>
        <w:rPr>
          <w:rFonts w:hint="eastAsia" w:ascii="宋体" w:hAnsi="宋体" w:eastAsia="宋体" w:cs="宋体"/>
          <w:color w:val="auto"/>
          <w:highlight w:val="none"/>
        </w:rPr>
      </w:pPr>
    </w:p>
    <w:p w14:paraId="0EC947FE">
      <w:pPr>
        <w:rPr>
          <w:rFonts w:hint="eastAsia" w:ascii="宋体" w:hAnsi="宋体" w:eastAsia="宋体" w:cs="宋体"/>
          <w:color w:val="auto"/>
          <w:highlight w:val="none"/>
        </w:rPr>
      </w:pPr>
    </w:p>
    <w:p w14:paraId="4C86C9D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磋商响应文件</w:t>
      </w:r>
    </w:p>
    <w:p w14:paraId="0CCD6DCD">
      <w:pPr>
        <w:rPr>
          <w:rFonts w:hint="eastAsia" w:ascii="宋体" w:hAnsi="宋体" w:eastAsia="宋体" w:cs="宋体"/>
          <w:color w:val="auto"/>
          <w:sz w:val="28"/>
          <w:szCs w:val="28"/>
          <w:highlight w:val="none"/>
        </w:rPr>
      </w:pPr>
    </w:p>
    <w:p w14:paraId="5828BF5B">
      <w:pPr>
        <w:rPr>
          <w:rFonts w:hint="eastAsia" w:ascii="宋体" w:hAnsi="宋体" w:eastAsia="宋体" w:cs="宋体"/>
          <w:color w:val="auto"/>
          <w:sz w:val="28"/>
          <w:szCs w:val="28"/>
          <w:highlight w:val="none"/>
        </w:rPr>
      </w:pPr>
    </w:p>
    <w:p w14:paraId="3485DC6F">
      <w:pPr>
        <w:pStyle w:val="22"/>
        <w:ind w:firstLine="281"/>
        <w:jc w:val="center"/>
        <w:rPr>
          <w:rFonts w:hint="eastAsia" w:ascii="宋体" w:hAnsi="宋体" w:eastAsia="宋体" w:cs="宋体"/>
          <w:color w:val="auto"/>
          <w:sz w:val="28"/>
          <w:szCs w:val="28"/>
          <w:highlight w:val="none"/>
          <w:lang w:val="en-US" w:eastAsia="zh-CN"/>
        </w:rPr>
      </w:pPr>
    </w:p>
    <w:p w14:paraId="2E3C5D02">
      <w:pPr>
        <w:pStyle w:val="22"/>
        <w:ind w:firstLine="281"/>
        <w:rPr>
          <w:rFonts w:hint="eastAsia" w:ascii="宋体" w:hAnsi="宋体" w:eastAsia="宋体" w:cs="宋体"/>
          <w:color w:val="auto"/>
          <w:sz w:val="28"/>
          <w:szCs w:val="28"/>
          <w:highlight w:val="none"/>
        </w:rPr>
      </w:pPr>
    </w:p>
    <w:p w14:paraId="5A505284">
      <w:pPr>
        <w:rPr>
          <w:rFonts w:hint="eastAsia" w:ascii="宋体" w:hAnsi="宋体" w:eastAsia="宋体" w:cs="宋体"/>
          <w:color w:val="auto"/>
          <w:sz w:val="28"/>
          <w:szCs w:val="28"/>
          <w:highlight w:val="none"/>
        </w:rPr>
      </w:pPr>
    </w:p>
    <w:p w14:paraId="3BC0219B">
      <w:pPr>
        <w:rPr>
          <w:rFonts w:hint="eastAsia" w:ascii="宋体" w:hAnsi="宋体" w:eastAsia="宋体" w:cs="宋体"/>
          <w:color w:val="auto"/>
          <w:sz w:val="28"/>
          <w:szCs w:val="28"/>
          <w:highlight w:val="none"/>
        </w:rPr>
      </w:pPr>
    </w:p>
    <w:p w14:paraId="330E0B9B">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 技 术 标</w:t>
      </w:r>
    </w:p>
    <w:p w14:paraId="37894E7E">
      <w:pPr>
        <w:spacing w:line="360" w:lineRule="auto"/>
        <w:rPr>
          <w:rFonts w:hint="eastAsia" w:ascii="宋体" w:hAnsi="宋体" w:eastAsia="宋体" w:cs="宋体"/>
          <w:color w:val="auto"/>
          <w:szCs w:val="21"/>
          <w:highlight w:val="none"/>
        </w:rPr>
      </w:pPr>
    </w:p>
    <w:p w14:paraId="2F3EF395">
      <w:pPr>
        <w:spacing w:line="360" w:lineRule="auto"/>
        <w:rPr>
          <w:rFonts w:hint="eastAsia" w:ascii="宋体" w:hAnsi="宋体" w:eastAsia="宋体" w:cs="宋体"/>
          <w:color w:val="auto"/>
          <w:szCs w:val="21"/>
          <w:highlight w:val="none"/>
        </w:rPr>
      </w:pPr>
    </w:p>
    <w:p w14:paraId="235A0EE7">
      <w:pPr>
        <w:spacing w:line="360" w:lineRule="auto"/>
        <w:rPr>
          <w:rFonts w:hint="eastAsia" w:ascii="宋体" w:hAnsi="宋体" w:eastAsia="宋体" w:cs="宋体"/>
          <w:color w:val="auto"/>
          <w:szCs w:val="21"/>
          <w:highlight w:val="none"/>
        </w:rPr>
      </w:pPr>
    </w:p>
    <w:p w14:paraId="4B51E4AC">
      <w:pPr>
        <w:spacing w:line="360" w:lineRule="auto"/>
        <w:rPr>
          <w:rFonts w:hint="eastAsia" w:ascii="宋体" w:hAnsi="宋体" w:eastAsia="宋体" w:cs="宋体"/>
          <w:color w:val="auto"/>
          <w:szCs w:val="21"/>
          <w:highlight w:val="none"/>
        </w:rPr>
      </w:pPr>
    </w:p>
    <w:p w14:paraId="58472292">
      <w:pPr>
        <w:pStyle w:val="22"/>
        <w:ind w:firstLine="321"/>
        <w:rPr>
          <w:rFonts w:hint="eastAsia" w:ascii="宋体" w:hAnsi="宋体" w:eastAsia="宋体" w:cs="宋体"/>
          <w:color w:val="auto"/>
          <w:highlight w:val="none"/>
        </w:rPr>
      </w:pPr>
    </w:p>
    <w:p w14:paraId="2F0237B0">
      <w:pPr>
        <w:spacing w:line="360" w:lineRule="auto"/>
        <w:rPr>
          <w:rFonts w:hint="eastAsia" w:ascii="宋体" w:hAnsi="宋体" w:eastAsia="宋体" w:cs="宋体"/>
          <w:color w:val="auto"/>
          <w:szCs w:val="21"/>
          <w:highlight w:val="none"/>
        </w:rPr>
      </w:pPr>
    </w:p>
    <w:p w14:paraId="6B80AD0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（盖章或 </w:t>
      </w:r>
      <w:r>
        <w:rPr>
          <w:rFonts w:hint="eastAsia" w:ascii="宋体" w:hAnsi="宋体" w:eastAsia="宋体" w:cs="宋体"/>
          <w:color w:val="auto"/>
          <w:sz w:val="28"/>
          <w:szCs w:val="28"/>
          <w:highlight w:val="none"/>
          <w:lang w:eastAsia="zh-CN"/>
        </w:rPr>
        <w:t>CA签章</w:t>
      </w:r>
      <w:r>
        <w:rPr>
          <w:rFonts w:hint="eastAsia" w:ascii="宋体" w:hAnsi="宋体" w:eastAsia="宋体" w:cs="宋体"/>
          <w:color w:val="auto"/>
          <w:sz w:val="28"/>
          <w:szCs w:val="28"/>
          <w:highlight w:val="none"/>
        </w:rPr>
        <w:t>）</w:t>
      </w:r>
    </w:p>
    <w:p w14:paraId="0BD014D2">
      <w:pPr>
        <w:rPr>
          <w:rFonts w:hint="eastAsia" w:ascii="宋体" w:hAnsi="宋体" w:eastAsia="宋体" w:cs="宋体"/>
          <w:color w:val="auto"/>
          <w:sz w:val="28"/>
          <w:szCs w:val="28"/>
          <w:highlight w:val="none"/>
          <w:u w:val="single"/>
        </w:rPr>
      </w:pPr>
    </w:p>
    <w:p w14:paraId="463B573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0DC8477">
      <w:pPr>
        <w:rPr>
          <w:rFonts w:hint="eastAsia" w:ascii="宋体" w:hAnsi="宋体" w:eastAsia="宋体" w:cs="宋体"/>
          <w:color w:val="auto"/>
          <w:sz w:val="28"/>
          <w:szCs w:val="28"/>
          <w:highlight w:val="none"/>
        </w:rPr>
      </w:pPr>
    </w:p>
    <w:p w14:paraId="24D2728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4F3FFF5">
      <w:pPr>
        <w:pStyle w:val="22"/>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14:paraId="57373A4F">
      <w:pPr>
        <w:jc w:val="center"/>
        <w:rPr>
          <w:rFonts w:hint="eastAsia" w:ascii="宋体" w:hAnsi="宋体" w:eastAsia="宋体" w:cs="宋体"/>
          <w:b/>
          <w:bCs/>
          <w:color w:val="auto"/>
          <w:sz w:val="52"/>
          <w:szCs w:val="52"/>
          <w:highlight w:val="none"/>
        </w:rPr>
      </w:pPr>
      <w:bookmarkStart w:id="76" w:name="_Toc152045787"/>
      <w:bookmarkStart w:id="77" w:name="_Toc247514246"/>
      <w:bookmarkStart w:id="78" w:name="_Toc247527827"/>
      <w:bookmarkStart w:id="79" w:name="_Toc465107615"/>
      <w:bookmarkStart w:id="80" w:name="_Toc152042576"/>
      <w:bookmarkStart w:id="81" w:name="_Toc144974856"/>
    </w:p>
    <w:p w14:paraId="0187D979">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bookmarkEnd w:id="76"/>
      <w:bookmarkEnd w:id="77"/>
      <w:bookmarkEnd w:id="78"/>
      <w:bookmarkEnd w:id="79"/>
      <w:bookmarkEnd w:id="80"/>
      <w:bookmarkEnd w:id="81"/>
    </w:p>
    <w:p w14:paraId="7D6344F7">
      <w:pPr>
        <w:pStyle w:val="21"/>
        <w:rPr>
          <w:rFonts w:hint="eastAsia" w:ascii="宋体" w:hAnsi="宋体" w:eastAsia="宋体" w:cs="宋体"/>
          <w:color w:val="auto"/>
          <w:highlight w:val="none"/>
        </w:rPr>
      </w:pPr>
    </w:p>
    <w:p w14:paraId="6AFC89B1">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函</w:t>
      </w:r>
    </w:p>
    <w:p w14:paraId="012C0668">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技术条款偏离表</w:t>
      </w:r>
      <w:r>
        <w:rPr>
          <w:rFonts w:hint="eastAsia" w:ascii="宋体" w:hAnsi="宋体" w:eastAsia="宋体" w:cs="宋体"/>
          <w:color w:val="auto"/>
          <w:sz w:val="22"/>
          <w:szCs w:val="22"/>
          <w:highlight w:val="none"/>
        </w:rPr>
        <w:t>、商务条款偏离表</w:t>
      </w:r>
    </w:p>
    <w:p w14:paraId="06AF23C0">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商务资信（本部分为</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rPr>
        <w:t>资信分评分内容，各供应商根据自身情况提供）</w:t>
      </w:r>
    </w:p>
    <w:p w14:paraId="1BE87D2E">
      <w:pPr>
        <w:pStyle w:val="316"/>
        <w:numPr>
          <w:ilvl w:val="0"/>
          <w:numId w:val="14"/>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技术</w:t>
      </w:r>
      <w:r>
        <w:rPr>
          <w:rFonts w:hint="eastAsia" w:ascii="宋体" w:hAnsi="宋体" w:eastAsia="宋体" w:cs="宋体"/>
          <w:color w:val="auto"/>
          <w:sz w:val="22"/>
          <w:szCs w:val="22"/>
          <w:highlight w:val="none"/>
        </w:rPr>
        <w:t>（本部分为技术评分内容，各供应商根据自身情况提供）</w:t>
      </w:r>
    </w:p>
    <w:p w14:paraId="14B35E93">
      <w:pPr>
        <w:spacing w:line="540" w:lineRule="exact"/>
        <w:rPr>
          <w:rFonts w:hint="eastAsia" w:ascii="宋体" w:hAnsi="宋体" w:eastAsia="宋体" w:cs="宋体"/>
          <w:b/>
          <w:bCs/>
          <w:color w:val="auto"/>
          <w:sz w:val="22"/>
          <w:szCs w:val="22"/>
          <w:highlight w:val="none"/>
        </w:rPr>
      </w:pPr>
    </w:p>
    <w:p w14:paraId="2B5A9DE6">
      <w:pPr>
        <w:spacing w:line="540" w:lineRule="exact"/>
        <w:rPr>
          <w:rFonts w:hint="eastAsia" w:ascii="宋体" w:hAnsi="宋体" w:eastAsia="宋体" w:cs="宋体"/>
          <w:b/>
          <w:bCs/>
          <w:color w:val="auto"/>
          <w:sz w:val="22"/>
          <w:szCs w:val="22"/>
          <w:highlight w:val="none"/>
        </w:rPr>
      </w:pPr>
    </w:p>
    <w:p w14:paraId="5D09DC68">
      <w:pPr>
        <w:pStyle w:val="22"/>
        <w:ind w:firstLine="321"/>
        <w:rPr>
          <w:rFonts w:hint="eastAsia" w:ascii="宋体" w:hAnsi="宋体" w:eastAsia="宋体" w:cs="宋体"/>
          <w:color w:val="auto"/>
          <w:highlight w:val="none"/>
        </w:rPr>
      </w:pPr>
    </w:p>
    <w:p w14:paraId="7595E9B2">
      <w:pPr>
        <w:pStyle w:val="22"/>
        <w:ind w:firstLine="321"/>
        <w:rPr>
          <w:rFonts w:hint="eastAsia" w:ascii="宋体" w:hAnsi="宋体" w:eastAsia="宋体" w:cs="宋体"/>
          <w:color w:val="auto"/>
          <w:highlight w:val="none"/>
        </w:rPr>
      </w:pPr>
    </w:p>
    <w:p w14:paraId="3FB4A933">
      <w:pPr>
        <w:rPr>
          <w:rFonts w:hint="eastAsia" w:ascii="宋体" w:hAnsi="宋体" w:eastAsia="宋体" w:cs="宋体"/>
          <w:color w:val="auto"/>
          <w:highlight w:val="none"/>
        </w:rPr>
      </w:pPr>
    </w:p>
    <w:p w14:paraId="11725514">
      <w:pPr>
        <w:pStyle w:val="21"/>
        <w:rPr>
          <w:rFonts w:hint="eastAsia" w:ascii="宋体" w:hAnsi="宋体" w:eastAsia="宋体" w:cs="宋体"/>
          <w:color w:val="auto"/>
          <w:highlight w:val="none"/>
        </w:rPr>
      </w:pPr>
    </w:p>
    <w:p w14:paraId="7656C69F">
      <w:pPr>
        <w:pStyle w:val="22"/>
        <w:rPr>
          <w:rFonts w:hint="eastAsia" w:ascii="宋体" w:hAnsi="宋体" w:eastAsia="宋体" w:cs="宋体"/>
          <w:color w:val="auto"/>
          <w:highlight w:val="none"/>
        </w:rPr>
      </w:pPr>
    </w:p>
    <w:p w14:paraId="5E6A3018">
      <w:pPr>
        <w:rPr>
          <w:rFonts w:hint="eastAsia" w:ascii="宋体" w:hAnsi="宋体" w:eastAsia="宋体" w:cs="宋体"/>
          <w:color w:val="auto"/>
          <w:highlight w:val="none"/>
        </w:rPr>
      </w:pPr>
    </w:p>
    <w:p w14:paraId="546082F1">
      <w:pPr>
        <w:pStyle w:val="21"/>
        <w:rPr>
          <w:rFonts w:hint="eastAsia" w:ascii="宋体" w:hAnsi="宋体" w:eastAsia="宋体" w:cs="宋体"/>
          <w:color w:val="auto"/>
          <w:highlight w:val="none"/>
        </w:rPr>
      </w:pPr>
    </w:p>
    <w:p w14:paraId="2F8EDF9F">
      <w:pPr>
        <w:pStyle w:val="22"/>
        <w:rPr>
          <w:rFonts w:hint="eastAsia" w:ascii="宋体" w:hAnsi="宋体" w:eastAsia="宋体" w:cs="宋体"/>
          <w:color w:val="auto"/>
          <w:highlight w:val="none"/>
        </w:rPr>
      </w:pPr>
    </w:p>
    <w:p w14:paraId="555E86EA">
      <w:pPr>
        <w:rPr>
          <w:rFonts w:hint="eastAsia" w:ascii="宋体" w:hAnsi="宋体" w:eastAsia="宋体" w:cs="宋体"/>
          <w:color w:val="auto"/>
          <w:highlight w:val="none"/>
        </w:rPr>
      </w:pPr>
    </w:p>
    <w:p w14:paraId="37D3E477">
      <w:pPr>
        <w:pStyle w:val="21"/>
        <w:rPr>
          <w:rFonts w:hint="eastAsia" w:ascii="宋体" w:hAnsi="宋体" w:eastAsia="宋体" w:cs="宋体"/>
          <w:color w:val="auto"/>
          <w:highlight w:val="none"/>
        </w:rPr>
      </w:pPr>
    </w:p>
    <w:p w14:paraId="44A4FFFB">
      <w:pPr>
        <w:pStyle w:val="22"/>
        <w:rPr>
          <w:rFonts w:hint="eastAsia" w:ascii="宋体" w:hAnsi="宋体" w:eastAsia="宋体" w:cs="宋体"/>
          <w:color w:val="auto"/>
          <w:highlight w:val="none"/>
        </w:rPr>
      </w:pPr>
    </w:p>
    <w:p w14:paraId="284AC20D">
      <w:pPr>
        <w:rPr>
          <w:rFonts w:hint="eastAsia" w:ascii="宋体" w:hAnsi="宋体" w:eastAsia="宋体" w:cs="宋体"/>
          <w:color w:val="auto"/>
          <w:highlight w:val="none"/>
        </w:rPr>
      </w:pPr>
    </w:p>
    <w:p w14:paraId="3739ADA3">
      <w:pPr>
        <w:pStyle w:val="21"/>
        <w:rPr>
          <w:rFonts w:hint="eastAsia" w:ascii="宋体" w:hAnsi="宋体" w:eastAsia="宋体" w:cs="宋体"/>
          <w:color w:val="auto"/>
          <w:highlight w:val="none"/>
        </w:rPr>
      </w:pPr>
    </w:p>
    <w:p w14:paraId="78C7C190">
      <w:pPr>
        <w:pStyle w:val="22"/>
        <w:rPr>
          <w:rFonts w:hint="eastAsia" w:ascii="宋体" w:hAnsi="宋体" w:eastAsia="宋体" w:cs="宋体"/>
          <w:color w:val="auto"/>
          <w:highlight w:val="none"/>
        </w:rPr>
      </w:pPr>
    </w:p>
    <w:p w14:paraId="3F20B50B">
      <w:pPr>
        <w:rPr>
          <w:rFonts w:hint="eastAsia" w:ascii="宋体" w:hAnsi="宋体" w:eastAsia="宋体" w:cs="宋体"/>
          <w:color w:val="auto"/>
          <w:highlight w:val="none"/>
        </w:rPr>
      </w:pPr>
    </w:p>
    <w:p w14:paraId="53FC90D8">
      <w:pPr>
        <w:pStyle w:val="21"/>
        <w:rPr>
          <w:rFonts w:hint="eastAsia" w:ascii="宋体" w:hAnsi="宋体" w:eastAsia="宋体" w:cs="宋体"/>
          <w:color w:val="auto"/>
          <w:highlight w:val="none"/>
        </w:rPr>
      </w:pPr>
    </w:p>
    <w:p w14:paraId="546D34F1">
      <w:pPr>
        <w:pStyle w:val="22"/>
        <w:rPr>
          <w:rFonts w:hint="eastAsia" w:ascii="宋体" w:hAnsi="宋体" w:eastAsia="宋体" w:cs="宋体"/>
          <w:color w:val="auto"/>
          <w:highlight w:val="none"/>
        </w:rPr>
      </w:pPr>
    </w:p>
    <w:p w14:paraId="61308493">
      <w:pPr>
        <w:pStyle w:val="22"/>
        <w:ind w:firstLine="321"/>
        <w:rPr>
          <w:rFonts w:hint="eastAsia" w:ascii="宋体" w:hAnsi="宋体" w:eastAsia="宋体" w:cs="宋体"/>
          <w:color w:val="auto"/>
          <w:highlight w:val="none"/>
        </w:rPr>
      </w:pPr>
    </w:p>
    <w:p w14:paraId="2622F7C6">
      <w:pPr>
        <w:spacing w:line="5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0BCB3898">
      <w:pPr>
        <w:spacing w:line="460" w:lineRule="exact"/>
        <w:ind w:left="22" w:hanging="22" w:hangingChars="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函</w:t>
      </w:r>
    </w:p>
    <w:p w14:paraId="52616CFE">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温州市龙湾区综合行政执法局</w:t>
      </w:r>
      <w:r>
        <w:rPr>
          <w:rFonts w:hint="eastAsia" w:ascii="宋体" w:hAnsi="宋体" w:eastAsia="宋体" w:cs="宋体"/>
          <w:color w:val="auto"/>
          <w:sz w:val="22"/>
          <w:szCs w:val="22"/>
          <w:highlight w:val="none"/>
        </w:rPr>
        <w:t>：</w:t>
      </w:r>
    </w:p>
    <w:p w14:paraId="13CAC8EC">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温州市方略工程项目管理有限公司</w:t>
      </w:r>
      <w:r>
        <w:rPr>
          <w:rFonts w:hint="eastAsia" w:ascii="宋体" w:hAnsi="宋体" w:eastAsia="宋体" w:cs="宋体"/>
          <w:color w:val="auto"/>
          <w:sz w:val="22"/>
          <w:szCs w:val="22"/>
          <w:highlight w:val="none"/>
        </w:rPr>
        <w:t>：</w:t>
      </w:r>
    </w:p>
    <w:p w14:paraId="53C9028B">
      <w:pPr>
        <w:spacing w:line="42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（供应商名称）作为供应商正式授权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（授权代表全名，职务）代表我方处理有关本项目投标的一切事宜。</w:t>
      </w:r>
    </w:p>
    <w:p w14:paraId="5CD4B6D6">
      <w:pPr>
        <w:autoSpaceDE w:val="0"/>
        <w:autoSpaceDN w:val="0"/>
        <w:adjustRightInd w:val="0"/>
        <w:spacing w:line="420" w:lineRule="atLeast"/>
        <w:ind w:firstLine="428"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在此提交的磋商响应文件中，包括如下内容：</w:t>
      </w:r>
    </w:p>
    <w:p w14:paraId="3559D61B">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电子磋商响应文件，按政采云平台项目采购-电子招投标操作指南及本竞争性磋商采购文件要求制作。</w:t>
      </w:r>
    </w:p>
    <w:p w14:paraId="26A0A57A">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以介质存储的数据电文形式的备份磋商响应文件，按政采云平台项目采购-电子招投标操作指南中上传的电子磋商响应文件格式，以U盘形式提供。数量为1份。</w:t>
      </w:r>
    </w:p>
    <w:p w14:paraId="4143BAB4">
      <w:pPr>
        <w:autoSpaceDE w:val="0"/>
        <w:autoSpaceDN w:val="0"/>
        <w:adjustRightInd w:val="0"/>
        <w:spacing w:line="420" w:lineRule="atLeast"/>
        <w:ind w:firstLine="428"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我方己完全明白竞争性磋商文件的所有条款要求，并重申以下几点：</w:t>
      </w:r>
    </w:p>
    <w:p w14:paraId="10935A32">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1CC29E94">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同意提供按照贵方可能要求的与投标有关的一切数据或资料等。若贵方需要，我方愿意提供我方作出的一切承诺的证明材料。</w:t>
      </w:r>
    </w:p>
    <w:p w14:paraId="16E34702">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如中标，保证按照竞争性磋商文件要求及磋商响应文件的承诺与采购人签订合同，保证履行合同条款。</w:t>
      </w:r>
    </w:p>
    <w:p w14:paraId="3CD498C1">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、提供编制和提交投标文件须知规定的全部投标文件，包括资格文件、报价文件、商务技术文件。具体内容为：</w:t>
      </w:r>
    </w:p>
    <w:p w14:paraId="7513578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（1）资格文件</w:t>
      </w:r>
    </w:p>
    <w:p w14:paraId="5A90626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14:paraId="129C06C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w:t>
      </w:r>
    </w:p>
    <w:p w14:paraId="024516C2">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（4）编制和提交投标文件须知要求投标人提交的全部文件；</w:t>
      </w:r>
    </w:p>
    <w:p w14:paraId="38F9AC3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（5）按招标文件要求提供和交付的货物和服务的投标报价详见开标一览表；</w:t>
      </w:r>
    </w:p>
    <w:p w14:paraId="327CE72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（6）保证忠实地执行双方所签订的合同，并承担合同规定的责任和义务；</w:t>
      </w:r>
    </w:p>
    <w:p w14:paraId="25FCC0E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（7）保证遵守招标文件中的其他有关规定。</w:t>
      </w:r>
    </w:p>
    <w:p w14:paraId="1ECC92C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投标有效期内不撤销投标文件，如中标，有效期将延至合同终止日为止。</w:t>
      </w:r>
    </w:p>
    <w:p w14:paraId="6B65D22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、我方完全理解贵方不一定要接受最低价的投标。</w:t>
      </w:r>
    </w:p>
    <w:p w14:paraId="3350E5E8">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、如中标，按招标文件规定与招标人签订合同。如拒绝签订合同，承诺按本项目预算金额的2%对招标人进行赔偿；赔偿金额不足以弥补招标人损失的，承诺继续承担超过部分的损失。</w:t>
      </w:r>
    </w:p>
    <w:p w14:paraId="6C58153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、如中标，按招标文件规定的招标代理服务费标准，在领取中标通知书时向招标代理机构支付招标代理服务费。</w:t>
      </w:r>
    </w:p>
    <w:p w14:paraId="53FE392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、我方愿意向贵方提供任何与该项投标有关的数据、情况和服务资料。若贵方需要，我方愿意提供我方作出的一切承诺的证明材料。</w:t>
      </w:r>
    </w:p>
    <w:p w14:paraId="7F93177D">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6318FEA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D4711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14:paraId="5C079BF6">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（2）采取不正当手段诋毁、排挤其他投标人的；</w:t>
      </w:r>
    </w:p>
    <w:p w14:paraId="5689D5A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（3）与招标人、其它投标人或者招标代理机构恶意串通的；</w:t>
      </w:r>
    </w:p>
    <w:p w14:paraId="4B9F86F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（4）向招标人、招标代理机构行贿或者提供其他不正当利益的；</w:t>
      </w:r>
    </w:p>
    <w:p w14:paraId="29956E1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（5）在招标采购过程中与招标人进行协商谈判的；</w:t>
      </w:r>
    </w:p>
    <w:p w14:paraId="4A248FD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14:paraId="463621E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投标人有前款第（1）至（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）项情形之一的，中标、成交无效。</w:t>
      </w:r>
    </w:p>
    <w:p w14:paraId="5982E721">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zh-CN"/>
        </w:rPr>
        <w:t>所有与本投标有关的函件请发往下列地址：</w:t>
      </w:r>
    </w:p>
    <w:p w14:paraId="5EBBA2F0">
      <w:pPr>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53617BA">
      <w:pPr>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CF6712C">
      <w:pPr>
        <w:spacing w:line="420" w:lineRule="exact"/>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18B873AA">
      <w:pPr>
        <w:spacing w:line="420" w:lineRule="exact"/>
        <w:ind w:firstLine="749" w:firstLineChars="35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65705CFD">
      <w:pPr>
        <w:spacing w:line="420" w:lineRule="exact"/>
        <w:ind w:firstLine="435"/>
        <w:rPr>
          <w:rFonts w:hint="eastAsia" w:ascii="宋体" w:hAnsi="宋体" w:eastAsia="宋体" w:cs="宋体"/>
          <w:color w:val="auto"/>
          <w:sz w:val="22"/>
          <w:szCs w:val="22"/>
          <w:highlight w:val="none"/>
        </w:rPr>
      </w:pPr>
    </w:p>
    <w:p w14:paraId="6B11BBBD">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225240D3">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014D29E5">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EE3E635">
      <w:pPr>
        <w:spacing w:line="460" w:lineRule="exact"/>
        <w:ind w:firstLine="462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14:paraId="7B48AD87">
      <w:pPr>
        <w:spacing w:line="460" w:lineRule="exact"/>
        <w:ind w:firstLine="4620"/>
        <w:rPr>
          <w:rFonts w:hint="eastAsia" w:ascii="宋体" w:hAnsi="宋体" w:eastAsia="宋体" w:cs="宋体"/>
          <w:color w:val="auto"/>
          <w:sz w:val="22"/>
          <w:szCs w:val="22"/>
          <w:highlight w:val="none"/>
          <w:u w:val="single"/>
        </w:rPr>
      </w:pPr>
    </w:p>
    <w:p w14:paraId="0324A6FA">
      <w:pPr>
        <w:spacing w:line="460" w:lineRule="exact"/>
        <w:rPr>
          <w:rFonts w:hint="eastAsia" w:ascii="宋体" w:hAnsi="宋体" w:eastAsia="宋体" w:cs="宋体"/>
          <w:bCs/>
          <w:color w:val="0000FF"/>
          <w:szCs w:val="21"/>
          <w:highlight w:val="none"/>
        </w:rPr>
      </w:pPr>
      <w:r>
        <w:rPr>
          <w:rFonts w:hint="eastAsia" w:ascii="宋体" w:hAnsi="宋体" w:eastAsia="宋体" w:cs="宋体"/>
          <w:b/>
          <w:color w:val="auto"/>
          <w:sz w:val="22"/>
          <w:szCs w:val="22"/>
          <w:highlight w:val="none"/>
          <w:u w:val="single"/>
        </w:rPr>
        <w:t>▲不提供投标函的磋商响应文件将被视为未实质性响应竞争性磋商文件。</w:t>
      </w:r>
    </w:p>
    <w:p w14:paraId="50A69EE1">
      <w:pPr>
        <w:pStyle w:val="53"/>
        <w:rPr>
          <w:rFonts w:hint="eastAsia" w:ascii="宋体" w:hAnsi="宋体" w:eastAsia="宋体" w:cs="宋体"/>
          <w:color w:val="0000FF"/>
          <w:highlight w:val="none"/>
        </w:rPr>
      </w:pPr>
    </w:p>
    <w:p w14:paraId="18DFDB40">
      <w:pPr>
        <w:rPr>
          <w:rFonts w:hint="eastAsia" w:ascii="宋体" w:hAnsi="宋体" w:eastAsia="宋体" w:cs="宋体"/>
          <w:bCs/>
          <w:color w:val="auto"/>
          <w:szCs w:val="21"/>
          <w:highlight w:val="none"/>
        </w:rPr>
      </w:pPr>
    </w:p>
    <w:p w14:paraId="21BF2A19">
      <w:pPr>
        <w:spacing w:line="400" w:lineRule="exact"/>
        <w:jc w:val="center"/>
        <w:rPr>
          <w:rFonts w:hint="eastAsia" w:ascii="宋体" w:hAnsi="宋体" w:eastAsia="宋体" w:cs="宋体"/>
          <w:b/>
          <w:bCs/>
          <w:color w:val="auto"/>
          <w:sz w:val="28"/>
          <w:szCs w:val="28"/>
          <w:highlight w:val="none"/>
        </w:rPr>
        <w:sectPr>
          <w:headerReference r:id="rId10" w:type="first"/>
          <w:footerReference r:id="rId12" w:type="first"/>
          <w:headerReference r:id="rId9" w:type="default"/>
          <w:footerReference r:id="rId11" w:type="default"/>
          <w:pgSz w:w="11906" w:h="16838"/>
          <w:pgMar w:top="1134" w:right="1247" w:bottom="1134" w:left="1474" w:header="680" w:footer="907" w:gutter="0"/>
          <w:pgBorders>
            <w:top w:val="none" w:sz="0" w:space="0"/>
            <w:left w:val="none" w:sz="0" w:space="0"/>
            <w:bottom w:val="none" w:sz="0" w:space="0"/>
            <w:right w:val="none" w:sz="0" w:space="0"/>
          </w:pgBorders>
          <w:cols w:space="720" w:num="1"/>
          <w:docGrid w:type="linesAndChars" w:linePitch="286" w:charSpace="855"/>
        </w:sectPr>
      </w:pPr>
    </w:p>
    <w:p w14:paraId="180BEC2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附件二</w:t>
      </w:r>
    </w:p>
    <w:p w14:paraId="79702A08">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二、供应商基本情况表</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5E7F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0FDEFD6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vAlign w:val="center"/>
          </w:tcPr>
          <w:p w14:paraId="3B1B013C">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gridSpan w:val="2"/>
            <w:vAlign w:val="center"/>
          </w:tcPr>
          <w:p w14:paraId="5DC044D5">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手机号码</w:t>
            </w:r>
          </w:p>
        </w:tc>
        <w:tc>
          <w:tcPr>
            <w:tcW w:w="2588" w:type="dxa"/>
            <w:gridSpan w:val="2"/>
            <w:vAlign w:val="center"/>
          </w:tcPr>
          <w:p w14:paraId="2ADCBB25">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07AE23EE">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固定电话</w:t>
            </w:r>
          </w:p>
        </w:tc>
        <w:tc>
          <w:tcPr>
            <w:tcW w:w="1502" w:type="dxa"/>
            <w:vAlign w:val="center"/>
          </w:tcPr>
          <w:p w14:paraId="7F56281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00BE5BF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w:t>
            </w:r>
          </w:p>
          <w:p w14:paraId="7143A2F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vAlign w:val="center"/>
          </w:tcPr>
          <w:p w14:paraId="7CD5C6A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61" w:type="dxa"/>
            <w:gridSpan w:val="2"/>
            <w:vAlign w:val="center"/>
          </w:tcPr>
          <w:p w14:paraId="0E95BCF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569B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129E454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vAlign w:val="center"/>
          </w:tcPr>
          <w:p w14:paraId="4BA6340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gridSpan w:val="2"/>
            <w:vAlign w:val="center"/>
          </w:tcPr>
          <w:p w14:paraId="0A4EBDC4">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vAlign w:val="center"/>
          </w:tcPr>
          <w:p w14:paraId="70DD7F7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7C7122D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vAlign w:val="center"/>
          </w:tcPr>
          <w:p w14:paraId="02D590B2">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2691C13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vAlign w:val="center"/>
          </w:tcPr>
          <w:p w14:paraId="79F7EDD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61" w:type="dxa"/>
            <w:gridSpan w:val="2"/>
            <w:vAlign w:val="center"/>
          </w:tcPr>
          <w:p w14:paraId="12640E3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0163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243DDD5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544E8F3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2A3D4DA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60EF361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77ED50D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vAlign w:val="center"/>
          </w:tcPr>
          <w:p w14:paraId="03AAB59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5C5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B7C964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vAlign w:val="center"/>
          </w:tcPr>
          <w:p w14:paraId="07C2619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vAlign w:val="center"/>
          </w:tcPr>
          <w:p w14:paraId="66D6252B">
            <w:pPr>
              <w:keepNext w:val="0"/>
              <w:keepLines w:val="0"/>
              <w:suppressLineNumbers w:val="0"/>
              <w:spacing w:before="0" w:beforeAutospacing="0" w:after="0" w:afterAutospacing="0" w:line="480" w:lineRule="exact"/>
              <w:ind w:left="0" w:right="0" w:firstLine="1568" w:firstLineChars="700"/>
              <w:jc w:val="center"/>
              <w:rPr>
                <w:rFonts w:hint="eastAsia" w:ascii="宋体" w:hAnsi="宋体" w:eastAsia="宋体" w:cs="宋体"/>
                <w:color w:val="auto"/>
                <w:sz w:val="22"/>
                <w:szCs w:val="22"/>
                <w:highlight w:val="none"/>
              </w:rPr>
            </w:pPr>
          </w:p>
        </w:tc>
        <w:tc>
          <w:tcPr>
            <w:tcW w:w="3703" w:type="dxa"/>
            <w:gridSpan w:val="4"/>
            <w:vMerge w:val="restart"/>
            <w:vAlign w:val="center"/>
          </w:tcPr>
          <w:p w14:paraId="074FAB1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6B4B02C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7EF5A302">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总产值</w:t>
            </w:r>
          </w:p>
        </w:tc>
        <w:tc>
          <w:tcPr>
            <w:tcW w:w="1488" w:type="dxa"/>
            <w:vAlign w:val="center"/>
          </w:tcPr>
          <w:p w14:paraId="7CF92516">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c>
          <w:tcPr>
            <w:tcW w:w="1470" w:type="dxa"/>
            <w:gridSpan w:val="2"/>
            <w:vAlign w:val="center"/>
          </w:tcPr>
          <w:p w14:paraId="3F805BE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总产值</w:t>
            </w:r>
          </w:p>
        </w:tc>
        <w:tc>
          <w:tcPr>
            <w:tcW w:w="1106" w:type="dxa"/>
            <w:vAlign w:val="center"/>
          </w:tcPr>
          <w:p w14:paraId="6DAEED4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r>
      <w:tr w14:paraId="49B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14:paraId="4EE24E2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continue"/>
            <w:vAlign w:val="center"/>
          </w:tcPr>
          <w:p w14:paraId="2E0F5F3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689" w:type="dxa"/>
            <w:vMerge w:val="continue"/>
            <w:vAlign w:val="center"/>
          </w:tcPr>
          <w:p w14:paraId="4BE9DCB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3703" w:type="dxa"/>
            <w:gridSpan w:val="4"/>
            <w:vMerge w:val="continue"/>
            <w:vAlign w:val="center"/>
          </w:tcPr>
          <w:p w14:paraId="1A39EE8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Merge w:val="continue"/>
            <w:vAlign w:val="center"/>
          </w:tcPr>
          <w:p w14:paraId="752A3B2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vAlign w:val="center"/>
          </w:tcPr>
          <w:p w14:paraId="4D1E881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实现利润</w:t>
            </w:r>
          </w:p>
        </w:tc>
        <w:tc>
          <w:tcPr>
            <w:tcW w:w="1488" w:type="dxa"/>
            <w:vAlign w:val="center"/>
          </w:tcPr>
          <w:p w14:paraId="5C26C9F0">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c>
          <w:tcPr>
            <w:tcW w:w="1470" w:type="dxa"/>
            <w:gridSpan w:val="2"/>
            <w:vAlign w:val="center"/>
          </w:tcPr>
          <w:p w14:paraId="462AD88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实现利润</w:t>
            </w:r>
          </w:p>
        </w:tc>
        <w:tc>
          <w:tcPr>
            <w:tcW w:w="1106" w:type="dxa"/>
            <w:vAlign w:val="center"/>
          </w:tcPr>
          <w:p w14:paraId="28579FB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r>
      <w:tr w14:paraId="7E1F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14:paraId="2F90392E">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restart"/>
            <w:vAlign w:val="center"/>
          </w:tcPr>
          <w:p w14:paraId="6FEAB4A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vAlign w:val="center"/>
          </w:tcPr>
          <w:p w14:paraId="219E3B3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p w14:paraId="61412491">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728" w:type="dxa"/>
            <w:vMerge w:val="restart"/>
            <w:vAlign w:val="center"/>
          </w:tcPr>
          <w:p w14:paraId="255E642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14:paraId="0216843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来源</w:t>
            </w:r>
          </w:p>
        </w:tc>
        <w:tc>
          <w:tcPr>
            <w:tcW w:w="1487" w:type="dxa"/>
            <w:gridSpan w:val="2"/>
            <w:vAlign w:val="center"/>
          </w:tcPr>
          <w:p w14:paraId="4CAE502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0D265FF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vAlign w:val="center"/>
          </w:tcPr>
          <w:p w14:paraId="32FE54F4">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vAlign w:val="center"/>
          </w:tcPr>
          <w:p w14:paraId="7313D1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统一代码</w:t>
            </w:r>
          </w:p>
        </w:tc>
        <w:tc>
          <w:tcPr>
            <w:tcW w:w="4064" w:type="dxa"/>
            <w:gridSpan w:val="4"/>
            <w:vAlign w:val="center"/>
          </w:tcPr>
          <w:p w14:paraId="1322C88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0CDB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14:paraId="757D09B5">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continue"/>
            <w:tcBorders>
              <w:bottom w:val="single" w:color="auto" w:sz="4" w:space="0"/>
            </w:tcBorders>
            <w:vAlign w:val="center"/>
          </w:tcPr>
          <w:p w14:paraId="714F113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689" w:type="dxa"/>
            <w:vMerge w:val="continue"/>
            <w:tcBorders>
              <w:bottom w:val="single" w:color="auto" w:sz="4" w:space="0"/>
            </w:tcBorders>
            <w:vAlign w:val="center"/>
          </w:tcPr>
          <w:p w14:paraId="5A3C8C6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728" w:type="dxa"/>
            <w:vMerge w:val="continue"/>
            <w:tcBorders>
              <w:bottom w:val="single" w:color="auto" w:sz="4" w:space="0"/>
            </w:tcBorders>
            <w:vAlign w:val="center"/>
          </w:tcPr>
          <w:p w14:paraId="3AA7BFF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7" w:type="dxa"/>
            <w:gridSpan w:val="2"/>
            <w:tcBorders>
              <w:bottom w:val="single" w:color="auto" w:sz="4" w:space="0"/>
            </w:tcBorders>
            <w:vAlign w:val="center"/>
          </w:tcPr>
          <w:p w14:paraId="552D35D9">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vAlign w:val="center"/>
          </w:tcPr>
          <w:p w14:paraId="2DB28DA8">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vAlign w:val="center"/>
          </w:tcPr>
          <w:p w14:paraId="0538DEB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tcBorders>
              <w:bottom w:val="single" w:color="auto" w:sz="4" w:space="0"/>
            </w:tcBorders>
            <w:vAlign w:val="center"/>
          </w:tcPr>
          <w:p w14:paraId="0D70CB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注册资金</w:t>
            </w:r>
          </w:p>
        </w:tc>
        <w:tc>
          <w:tcPr>
            <w:tcW w:w="4064" w:type="dxa"/>
            <w:gridSpan w:val="4"/>
            <w:tcBorders>
              <w:bottom w:val="single" w:color="auto" w:sz="4" w:space="0"/>
            </w:tcBorders>
            <w:vAlign w:val="center"/>
          </w:tcPr>
          <w:p w14:paraId="5346A477">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229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3CCEC4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restart"/>
            <w:vAlign w:val="center"/>
          </w:tcPr>
          <w:p w14:paraId="641498C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58D09D24">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原值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万元</w:t>
            </w:r>
          </w:p>
          <w:p w14:paraId="24E2B1B7">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净值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万元</w:t>
            </w:r>
          </w:p>
        </w:tc>
        <w:tc>
          <w:tcPr>
            <w:tcW w:w="728" w:type="dxa"/>
            <w:vMerge w:val="restart"/>
          </w:tcPr>
          <w:p w14:paraId="4835B28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14:paraId="5763E16E">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性质</w:t>
            </w:r>
          </w:p>
        </w:tc>
        <w:tc>
          <w:tcPr>
            <w:tcW w:w="1487" w:type="dxa"/>
            <w:gridSpan w:val="2"/>
          </w:tcPr>
          <w:p w14:paraId="6774898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2E455276">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1FF6E44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14:paraId="27B746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开户银行</w:t>
            </w:r>
          </w:p>
        </w:tc>
        <w:tc>
          <w:tcPr>
            <w:tcW w:w="4064" w:type="dxa"/>
            <w:gridSpan w:val="4"/>
          </w:tcPr>
          <w:p w14:paraId="4705E64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r w14:paraId="3A3A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69CACC2">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continue"/>
          </w:tcPr>
          <w:p w14:paraId="25413F29">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689" w:type="dxa"/>
            <w:vMerge w:val="continue"/>
          </w:tcPr>
          <w:p w14:paraId="53B1E8B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728" w:type="dxa"/>
            <w:vMerge w:val="continue"/>
          </w:tcPr>
          <w:p w14:paraId="4FB0B47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7" w:type="dxa"/>
            <w:gridSpan w:val="2"/>
          </w:tcPr>
          <w:p w14:paraId="5D37E3B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0719CC67">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2D42A94C">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14:paraId="42A843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账号</w:t>
            </w:r>
          </w:p>
        </w:tc>
        <w:tc>
          <w:tcPr>
            <w:tcW w:w="4064" w:type="dxa"/>
            <w:gridSpan w:val="4"/>
          </w:tcPr>
          <w:p w14:paraId="3323CD9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bl>
    <w:p w14:paraId="313B4D5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0FCDF12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351FDA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0EA3B29B">
      <w:pPr>
        <w:pStyle w:val="53"/>
        <w:rPr>
          <w:rFonts w:hint="eastAsia" w:ascii="宋体" w:hAnsi="宋体" w:eastAsia="宋体" w:cs="宋体"/>
          <w:color w:val="0000FF"/>
          <w:highlight w:val="none"/>
        </w:rPr>
        <w:sectPr>
          <w:pgSz w:w="16838" w:h="11906" w:orient="landscape"/>
          <w:pgMar w:top="1474" w:right="1134" w:bottom="1247" w:left="1134" w:header="680" w:footer="907" w:gutter="0"/>
          <w:pgBorders>
            <w:top w:val="none" w:sz="0" w:space="0"/>
            <w:left w:val="none" w:sz="0" w:space="0"/>
            <w:bottom w:val="none" w:sz="0" w:space="0"/>
            <w:right w:val="none" w:sz="0" w:space="0"/>
          </w:pgBorders>
          <w:cols w:space="0" w:num="1"/>
          <w:rtlGutter w:val="0"/>
          <w:docGrid w:type="linesAndChars" w:linePitch="287" w:charSpace="855"/>
        </w:sectPr>
      </w:pPr>
    </w:p>
    <w:p w14:paraId="41A872F7">
      <w:pPr>
        <w:spacing w:line="460" w:lineRule="exact"/>
        <w:rPr>
          <w:rFonts w:hint="eastAsia" w:ascii="宋体" w:hAnsi="宋体" w:eastAsia="宋体" w:cs="宋体"/>
          <w:b/>
          <w:bCs/>
          <w:color w:val="auto"/>
          <w:sz w:val="22"/>
          <w:szCs w:val="22"/>
          <w:highlight w:val="none"/>
        </w:rPr>
      </w:pPr>
    </w:p>
    <w:p w14:paraId="4BE3E3D5">
      <w:pPr>
        <w:spacing w:line="46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三</w:t>
      </w:r>
    </w:p>
    <w:p w14:paraId="27A6EC63">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 (1)</w:t>
      </w:r>
      <w:r>
        <w:rPr>
          <w:rFonts w:hint="eastAsia" w:ascii="宋体" w:hAnsi="宋体" w:eastAsia="宋体" w:cs="宋体"/>
          <w:b/>
          <w:bCs/>
          <w:color w:val="auto"/>
          <w:sz w:val="28"/>
          <w:szCs w:val="28"/>
          <w:highlight w:val="none"/>
          <w:lang w:eastAsia="zh-CN"/>
        </w:rPr>
        <w:t>技术条款偏离表</w:t>
      </w:r>
    </w:p>
    <w:p w14:paraId="1D7A343E">
      <w:pPr>
        <w:ind w:firstLine="435"/>
        <w:jc w:val="center"/>
        <w:rPr>
          <w:rFonts w:hint="eastAsia" w:ascii="宋体" w:hAnsi="宋体" w:eastAsia="宋体" w:cs="宋体"/>
          <w:b/>
          <w:color w:val="auto"/>
          <w:sz w:val="44"/>
          <w:highlight w:val="none"/>
        </w:rPr>
      </w:pPr>
    </w:p>
    <w:p w14:paraId="7067B57A">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single"/>
          <w:lang w:val="en-US" w:eastAsia="zh-CN"/>
        </w:rPr>
        <w:t xml:space="preserve"> </w:t>
      </w:r>
    </w:p>
    <w:p w14:paraId="43BB9D22">
      <w:pPr>
        <w:ind w:firstLine="361" w:firstLineChars="150"/>
        <w:rPr>
          <w:rFonts w:hint="eastAsia" w:ascii="宋体" w:hAnsi="宋体" w:eastAsia="宋体" w:cs="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76A16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794062C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38" w:type="dxa"/>
            <w:vAlign w:val="center"/>
          </w:tcPr>
          <w:p w14:paraId="2430EF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采购文件技术要求</w:t>
            </w:r>
          </w:p>
        </w:tc>
        <w:tc>
          <w:tcPr>
            <w:tcW w:w="2326" w:type="dxa"/>
            <w:vAlign w:val="center"/>
          </w:tcPr>
          <w:p w14:paraId="251FF98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投标供应商技术响应</w:t>
            </w:r>
          </w:p>
        </w:tc>
        <w:tc>
          <w:tcPr>
            <w:tcW w:w="2115" w:type="dxa"/>
            <w:vAlign w:val="center"/>
          </w:tcPr>
          <w:p w14:paraId="3C6A16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902" w:type="dxa"/>
            <w:vAlign w:val="center"/>
          </w:tcPr>
          <w:p w14:paraId="76E02B8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14:paraId="507D3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01DA5E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0CDC4AA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01BDB12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75626B6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6BAE39A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2827BD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9C1D6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6E5371C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29BDA40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2449EC4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0D3B120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98B63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8CEDE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54850B1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39B6BA6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7F9966F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333D2A4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E5F47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6110A3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335916A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30A40C7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490D7E6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3F9D0B3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439F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39AB44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14:paraId="7B04BFE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14:paraId="55721F5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14:paraId="4778A5C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14:paraId="05CDBF5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5FF18FE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021F63F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不填写此表视作完全响应采购文件要求。</w:t>
      </w:r>
    </w:p>
    <w:p w14:paraId="3182033D">
      <w:pPr>
        <w:spacing w:line="400" w:lineRule="exact"/>
        <w:rPr>
          <w:rFonts w:hint="eastAsia" w:ascii="宋体" w:hAnsi="宋体" w:eastAsia="宋体" w:cs="宋体"/>
          <w:color w:val="auto"/>
          <w:sz w:val="22"/>
          <w:szCs w:val="22"/>
          <w:highlight w:val="none"/>
        </w:rPr>
      </w:pPr>
    </w:p>
    <w:p w14:paraId="39B158D3">
      <w:pPr>
        <w:spacing w:line="400" w:lineRule="exact"/>
        <w:rPr>
          <w:rFonts w:hint="eastAsia" w:ascii="宋体" w:hAnsi="宋体" w:eastAsia="宋体" w:cs="宋体"/>
          <w:color w:val="auto"/>
          <w:sz w:val="22"/>
          <w:szCs w:val="22"/>
          <w:highlight w:val="none"/>
        </w:rPr>
      </w:pPr>
    </w:p>
    <w:p w14:paraId="3B4F89BD">
      <w:pPr>
        <w:spacing w:line="400" w:lineRule="exact"/>
        <w:rPr>
          <w:rFonts w:hint="eastAsia" w:ascii="宋体" w:hAnsi="宋体" w:eastAsia="宋体" w:cs="宋体"/>
          <w:color w:val="auto"/>
          <w:sz w:val="22"/>
          <w:szCs w:val="22"/>
          <w:highlight w:val="none"/>
        </w:rPr>
      </w:pPr>
    </w:p>
    <w:p w14:paraId="61C9C0EF">
      <w:pPr>
        <w:spacing w:line="400" w:lineRule="exact"/>
        <w:rPr>
          <w:rFonts w:hint="eastAsia" w:ascii="宋体" w:hAnsi="宋体" w:eastAsia="宋体" w:cs="宋体"/>
          <w:color w:val="auto"/>
          <w:sz w:val="22"/>
          <w:szCs w:val="22"/>
          <w:highlight w:val="none"/>
        </w:rPr>
      </w:pPr>
    </w:p>
    <w:p w14:paraId="4662A0E2">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4AAA7368">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225631A5">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2036EF2">
      <w:pPr>
        <w:spacing w:line="400" w:lineRule="exact"/>
        <w:rPr>
          <w:rFonts w:hint="eastAsia" w:ascii="宋体" w:hAnsi="宋体" w:eastAsia="宋体" w:cs="宋体"/>
          <w:color w:val="auto"/>
          <w:sz w:val="22"/>
          <w:szCs w:val="22"/>
          <w:highlight w:val="none"/>
        </w:rPr>
      </w:pPr>
    </w:p>
    <w:p w14:paraId="023651C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FF86326">
      <w:pPr>
        <w:spacing w:line="500" w:lineRule="exact"/>
        <w:jc w:val="center"/>
        <w:rPr>
          <w:rFonts w:hint="eastAsia" w:ascii="宋体" w:hAnsi="宋体" w:eastAsia="宋体" w:cs="宋体"/>
          <w:color w:val="auto"/>
          <w:sz w:val="24"/>
          <w:highlight w:val="none"/>
        </w:rPr>
      </w:pPr>
    </w:p>
    <w:p w14:paraId="0D0C7301">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(2)商务条款偏离表</w:t>
      </w:r>
    </w:p>
    <w:p w14:paraId="13215D79">
      <w:pPr>
        <w:ind w:firstLine="435"/>
        <w:jc w:val="center"/>
        <w:rPr>
          <w:rFonts w:hint="eastAsia" w:ascii="宋体" w:hAnsi="宋体" w:eastAsia="宋体" w:cs="宋体"/>
          <w:b/>
          <w:color w:val="auto"/>
          <w:sz w:val="44"/>
          <w:highlight w:val="none"/>
        </w:rPr>
      </w:pPr>
    </w:p>
    <w:p w14:paraId="3D01C947">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p>
    <w:p w14:paraId="617E9BE0">
      <w:pPr>
        <w:ind w:firstLine="221" w:firstLineChars="100"/>
        <w:rPr>
          <w:rFonts w:hint="eastAsia" w:ascii="宋体" w:hAnsi="宋体" w:eastAsia="宋体" w:cs="宋体"/>
          <w:b/>
          <w:color w:val="auto"/>
          <w:sz w:val="22"/>
          <w:szCs w:val="22"/>
          <w:highlight w:val="none"/>
        </w:rPr>
      </w:pPr>
    </w:p>
    <w:tbl>
      <w:tblPr>
        <w:tblStyle w:val="54"/>
        <w:tblW w:w="95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330"/>
      </w:tblGrid>
      <w:tr w14:paraId="6B962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7CC20CE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59" w:type="dxa"/>
            <w:vAlign w:val="center"/>
          </w:tcPr>
          <w:p w14:paraId="4DF60FC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条款内容</w:t>
            </w:r>
          </w:p>
        </w:tc>
        <w:tc>
          <w:tcPr>
            <w:tcW w:w="2184" w:type="dxa"/>
            <w:vAlign w:val="center"/>
          </w:tcPr>
          <w:p w14:paraId="33B6FA9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采购文件商务条款描述</w:t>
            </w:r>
          </w:p>
        </w:tc>
        <w:tc>
          <w:tcPr>
            <w:tcW w:w="2402" w:type="dxa"/>
            <w:vAlign w:val="center"/>
          </w:tcPr>
          <w:p w14:paraId="57BF6AB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磋商响应文件商务条款</w:t>
            </w:r>
          </w:p>
        </w:tc>
        <w:tc>
          <w:tcPr>
            <w:tcW w:w="1200" w:type="dxa"/>
            <w:vAlign w:val="center"/>
          </w:tcPr>
          <w:p w14:paraId="0D6E719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330" w:type="dxa"/>
            <w:vAlign w:val="center"/>
          </w:tcPr>
          <w:p w14:paraId="69AEA5F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14:paraId="7584B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202752F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59" w:type="dxa"/>
            <w:vAlign w:val="center"/>
          </w:tcPr>
          <w:p w14:paraId="499C5BB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2184" w:type="dxa"/>
            <w:vAlign w:val="center"/>
          </w:tcPr>
          <w:p w14:paraId="42F8E9A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519C15D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1D0581F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631A6E7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E26E1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2339A8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59" w:type="dxa"/>
            <w:vAlign w:val="center"/>
          </w:tcPr>
          <w:p w14:paraId="2514FAF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2184" w:type="dxa"/>
            <w:vAlign w:val="center"/>
          </w:tcPr>
          <w:p w14:paraId="0383453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3FB8C1B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52C0D4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37744E3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48AF6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5467D9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59" w:type="dxa"/>
            <w:vAlign w:val="center"/>
          </w:tcPr>
          <w:p w14:paraId="7A66663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14:paraId="0F646BD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778D491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3F5B2ED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343C312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7DDF1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E3E988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59" w:type="dxa"/>
            <w:vAlign w:val="center"/>
          </w:tcPr>
          <w:p w14:paraId="5DDB1A3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14:paraId="7009A3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634290A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0AEC703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0B52D63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0944D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204B29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559" w:type="dxa"/>
            <w:vAlign w:val="center"/>
          </w:tcPr>
          <w:p w14:paraId="40DCE84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14:paraId="62B02D5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6803FC8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6E6891F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069D0BD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91BB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759F23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559" w:type="dxa"/>
            <w:vAlign w:val="center"/>
          </w:tcPr>
          <w:p w14:paraId="5178987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184" w:type="dxa"/>
            <w:vAlign w:val="center"/>
          </w:tcPr>
          <w:p w14:paraId="0C2568C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14:paraId="5FE54CC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14:paraId="02B8992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14:paraId="175D274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604D9932">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说明：</w:t>
      </w:r>
      <w:r>
        <w:rPr>
          <w:rFonts w:hint="eastAsia" w:ascii="宋体" w:hAnsi="宋体" w:eastAsia="宋体" w:cs="宋体"/>
          <w:color w:val="auto"/>
          <w:sz w:val="22"/>
          <w:szCs w:val="22"/>
          <w:highlight w:val="none"/>
        </w:rPr>
        <w:t>不填写此表视作完全响应采购文件要求。</w:t>
      </w:r>
    </w:p>
    <w:p w14:paraId="2247B72D">
      <w:pPr>
        <w:spacing w:line="500" w:lineRule="exact"/>
        <w:ind w:firstLine="4400" w:firstLineChars="2000"/>
        <w:rPr>
          <w:rFonts w:hint="eastAsia" w:ascii="宋体" w:hAnsi="宋体" w:eastAsia="宋体" w:cs="宋体"/>
          <w:color w:val="auto"/>
          <w:sz w:val="22"/>
          <w:szCs w:val="22"/>
          <w:highlight w:val="none"/>
        </w:rPr>
      </w:pPr>
    </w:p>
    <w:p w14:paraId="62B66CAB">
      <w:pPr>
        <w:spacing w:line="500" w:lineRule="exact"/>
        <w:ind w:firstLine="4400" w:firstLineChars="2000"/>
        <w:rPr>
          <w:rFonts w:hint="eastAsia" w:ascii="宋体" w:hAnsi="宋体" w:eastAsia="宋体" w:cs="宋体"/>
          <w:color w:val="auto"/>
          <w:sz w:val="22"/>
          <w:szCs w:val="22"/>
          <w:highlight w:val="none"/>
        </w:rPr>
      </w:pPr>
    </w:p>
    <w:p w14:paraId="65260633">
      <w:pPr>
        <w:spacing w:line="500" w:lineRule="exact"/>
        <w:ind w:firstLine="4400" w:firstLineChars="2000"/>
        <w:rPr>
          <w:rFonts w:hint="eastAsia" w:ascii="宋体" w:hAnsi="宋体" w:eastAsia="宋体" w:cs="宋体"/>
          <w:color w:val="auto"/>
          <w:sz w:val="22"/>
          <w:szCs w:val="22"/>
          <w:highlight w:val="none"/>
        </w:rPr>
      </w:pPr>
    </w:p>
    <w:p w14:paraId="524872E0">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0016DB24">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43DAC419">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B056A14">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14:paraId="7F535371">
      <w:pPr>
        <w:tabs>
          <w:tab w:val="left" w:pos="780"/>
        </w:tabs>
        <w:spacing w:line="400" w:lineRule="exact"/>
        <w:ind w:left="18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四</w:t>
      </w:r>
    </w:p>
    <w:p w14:paraId="4CF381A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2021年1月1日以来同</w:t>
      </w:r>
      <w:r>
        <w:rPr>
          <w:rFonts w:hint="eastAsia" w:ascii="宋体" w:hAnsi="宋体" w:eastAsia="宋体" w:cs="宋体"/>
          <w:color w:val="auto"/>
          <w:sz w:val="32"/>
          <w:szCs w:val="32"/>
          <w:highlight w:val="none"/>
        </w:rPr>
        <w:t>类似项目业绩</w:t>
      </w:r>
    </w:p>
    <w:p w14:paraId="62460ECF">
      <w:pPr>
        <w:rPr>
          <w:rFonts w:hint="eastAsia" w:ascii="宋体" w:hAnsi="宋体" w:eastAsia="宋体" w:cs="宋体"/>
          <w:color w:val="auto"/>
          <w:highlight w:val="none"/>
        </w:rPr>
      </w:pPr>
    </w:p>
    <w:tbl>
      <w:tblPr>
        <w:tblStyle w:val="54"/>
        <w:tblW w:w="941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34"/>
        <w:gridCol w:w="1699"/>
        <w:gridCol w:w="1528"/>
        <w:gridCol w:w="1206"/>
        <w:gridCol w:w="2461"/>
      </w:tblGrid>
      <w:tr w14:paraId="25D8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5" w:type="dxa"/>
            <w:vAlign w:val="center"/>
          </w:tcPr>
          <w:p w14:paraId="0AA76EA7">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序号</w:t>
            </w:r>
          </w:p>
        </w:tc>
        <w:tc>
          <w:tcPr>
            <w:tcW w:w="1634" w:type="dxa"/>
            <w:vAlign w:val="center"/>
          </w:tcPr>
          <w:p w14:paraId="63E7B040">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项目名称</w:t>
            </w:r>
          </w:p>
        </w:tc>
        <w:tc>
          <w:tcPr>
            <w:tcW w:w="1699" w:type="dxa"/>
            <w:vAlign w:val="center"/>
          </w:tcPr>
          <w:p w14:paraId="4CC86783">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用户单位</w:t>
            </w:r>
          </w:p>
        </w:tc>
        <w:tc>
          <w:tcPr>
            <w:tcW w:w="1528" w:type="dxa"/>
            <w:vAlign w:val="center"/>
          </w:tcPr>
          <w:p w14:paraId="085A4EDF">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合同金额</w:t>
            </w:r>
          </w:p>
        </w:tc>
        <w:tc>
          <w:tcPr>
            <w:tcW w:w="1206" w:type="dxa"/>
            <w:vAlign w:val="center"/>
          </w:tcPr>
          <w:p w14:paraId="70F4E7F5">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合同日期</w:t>
            </w:r>
          </w:p>
        </w:tc>
        <w:tc>
          <w:tcPr>
            <w:tcW w:w="2461" w:type="dxa"/>
            <w:vAlign w:val="center"/>
          </w:tcPr>
          <w:p w14:paraId="7FEA08F6">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联系方式</w:t>
            </w:r>
          </w:p>
        </w:tc>
      </w:tr>
      <w:tr w14:paraId="339F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27C972C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330D2234">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7F206C2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177D3989">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7440C2C7">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7141575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6297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50C2E4C0">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4614DB4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204A94B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58CCEBD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6B0A558F">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718E326A">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3DDF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1868C502">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2B814D2C">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2AAACF3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1B58DFE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1C7C8343">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6E8DEF30">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53A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06057A9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18341F5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3BE1B6F6">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22DA10BD">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50F2895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55DC4253">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3A38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14:paraId="0A4BCC0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5B168EB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06372547">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0B56ED97">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0726E218">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68808CE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14:paraId="3B37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5" w:type="dxa"/>
          </w:tcPr>
          <w:p w14:paraId="00596CAE">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14:paraId="46D97350">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14:paraId="779C517A">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14:paraId="368DBA25">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14:paraId="2116106C">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14:paraId="7DC0D0B1">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bl>
    <w:p w14:paraId="76C91CF6">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提供自20</w:t>
      </w:r>
      <w:r>
        <w:rPr>
          <w:rFonts w:hint="eastAsia" w:ascii="宋体" w:hAnsi="宋体" w:eastAsia="宋体" w:cs="宋体"/>
          <w:color w:val="auto"/>
          <w:sz w:val="20"/>
          <w:szCs w:val="20"/>
          <w:highlight w:val="none"/>
          <w:lang w:val="en-US" w:eastAsia="zh-CN"/>
        </w:rPr>
        <w:t>21</w:t>
      </w:r>
      <w:r>
        <w:rPr>
          <w:rFonts w:hint="eastAsia" w:ascii="宋体" w:hAnsi="宋体" w:eastAsia="宋体" w:cs="宋体"/>
          <w:color w:val="auto"/>
          <w:sz w:val="20"/>
          <w:szCs w:val="20"/>
          <w:highlight w:val="none"/>
        </w:rPr>
        <w:t>年1月1日至今同类业绩（提供完整合同复印件及中标通知书）。（以打分表要求为准）</w:t>
      </w:r>
    </w:p>
    <w:p w14:paraId="3EF2D748">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提供全同复印件加盖单位公章，并按评分标准提供。</w:t>
      </w:r>
    </w:p>
    <w:p w14:paraId="0F0C886D">
      <w:pPr>
        <w:rPr>
          <w:rFonts w:hint="eastAsia" w:ascii="宋体" w:hAnsi="宋体" w:eastAsia="宋体" w:cs="宋体"/>
          <w:color w:val="auto"/>
          <w:sz w:val="20"/>
          <w:szCs w:val="20"/>
          <w:highlight w:val="none"/>
        </w:rPr>
      </w:pPr>
    </w:p>
    <w:p w14:paraId="12A69D24">
      <w:pPr>
        <w:rPr>
          <w:rFonts w:hint="eastAsia" w:ascii="宋体" w:hAnsi="宋体" w:eastAsia="宋体" w:cs="宋体"/>
          <w:color w:val="auto"/>
          <w:highlight w:val="none"/>
        </w:rPr>
      </w:pPr>
    </w:p>
    <w:p w14:paraId="6D8EB79F">
      <w:pPr>
        <w:tabs>
          <w:tab w:val="left" w:pos="5536"/>
        </w:tabs>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14:paraId="5F93C242">
      <w:pPr>
        <w:rPr>
          <w:rFonts w:hint="eastAsia" w:ascii="宋体" w:hAnsi="宋体" w:eastAsia="宋体" w:cs="宋体"/>
          <w:color w:val="auto"/>
          <w:highlight w:val="none"/>
        </w:rPr>
      </w:pPr>
    </w:p>
    <w:p w14:paraId="7B7B5B9D">
      <w:pPr>
        <w:rPr>
          <w:rFonts w:hint="eastAsia" w:ascii="宋体" w:hAnsi="宋体" w:eastAsia="宋体" w:cs="宋体"/>
          <w:color w:val="auto"/>
          <w:highlight w:val="none"/>
        </w:rPr>
      </w:pPr>
    </w:p>
    <w:p w14:paraId="2BBBC74C">
      <w:pPr>
        <w:rPr>
          <w:rFonts w:hint="eastAsia" w:ascii="宋体" w:hAnsi="宋体" w:eastAsia="宋体" w:cs="宋体"/>
          <w:color w:val="auto"/>
          <w:highlight w:val="none"/>
        </w:rPr>
      </w:pPr>
    </w:p>
    <w:p w14:paraId="54219C99">
      <w:pPr>
        <w:rPr>
          <w:rFonts w:hint="eastAsia" w:ascii="宋体" w:hAnsi="宋体" w:eastAsia="宋体" w:cs="宋体"/>
          <w:color w:val="auto"/>
          <w:highlight w:val="none"/>
        </w:rPr>
      </w:pPr>
    </w:p>
    <w:p w14:paraId="25991F19">
      <w:pPr>
        <w:rPr>
          <w:rFonts w:hint="eastAsia" w:ascii="宋体" w:hAnsi="宋体" w:eastAsia="宋体" w:cs="宋体"/>
          <w:color w:val="auto"/>
          <w:highlight w:val="none"/>
        </w:rPr>
      </w:pPr>
    </w:p>
    <w:p w14:paraId="5371E2EB">
      <w:pPr>
        <w:rPr>
          <w:rFonts w:hint="eastAsia" w:ascii="宋体" w:hAnsi="宋体" w:eastAsia="宋体" w:cs="宋体"/>
          <w:color w:val="auto"/>
          <w:highlight w:val="none"/>
        </w:rPr>
      </w:pPr>
    </w:p>
    <w:p w14:paraId="2A692028">
      <w:pPr>
        <w:rPr>
          <w:rFonts w:hint="eastAsia" w:ascii="宋体" w:hAnsi="宋体" w:eastAsia="宋体" w:cs="宋体"/>
          <w:color w:val="auto"/>
          <w:highlight w:val="none"/>
        </w:rPr>
      </w:pPr>
    </w:p>
    <w:p w14:paraId="6D1CAA95">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34E72EB0">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4ACC3774">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2F260D3">
      <w:pPr>
        <w:spacing w:line="380" w:lineRule="exact"/>
        <w:rPr>
          <w:rFonts w:hint="eastAsia" w:ascii="宋体" w:hAnsi="宋体" w:eastAsia="宋体" w:cs="宋体"/>
          <w:color w:val="auto"/>
          <w:sz w:val="22"/>
          <w:szCs w:val="22"/>
          <w:highlight w:val="none"/>
        </w:rPr>
      </w:pPr>
    </w:p>
    <w:p w14:paraId="426BD5E0">
      <w:pPr>
        <w:pStyle w:val="22"/>
        <w:spacing w:before="72"/>
        <w:ind w:left="745" w:firstLine="221"/>
        <w:rPr>
          <w:rFonts w:hint="eastAsia" w:ascii="宋体" w:hAnsi="宋体" w:eastAsia="宋体" w:cs="宋体"/>
          <w:color w:val="auto"/>
          <w:sz w:val="22"/>
          <w:szCs w:val="22"/>
          <w:highlight w:val="none"/>
        </w:rPr>
      </w:pPr>
    </w:p>
    <w:p w14:paraId="0032F642">
      <w:pPr>
        <w:tabs>
          <w:tab w:val="left" w:pos="840"/>
        </w:tabs>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76875815">
      <w:pPr>
        <w:pStyle w:val="22"/>
        <w:spacing w:before="72"/>
        <w:ind w:left="745" w:firstLine="221"/>
        <w:rPr>
          <w:rFonts w:hint="eastAsia" w:ascii="宋体" w:hAnsi="宋体" w:eastAsia="宋体" w:cs="宋体"/>
          <w:b w:val="0"/>
          <w:bCs/>
          <w:color w:val="auto"/>
          <w:sz w:val="22"/>
          <w:szCs w:val="22"/>
          <w:highlight w:val="none"/>
        </w:rPr>
      </w:pPr>
    </w:p>
    <w:p w14:paraId="12380F89">
      <w:pPr>
        <w:tabs>
          <w:tab w:val="left" w:pos="780"/>
        </w:tabs>
        <w:spacing w:line="400" w:lineRule="exact"/>
        <w:ind w:left="180"/>
        <w:rPr>
          <w:rFonts w:hint="eastAsia" w:ascii="宋体" w:hAnsi="宋体" w:eastAsia="宋体" w:cs="宋体"/>
          <w:b/>
          <w:bCs/>
          <w:color w:val="auto"/>
          <w:sz w:val="22"/>
          <w:szCs w:val="22"/>
          <w:highlight w:val="none"/>
        </w:rPr>
      </w:pPr>
    </w:p>
    <w:p w14:paraId="4B18DA2C">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62920027">
      <w:pPr>
        <w:tabs>
          <w:tab w:val="left" w:pos="780"/>
        </w:tabs>
        <w:spacing w:line="400" w:lineRule="exact"/>
        <w:ind w:left="180"/>
        <w:rPr>
          <w:rFonts w:hint="eastAsia" w:ascii="宋体" w:hAnsi="宋体" w:eastAsia="宋体" w:cs="宋体"/>
          <w:b/>
          <w:bCs/>
          <w:color w:val="auto"/>
          <w:sz w:val="22"/>
          <w:szCs w:val="22"/>
          <w:highlight w:val="none"/>
        </w:rPr>
      </w:pPr>
    </w:p>
    <w:p w14:paraId="6F01EDD4">
      <w:pPr>
        <w:tabs>
          <w:tab w:val="left" w:pos="780"/>
        </w:tabs>
        <w:spacing w:line="400" w:lineRule="exact"/>
        <w:ind w:left="18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五</w:t>
      </w:r>
    </w:p>
    <w:p w14:paraId="442D2B06">
      <w:pPr>
        <w:rPr>
          <w:rFonts w:hint="eastAsia" w:ascii="宋体" w:hAnsi="宋体" w:eastAsia="宋体" w:cs="宋体"/>
          <w:color w:val="auto"/>
          <w:sz w:val="22"/>
          <w:szCs w:val="22"/>
          <w:highlight w:val="none"/>
        </w:rPr>
      </w:pPr>
    </w:p>
    <w:p w14:paraId="46C9761B">
      <w:pPr>
        <w:tabs>
          <w:tab w:val="left" w:pos="1620"/>
        </w:tabs>
        <w:spacing w:line="460" w:lineRule="exact"/>
        <w:jc w:val="center"/>
        <w:outlineLvl w:val="4"/>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①项目负责人资格情况表</w:t>
      </w:r>
    </w:p>
    <w:p w14:paraId="1A5C14D3">
      <w:pPr>
        <w:adjustRightInd w:val="0"/>
        <w:snapToGrid w:val="0"/>
        <w:spacing w:line="360" w:lineRule="auto"/>
        <w:rPr>
          <w:rFonts w:hint="eastAsia" w:ascii="宋体" w:hAnsi="宋体" w:eastAsia="宋体" w:cs="宋体"/>
          <w:b/>
          <w:bCs/>
          <w:color w:val="auto"/>
          <w:sz w:val="32"/>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54"/>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462"/>
      </w:tblGrid>
      <w:tr w14:paraId="2071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noWrap w:val="0"/>
            <w:vAlign w:val="center"/>
          </w:tcPr>
          <w:p w14:paraId="19CEF69B">
            <w:pPr>
              <w:pStyle w:val="420"/>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noWrap w:val="0"/>
            <w:vAlign w:val="center"/>
          </w:tcPr>
          <w:p w14:paraId="64D6766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noWrap w:val="0"/>
            <w:vAlign w:val="center"/>
          </w:tcPr>
          <w:p w14:paraId="379665FF">
            <w:pPr>
              <w:pStyle w:val="420"/>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14:paraId="7E6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4" w:type="dxa"/>
            <w:noWrap w:val="0"/>
            <w:vAlign w:val="center"/>
          </w:tcPr>
          <w:p w14:paraId="1FA3602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性别</w:t>
            </w:r>
          </w:p>
        </w:tc>
        <w:tc>
          <w:tcPr>
            <w:tcW w:w="1833" w:type="dxa"/>
            <w:noWrap w:val="0"/>
            <w:vAlign w:val="center"/>
          </w:tcPr>
          <w:p w14:paraId="4D77DA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restart"/>
            <w:noWrap w:val="0"/>
            <w:vAlign w:val="center"/>
          </w:tcPr>
          <w:p w14:paraId="0AA05D46">
            <w:pPr>
              <w:pStyle w:val="421"/>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注：相关项目经验应提供旁证材料</w:t>
            </w:r>
          </w:p>
          <w:p w14:paraId="0023CA5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5A68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006203D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年龄</w:t>
            </w:r>
          </w:p>
        </w:tc>
        <w:tc>
          <w:tcPr>
            <w:tcW w:w="1833" w:type="dxa"/>
            <w:noWrap w:val="0"/>
            <w:vAlign w:val="center"/>
          </w:tcPr>
          <w:p w14:paraId="13C8384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0E53597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6C7D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3FA1497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职称</w:t>
            </w:r>
          </w:p>
        </w:tc>
        <w:tc>
          <w:tcPr>
            <w:tcW w:w="1833" w:type="dxa"/>
            <w:noWrap w:val="0"/>
            <w:vAlign w:val="center"/>
          </w:tcPr>
          <w:p w14:paraId="5FCA01C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7E0EEE3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124F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1228B1C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毕业院校系及专业</w:t>
            </w:r>
          </w:p>
        </w:tc>
        <w:tc>
          <w:tcPr>
            <w:tcW w:w="1833" w:type="dxa"/>
            <w:noWrap w:val="0"/>
            <w:vAlign w:val="center"/>
          </w:tcPr>
          <w:p w14:paraId="1F8BC54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793B598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7BF6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5A210FBC">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毕业时间</w:t>
            </w:r>
          </w:p>
        </w:tc>
        <w:tc>
          <w:tcPr>
            <w:tcW w:w="1833" w:type="dxa"/>
            <w:noWrap w:val="0"/>
            <w:vAlign w:val="center"/>
          </w:tcPr>
          <w:p w14:paraId="64EEAE2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2A652E9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1DEA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453109B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联系电话</w:t>
            </w:r>
          </w:p>
        </w:tc>
        <w:tc>
          <w:tcPr>
            <w:tcW w:w="1833" w:type="dxa"/>
            <w:noWrap w:val="0"/>
            <w:vAlign w:val="center"/>
          </w:tcPr>
          <w:p w14:paraId="6085750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267ACDF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6A1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14:paraId="43FCF3B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最近一年工作单位</w:t>
            </w:r>
          </w:p>
        </w:tc>
        <w:tc>
          <w:tcPr>
            <w:tcW w:w="1833" w:type="dxa"/>
            <w:noWrap w:val="0"/>
            <w:vAlign w:val="center"/>
          </w:tcPr>
          <w:p w14:paraId="5FF9BB5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14:paraId="3DADBD3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14:paraId="2B6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noWrap w:val="0"/>
            <w:vAlign w:val="center"/>
          </w:tcPr>
          <w:p w14:paraId="1AAAAA5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拟在本项目中担任主要工作</w:t>
            </w:r>
          </w:p>
        </w:tc>
        <w:tc>
          <w:tcPr>
            <w:tcW w:w="7295" w:type="dxa"/>
            <w:gridSpan w:val="2"/>
            <w:noWrap w:val="0"/>
            <w:vAlign w:val="center"/>
          </w:tcPr>
          <w:p w14:paraId="59A7BC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bl>
    <w:p w14:paraId="5B119166">
      <w:pPr>
        <w:spacing w:line="360" w:lineRule="exact"/>
        <w:ind w:left="974" w:leftChars="106" w:hanging="751" w:hangingChars="34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附注：须随表提交项目主管在投标人的近三个月内任意一个月的社保证明复印件加投标人盖公章，学历、职称、所获其他证书的证书复印件加盖投标人公章。</w:t>
      </w:r>
    </w:p>
    <w:p w14:paraId="30F03BE0">
      <w:pPr>
        <w:spacing w:before="240" w:beforeLines="100" w:after="120" w:afterLines="50"/>
        <w:rPr>
          <w:rFonts w:hint="eastAsia" w:ascii="宋体" w:hAnsi="宋体" w:eastAsia="宋体" w:cs="宋体"/>
          <w:b/>
          <w:bCs/>
          <w:color w:val="auto"/>
          <w:sz w:val="22"/>
          <w:szCs w:val="22"/>
          <w:highlight w:val="none"/>
        </w:rPr>
      </w:pPr>
    </w:p>
    <w:p w14:paraId="1BB772D9">
      <w:pPr>
        <w:pStyle w:val="22"/>
        <w:ind w:firstLine="321"/>
        <w:rPr>
          <w:rFonts w:hint="eastAsia" w:ascii="宋体" w:hAnsi="宋体" w:eastAsia="宋体" w:cs="宋体"/>
          <w:color w:val="auto"/>
          <w:highlight w:val="none"/>
        </w:rPr>
      </w:pPr>
    </w:p>
    <w:p w14:paraId="379FCD43">
      <w:pPr>
        <w:pStyle w:val="22"/>
        <w:ind w:firstLine="321"/>
        <w:rPr>
          <w:rFonts w:hint="eastAsia" w:ascii="宋体" w:hAnsi="宋体" w:eastAsia="宋体" w:cs="宋体"/>
          <w:color w:val="auto"/>
          <w:highlight w:val="none"/>
        </w:rPr>
      </w:pPr>
    </w:p>
    <w:p w14:paraId="71AB0D39">
      <w:pPr>
        <w:pStyle w:val="22"/>
        <w:ind w:firstLine="321"/>
        <w:rPr>
          <w:rFonts w:hint="eastAsia" w:ascii="宋体" w:hAnsi="宋体" w:eastAsia="宋体" w:cs="宋体"/>
          <w:color w:val="auto"/>
          <w:highlight w:val="none"/>
        </w:rPr>
      </w:pPr>
    </w:p>
    <w:p w14:paraId="70A4AF38">
      <w:pPr>
        <w:pStyle w:val="22"/>
        <w:ind w:firstLine="321"/>
        <w:rPr>
          <w:rFonts w:hint="eastAsia" w:ascii="宋体" w:hAnsi="宋体" w:eastAsia="宋体" w:cs="宋体"/>
          <w:color w:val="auto"/>
          <w:highlight w:val="none"/>
        </w:rPr>
      </w:pPr>
    </w:p>
    <w:p w14:paraId="5817911E">
      <w:pPr>
        <w:pStyle w:val="22"/>
        <w:ind w:firstLine="321"/>
        <w:rPr>
          <w:rFonts w:hint="eastAsia" w:ascii="宋体" w:hAnsi="宋体" w:eastAsia="宋体" w:cs="宋体"/>
          <w:color w:val="auto"/>
          <w:highlight w:val="none"/>
        </w:rPr>
      </w:pPr>
    </w:p>
    <w:p w14:paraId="4EB8DC57">
      <w:pPr>
        <w:pStyle w:val="22"/>
        <w:ind w:firstLine="321"/>
        <w:rPr>
          <w:rFonts w:hint="eastAsia" w:ascii="宋体" w:hAnsi="宋体" w:eastAsia="宋体" w:cs="宋体"/>
          <w:color w:val="auto"/>
          <w:highlight w:val="none"/>
        </w:rPr>
      </w:pPr>
    </w:p>
    <w:p w14:paraId="3CC5127B">
      <w:pPr>
        <w:tabs>
          <w:tab w:val="left" w:pos="1620"/>
        </w:tabs>
        <w:spacing w:line="460" w:lineRule="exact"/>
        <w:jc w:val="center"/>
        <w:outlineLvl w:val="4"/>
        <w:rPr>
          <w:rFonts w:hint="eastAsia" w:ascii="宋体" w:hAnsi="宋体" w:eastAsia="宋体" w:cs="宋体"/>
          <w:b/>
          <w:bCs/>
          <w:color w:val="auto"/>
          <w:sz w:val="22"/>
          <w:szCs w:val="22"/>
          <w:highlight w:val="none"/>
        </w:rPr>
      </w:pPr>
    </w:p>
    <w:p w14:paraId="67F1AFC7">
      <w:pPr>
        <w:tabs>
          <w:tab w:val="left" w:pos="1620"/>
        </w:tabs>
        <w:spacing w:line="460" w:lineRule="exact"/>
        <w:jc w:val="center"/>
        <w:outlineLvl w:val="4"/>
        <w:rPr>
          <w:rFonts w:hint="eastAsia" w:ascii="宋体" w:hAnsi="宋体" w:eastAsia="宋体" w:cs="宋体"/>
          <w:b/>
          <w:bCs/>
          <w:color w:val="auto"/>
          <w:sz w:val="22"/>
          <w:szCs w:val="22"/>
          <w:highlight w:val="none"/>
        </w:rPr>
      </w:pPr>
    </w:p>
    <w:p w14:paraId="04A72F35">
      <w:pPr>
        <w:tabs>
          <w:tab w:val="left" w:pos="1620"/>
        </w:tabs>
        <w:spacing w:line="460" w:lineRule="exact"/>
        <w:jc w:val="center"/>
        <w:outlineLvl w:val="4"/>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②项目服务人员汇总表</w:t>
      </w:r>
    </w:p>
    <w:p w14:paraId="25BF9CB8">
      <w:pPr>
        <w:spacing w:line="360" w:lineRule="auto"/>
        <w:rPr>
          <w:rFonts w:hint="eastAsia" w:ascii="宋体" w:hAnsi="宋体" w:eastAsia="宋体" w:cs="宋体"/>
          <w:bCs/>
          <w:color w:val="auto"/>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5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887"/>
        <w:gridCol w:w="720"/>
        <w:gridCol w:w="720"/>
        <w:gridCol w:w="720"/>
        <w:gridCol w:w="1080"/>
        <w:gridCol w:w="1458"/>
        <w:gridCol w:w="1422"/>
      </w:tblGrid>
      <w:tr w14:paraId="7ED2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1BB919A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姓名</w:t>
            </w:r>
          </w:p>
        </w:tc>
        <w:tc>
          <w:tcPr>
            <w:tcW w:w="1887" w:type="dxa"/>
            <w:noWrap w:val="0"/>
            <w:vAlign w:val="center"/>
          </w:tcPr>
          <w:p w14:paraId="43C5D323">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本项目主要</w:t>
            </w:r>
            <w:r>
              <w:rPr>
                <w:rFonts w:hint="eastAsia" w:ascii="宋体" w:hAnsi="宋体" w:cs="宋体"/>
                <w:b/>
                <w:bCs/>
                <w:color w:val="auto"/>
                <w:sz w:val="22"/>
                <w:szCs w:val="22"/>
                <w:highlight w:val="none"/>
                <w:lang w:val="en-US" w:eastAsia="zh-CN"/>
              </w:rPr>
              <w:t>岗位</w:t>
            </w:r>
          </w:p>
        </w:tc>
        <w:tc>
          <w:tcPr>
            <w:tcW w:w="720" w:type="dxa"/>
            <w:noWrap w:val="0"/>
            <w:vAlign w:val="center"/>
          </w:tcPr>
          <w:p w14:paraId="1339DD5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年龄</w:t>
            </w:r>
          </w:p>
        </w:tc>
        <w:tc>
          <w:tcPr>
            <w:tcW w:w="720" w:type="dxa"/>
            <w:noWrap w:val="0"/>
            <w:vAlign w:val="center"/>
          </w:tcPr>
          <w:p w14:paraId="4EB76E0F">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性别</w:t>
            </w:r>
          </w:p>
        </w:tc>
        <w:tc>
          <w:tcPr>
            <w:tcW w:w="720" w:type="dxa"/>
            <w:noWrap w:val="0"/>
            <w:vAlign w:val="center"/>
          </w:tcPr>
          <w:p w14:paraId="24EDCB3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tc>
        <w:tc>
          <w:tcPr>
            <w:tcW w:w="1080" w:type="dxa"/>
            <w:noWrap w:val="0"/>
            <w:vAlign w:val="center"/>
          </w:tcPr>
          <w:p w14:paraId="22B65E8A">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p w14:paraId="4BC31775">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年限</w:t>
            </w:r>
          </w:p>
        </w:tc>
        <w:tc>
          <w:tcPr>
            <w:tcW w:w="1458" w:type="dxa"/>
            <w:noWrap w:val="0"/>
            <w:vAlign w:val="center"/>
          </w:tcPr>
          <w:p w14:paraId="7DB257E6">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职务</w:t>
            </w:r>
          </w:p>
          <w:p w14:paraId="7C9BD01A">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和职称/认证</w:t>
            </w:r>
          </w:p>
        </w:tc>
        <w:tc>
          <w:tcPr>
            <w:tcW w:w="1422" w:type="dxa"/>
            <w:noWrap w:val="0"/>
            <w:vAlign w:val="center"/>
          </w:tcPr>
          <w:p w14:paraId="53FB8782">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备注</w:t>
            </w:r>
          </w:p>
        </w:tc>
      </w:tr>
      <w:tr w14:paraId="49EF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1B596B2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5D7899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10ACC7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722FDE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26B12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57FCF2B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797D616">
            <w:pPr>
              <w:keepNext w:val="0"/>
              <w:keepLines w:val="0"/>
              <w:suppressLineNumbers w:val="0"/>
              <w:spacing w:before="0" w:beforeAutospacing="0" w:after="0" w:afterAutospacing="0" w:line="360" w:lineRule="auto"/>
              <w:ind w:left="5250" w:right="0"/>
              <w:rPr>
                <w:rFonts w:hint="eastAsia" w:ascii="宋体" w:hAnsi="宋体" w:eastAsia="宋体" w:cs="宋体"/>
                <w:color w:val="auto"/>
                <w:spacing w:val="12"/>
                <w:sz w:val="22"/>
                <w:szCs w:val="22"/>
                <w:highlight w:val="none"/>
              </w:rPr>
            </w:pPr>
          </w:p>
        </w:tc>
        <w:tc>
          <w:tcPr>
            <w:tcW w:w="1422" w:type="dxa"/>
            <w:noWrap w:val="0"/>
            <w:vAlign w:val="center"/>
          </w:tcPr>
          <w:p w14:paraId="429BC04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198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189498A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29142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8C710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A612F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FFDD2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1E39C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5CF8E8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10E9F641">
            <w:pPr>
              <w:keepNext w:val="0"/>
              <w:keepLines w:val="0"/>
              <w:suppressLineNumbers w:val="0"/>
              <w:spacing w:before="0" w:beforeAutospacing="0" w:after="0" w:afterAutospacing="0" w:line="360" w:lineRule="auto"/>
              <w:ind w:left="5250" w:right="0"/>
              <w:rPr>
                <w:rFonts w:hint="eastAsia" w:ascii="宋体" w:hAnsi="宋体" w:eastAsia="宋体" w:cs="宋体"/>
                <w:color w:val="auto"/>
                <w:spacing w:val="12"/>
                <w:sz w:val="22"/>
                <w:szCs w:val="22"/>
                <w:highlight w:val="none"/>
              </w:rPr>
            </w:pPr>
          </w:p>
        </w:tc>
      </w:tr>
      <w:tr w14:paraId="7B15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6C0850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90F45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7D397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4D0502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E4DD2D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B30D4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33D980D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3FFBB52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7E2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012C3C3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674B9B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9CD02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26C443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E92E5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E17C8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3080F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6F017E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AF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F5CEC5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4E33C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4FB5E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C436E8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442DD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B35A74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031D132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4115D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CB8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FADA7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56DCB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7B017B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26AC7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4353E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B953A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08CCB1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7D3B406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B0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170D6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D420E6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094974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0C101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492C9D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6D5E4C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572433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EBEF57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C2D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DE899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3865AC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4208B9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D8153C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86F90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59681BC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1B13D55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52EF7F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0A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78E8F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4423E6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9EFD4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FBADB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45AC9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22FE5D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B5840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4486D9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E66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4388FE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A9E54F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E950E3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861F1B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060F3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615ABCE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613E2C0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0A2AF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B1A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5D6A813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77F0D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AC44E3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19EDD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90BBF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2880A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14A25E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19DDD6F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935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A2097C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40CB1C1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82729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C935F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A714BF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30E79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4A7ABF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52B117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54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53817DE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6C42B3D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76BF9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0FCB8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0A9655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06CD185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90D38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9D9F3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CD4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B582B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35ED005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AA702A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2486E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08AD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7F6B6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3113F4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09037A8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AE3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209FD8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0EC0110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1A4D22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56D0BAE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92946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3255E51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7BE2DE4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437DF20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E39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6EE6115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191D15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2A9260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E4969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72FD1A8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75955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78BCB0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58F8815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8C6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3160CD2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148FA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9A91F8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B0A84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1D41E1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7739374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4568EFE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31069739">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789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5C1052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500039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26B014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2136768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1098072E">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39FE98F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1A66626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4CE12D62">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E5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1" w:type="dxa"/>
            <w:noWrap w:val="0"/>
            <w:vAlign w:val="center"/>
          </w:tcPr>
          <w:p w14:paraId="70F8F1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887" w:type="dxa"/>
            <w:noWrap w:val="0"/>
            <w:vAlign w:val="center"/>
          </w:tcPr>
          <w:p w14:paraId="09A1800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348CB1F5">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624ED744">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14:paraId="49CBED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14:paraId="4FF15E28">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14:paraId="2F21679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14:paraId="2B5CAB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3988CBC">
      <w:pPr>
        <w:spacing w:line="360" w:lineRule="exact"/>
        <w:ind w:left="968" w:hanging="968" w:hangingChars="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附注：1、列入本表人员如要更换，需经招标人同意，擅自更换或不到位属违约行为；</w:t>
      </w:r>
    </w:p>
    <w:p w14:paraId="46166942">
      <w:pPr>
        <w:spacing w:line="360" w:lineRule="exact"/>
        <w:ind w:left="718" w:leftChars="321" w:hanging="44" w:hanging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2、职称</w:t>
      </w:r>
      <w:r>
        <w:rPr>
          <w:rFonts w:hint="eastAsia" w:ascii="宋体" w:hAnsi="宋体" w:eastAsia="宋体" w:cs="宋体"/>
          <w:color w:val="auto"/>
          <w:sz w:val="22"/>
          <w:szCs w:val="22"/>
          <w:highlight w:val="none"/>
          <w:lang w:val="en-US" w:eastAsia="zh-CN"/>
        </w:rPr>
        <w:t>及相关</w:t>
      </w:r>
      <w:r>
        <w:rPr>
          <w:rFonts w:hint="eastAsia" w:ascii="宋体" w:hAnsi="宋体" w:eastAsia="宋体" w:cs="宋体"/>
          <w:color w:val="auto"/>
          <w:sz w:val="22"/>
          <w:szCs w:val="22"/>
          <w:highlight w:val="none"/>
        </w:rPr>
        <w:t>证书复印件附后。</w:t>
      </w:r>
    </w:p>
    <w:p w14:paraId="1534CBC8">
      <w:pPr>
        <w:pStyle w:val="22"/>
        <w:ind w:firstLine="221"/>
        <w:rPr>
          <w:rFonts w:hint="eastAsia" w:ascii="宋体" w:hAnsi="宋体" w:eastAsia="宋体" w:cs="宋体"/>
          <w:bCs/>
          <w:color w:val="auto"/>
          <w:sz w:val="22"/>
          <w:szCs w:val="22"/>
          <w:highlight w:val="none"/>
        </w:rPr>
      </w:pPr>
    </w:p>
    <w:p w14:paraId="297F7D26">
      <w:pPr>
        <w:pStyle w:val="72"/>
        <w:rPr>
          <w:rFonts w:hint="eastAsia" w:ascii="宋体" w:hAnsi="宋体" w:eastAsia="宋体" w:cs="宋体"/>
          <w:color w:val="auto"/>
          <w:sz w:val="22"/>
          <w:szCs w:val="22"/>
          <w:highlight w:val="none"/>
        </w:rPr>
      </w:pPr>
    </w:p>
    <w:p w14:paraId="5E4D8417">
      <w:pPr>
        <w:pStyle w:val="21"/>
        <w:rPr>
          <w:rFonts w:hint="eastAsia" w:ascii="宋体" w:hAnsi="宋体" w:eastAsia="宋体" w:cs="宋体"/>
          <w:color w:val="auto"/>
          <w:sz w:val="22"/>
          <w:szCs w:val="22"/>
          <w:highlight w:val="none"/>
        </w:rPr>
      </w:pPr>
    </w:p>
    <w:p w14:paraId="0C20702D">
      <w:pPr>
        <w:pStyle w:val="22"/>
        <w:rPr>
          <w:rFonts w:hint="eastAsia" w:ascii="宋体" w:hAnsi="宋体" w:eastAsia="宋体" w:cs="宋体"/>
          <w:color w:val="auto"/>
          <w:sz w:val="22"/>
          <w:szCs w:val="22"/>
          <w:highlight w:val="none"/>
        </w:rPr>
      </w:pPr>
    </w:p>
    <w:p w14:paraId="66F20E11">
      <w:pPr>
        <w:pStyle w:val="23"/>
        <w:rPr>
          <w:rFonts w:hint="eastAsia" w:ascii="宋体" w:hAnsi="宋体" w:eastAsia="宋体" w:cs="宋体"/>
          <w:color w:val="auto"/>
          <w:sz w:val="22"/>
          <w:szCs w:val="22"/>
          <w:highlight w:val="none"/>
        </w:rPr>
      </w:pPr>
    </w:p>
    <w:p w14:paraId="0D674852">
      <w:pPr>
        <w:rPr>
          <w:rFonts w:hint="eastAsia" w:ascii="宋体" w:hAnsi="宋体" w:eastAsia="宋体" w:cs="宋体"/>
          <w:color w:val="auto"/>
          <w:sz w:val="22"/>
          <w:szCs w:val="22"/>
          <w:highlight w:val="none"/>
        </w:rPr>
      </w:pPr>
    </w:p>
    <w:p w14:paraId="77688395">
      <w:pPr>
        <w:pStyle w:val="72"/>
        <w:rPr>
          <w:rFonts w:hint="eastAsia" w:ascii="宋体" w:hAnsi="宋体" w:eastAsia="宋体" w:cs="宋体"/>
          <w:color w:val="auto"/>
          <w:sz w:val="22"/>
          <w:szCs w:val="22"/>
          <w:highlight w:val="none"/>
        </w:rPr>
      </w:pPr>
    </w:p>
    <w:p w14:paraId="4A0BB249">
      <w:pPr>
        <w:pStyle w:val="21"/>
        <w:rPr>
          <w:rFonts w:hint="eastAsia" w:ascii="宋体" w:hAnsi="宋体" w:eastAsia="宋体" w:cs="宋体"/>
          <w:color w:val="auto"/>
          <w:sz w:val="22"/>
          <w:szCs w:val="22"/>
          <w:highlight w:val="none"/>
        </w:rPr>
      </w:pPr>
    </w:p>
    <w:p w14:paraId="452F5853">
      <w:pPr>
        <w:pStyle w:val="22"/>
        <w:rPr>
          <w:rFonts w:hint="eastAsia" w:ascii="宋体" w:hAnsi="宋体" w:eastAsia="宋体" w:cs="宋体"/>
          <w:color w:val="auto"/>
          <w:sz w:val="22"/>
          <w:szCs w:val="22"/>
          <w:highlight w:val="none"/>
        </w:rPr>
      </w:pPr>
    </w:p>
    <w:p w14:paraId="1D2FE00B">
      <w:pPr>
        <w:spacing w:beforeLines="50" w:afterLines="50"/>
        <w:rPr>
          <w:rFonts w:hint="eastAsia" w:ascii="宋体" w:hAnsi="宋体" w:eastAsia="宋体" w:cs="宋体"/>
          <w:color w:val="auto"/>
          <w:sz w:val="22"/>
          <w:szCs w:val="22"/>
          <w:highlight w:val="none"/>
        </w:rPr>
      </w:pPr>
    </w:p>
    <w:p w14:paraId="7A7FB405">
      <w:pPr>
        <w:spacing w:beforeLines="50" w:afterLines="50"/>
        <w:rPr>
          <w:rFonts w:hint="eastAsia" w:ascii="宋体" w:hAnsi="宋体" w:eastAsia="宋体" w:cs="宋体"/>
          <w:color w:val="auto"/>
          <w:sz w:val="22"/>
          <w:szCs w:val="22"/>
          <w:highlight w:val="none"/>
        </w:rPr>
      </w:pPr>
    </w:p>
    <w:p w14:paraId="650C76C0">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（报价标封面，供参考）</w:t>
      </w:r>
    </w:p>
    <w:p w14:paraId="25CD57C5">
      <w:pPr>
        <w:rPr>
          <w:rFonts w:hint="eastAsia" w:ascii="宋体" w:hAnsi="宋体" w:eastAsia="宋体" w:cs="宋体"/>
          <w:color w:val="auto"/>
          <w:highlight w:val="none"/>
        </w:rPr>
      </w:pPr>
    </w:p>
    <w:p w14:paraId="19FBB5F9">
      <w:pPr>
        <w:rPr>
          <w:rFonts w:hint="eastAsia" w:ascii="宋体" w:hAnsi="宋体" w:eastAsia="宋体" w:cs="宋体"/>
          <w:color w:val="auto"/>
          <w:highlight w:val="none"/>
        </w:rPr>
      </w:pPr>
    </w:p>
    <w:p w14:paraId="350F5F7D">
      <w:pPr>
        <w:rPr>
          <w:rFonts w:hint="eastAsia" w:ascii="宋体" w:hAnsi="宋体" w:eastAsia="宋体" w:cs="宋体"/>
          <w:color w:val="auto"/>
          <w:highlight w:val="none"/>
        </w:rPr>
      </w:pPr>
    </w:p>
    <w:p w14:paraId="49411E3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磋商响应文件</w:t>
      </w:r>
    </w:p>
    <w:p w14:paraId="52CF6C77">
      <w:pPr>
        <w:rPr>
          <w:rFonts w:hint="eastAsia" w:ascii="宋体" w:hAnsi="宋体" w:eastAsia="宋体" w:cs="宋体"/>
          <w:color w:val="auto"/>
          <w:sz w:val="28"/>
          <w:szCs w:val="28"/>
          <w:highlight w:val="none"/>
        </w:rPr>
      </w:pPr>
    </w:p>
    <w:p w14:paraId="6BFF7CFC">
      <w:pPr>
        <w:rPr>
          <w:rFonts w:hint="eastAsia" w:ascii="宋体" w:hAnsi="宋体" w:eastAsia="宋体" w:cs="宋体"/>
          <w:color w:val="auto"/>
          <w:sz w:val="28"/>
          <w:szCs w:val="28"/>
          <w:highlight w:val="none"/>
        </w:rPr>
      </w:pPr>
    </w:p>
    <w:p w14:paraId="2F1EF20A">
      <w:pPr>
        <w:pStyle w:val="22"/>
        <w:ind w:firstLine="2811" w:firstLineChars="1000"/>
        <w:rPr>
          <w:rFonts w:hint="eastAsia" w:ascii="宋体" w:hAnsi="宋体" w:eastAsia="宋体" w:cs="宋体"/>
          <w:color w:val="auto"/>
          <w:sz w:val="28"/>
          <w:szCs w:val="28"/>
          <w:highlight w:val="none"/>
          <w:lang w:val="en-US" w:eastAsia="zh-CN"/>
        </w:rPr>
      </w:pPr>
    </w:p>
    <w:p w14:paraId="6BF4CE30">
      <w:pPr>
        <w:pStyle w:val="22"/>
        <w:ind w:firstLine="281"/>
        <w:rPr>
          <w:rFonts w:hint="eastAsia" w:ascii="宋体" w:hAnsi="宋体" w:eastAsia="宋体" w:cs="宋体"/>
          <w:color w:val="auto"/>
          <w:sz w:val="28"/>
          <w:szCs w:val="28"/>
          <w:highlight w:val="none"/>
        </w:rPr>
      </w:pPr>
    </w:p>
    <w:p w14:paraId="235C1460">
      <w:pPr>
        <w:rPr>
          <w:rFonts w:hint="eastAsia" w:ascii="宋体" w:hAnsi="宋体" w:eastAsia="宋体" w:cs="宋体"/>
          <w:color w:val="auto"/>
          <w:sz w:val="28"/>
          <w:szCs w:val="28"/>
          <w:highlight w:val="none"/>
        </w:rPr>
      </w:pPr>
    </w:p>
    <w:p w14:paraId="624ACD47">
      <w:pPr>
        <w:rPr>
          <w:rFonts w:hint="eastAsia" w:ascii="宋体" w:hAnsi="宋体" w:eastAsia="宋体" w:cs="宋体"/>
          <w:color w:val="auto"/>
          <w:sz w:val="28"/>
          <w:szCs w:val="28"/>
          <w:highlight w:val="none"/>
        </w:rPr>
      </w:pPr>
    </w:p>
    <w:p w14:paraId="722ED76E">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商务（报价）标文件</w:t>
      </w:r>
    </w:p>
    <w:p w14:paraId="196F4C55">
      <w:pPr>
        <w:spacing w:line="360" w:lineRule="auto"/>
        <w:rPr>
          <w:rFonts w:hint="eastAsia" w:ascii="宋体" w:hAnsi="宋体" w:eastAsia="宋体" w:cs="宋体"/>
          <w:color w:val="auto"/>
          <w:szCs w:val="21"/>
          <w:highlight w:val="none"/>
        </w:rPr>
      </w:pPr>
    </w:p>
    <w:p w14:paraId="77C20904">
      <w:pPr>
        <w:spacing w:line="360" w:lineRule="auto"/>
        <w:rPr>
          <w:rFonts w:hint="eastAsia" w:ascii="宋体" w:hAnsi="宋体" w:eastAsia="宋体" w:cs="宋体"/>
          <w:color w:val="auto"/>
          <w:szCs w:val="21"/>
          <w:highlight w:val="none"/>
        </w:rPr>
      </w:pPr>
    </w:p>
    <w:p w14:paraId="25DE11F2">
      <w:pPr>
        <w:pStyle w:val="53"/>
        <w:rPr>
          <w:rFonts w:hint="eastAsia" w:ascii="宋体" w:hAnsi="宋体" w:eastAsia="宋体" w:cs="宋体"/>
          <w:color w:val="auto"/>
          <w:highlight w:val="none"/>
        </w:rPr>
      </w:pPr>
    </w:p>
    <w:p w14:paraId="1C3C0608">
      <w:pPr>
        <w:spacing w:line="360" w:lineRule="auto"/>
        <w:rPr>
          <w:rFonts w:hint="eastAsia" w:ascii="宋体" w:hAnsi="宋体" w:eastAsia="宋体" w:cs="宋体"/>
          <w:color w:val="auto"/>
          <w:szCs w:val="21"/>
          <w:highlight w:val="none"/>
        </w:rPr>
      </w:pPr>
    </w:p>
    <w:p w14:paraId="2539FA6D">
      <w:pPr>
        <w:spacing w:line="360" w:lineRule="auto"/>
        <w:rPr>
          <w:rFonts w:hint="eastAsia" w:ascii="宋体" w:hAnsi="宋体" w:eastAsia="宋体" w:cs="宋体"/>
          <w:color w:val="auto"/>
          <w:szCs w:val="21"/>
          <w:highlight w:val="none"/>
        </w:rPr>
      </w:pPr>
    </w:p>
    <w:p w14:paraId="79459BE3">
      <w:pPr>
        <w:spacing w:line="360" w:lineRule="auto"/>
        <w:rPr>
          <w:rFonts w:hint="eastAsia" w:ascii="宋体" w:hAnsi="宋体" w:eastAsia="宋体" w:cs="宋体"/>
          <w:color w:val="auto"/>
          <w:szCs w:val="21"/>
          <w:highlight w:val="none"/>
        </w:rPr>
      </w:pPr>
    </w:p>
    <w:p w14:paraId="540A72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投标人</w:t>
      </w:r>
      <w:r>
        <w:rPr>
          <w:rFonts w:hint="eastAsia" w:ascii="宋体" w:hAnsi="宋体" w:eastAsia="宋体" w:cs="宋体"/>
          <w:color w:val="auto"/>
          <w:sz w:val="28"/>
          <w:szCs w:val="28"/>
          <w:highlight w:val="none"/>
          <w:lang w:eastAsia="zh-CN"/>
        </w:rPr>
        <w:t>全称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（盖章或 CA</w:t>
      </w:r>
      <w:r>
        <w:rPr>
          <w:rFonts w:hint="eastAsia" w:ascii="宋体" w:hAnsi="宋体" w:eastAsia="宋体" w:cs="宋体"/>
          <w:color w:val="auto"/>
          <w:sz w:val="28"/>
          <w:szCs w:val="28"/>
          <w:highlight w:val="none"/>
          <w:lang w:val="en-US" w:eastAsia="zh-CN"/>
        </w:rPr>
        <w:t>签</w:t>
      </w:r>
      <w:r>
        <w:rPr>
          <w:rFonts w:hint="eastAsia" w:ascii="宋体" w:hAnsi="宋体" w:eastAsia="宋体" w:cs="宋体"/>
          <w:color w:val="auto"/>
          <w:sz w:val="28"/>
          <w:szCs w:val="28"/>
          <w:highlight w:val="none"/>
        </w:rPr>
        <w:t>章）</w:t>
      </w:r>
    </w:p>
    <w:p w14:paraId="79F53F2B">
      <w:pPr>
        <w:rPr>
          <w:rFonts w:hint="eastAsia" w:ascii="宋体" w:hAnsi="宋体" w:eastAsia="宋体" w:cs="宋体"/>
          <w:color w:val="auto"/>
          <w:sz w:val="28"/>
          <w:szCs w:val="28"/>
          <w:highlight w:val="none"/>
          <w:u w:val="single"/>
        </w:rPr>
      </w:pPr>
    </w:p>
    <w:p w14:paraId="0922D1D3">
      <w:pPr>
        <w:jc w:val="center"/>
        <w:rPr>
          <w:rFonts w:hint="eastAsia" w:ascii="宋体" w:hAnsi="宋体" w:eastAsia="宋体" w:cs="宋体"/>
          <w:color w:val="auto"/>
          <w:kern w:val="0"/>
          <w:sz w:val="28"/>
          <w:szCs w:val="28"/>
          <w:highlight w:val="none"/>
          <w:lang w:val="zh-CN"/>
        </w:rPr>
      </w:pPr>
    </w:p>
    <w:p w14:paraId="5316A109">
      <w:pPr>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法定代表人（负责人）或委托代理人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5855FDA4">
      <w:pPr>
        <w:rPr>
          <w:rFonts w:hint="eastAsia" w:ascii="宋体" w:hAnsi="宋体" w:eastAsia="宋体" w:cs="宋体"/>
          <w:color w:val="auto"/>
          <w:sz w:val="28"/>
          <w:szCs w:val="28"/>
          <w:highlight w:val="none"/>
        </w:rPr>
      </w:pPr>
    </w:p>
    <w:p w14:paraId="35EEB452">
      <w:pPr>
        <w:overflowPunct w:val="0"/>
        <w:spacing w:line="380" w:lineRule="exact"/>
        <w:ind w:firstLine="2738" w:firstLineChars="978"/>
        <w:rPr>
          <w:rFonts w:hint="eastAsia" w:ascii="宋体" w:hAnsi="宋体" w:eastAsia="宋体" w:cs="宋体"/>
          <w:color w:val="auto"/>
          <w:sz w:val="28"/>
          <w:szCs w:val="28"/>
          <w:highlight w:val="none"/>
          <w:u w:val="single"/>
        </w:rPr>
      </w:pPr>
    </w:p>
    <w:p w14:paraId="70C0CF4E">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EAB5C65">
      <w:pPr>
        <w:overflowPunct w:val="0"/>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079E008">
      <w:pPr>
        <w:overflowPunct w:val="0"/>
        <w:spacing w:line="380" w:lineRule="exact"/>
        <w:rPr>
          <w:rFonts w:hint="eastAsia" w:ascii="宋体" w:hAnsi="宋体" w:eastAsia="宋体" w:cs="宋体"/>
          <w:color w:val="auto"/>
          <w:sz w:val="22"/>
          <w:szCs w:val="22"/>
          <w:highlight w:val="none"/>
        </w:rPr>
      </w:pPr>
    </w:p>
    <w:p w14:paraId="26CFC7A6">
      <w:pPr>
        <w:overflowPunct w:val="0"/>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452E9E70">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p>
    <w:p w14:paraId="0B3E1656">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开标一览表</w:t>
      </w:r>
    </w:p>
    <w:p w14:paraId="44081437">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159"/>
        <w:gridCol w:w="2919"/>
        <w:gridCol w:w="2111"/>
      </w:tblGrid>
      <w:tr w14:paraId="6CCE3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159" w:type="dxa"/>
            <w:vAlign w:val="center"/>
          </w:tcPr>
          <w:p w14:paraId="4D6FC245">
            <w:pPr>
              <w:pStyle w:val="30"/>
              <w:keepNext w:val="0"/>
              <w:keepLines w:val="0"/>
              <w:suppressLineNumbers w:val="0"/>
              <w:spacing w:before="0" w:beforeAutospacing="0" w:after="0" w:afterAutospacing="0" w:line="400" w:lineRule="atLeast"/>
              <w:ind w:left="0" w:right="0"/>
              <w:jc w:val="center"/>
              <w:rPr>
                <w:rFonts w:hint="eastAsia" w:ascii="宋体" w:hAnsi="宋体" w:eastAsia="宋体" w:cs="宋体"/>
                <w:highlight w:val="none"/>
              </w:rPr>
            </w:pPr>
            <w:r>
              <w:rPr>
                <w:rFonts w:hint="eastAsia" w:ascii="宋体" w:hAnsi="宋体" w:eastAsia="宋体" w:cs="宋体"/>
                <w:highlight w:val="none"/>
              </w:rPr>
              <w:t>项目名称</w:t>
            </w:r>
          </w:p>
        </w:tc>
        <w:tc>
          <w:tcPr>
            <w:tcW w:w="2919" w:type="dxa"/>
            <w:tcBorders>
              <w:right w:val="single" w:color="auto" w:sz="4" w:space="0"/>
            </w:tcBorders>
            <w:vAlign w:val="center"/>
          </w:tcPr>
          <w:p w14:paraId="2157572E">
            <w:pPr>
              <w:pStyle w:val="30"/>
              <w:keepNext w:val="0"/>
              <w:keepLines w:val="0"/>
              <w:suppressLineNumbers w:val="0"/>
              <w:spacing w:before="0" w:beforeAutospacing="0" w:after="0" w:afterAutospacing="0" w:line="400" w:lineRule="atLeast"/>
              <w:ind w:left="0" w:right="0"/>
              <w:jc w:val="center"/>
              <w:rPr>
                <w:rFonts w:hint="eastAsia" w:ascii="宋体" w:hAnsi="宋体" w:eastAsia="宋体" w:cs="宋体"/>
                <w:highlight w:val="none"/>
              </w:rPr>
            </w:pPr>
            <w:r>
              <w:rPr>
                <w:rFonts w:hint="eastAsia" w:ascii="宋体" w:hAnsi="宋体" w:eastAsia="宋体" w:cs="宋体"/>
                <w:highlight w:val="none"/>
              </w:rPr>
              <w:t>投标</w:t>
            </w:r>
            <w:r>
              <w:rPr>
                <w:rFonts w:hint="eastAsia" w:ascii="宋体" w:hAnsi="宋体" w:eastAsia="宋体" w:cs="宋体"/>
                <w:highlight w:val="none"/>
                <w:lang w:val="en-US" w:eastAsia="zh-CN"/>
              </w:rPr>
              <w:t>总</w:t>
            </w:r>
            <w:r>
              <w:rPr>
                <w:rFonts w:hint="eastAsia" w:ascii="宋体" w:hAnsi="宋体" w:eastAsia="宋体" w:cs="宋体"/>
                <w:highlight w:val="none"/>
              </w:rPr>
              <w:t>价</w:t>
            </w:r>
          </w:p>
        </w:tc>
        <w:tc>
          <w:tcPr>
            <w:tcW w:w="2111" w:type="dxa"/>
            <w:vAlign w:val="center"/>
          </w:tcPr>
          <w:p w14:paraId="10D369F2">
            <w:pPr>
              <w:pStyle w:val="30"/>
              <w:keepNext w:val="0"/>
              <w:keepLines w:val="0"/>
              <w:suppressLineNumbers w:val="0"/>
              <w:spacing w:before="0" w:beforeAutospacing="0" w:after="0" w:afterAutospacing="0" w:line="400" w:lineRule="atLeast"/>
              <w:ind w:left="0" w:right="0"/>
              <w:jc w:val="center"/>
              <w:rPr>
                <w:rFonts w:hint="eastAsia" w:ascii="宋体" w:hAnsi="宋体" w:eastAsia="宋体" w:cs="宋体"/>
                <w:highlight w:val="none"/>
              </w:rPr>
            </w:pPr>
            <w:r>
              <w:rPr>
                <w:rFonts w:hint="eastAsia" w:ascii="宋体" w:hAnsi="宋体" w:eastAsia="宋体" w:cs="宋体"/>
                <w:highlight w:val="none"/>
              </w:rPr>
              <w:t>备注</w:t>
            </w:r>
          </w:p>
        </w:tc>
      </w:tr>
      <w:tr w14:paraId="7BBF12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159" w:type="dxa"/>
            <w:vAlign w:val="center"/>
          </w:tcPr>
          <w:p w14:paraId="00D3EF52">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2"/>
                <w:szCs w:val="22"/>
                <w:highlight w:val="none"/>
              </w:rPr>
            </w:pPr>
          </w:p>
        </w:tc>
        <w:tc>
          <w:tcPr>
            <w:tcW w:w="2919" w:type="dxa"/>
            <w:tcBorders>
              <w:right w:val="single" w:color="auto" w:sz="4" w:space="0"/>
            </w:tcBorders>
            <w:vAlign w:val="center"/>
          </w:tcPr>
          <w:p w14:paraId="169CE7FF">
            <w:pPr>
              <w:pStyle w:val="30"/>
              <w:keepNext w:val="0"/>
              <w:keepLines w:val="0"/>
              <w:suppressLineNumbers w:val="0"/>
              <w:spacing w:before="0" w:beforeAutospacing="0" w:after="0" w:afterAutospacing="0" w:line="400" w:lineRule="atLeast"/>
              <w:ind w:left="0" w:right="0"/>
              <w:rPr>
                <w:rFonts w:hint="eastAsia" w:ascii="宋体" w:hAnsi="宋体" w:eastAsia="宋体" w:cs="宋体"/>
                <w:highlight w:val="none"/>
                <w:u w:val="single"/>
              </w:rPr>
            </w:pPr>
            <w:r>
              <w:rPr>
                <w:rFonts w:hint="eastAsia" w:ascii="宋体" w:hAnsi="宋体" w:eastAsia="宋体" w:cs="宋体"/>
                <w:highlight w:val="none"/>
                <w:u w:val="single"/>
              </w:rPr>
              <w:t>小写：        ；</w:t>
            </w:r>
          </w:p>
          <w:p w14:paraId="41EFD342">
            <w:pPr>
              <w:pStyle w:val="30"/>
              <w:keepNext w:val="0"/>
              <w:keepLines w:val="0"/>
              <w:suppressLineNumbers w:val="0"/>
              <w:spacing w:before="0" w:beforeAutospacing="0" w:after="0" w:afterAutospacing="0" w:line="400" w:lineRule="atLeast"/>
              <w:ind w:left="0" w:right="0"/>
              <w:rPr>
                <w:rFonts w:hint="eastAsia" w:ascii="宋体" w:hAnsi="宋体" w:eastAsia="宋体" w:cs="宋体"/>
                <w:highlight w:val="none"/>
              </w:rPr>
            </w:pPr>
            <w:r>
              <w:rPr>
                <w:rFonts w:hint="eastAsia" w:ascii="宋体" w:hAnsi="宋体" w:eastAsia="宋体" w:cs="宋体"/>
                <w:highlight w:val="none"/>
                <w:u w:val="single"/>
              </w:rPr>
              <w:t xml:space="preserve">大写：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tc>
        <w:tc>
          <w:tcPr>
            <w:tcW w:w="2111" w:type="dxa"/>
            <w:vAlign w:val="center"/>
          </w:tcPr>
          <w:p w14:paraId="2EC92D85">
            <w:pPr>
              <w:pStyle w:val="30"/>
              <w:keepNext w:val="0"/>
              <w:keepLines w:val="0"/>
              <w:suppressLineNumbers w:val="0"/>
              <w:spacing w:before="0" w:beforeAutospacing="0" w:after="0" w:afterAutospacing="0" w:line="400" w:lineRule="atLeast"/>
              <w:ind w:left="0" w:right="0"/>
              <w:rPr>
                <w:rFonts w:hint="eastAsia" w:ascii="宋体" w:hAnsi="宋体" w:eastAsia="宋体" w:cs="宋体"/>
                <w:highlight w:val="none"/>
              </w:rPr>
            </w:pPr>
          </w:p>
        </w:tc>
      </w:tr>
    </w:tbl>
    <w:p w14:paraId="07381396">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p>
    <w:p w14:paraId="02629E30">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注：</w:t>
      </w:r>
    </w:p>
    <w:p w14:paraId="3CEE9B65">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zh-CN"/>
        </w:rPr>
        <w:t>.▲本表中的投标总价须与附件《投标分项报价表》中“投标总价”的总和相一致。</w:t>
      </w:r>
    </w:p>
    <w:p w14:paraId="157B2F28">
      <w:pPr>
        <w:autoSpaceDE w:val="0"/>
        <w:autoSpaceDN w:val="0"/>
        <w:adjustRightInd w:val="0"/>
        <w:spacing w:line="400" w:lineRule="atLeast"/>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bCs/>
          <w:color w:val="auto"/>
          <w:kern w:val="0"/>
          <w:sz w:val="22"/>
          <w:szCs w:val="22"/>
          <w:highlight w:val="none"/>
          <w:lang w:val="zh-CN"/>
        </w:rPr>
        <w:t>2.</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u w:val="single"/>
          <w:lang w:val="zh-CN"/>
        </w:rPr>
        <w:t>不提供此表格</w:t>
      </w:r>
      <w:r>
        <w:rPr>
          <w:rFonts w:hint="eastAsia" w:ascii="宋体" w:hAnsi="宋体" w:eastAsia="宋体" w:cs="宋体"/>
          <w:b/>
          <w:color w:val="auto"/>
          <w:sz w:val="22"/>
          <w:szCs w:val="22"/>
          <w:highlight w:val="none"/>
          <w:u w:val="single"/>
        </w:rPr>
        <w:t>的磋商响应文件将被视为未实质性响应竞争性磋商文件。其磋商响应文件将被否决。</w:t>
      </w:r>
    </w:p>
    <w:p w14:paraId="5E284099">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p>
    <w:p w14:paraId="7952F616">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A7664BD">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8538255">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2B49D76A">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14:paraId="14D7EDD0">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14:paraId="75F73EAA">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20621D7">
      <w:pPr>
        <w:autoSpaceDE w:val="0"/>
        <w:autoSpaceDN w:val="0"/>
        <w:adjustRightInd w:val="0"/>
        <w:spacing w:line="380" w:lineRule="atLeast"/>
        <w:rPr>
          <w:rFonts w:hint="eastAsia" w:ascii="宋体" w:hAnsi="宋体" w:eastAsia="宋体" w:cs="宋体"/>
          <w:color w:val="auto"/>
          <w:kern w:val="0"/>
          <w:sz w:val="22"/>
          <w:szCs w:val="22"/>
          <w:highlight w:val="none"/>
          <w:lang w:val="zh-CN"/>
        </w:rPr>
      </w:pPr>
    </w:p>
    <w:p w14:paraId="5F17BE5E">
      <w:pPr>
        <w:autoSpaceDE w:val="0"/>
        <w:autoSpaceDN w:val="0"/>
        <w:adjustRightInd w:val="0"/>
        <w:spacing w:line="380" w:lineRule="atLeas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br w:type="page"/>
      </w:r>
    </w:p>
    <w:p w14:paraId="348287C4">
      <w:pPr>
        <w:autoSpaceDE w:val="0"/>
        <w:autoSpaceDN w:val="0"/>
        <w:adjustRightInd w:val="0"/>
        <w:spacing w:line="380" w:lineRule="atLeast"/>
        <w:rPr>
          <w:rFonts w:hint="eastAsia" w:ascii="宋体" w:hAnsi="宋体" w:eastAsia="宋体" w:cs="宋体"/>
          <w:color w:val="auto"/>
          <w:kern w:val="0"/>
          <w:sz w:val="22"/>
          <w:szCs w:val="22"/>
          <w:highlight w:val="yellow"/>
          <w:lang w:val="zh-CN"/>
        </w:rPr>
      </w:pPr>
    </w:p>
    <w:p w14:paraId="338F75A1">
      <w:pPr>
        <w:autoSpaceDE w:val="0"/>
        <w:autoSpaceDN w:val="0"/>
        <w:adjustRightInd w:val="0"/>
        <w:spacing w:line="38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2"/>
          <w:szCs w:val="22"/>
          <w:highlight w:val="none"/>
          <w:lang w:val="zh-CN"/>
        </w:rPr>
        <w:t>附件二</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kern w:val="0"/>
          <w:sz w:val="22"/>
          <w:szCs w:val="22"/>
          <w:highlight w:val="none"/>
        </w:rPr>
        <w:t xml:space="preserve">                       </w:t>
      </w:r>
      <w:r>
        <w:rPr>
          <w:rFonts w:hint="eastAsia" w:ascii="宋体" w:hAnsi="宋体" w:eastAsia="宋体" w:cs="宋体"/>
          <w:b/>
          <w:bCs/>
          <w:color w:val="auto"/>
          <w:kern w:val="0"/>
          <w:sz w:val="28"/>
          <w:szCs w:val="28"/>
          <w:highlight w:val="none"/>
        </w:rPr>
        <w:t xml:space="preserve">     </w:t>
      </w:r>
    </w:p>
    <w:p w14:paraId="2E3D53D8">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6"/>
          <w:highlight w:val="none"/>
        </w:rPr>
        <w:t>投标分项报价表</w:t>
      </w:r>
    </w:p>
    <w:p w14:paraId="3B917008">
      <w:pPr>
        <w:spacing w:line="360" w:lineRule="auto"/>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2"/>
          <w:szCs w:val="22"/>
          <w:highlight w:val="none"/>
          <w:lang w:val="zh-CN"/>
        </w:rPr>
        <w:t>项目名称：            项目编号：</w:t>
      </w:r>
      <w:r>
        <w:rPr>
          <w:rFonts w:hint="eastAsia" w:ascii="宋体" w:hAnsi="宋体" w:eastAsia="宋体" w:cs="宋体"/>
          <w:b/>
          <w:bCs/>
          <w:color w:val="auto"/>
          <w:kern w:val="0"/>
          <w:sz w:val="22"/>
          <w:szCs w:val="22"/>
          <w:highlight w:val="none"/>
          <w:lang w:val="en-US" w:eastAsia="zh-CN"/>
        </w:rPr>
        <w:t xml:space="preserve">                   </w:t>
      </w:r>
      <w:r>
        <w:rPr>
          <w:rFonts w:hint="eastAsia" w:ascii="宋体" w:hAnsi="宋体" w:eastAsia="宋体" w:cs="宋体"/>
          <w:b/>
          <w:color w:val="auto"/>
          <w:sz w:val="22"/>
          <w:szCs w:val="22"/>
          <w:highlight w:val="none"/>
        </w:rPr>
        <w:t>价格单位：人民币（元）</w:t>
      </w:r>
    </w:p>
    <w:tbl>
      <w:tblPr>
        <w:tblStyle w:val="417"/>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712"/>
        <w:gridCol w:w="1430"/>
        <w:gridCol w:w="1021"/>
        <w:gridCol w:w="1521"/>
        <w:gridCol w:w="1289"/>
        <w:gridCol w:w="1002"/>
      </w:tblGrid>
      <w:tr w14:paraId="5D16B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90" w:type="dxa"/>
            <w:textDirection w:val="tbRlV"/>
            <w:vAlign w:val="center"/>
          </w:tcPr>
          <w:p w14:paraId="3DBCA5AC">
            <w:pPr>
              <w:autoSpaceDE w:val="0"/>
              <w:autoSpaceDN w:val="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序号</w:t>
            </w:r>
          </w:p>
        </w:tc>
        <w:tc>
          <w:tcPr>
            <w:tcW w:w="2712" w:type="dxa"/>
            <w:vAlign w:val="center"/>
          </w:tcPr>
          <w:p w14:paraId="669935A5">
            <w:pPr>
              <w:autoSpaceDE w:val="0"/>
              <w:autoSpaceDN w:val="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费用名称</w:t>
            </w:r>
          </w:p>
        </w:tc>
        <w:tc>
          <w:tcPr>
            <w:tcW w:w="1430" w:type="dxa"/>
            <w:vAlign w:val="center"/>
          </w:tcPr>
          <w:p w14:paraId="287917D7">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1021" w:type="dxa"/>
            <w:vAlign w:val="center"/>
          </w:tcPr>
          <w:p w14:paraId="57F5A70D">
            <w:pPr>
              <w:autoSpaceDE w:val="0"/>
              <w:autoSpaceDN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次数</w:t>
            </w:r>
          </w:p>
        </w:tc>
        <w:tc>
          <w:tcPr>
            <w:tcW w:w="1521" w:type="dxa"/>
            <w:vAlign w:val="center"/>
          </w:tcPr>
          <w:p w14:paraId="0AAD2184">
            <w:pPr>
              <w:autoSpaceDE w:val="0"/>
              <w:autoSpaceDN w:val="0"/>
              <w:jc w:val="center"/>
              <w:rPr>
                <w:rFonts w:hint="eastAsia" w:ascii="宋体" w:hAnsi="宋体" w:eastAsia="宋体" w:cs="宋体"/>
                <w:color w:val="auto"/>
                <w:sz w:val="21"/>
                <w:szCs w:val="21"/>
                <w:highlight w:val="none"/>
                <w:lang w:val="en-US" w:eastAsia="zh-CN"/>
              </w:rPr>
            </w:pPr>
            <w:r>
              <w:rPr>
                <w:rFonts w:hint="eastAsia" w:cs="宋体"/>
                <w:color w:val="auto"/>
                <w:highlight w:val="none"/>
                <w:lang w:bidi="ar"/>
              </w:rPr>
              <w:t>综合单价</w:t>
            </w:r>
          </w:p>
        </w:tc>
        <w:tc>
          <w:tcPr>
            <w:tcW w:w="1289" w:type="dxa"/>
            <w:vAlign w:val="center"/>
          </w:tcPr>
          <w:p w14:paraId="6D6C4559">
            <w:pPr>
              <w:autoSpaceDE w:val="0"/>
              <w:autoSpaceDN w:val="0"/>
              <w:jc w:val="center"/>
              <w:rPr>
                <w:rFonts w:hint="default" w:eastAsia="宋体" w:cs="宋体"/>
                <w:color w:val="auto"/>
                <w:highlight w:val="none"/>
                <w:lang w:val="en-US" w:eastAsia="zh-CN" w:bidi="ar"/>
              </w:rPr>
            </w:pPr>
            <w:r>
              <w:rPr>
                <w:rFonts w:hint="eastAsia" w:cs="宋体"/>
                <w:color w:val="auto"/>
                <w:highlight w:val="none"/>
                <w:lang w:val="en-US" w:eastAsia="zh-CN" w:bidi="ar"/>
              </w:rPr>
              <w:t>合计</w:t>
            </w:r>
          </w:p>
        </w:tc>
        <w:tc>
          <w:tcPr>
            <w:tcW w:w="1002" w:type="dxa"/>
            <w:vAlign w:val="center"/>
          </w:tcPr>
          <w:p w14:paraId="514ACA57">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603D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90" w:type="dxa"/>
            <w:vAlign w:val="center"/>
          </w:tcPr>
          <w:p w14:paraId="2743258B">
            <w:pPr>
              <w:autoSpaceDE w:val="0"/>
              <w:autoSpaceDN w:val="0"/>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w:t>
            </w:r>
          </w:p>
        </w:tc>
        <w:tc>
          <w:tcPr>
            <w:tcW w:w="2712" w:type="dxa"/>
            <w:vAlign w:val="center"/>
          </w:tcPr>
          <w:p w14:paraId="0B07177A">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8项指标（PH、总氮、氨氮、化学需氧量、五日生化需氧量、总磷、悬浮物、电导率）检测</w:t>
            </w:r>
          </w:p>
        </w:tc>
        <w:tc>
          <w:tcPr>
            <w:tcW w:w="1430" w:type="dxa"/>
            <w:vAlign w:val="center"/>
          </w:tcPr>
          <w:p w14:paraId="3540B4E1">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540</w:t>
            </w:r>
            <w:r>
              <w:rPr>
                <w:rFonts w:hint="eastAsia" w:ascii="宋体" w:hAnsi="宋体" w:eastAsia="宋体" w:cs="宋体"/>
                <w:color w:val="auto"/>
                <w:kern w:val="0"/>
                <w:sz w:val="21"/>
                <w:szCs w:val="21"/>
                <w:highlight w:val="none"/>
                <w:lang w:bidi="ar"/>
              </w:rPr>
              <w:t>元/次</w:t>
            </w:r>
          </w:p>
        </w:tc>
        <w:tc>
          <w:tcPr>
            <w:tcW w:w="1021" w:type="dxa"/>
            <w:vAlign w:val="center"/>
          </w:tcPr>
          <w:p w14:paraId="27C47192">
            <w:pPr>
              <w:autoSpaceDE w:val="0"/>
              <w:autoSpaceDN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w:t>
            </w:r>
          </w:p>
        </w:tc>
        <w:tc>
          <w:tcPr>
            <w:tcW w:w="1521" w:type="dxa"/>
            <w:shd w:val="clear" w:color="auto" w:fill="auto"/>
            <w:vAlign w:val="center"/>
          </w:tcPr>
          <w:p w14:paraId="3C0DB724">
            <w:pPr>
              <w:autoSpaceDE w:val="0"/>
              <w:autoSpaceDN w:val="0"/>
              <w:spacing w:line="360" w:lineRule="auto"/>
              <w:jc w:val="center"/>
              <w:rPr>
                <w:rFonts w:hint="eastAsia" w:ascii="宋体" w:hAnsi="宋体" w:eastAsia="宋体" w:cs="宋体"/>
                <w:color w:val="auto"/>
                <w:kern w:val="2"/>
                <w:sz w:val="21"/>
                <w:szCs w:val="21"/>
                <w:highlight w:val="none"/>
                <w:lang w:val="en-US" w:eastAsia="en-US" w:bidi="ar-SA"/>
              </w:rPr>
            </w:pPr>
          </w:p>
        </w:tc>
        <w:tc>
          <w:tcPr>
            <w:tcW w:w="1289" w:type="dxa"/>
            <w:shd w:val="clear" w:color="auto" w:fill="auto"/>
            <w:vAlign w:val="center"/>
          </w:tcPr>
          <w:p w14:paraId="5351B6EC">
            <w:pPr>
              <w:autoSpaceDE w:val="0"/>
              <w:autoSpaceDN w:val="0"/>
              <w:spacing w:line="360" w:lineRule="auto"/>
              <w:jc w:val="center"/>
              <w:rPr>
                <w:rFonts w:hint="eastAsia" w:ascii="宋体" w:hAnsi="宋体" w:eastAsia="宋体" w:cs="宋体"/>
                <w:color w:val="auto"/>
                <w:kern w:val="2"/>
                <w:sz w:val="21"/>
                <w:szCs w:val="21"/>
                <w:highlight w:val="none"/>
                <w:lang w:val="en-US" w:eastAsia="en-US" w:bidi="ar-SA"/>
              </w:rPr>
            </w:pPr>
          </w:p>
        </w:tc>
        <w:tc>
          <w:tcPr>
            <w:tcW w:w="1002" w:type="dxa"/>
            <w:vAlign w:val="center"/>
          </w:tcPr>
          <w:p w14:paraId="35E94EF4">
            <w:pPr>
              <w:autoSpaceDE w:val="0"/>
              <w:autoSpaceDN w:val="0"/>
              <w:jc w:val="center"/>
              <w:rPr>
                <w:rFonts w:hint="eastAsia" w:ascii="宋体" w:hAnsi="宋体" w:eastAsia="宋体" w:cs="宋体"/>
                <w:color w:val="auto"/>
                <w:sz w:val="21"/>
                <w:szCs w:val="21"/>
                <w:highlight w:val="none"/>
                <w:lang w:eastAsia="en-US"/>
              </w:rPr>
            </w:pPr>
          </w:p>
        </w:tc>
      </w:tr>
      <w:tr w14:paraId="6FDC6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590" w:type="dxa"/>
            <w:vAlign w:val="center"/>
          </w:tcPr>
          <w:p w14:paraId="516BD1C3">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712" w:type="dxa"/>
            <w:vAlign w:val="center"/>
          </w:tcPr>
          <w:p w14:paraId="21BBBFAF">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19项指标（</w:t>
            </w:r>
            <w:r>
              <w:rPr>
                <w:rFonts w:hint="eastAsia" w:ascii="宋体" w:hAnsi="宋体" w:eastAsia="宋体" w:cs="宋体"/>
                <w:color w:val="auto"/>
                <w:sz w:val="21"/>
                <w:szCs w:val="21"/>
                <w:highlight w:val="none"/>
                <w:lang w:val="en-US" w:eastAsia="zh-CN"/>
              </w:rPr>
              <w:t>PH、氨氮、总磷、总氮、总铬、总铅、总镉、六价铬、石油类、动植物油类、色度（稀释倍数）、阴离子表面活性、化学需氧量、五日生化需氧量、悬浮物、总砷、总汞、粪大肠菌群、烷基汞</w:t>
            </w:r>
            <w:r>
              <w:rPr>
                <w:rFonts w:hint="eastAsia" w:ascii="宋体" w:hAnsi="宋体" w:eastAsia="宋体" w:cs="宋体"/>
                <w:color w:val="auto"/>
                <w:kern w:val="0"/>
                <w:sz w:val="21"/>
                <w:szCs w:val="21"/>
                <w:highlight w:val="none"/>
                <w:lang w:val="en-US" w:eastAsia="zh-CN" w:bidi="ar"/>
              </w:rPr>
              <w:t>）检测</w:t>
            </w:r>
          </w:p>
        </w:tc>
        <w:tc>
          <w:tcPr>
            <w:tcW w:w="1430" w:type="dxa"/>
            <w:vAlign w:val="center"/>
          </w:tcPr>
          <w:p w14:paraId="75FC5739">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1620</w:t>
            </w:r>
            <w:r>
              <w:rPr>
                <w:rFonts w:hint="eastAsia" w:ascii="宋体" w:hAnsi="宋体" w:eastAsia="宋体" w:cs="宋体"/>
                <w:color w:val="auto"/>
                <w:kern w:val="0"/>
                <w:sz w:val="21"/>
                <w:szCs w:val="21"/>
                <w:highlight w:val="none"/>
                <w:lang w:bidi="ar"/>
              </w:rPr>
              <w:t>元/次</w:t>
            </w:r>
          </w:p>
        </w:tc>
        <w:tc>
          <w:tcPr>
            <w:tcW w:w="1021" w:type="dxa"/>
            <w:vAlign w:val="center"/>
          </w:tcPr>
          <w:p w14:paraId="62C2A392">
            <w:pPr>
              <w:spacing w:line="360" w:lineRule="auto"/>
              <w:ind w:right="-21" w:rightChars="-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1521" w:type="dxa"/>
            <w:shd w:val="clear" w:color="auto" w:fill="auto"/>
            <w:vAlign w:val="center"/>
          </w:tcPr>
          <w:p w14:paraId="0A580248">
            <w:pPr>
              <w:spacing w:line="360" w:lineRule="auto"/>
              <w:ind w:right="-21" w:rightChars="-10"/>
              <w:jc w:val="center"/>
              <w:rPr>
                <w:rFonts w:hint="eastAsia" w:ascii="宋体" w:hAnsi="宋体" w:eastAsia="宋体" w:cs="宋体"/>
                <w:color w:val="auto"/>
                <w:kern w:val="2"/>
                <w:sz w:val="21"/>
                <w:szCs w:val="21"/>
                <w:highlight w:val="none"/>
                <w:lang w:val="en-US" w:eastAsia="en-US" w:bidi="ar-SA"/>
              </w:rPr>
            </w:pPr>
          </w:p>
        </w:tc>
        <w:tc>
          <w:tcPr>
            <w:tcW w:w="1289" w:type="dxa"/>
            <w:shd w:val="clear" w:color="auto" w:fill="auto"/>
            <w:vAlign w:val="center"/>
          </w:tcPr>
          <w:p w14:paraId="656D4511">
            <w:pPr>
              <w:spacing w:line="360" w:lineRule="auto"/>
              <w:ind w:right="-21" w:rightChars="-10"/>
              <w:jc w:val="center"/>
              <w:rPr>
                <w:rFonts w:hint="eastAsia" w:ascii="宋体" w:hAnsi="宋体" w:eastAsia="宋体" w:cs="宋体"/>
                <w:color w:val="auto"/>
                <w:kern w:val="2"/>
                <w:sz w:val="21"/>
                <w:szCs w:val="21"/>
                <w:highlight w:val="none"/>
                <w:lang w:val="en-US" w:eastAsia="en-US" w:bidi="ar-SA"/>
              </w:rPr>
            </w:pPr>
          </w:p>
        </w:tc>
        <w:tc>
          <w:tcPr>
            <w:tcW w:w="1002" w:type="dxa"/>
            <w:vAlign w:val="center"/>
          </w:tcPr>
          <w:p w14:paraId="34A8B6D2">
            <w:pPr>
              <w:autoSpaceDE w:val="0"/>
              <w:autoSpaceDN w:val="0"/>
              <w:jc w:val="center"/>
              <w:rPr>
                <w:rFonts w:hint="eastAsia" w:ascii="宋体" w:hAnsi="宋体" w:eastAsia="宋体" w:cs="宋体"/>
                <w:color w:val="auto"/>
                <w:sz w:val="21"/>
                <w:szCs w:val="21"/>
                <w:highlight w:val="none"/>
                <w:lang w:eastAsia="en-US"/>
              </w:rPr>
            </w:pPr>
          </w:p>
        </w:tc>
      </w:tr>
      <w:tr w14:paraId="4166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90" w:type="dxa"/>
            <w:vAlign w:val="center"/>
          </w:tcPr>
          <w:p w14:paraId="4FE6F4FF">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712" w:type="dxa"/>
            <w:vAlign w:val="center"/>
          </w:tcPr>
          <w:p w14:paraId="455D8310">
            <w:pPr>
              <w:autoSpaceDE w:val="0"/>
              <w:autoSpaceDN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管网排查溯源、检测（</w:t>
            </w:r>
            <w:r>
              <w:rPr>
                <w:rFonts w:hint="eastAsia" w:ascii="宋体" w:hAnsi="宋体" w:eastAsia="宋体" w:cs="宋体"/>
                <w:color w:val="auto"/>
                <w:sz w:val="21"/>
                <w:szCs w:val="21"/>
                <w:highlight w:val="none"/>
                <w:lang w:val="en-US" w:eastAsia="zh-CN"/>
              </w:rPr>
              <w:t>PH、总氮、氨氮、化学需氧量、总磷、悬浮物</w:t>
            </w:r>
            <w:r>
              <w:rPr>
                <w:rFonts w:hint="eastAsia" w:ascii="宋体" w:hAnsi="宋体" w:cs="宋体"/>
                <w:color w:val="auto"/>
                <w:sz w:val="21"/>
                <w:szCs w:val="21"/>
                <w:highlight w:val="none"/>
                <w:lang w:val="en-US" w:eastAsia="zh-CN"/>
              </w:rPr>
              <w:t>、二甲基甲酰胺DMF、石油类、动植物油）</w:t>
            </w:r>
          </w:p>
        </w:tc>
        <w:tc>
          <w:tcPr>
            <w:tcW w:w="1430" w:type="dxa"/>
            <w:vAlign w:val="center"/>
          </w:tcPr>
          <w:p w14:paraId="168161BD">
            <w:pPr>
              <w:autoSpaceDE w:val="0"/>
              <w:autoSpaceDN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705元/次</w:t>
            </w:r>
          </w:p>
        </w:tc>
        <w:tc>
          <w:tcPr>
            <w:tcW w:w="1021" w:type="dxa"/>
            <w:vAlign w:val="center"/>
          </w:tcPr>
          <w:p w14:paraId="547E3EBF">
            <w:pPr>
              <w:spacing w:line="360" w:lineRule="auto"/>
              <w:ind w:right="-21" w:rightChars="-1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361</w:t>
            </w:r>
          </w:p>
        </w:tc>
        <w:tc>
          <w:tcPr>
            <w:tcW w:w="1521" w:type="dxa"/>
            <w:shd w:val="clear" w:color="auto" w:fill="auto"/>
            <w:vAlign w:val="center"/>
          </w:tcPr>
          <w:p w14:paraId="7E844868">
            <w:pPr>
              <w:spacing w:line="360" w:lineRule="auto"/>
              <w:ind w:right="-21" w:rightChars="-10"/>
              <w:jc w:val="center"/>
              <w:rPr>
                <w:rFonts w:hint="eastAsia" w:ascii="Calibri" w:hAnsi="Calibri" w:eastAsia="宋体" w:cs="Times New Roman"/>
                <w:color w:val="auto"/>
                <w:kern w:val="2"/>
                <w:sz w:val="21"/>
                <w:szCs w:val="24"/>
                <w:highlight w:val="none"/>
                <w:lang w:val="en-US" w:eastAsia="en-US" w:bidi="ar-SA"/>
              </w:rPr>
            </w:pPr>
          </w:p>
        </w:tc>
        <w:tc>
          <w:tcPr>
            <w:tcW w:w="1289" w:type="dxa"/>
            <w:shd w:val="clear" w:color="auto" w:fill="auto"/>
            <w:vAlign w:val="center"/>
          </w:tcPr>
          <w:p w14:paraId="0CAFFD87">
            <w:pPr>
              <w:spacing w:line="360" w:lineRule="auto"/>
              <w:ind w:right="-21" w:rightChars="-10"/>
              <w:jc w:val="center"/>
              <w:rPr>
                <w:rFonts w:hint="eastAsia" w:ascii="Calibri" w:hAnsi="Calibri" w:eastAsia="宋体" w:cs="Times New Roman"/>
                <w:color w:val="auto"/>
                <w:kern w:val="2"/>
                <w:sz w:val="21"/>
                <w:szCs w:val="24"/>
                <w:highlight w:val="none"/>
                <w:lang w:val="en-US" w:eastAsia="en-US" w:bidi="ar-SA"/>
              </w:rPr>
            </w:pPr>
          </w:p>
        </w:tc>
        <w:tc>
          <w:tcPr>
            <w:tcW w:w="1002" w:type="dxa"/>
            <w:vAlign w:val="center"/>
          </w:tcPr>
          <w:p w14:paraId="2EB3DEF5">
            <w:pPr>
              <w:autoSpaceDE w:val="0"/>
              <w:autoSpaceDN w:val="0"/>
              <w:jc w:val="center"/>
              <w:rPr>
                <w:rFonts w:hint="eastAsia" w:ascii="宋体" w:hAnsi="宋体" w:eastAsia="宋体" w:cs="宋体"/>
                <w:color w:val="auto"/>
                <w:sz w:val="21"/>
                <w:szCs w:val="21"/>
                <w:highlight w:val="none"/>
                <w:lang w:eastAsia="en-US"/>
              </w:rPr>
            </w:pPr>
          </w:p>
        </w:tc>
      </w:tr>
      <w:tr w14:paraId="3F10C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vAlign w:val="center"/>
          </w:tcPr>
          <w:p w14:paraId="2AE73657">
            <w:pPr>
              <w:autoSpaceDE w:val="0"/>
              <w:autoSpaceDN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712" w:type="dxa"/>
            <w:shd w:val="clear" w:color="auto" w:fill="auto"/>
            <w:vAlign w:val="center"/>
          </w:tcPr>
          <w:p w14:paraId="75E61E92">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培训费、技术服务费、售后服务费等</w:t>
            </w:r>
          </w:p>
        </w:tc>
        <w:tc>
          <w:tcPr>
            <w:tcW w:w="6263" w:type="dxa"/>
            <w:gridSpan w:val="5"/>
            <w:vAlign w:val="center"/>
          </w:tcPr>
          <w:p w14:paraId="5A8A5187">
            <w:pPr>
              <w:autoSpaceDE w:val="0"/>
              <w:autoSpaceDN w:val="0"/>
              <w:jc w:val="center"/>
              <w:rPr>
                <w:rFonts w:hint="eastAsia" w:ascii="宋体" w:hAnsi="宋体" w:eastAsia="宋体" w:cs="宋体"/>
                <w:color w:val="auto"/>
                <w:sz w:val="21"/>
                <w:szCs w:val="21"/>
                <w:highlight w:val="none"/>
                <w:lang w:eastAsia="en-US"/>
              </w:rPr>
            </w:pPr>
          </w:p>
        </w:tc>
      </w:tr>
      <w:tr w14:paraId="3BE4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vAlign w:val="center"/>
          </w:tcPr>
          <w:p w14:paraId="21515E7E">
            <w:pPr>
              <w:autoSpaceDE w:val="0"/>
              <w:autoSpaceDN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712" w:type="dxa"/>
            <w:shd w:val="clear" w:color="auto" w:fill="auto"/>
            <w:vAlign w:val="center"/>
          </w:tcPr>
          <w:p w14:paraId="029B9A71">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采购代理服务费</w:t>
            </w:r>
          </w:p>
        </w:tc>
        <w:tc>
          <w:tcPr>
            <w:tcW w:w="6263" w:type="dxa"/>
            <w:gridSpan w:val="5"/>
            <w:vAlign w:val="center"/>
          </w:tcPr>
          <w:p w14:paraId="2ACF194D">
            <w:pPr>
              <w:autoSpaceDE w:val="0"/>
              <w:autoSpaceDN w:val="0"/>
              <w:jc w:val="center"/>
              <w:rPr>
                <w:rFonts w:hint="eastAsia" w:ascii="宋体" w:hAnsi="宋体" w:eastAsia="宋体" w:cs="宋体"/>
                <w:color w:val="auto"/>
                <w:sz w:val="21"/>
                <w:szCs w:val="21"/>
                <w:highlight w:val="none"/>
                <w:lang w:eastAsia="en-US"/>
              </w:rPr>
            </w:pPr>
          </w:p>
        </w:tc>
      </w:tr>
      <w:tr w14:paraId="48362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vAlign w:val="center"/>
          </w:tcPr>
          <w:p w14:paraId="4D5B6723">
            <w:pPr>
              <w:autoSpaceDE w:val="0"/>
              <w:autoSpaceDN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712" w:type="dxa"/>
            <w:shd w:val="clear" w:color="auto" w:fill="auto"/>
            <w:vAlign w:val="center"/>
          </w:tcPr>
          <w:p w14:paraId="472FEC72">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其他费用</w:t>
            </w:r>
          </w:p>
        </w:tc>
        <w:tc>
          <w:tcPr>
            <w:tcW w:w="6263" w:type="dxa"/>
            <w:gridSpan w:val="5"/>
            <w:vAlign w:val="center"/>
          </w:tcPr>
          <w:p w14:paraId="401AFE3F">
            <w:pPr>
              <w:autoSpaceDE w:val="0"/>
              <w:autoSpaceDN w:val="0"/>
              <w:jc w:val="center"/>
              <w:rPr>
                <w:rFonts w:hint="eastAsia" w:ascii="宋体" w:hAnsi="宋体" w:eastAsia="宋体" w:cs="宋体"/>
                <w:color w:val="auto"/>
                <w:sz w:val="21"/>
                <w:szCs w:val="21"/>
                <w:highlight w:val="none"/>
                <w:lang w:eastAsia="en-US"/>
              </w:rPr>
            </w:pPr>
          </w:p>
        </w:tc>
      </w:tr>
      <w:tr w14:paraId="154B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590" w:type="dxa"/>
            <w:shd w:val="clear" w:color="auto" w:fill="auto"/>
            <w:vAlign w:val="center"/>
          </w:tcPr>
          <w:p w14:paraId="49E81E8B">
            <w:pPr>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2712" w:type="dxa"/>
            <w:shd w:val="clear" w:color="auto" w:fill="auto"/>
            <w:vAlign w:val="center"/>
          </w:tcPr>
          <w:p w14:paraId="7FF50E32">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投标总价</w:t>
            </w:r>
          </w:p>
        </w:tc>
        <w:tc>
          <w:tcPr>
            <w:tcW w:w="6263" w:type="dxa"/>
            <w:gridSpan w:val="5"/>
            <w:vAlign w:val="center"/>
          </w:tcPr>
          <w:p w14:paraId="74DB6BF4">
            <w:pPr>
              <w:autoSpaceDE w:val="0"/>
              <w:autoSpaceDN w:val="0"/>
              <w:jc w:val="center"/>
              <w:rPr>
                <w:rFonts w:hint="eastAsia" w:ascii="宋体" w:hAnsi="宋体" w:eastAsia="宋体" w:cs="宋体"/>
                <w:color w:val="auto"/>
                <w:sz w:val="21"/>
                <w:szCs w:val="21"/>
                <w:highlight w:val="none"/>
                <w:lang w:eastAsia="en-US"/>
              </w:rPr>
            </w:pPr>
          </w:p>
        </w:tc>
      </w:tr>
    </w:tbl>
    <w:p w14:paraId="03A2B7FD">
      <w:pPr>
        <w:rPr>
          <w:rFonts w:hint="eastAsia"/>
        </w:rPr>
      </w:pPr>
    </w:p>
    <w:p w14:paraId="303C6CF1">
      <w:pPr>
        <w:autoSpaceDE w:val="0"/>
        <w:autoSpaceDN w:val="0"/>
        <w:adjustRightInd w:val="0"/>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说明：</w:t>
      </w:r>
    </w:p>
    <w:p w14:paraId="445FDED8">
      <w:pPr>
        <w:autoSpaceDE w:val="0"/>
        <w:autoSpaceDN w:val="0"/>
        <w:adjustRightIn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1.有关本项目所需的人工费、税费等一切相关费用均计入报价</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采购人不在支付额外费用</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投标人须综合考虑投标单价</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最终按实结算</w:t>
      </w:r>
      <w:r>
        <w:rPr>
          <w:rFonts w:hint="eastAsia" w:ascii="宋体" w:hAnsi="宋体" w:eastAsia="宋体" w:cs="宋体"/>
          <w:b/>
          <w:bCs/>
          <w:color w:val="auto"/>
          <w:kern w:val="0"/>
          <w:sz w:val="22"/>
          <w:szCs w:val="22"/>
          <w:highlight w:val="none"/>
        </w:rPr>
        <w:t>。</w:t>
      </w:r>
    </w:p>
    <w:p w14:paraId="21960582">
      <w:pPr>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2.</w:t>
      </w:r>
      <w:r>
        <w:rPr>
          <w:rFonts w:hint="eastAsia" w:ascii="宋体" w:hAnsi="宋体" w:eastAsia="宋体" w:cs="宋体"/>
          <w:b/>
          <w:bCs/>
          <w:color w:val="auto"/>
          <w:kern w:val="0"/>
          <w:sz w:val="22"/>
          <w:szCs w:val="22"/>
          <w:highlight w:val="none"/>
          <w:lang w:val="zh-CN"/>
        </w:rPr>
        <w:t>本表可在不改变格式的情况下根据具体需要自行增减。</w:t>
      </w:r>
    </w:p>
    <w:p w14:paraId="0B834BED">
      <w:pPr>
        <w:pStyle w:val="24"/>
        <w:spacing w:after="120" w:line="360" w:lineRule="auto"/>
        <w:ind w:firstLine="0" w:firstLineChars="0"/>
        <w:rPr>
          <w:rFonts w:hint="eastAsia" w:ascii="宋体" w:hAnsi="宋体" w:eastAsia="宋体" w:cs="宋体"/>
          <w:color w:val="auto"/>
          <w:highlight w:val="none"/>
          <w:lang w:val="zh-CN"/>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lang w:val="zh-CN"/>
        </w:rPr>
        <w:t>.</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lang w:val="zh-CN"/>
        </w:rPr>
        <w:t>不提供投标分项报价表的投标文件将被视为未实质性响应招标文件</w:t>
      </w:r>
      <w:r>
        <w:rPr>
          <w:rFonts w:hint="eastAsia" w:ascii="宋体" w:hAnsi="宋体" w:eastAsia="宋体" w:cs="宋体"/>
          <w:b/>
          <w:bCs/>
          <w:color w:val="auto"/>
          <w:sz w:val="22"/>
          <w:szCs w:val="22"/>
          <w:highlight w:val="none"/>
          <w:u w:val="single"/>
        </w:rPr>
        <w:t>要求</w:t>
      </w:r>
      <w:r>
        <w:rPr>
          <w:rFonts w:hint="eastAsia" w:ascii="宋体" w:hAnsi="宋体" w:eastAsia="宋体" w:cs="宋体"/>
          <w:b/>
          <w:bCs/>
          <w:color w:val="auto"/>
          <w:sz w:val="22"/>
          <w:szCs w:val="22"/>
          <w:highlight w:val="none"/>
          <w:u w:val="single"/>
          <w:lang w:val="zh-CN"/>
        </w:rPr>
        <w:t>。</w:t>
      </w:r>
    </w:p>
    <w:p w14:paraId="38373D7D">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w:t>
      </w:r>
      <w:r>
        <w:rPr>
          <w:rFonts w:hint="eastAsia" w:ascii="宋体" w:hAnsi="宋体" w:eastAsia="宋体" w:cs="宋体"/>
          <w:color w:val="auto"/>
          <w:sz w:val="21"/>
          <w:szCs w:val="21"/>
          <w:highlight w:val="none"/>
          <w:lang w:val="zh-CN"/>
        </w:rPr>
        <w:t>（盖章或 CA签章）</w:t>
      </w:r>
      <w:r>
        <w:rPr>
          <w:rFonts w:hint="eastAsia" w:ascii="宋体" w:hAnsi="宋体" w:eastAsia="宋体" w:cs="宋体"/>
          <w:color w:val="auto"/>
          <w:sz w:val="21"/>
          <w:szCs w:val="21"/>
          <w:highlight w:val="none"/>
        </w:rPr>
        <w:t>：</w:t>
      </w:r>
    </w:p>
    <w:p w14:paraId="653D841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法定代表人（负责人）或委托代理人（盖章或签字）</w:t>
      </w:r>
      <w:r>
        <w:rPr>
          <w:rFonts w:hint="eastAsia" w:ascii="宋体" w:hAnsi="宋体" w:eastAsia="宋体" w:cs="宋体"/>
          <w:color w:val="auto"/>
          <w:sz w:val="21"/>
          <w:szCs w:val="21"/>
          <w:highlight w:val="none"/>
        </w:rPr>
        <w:t>：</w:t>
      </w:r>
    </w:p>
    <w:p w14:paraId="18E04CF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79E4EEF4">
      <w:pPr>
        <w:autoSpaceDE w:val="0"/>
        <w:autoSpaceDN w:val="0"/>
        <w:adjustRightInd w:val="0"/>
        <w:spacing w:line="430" w:lineRule="atLeast"/>
        <w:jc w:val="center"/>
        <w:rPr>
          <w:rFonts w:hint="eastAsia" w:ascii="宋体" w:hAnsi="宋体" w:eastAsia="宋体" w:cs="宋体"/>
          <w:b w:val="0"/>
          <w:bCs w:val="0"/>
          <w:color w:val="auto"/>
          <w:sz w:val="22"/>
          <w:szCs w:val="22"/>
          <w:highlight w:val="none"/>
        </w:rPr>
      </w:pPr>
    </w:p>
    <w:p w14:paraId="1C1590C0">
      <w:pPr>
        <w:rPr>
          <w:rFonts w:hint="default"/>
          <w:color w:val="auto"/>
          <w:highlight w:val="none"/>
          <w:lang w:val="en-US" w:eastAsia="zh-CN"/>
        </w:rPr>
      </w:pPr>
    </w:p>
    <w:p w14:paraId="475FA7A4">
      <w:pPr>
        <w:pStyle w:val="4"/>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 xml:space="preserve">  </w:t>
      </w:r>
      <w:bookmarkStart w:id="82" w:name="_Toc6790"/>
      <w:r>
        <w:rPr>
          <w:rFonts w:hint="eastAsia" w:ascii="宋体" w:hAnsi="宋体" w:eastAsia="宋体" w:cs="宋体"/>
          <w:bCs w:val="0"/>
          <w:color w:val="auto"/>
          <w:sz w:val="36"/>
          <w:szCs w:val="36"/>
          <w:highlight w:val="none"/>
        </w:rPr>
        <w:t>第</w:t>
      </w:r>
      <w:r>
        <w:rPr>
          <w:rFonts w:hint="eastAsia" w:ascii="宋体" w:hAnsi="宋体" w:eastAsia="宋体" w:cs="宋体"/>
          <w:bCs w:val="0"/>
          <w:color w:val="auto"/>
          <w:sz w:val="36"/>
          <w:szCs w:val="36"/>
          <w:highlight w:val="none"/>
          <w:lang w:val="en-US" w:eastAsia="zh-CN"/>
        </w:rPr>
        <w:t>五</w:t>
      </w:r>
      <w:r>
        <w:rPr>
          <w:rFonts w:hint="eastAsia" w:ascii="宋体" w:hAnsi="宋体" w:eastAsia="宋体" w:cs="宋体"/>
          <w:bCs w:val="0"/>
          <w:color w:val="auto"/>
          <w:sz w:val="36"/>
          <w:szCs w:val="36"/>
          <w:highlight w:val="none"/>
        </w:rPr>
        <w:t>部分   采购内容及要求</w:t>
      </w:r>
      <w:bookmarkEnd w:id="82"/>
    </w:p>
    <w:p w14:paraId="3EE82BAC">
      <w:pPr>
        <w:pStyle w:val="72"/>
        <w:numPr>
          <w:ilvl w:val="0"/>
          <w:numId w:val="0"/>
        </w:numPr>
        <w:rPr>
          <w:rFonts w:hint="eastAsia"/>
          <w:color w:val="auto"/>
          <w:highlight w:val="none"/>
        </w:rPr>
      </w:pPr>
    </w:p>
    <w:bookmarkEnd w:id="1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7A77F3A8">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sz w:val="21"/>
          <w:szCs w:val="21"/>
          <w:highlight w:val="none"/>
        </w:rPr>
      </w:pPr>
      <w:bookmarkStart w:id="83" w:name="_Toc509244948"/>
      <w:bookmarkStart w:id="84" w:name="_Toc494407530"/>
      <w:r>
        <w:rPr>
          <w:rFonts w:hint="eastAsia" w:ascii="宋体" w:hAnsi="宋体" w:eastAsia="宋体" w:cs="宋体"/>
          <w:b/>
          <w:bCs/>
          <w:color w:val="auto"/>
          <w:sz w:val="21"/>
          <w:szCs w:val="21"/>
          <w:highlight w:val="none"/>
        </w:rPr>
        <w:t>本项目执行标准、检测依据的标准及规范</w:t>
      </w:r>
    </w:p>
    <w:p w14:paraId="24D7719C">
      <w:pPr>
        <w:pStyle w:val="72"/>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本次采购(检测)执行</w:t>
      </w:r>
      <w:r>
        <w:rPr>
          <w:rFonts w:hint="eastAsia" w:ascii="宋体" w:hAnsi="宋体" w:eastAsia="宋体" w:cs="宋体"/>
          <w:color w:val="auto"/>
          <w:sz w:val="21"/>
          <w:szCs w:val="21"/>
          <w:highlight w:val="none"/>
          <w:lang w:val="en-US" w:eastAsia="zh-CN"/>
        </w:rPr>
        <w:t>以下（不限于）</w:t>
      </w: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lang w:eastAsia="zh-CN"/>
        </w:rPr>
        <w:t>：</w:t>
      </w:r>
    </w:p>
    <w:p w14:paraId="5F5C30BA">
      <w:pPr>
        <w:pStyle w:val="72"/>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按照《城镇污水处理厂污染物排放标准》GB18918－2002、《污水排入城镇下水道水质标准》GBT 31962-2015 等要求进行采样、评定。</w:t>
      </w:r>
    </w:p>
    <w:p w14:paraId="2B97FFE2">
      <w:pPr>
        <w:pStyle w:val="7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若同一标准已颁发新标准，则按最新标准执行。若同一服务、产品同时有几个标准(国际标准、国家标准、行业标准、企业标准等),则按最高层次的标准执行。</w:t>
      </w:r>
    </w:p>
    <w:p w14:paraId="0EAEC185">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本次采购需实现的目标</w:t>
      </w:r>
    </w:p>
    <w:p w14:paraId="0C1CCDE2">
      <w:pPr>
        <w:pStyle w:val="7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为龙湾辖区东片、滨海园区第一、二、三污水处理厂日常进出水及外围管网水质排查溯源检测服务，为执法部分开展日常执法监管提供检测数据，督促各当事人排放符合国家标准。</w:t>
      </w:r>
    </w:p>
    <w:p w14:paraId="6B21B8C2">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技术、服务、安全等要求</w:t>
      </w:r>
    </w:p>
    <w:p w14:paraId="239B92CF">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.东片、滨海园区第一、二、三污水处理厂进、出水8项指标（PH、总氮、氨氮、化学需氧量、五日生化需氧量、总磷、悬浮物、电导率）。（进、出水各算一次）</w:t>
      </w:r>
    </w:p>
    <w:p w14:paraId="1F70264A">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东片、滨海园区第一、二、三污水处理厂出水水质19项指标（PH、氨氮、总磷、总氮、总铬、总铅、总镉、六价铬、石油类、动植物油类、色度（稀释倍数）、阴离子表面活性、化学需氧量、五日生化需氧量、悬浮物、总砷、总汞、粪大肠菌群、烷基汞）。</w:t>
      </w:r>
    </w:p>
    <w:p w14:paraId="2E66034D">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污水处理厂外围市政管网排查溯源、检测9项指标（PH、总氮、氨氮、化学需氧量、总磷、悬浮物、二甲基甲酰胺DMF、石油类、动植物油）。具体项目、地点以实际委托为准。排查溯源需提供专业的分析、报告及总结、建议等。</w:t>
      </w:r>
    </w:p>
    <w:p w14:paraId="6D2FC3E4">
      <w:pPr>
        <w:pStyle w:val="72"/>
        <w:spacing w:line="360" w:lineRule="auto"/>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4.服务质量要求：水污染物监测分析方法，出具的报告技术质量需符合环境监测审查的技术要求。5.服务时间要求：紧急任务需30分钟内到达指定位置。</w:t>
      </w:r>
    </w:p>
    <w:p w14:paraId="66973A45">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6.服务成果要求：一般情况下，需7日内出具检测报告；紧急任务情况下需在1-2日内出具检测报告；</w:t>
      </w:r>
      <w:r>
        <w:rPr>
          <w:rFonts w:hint="eastAsia" w:ascii="宋体" w:hAnsi="宋体" w:eastAsia="宋体" w:cs="宋体"/>
          <w:color w:val="auto"/>
          <w:kern w:val="0"/>
          <w:sz w:val="21"/>
          <w:szCs w:val="21"/>
          <w:highlight w:val="none"/>
        </w:rPr>
        <w:t>检测报告必须具有CMA标志</w:t>
      </w:r>
      <w:r>
        <w:rPr>
          <w:rFonts w:hint="eastAsia" w:ascii="宋体" w:hAnsi="宋体" w:eastAsia="宋体" w:cs="宋体"/>
          <w:color w:val="auto"/>
          <w:kern w:val="0"/>
          <w:sz w:val="21"/>
          <w:szCs w:val="21"/>
          <w:highlight w:val="none"/>
          <w:lang w:eastAsia="zh-CN"/>
        </w:rPr>
        <w:t>。</w:t>
      </w:r>
    </w:p>
    <w:p w14:paraId="5584F5F3">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7.人员配置要求：按实际检测需求配置足额采样人员、化验人员。</w:t>
      </w:r>
    </w:p>
    <w:p w14:paraId="58CC106C">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8.设备要求：配备符合要求的水污染物监测设备。</w:t>
      </w:r>
    </w:p>
    <w:p w14:paraId="17FCC3AA">
      <w:pPr>
        <w:pStyle w:val="72"/>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后续服务要求：供应方出具的报告技术质量需符合环境监测审查的技术要求，如不符合，采购方有权要求供应方返工修正直至提供符合要求的报告数据为止，相关费用由供应方承担采购方不再另行支付；经供应方采取补救措施后出具的报告仍不符合环境监测技术要求的，采购方有权单方解除合同，由此引起的责任及损失均由供应方承担。</w:t>
      </w:r>
    </w:p>
    <w:p w14:paraId="66369760">
      <w:pPr>
        <w:pStyle w:val="2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10.如遇特殊情况，采购方需调整个别检测项目，按实际委托为准，涉及检测费用参考浙价费〔2000〕147号，经双方协商，采购总金额不变。</w:t>
      </w:r>
    </w:p>
    <w:p w14:paraId="0BF38922">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验收</w:t>
      </w:r>
    </w:p>
    <w:p w14:paraId="7A1887BA">
      <w:pPr>
        <w:widowControl/>
        <w:numPr>
          <w:ilvl w:val="0"/>
          <w:numId w:val="0"/>
        </w:numPr>
        <w:autoSpaceDE w:val="0"/>
        <w:autoSpaceDN w:val="0"/>
        <w:adjustRightInd w:val="0"/>
        <w:spacing w:line="360" w:lineRule="auto"/>
        <w:ind w:firstLine="420" w:firstLineChars="200"/>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由采购人对中标单位提供的检测报告进行审查，审查是否符合委托检测项目的要求及数据的完整性。</w:t>
      </w:r>
    </w:p>
    <w:p w14:paraId="4F48F325">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质量保证</w:t>
      </w:r>
    </w:p>
    <w:p w14:paraId="036EE3C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成交人保证所提供的服务是符合国家技术规格和采购文件中所承诺的服务质量标准的。如发生所供服务与合同不符，采购人有权拒收验收，由此产生的一切责任和后果由成交人承担。</w:t>
      </w:r>
    </w:p>
    <w:p w14:paraId="69FF724F">
      <w:pPr>
        <w:widowControl/>
        <w:numPr>
          <w:ilvl w:val="0"/>
          <w:numId w:val="15"/>
        </w:numPr>
        <w:autoSpaceDE w:val="0"/>
        <w:autoSpaceDN w:val="0"/>
        <w:adjustRightInd w:val="0"/>
        <w:spacing w:line="360" w:lineRule="auto"/>
        <w:jc w:val="left"/>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服务地点与服务期限</w:t>
      </w:r>
    </w:p>
    <w:p w14:paraId="2104DB4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服务地点：采购人指定地点。</w:t>
      </w:r>
    </w:p>
    <w:p w14:paraId="6544255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服务期限：</w:t>
      </w:r>
      <w:r>
        <w:rPr>
          <w:rFonts w:hint="eastAsia" w:ascii="宋体" w:hAnsi="宋体" w:eastAsia="宋体" w:cs="宋体"/>
          <w:color w:val="auto"/>
          <w:kern w:val="0"/>
          <w:sz w:val="21"/>
          <w:szCs w:val="21"/>
          <w:highlight w:val="none"/>
          <w:lang w:val="en-US" w:eastAsia="zh-CN"/>
        </w:rPr>
        <w:t>合同签订</w:t>
      </w:r>
      <w:r>
        <w:rPr>
          <w:rFonts w:hint="eastAsia" w:ascii="宋体" w:hAnsi="宋体" w:eastAsia="宋体" w:cs="宋体"/>
          <w:color w:val="auto"/>
          <w:kern w:val="0"/>
          <w:sz w:val="21"/>
          <w:szCs w:val="21"/>
          <w:highlight w:val="none"/>
          <w:lang w:eastAsia="zh-CN"/>
        </w:rPr>
        <w:t>起</w:t>
      </w:r>
      <w:r>
        <w:rPr>
          <w:rFonts w:hint="eastAsia" w:ascii="宋体" w:hAnsi="宋体" w:eastAsia="宋体" w:cs="宋体"/>
          <w:color w:val="auto"/>
          <w:kern w:val="0"/>
          <w:sz w:val="21"/>
          <w:szCs w:val="21"/>
          <w:highlight w:val="none"/>
          <w:lang w:val="en-US" w:eastAsia="zh-CN"/>
        </w:rPr>
        <w:t>一年</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1D3D6CF4">
      <w:pPr>
        <w:widowControl/>
        <w:numPr>
          <w:ilvl w:val="0"/>
          <w:numId w:val="15"/>
        </w:numPr>
        <w:autoSpaceDE w:val="0"/>
        <w:autoSpaceDN w:val="0"/>
        <w:adjustRightInd w:val="0"/>
        <w:spacing w:line="360" w:lineRule="auto"/>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报价要求</w:t>
      </w:r>
    </w:p>
    <w:tbl>
      <w:tblPr>
        <w:tblStyle w:val="54"/>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5640"/>
        <w:gridCol w:w="2242"/>
        <w:gridCol w:w="1417"/>
      </w:tblGrid>
      <w:tr w14:paraId="437EF8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02" w:hRule="atLeast"/>
          <w:jc w:val="center"/>
        </w:trPr>
        <w:tc>
          <w:tcPr>
            <w:tcW w:w="5640" w:type="dxa"/>
            <w:noWrap w:val="0"/>
            <w:vAlign w:val="center"/>
          </w:tcPr>
          <w:p w14:paraId="00242C6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w:t>
            </w:r>
            <w:r>
              <w:rPr>
                <w:rFonts w:hint="eastAsia" w:ascii="宋体" w:hAnsi="宋体" w:eastAsia="宋体" w:cs="宋体"/>
                <w:color w:val="auto"/>
                <w:kern w:val="0"/>
                <w:sz w:val="21"/>
                <w:szCs w:val="21"/>
                <w:highlight w:val="none"/>
                <w:lang w:bidi="ar"/>
              </w:rPr>
              <w:t>项目</w:t>
            </w:r>
          </w:p>
        </w:tc>
        <w:tc>
          <w:tcPr>
            <w:tcW w:w="2242" w:type="dxa"/>
            <w:tcBorders>
              <w:right w:val="single" w:color="auto" w:sz="4" w:space="0"/>
            </w:tcBorders>
            <w:noWrap w:val="0"/>
            <w:vAlign w:val="center"/>
          </w:tcPr>
          <w:p w14:paraId="0A0E4FB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最高限价（元/次）</w:t>
            </w:r>
          </w:p>
        </w:tc>
        <w:tc>
          <w:tcPr>
            <w:tcW w:w="1417" w:type="dxa"/>
            <w:tcBorders>
              <w:left w:val="single" w:color="auto" w:sz="4" w:space="0"/>
            </w:tcBorders>
            <w:noWrap w:val="0"/>
            <w:vAlign w:val="center"/>
          </w:tcPr>
          <w:p w14:paraId="777B87C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14:paraId="6DC2D2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4" w:hRule="atLeast"/>
          <w:jc w:val="center"/>
        </w:trPr>
        <w:tc>
          <w:tcPr>
            <w:tcW w:w="5640" w:type="dxa"/>
            <w:noWrap w:val="0"/>
            <w:vAlign w:val="center"/>
          </w:tcPr>
          <w:p w14:paraId="7FEC6BD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8项指标（PH、总氮、氨氮、化学需氧量、五日生化需氧量、总磷、悬浮物、电导率）检测</w:t>
            </w:r>
          </w:p>
        </w:tc>
        <w:tc>
          <w:tcPr>
            <w:tcW w:w="2242" w:type="dxa"/>
            <w:tcBorders>
              <w:right w:val="single" w:color="auto" w:sz="4" w:space="0"/>
            </w:tcBorders>
            <w:noWrap w:val="0"/>
            <w:vAlign w:val="center"/>
          </w:tcPr>
          <w:p w14:paraId="7094AC4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540</w:t>
            </w:r>
            <w:r>
              <w:rPr>
                <w:rFonts w:hint="eastAsia" w:ascii="宋体" w:hAnsi="宋体" w:eastAsia="宋体" w:cs="宋体"/>
                <w:color w:val="auto"/>
                <w:kern w:val="0"/>
                <w:sz w:val="21"/>
                <w:szCs w:val="21"/>
                <w:highlight w:val="none"/>
                <w:lang w:bidi="ar"/>
              </w:rPr>
              <w:t>元/次</w:t>
            </w:r>
          </w:p>
        </w:tc>
        <w:tc>
          <w:tcPr>
            <w:tcW w:w="1417" w:type="dxa"/>
            <w:tcBorders>
              <w:left w:val="single" w:color="auto" w:sz="4" w:space="0"/>
            </w:tcBorders>
            <w:noWrap w:val="0"/>
            <w:vAlign w:val="center"/>
          </w:tcPr>
          <w:p w14:paraId="4DADEB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进水、出水检测价格相同</w:t>
            </w:r>
          </w:p>
        </w:tc>
      </w:tr>
      <w:tr w14:paraId="661400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4" w:hRule="atLeast"/>
          <w:jc w:val="center"/>
        </w:trPr>
        <w:tc>
          <w:tcPr>
            <w:tcW w:w="5640" w:type="dxa"/>
            <w:noWrap w:val="0"/>
            <w:vAlign w:val="center"/>
          </w:tcPr>
          <w:p w14:paraId="117378B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出水水质19项指标（</w:t>
            </w:r>
            <w:r>
              <w:rPr>
                <w:rFonts w:hint="eastAsia" w:ascii="宋体" w:hAnsi="宋体" w:eastAsia="宋体" w:cs="宋体"/>
                <w:color w:val="auto"/>
                <w:sz w:val="21"/>
                <w:szCs w:val="21"/>
                <w:highlight w:val="none"/>
                <w:lang w:val="en-US" w:eastAsia="zh-CN"/>
              </w:rPr>
              <w:t>PH、氨氮、总磷、总氮、总铬、总铅、总镉、六价铬、石油类、动植物油类、色度（稀释倍数）、阴离子表面活性、化学需氧量、五日生化需氧量、悬浮物、总砷、总汞、粪大肠菌群、烷基汞</w:t>
            </w:r>
            <w:r>
              <w:rPr>
                <w:rFonts w:hint="eastAsia" w:ascii="宋体" w:hAnsi="宋体" w:eastAsia="宋体" w:cs="宋体"/>
                <w:color w:val="auto"/>
                <w:kern w:val="0"/>
                <w:sz w:val="21"/>
                <w:szCs w:val="21"/>
                <w:highlight w:val="none"/>
                <w:lang w:val="en-US" w:eastAsia="zh-CN" w:bidi="ar"/>
              </w:rPr>
              <w:t>）检测</w:t>
            </w:r>
          </w:p>
        </w:tc>
        <w:tc>
          <w:tcPr>
            <w:tcW w:w="2242" w:type="dxa"/>
            <w:tcBorders>
              <w:right w:val="single" w:color="auto" w:sz="4" w:space="0"/>
            </w:tcBorders>
            <w:noWrap w:val="0"/>
            <w:vAlign w:val="center"/>
          </w:tcPr>
          <w:p w14:paraId="62008BE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1620</w:t>
            </w:r>
            <w:r>
              <w:rPr>
                <w:rFonts w:hint="eastAsia" w:ascii="宋体" w:hAnsi="宋体" w:eastAsia="宋体" w:cs="宋体"/>
                <w:color w:val="auto"/>
                <w:kern w:val="0"/>
                <w:sz w:val="21"/>
                <w:szCs w:val="21"/>
                <w:highlight w:val="none"/>
                <w:lang w:bidi="ar"/>
              </w:rPr>
              <w:t>元/次</w:t>
            </w:r>
          </w:p>
        </w:tc>
        <w:tc>
          <w:tcPr>
            <w:tcW w:w="1417" w:type="dxa"/>
            <w:tcBorders>
              <w:left w:val="single" w:color="auto" w:sz="4" w:space="0"/>
            </w:tcBorders>
            <w:noWrap w:val="0"/>
            <w:vAlign w:val="center"/>
          </w:tcPr>
          <w:p w14:paraId="5B3C8F8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p>
        </w:tc>
      </w:tr>
      <w:tr w14:paraId="3D0690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4" w:hRule="atLeast"/>
          <w:jc w:val="center"/>
        </w:trPr>
        <w:tc>
          <w:tcPr>
            <w:tcW w:w="5640" w:type="dxa"/>
            <w:noWrap w:val="0"/>
            <w:vAlign w:val="center"/>
          </w:tcPr>
          <w:p w14:paraId="3C9F8E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管网排查溯源、检测（PH、总氮、氨氮、化学需氧量、总磷、悬浮物、二甲基甲酰胺DMF、石油类、动植物油）</w:t>
            </w:r>
          </w:p>
        </w:tc>
        <w:tc>
          <w:tcPr>
            <w:tcW w:w="2242" w:type="dxa"/>
            <w:tcBorders>
              <w:right w:val="single" w:color="auto" w:sz="4" w:space="0"/>
            </w:tcBorders>
            <w:noWrap w:val="0"/>
            <w:vAlign w:val="center"/>
          </w:tcPr>
          <w:p w14:paraId="12AF71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705元/次</w:t>
            </w:r>
          </w:p>
        </w:tc>
        <w:tc>
          <w:tcPr>
            <w:tcW w:w="1417" w:type="dxa"/>
            <w:tcBorders>
              <w:left w:val="single" w:color="auto" w:sz="4" w:space="0"/>
            </w:tcBorders>
            <w:noWrap w:val="0"/>
            <w:vAlign w:val="center"/>
          </w:tcPr>
          <w:p w14:paraId="794C531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排查溯源需提供专业的分析、报告及总结、建议等</w:t>
            </w:r>
          </w:p>
        </w:tc>
      </w:tr>
    </w:tbl>
    <w:p w14:paraId="01C1377E">
      <w:pPr>
        <w:autoSpaceDE w:val="0"/>
        <w:autoSpaceDN w:val="0"/>
        <w:adjustRightInd w:val="0"/>
        <w:spacing w:line="360" w:lineRule="auto"/>
        <w:ind w:firstLine="420"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注明：</w:t>
      </w:r>
      <w:r>
        <w:rPr>
          <w:rFonts w:hint="eastAsia" w:ascii="宋体" w:hAnsi="宋体" w:eastAsia="宋体" w:cs="宋体"/>
          <w:b/>
          <w:bCs/>
          <w:color w:val="auto"/>
          <w:sz w:val="21"/>
          <w:szCs w:val="21"/>
          <w:highlight w:val="none"/>
          <w:u w:val="none"/>
          <w:lang w:val="en-US" w:eastAsia="zh-CN"/>
        </w:rPr>
        <w:t>本项目采用固定单价进行报价，</w:t>
      </w:r>
      <w:r>
        <w:rPr>
          <w:rFonts w:hint="eastAsia" w:ascii="宋体" w:hAnsi="宋体" w:eastAsia="宋体" w:cs="宋体"/>
          <w:b/>
          <w:bCs/>
          <w:color w:val="auto"/>
          <w:kern w:val="0"/>
          <w:sz w:val="21"/>
          <w:szCs w:val="21"/>
          <w:highlight w:val="none"/>
        </w:rPr>
        <w:t>供应商应考虑企业自身实力、经验及项目实施过程中的各种因素，</w:t>
      </w:r>
      <w:r>
        <w:rPr>
          <w:rFonts w:hint="eastAsia" w:ascii="宋体" w:hAnsi="宋体" w:eastAsia="宋体" w:cs="宋体"/>
          <w:b/>
          <w:bCs/>
          <w:color w:val="auto"/>
          <w:kern w:val="0"/>
          <w:sz w:val="21"/>
          <w:szCs w:val="21"/>
          <w:highlight w:val="none"/>
          <w:lang w:val="en-US" w:eastAsia="zh-CN"/>
        </w:rPr>
        <w:t>报价包括完成本项目服务可能发生的各项指标检测项目所需的机械设备及人工、技术服务、检测费、样品保存费、交通费、等一切费用并承担一切风险责任。</w:t>
      </w:r>
    </w:p>
    <w:p w14:paraId="5C87CA7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最终结算按照实际检测</w:t>
      </w:r>
      <w:r>
        <w:rPr>
          <w:rFonts w:hint="eastAsia" w:ascii="宋体" w:hAnsi="宋体" w:eastAsia="宋体" w:cs="宋体"/>
          <w:color w:val="auto"/>
          <w:kern w:val="0"/>
          <w:sz w:val="21"/>
          <w:szCs w:val="21"/>
          <w:highlight w:val="none"/>
          <w:lang w:val="en-US" w:eastAsia="zh-CN"/>
        </w:rPr>
        <w:t>次数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综合单价</w:t>
      </w:r>
      <w:r>
        <w:rPr>
          <w:rFonts w:hint="eastAsia" w:ascii="宋体" w:hAnsi="宋体" w:eastAsia="宋体" w:cs="宋体"/>
          <w:color w:val="auto"/>
          <w:kern w:val="0"/>
          <w:sz w:val="21"/>
          <w:szCs w:val="21"/>
          <w:highlight w:val="none"/>
        </w:rPr>
        <w:t>进行结算，最终结算价格不超过采购预算。</w:t>
      </w:r>
    </w:p>
    <w:p w14:paraId="4542B75D">
      <w:pPr>
        <w:widowControl/>
        <w:numPr>
          <w:ilvl w:val="0"/>
          <w:numId w:val="15"/>
        </w:numPr>
        <w:autoSpaceDE w:val="0"/>
        <w:autoSpaceDN w:val="0"/>
        <w:adjustRightInd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付款</w:t>
      </w:r>
      <w:r>
        <w:rPr>
          <w:rFonts w:hint="eastAsia" w:ascii="宋体" w:hAnsi="宋体" w:eastAsia="宋体" w:cs="宋体"/>
          <w:color w:val="auto"/>
          <w:sz w:val="21"/>
          <w:szCs w:val="21"/>
          <w:highlight w:val="none"/>
        </w:rPr>
        <w:t>方式</w:t>
      </w:r>
    </w:p>
    <w:p w14:paraId="0F8DC60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1、技术服务费总额：</w:t>
      </w:r>
      <w:r>
        <w:rPr>
          <w:rFonts w:hint="eastAsia" w:ascii="宋体" w:hAnsi="宋体" w:cs="宋体"/>
          <w:color w:val="auto"/>
          <w:kern w:val="0"/>
          <w:sz w:val="21"/>
          <w:szCs w:val="21"/>
          <w:highlight w:val="none"/>
          <w:lang w:val="en-US" w:eastAsia="zh-CN"/>
        </w:rPr>
        <w:t>总价包干</w:t>
      </w:r>
      <w:r>
        <w:rPr>
          <w:rFonts w:hint="eastAsia" w:ascii="宋体" w:hAnsi="宋体" w:eastAsia="宋体" w:cs="宋体"/>
          <w:color w:val="auto"/>
          <w:kern w:val="0"/>
          <w:sz w:val="21"/>
          <w:szCs w:val="21"/>
          <w:highlight w:val="none"/>
          <w:lang w:val="en-US" w:eastAsia="zh-CN"/>
        </w:rPr>
        <w:t>。</w:t>
      </w:r>
    </w:p>
    <w:p w14:paraId="49E25EE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2、供应将全部水质监测书面成果递交至采购方并提供等额的增值税发票，经采购方核对认可后7个工作日内通过银行转账一次性支付。</w:t>
      </w:r>
    </w:p>
    <w:p w14:paraId="426F237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bookmarkEnd w:id="83"/>
      <w:r>
        <w:rPr>
          <w:rFonts w:hint="eastAsia" w:ascii="宋体" w:hAnsi="宋体" w:eastAsia="宋体" w:cs="宋体"/>
          <w:b/>
          <w:bCs/>
          <w:color w:val="auto"/>
          <w:sz w:val="21"/>
          <w:szCs w:val="21"/>
          <w:highlight w:val="none"/>
        </w:rPr>
        <w:t>其他要求</w:t>
      </w:r>
    </w:p>
    <w:p w14:paraId="30CA1847">
      <w:pPr>
        <w:spacing w:line="360" w:lineRule="auto"/>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kern w:val="0"/>
          <w:sz w:val="21"/>
          <w:szCs w:val="21"/>
          <w:highlight w:val="none"/>
        </w:rPr>
        <w:t>每次作业任务结束后7</w:t>
      </w:r>
      <w:r>
        <w:rPr>
          <w:rFonts w:hint="eastAsia" w:ascii="宋体" w:hAnsi="宋体" w:eastAsia="宋体" w:cs="宋体"/>
          <w:color w:val="auto"/>
          <w:kern w:val="0"/>
          <w:sz w:val="21"/>
          <w:szCs w:val="21"/>
          <w:highlight w:val="none"/>
          <w:lang w:eastAsia="zh-CN"/>
        </w:rPr>
        <w:t>个工作日</w:t>
      </w:r>
      <w:r>
        <w:rPr>
          <w:rFonts w:hint="eastAsia" w:ascii="宋体" w:hAnsi="宋体" w:eastAsia="宋体" w:cs="宋体"/>
          <w:color w:val="auto"/>
          <w:kern w:val="0"/>
          <w:sz w:val="21"/>
          <w:szCs w:val="21"/>
          <w:highlight w:val="none"/>
        </w:rPr>
        <w:t>内中标单位向招标人提交水质检测报告，中标单位提交的资料经招标人审核并通过为本次作业任务的完成标志。</w:t>
      </w:r>
    </w:p>
    <w:bookmarkEnd w:id="84"/>
    <w:p w14:paraId="602EEC10">
      <w:pPr>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p>
    <w:p w14:paraId="35E2B4CA">
      <w:pPr>
        <w:pStyle w:val="4"/>
        <w:rPr>
          <w:rFonts w:hint="eastAsia" w:ascii="宋体" w:hAnsi="宋体" w:eastAsia="宋体" w:cs="宋体"/>
          <w:bCs w:val="0"/>
          <w:color w:val="auto"/>
          <w:sz w:val="36"/>
          <w:szCs w:val="36"/>
          <w:highlight w:val="none"/>
        </w:rPr>
      </w:pPr>
      <w:bookmarkStart w:id="85" w:name="_Toc31823"/>
      <w:r>
        <w:rPr>
          <w:rFonts w:hint="eastAsia" w:ascii="宋体" w:hAnsi="宋体" w:eastAsia="宋体" w:cs="宋体"/>
          <w:bCs w:val="0"/>
          <w:color w:val="auto"/>
          <w:sz w:val="36"/>
          <w:szCs w:val="36"/>
          <w:highlight w:val="none"/>
        </w:rPr>
        <w:t>第六部分   磋商原则及方法</w:t>
      </w:r>
      <w:bookmarkEnd w:id="85"/>
    </w:p>
    <w:p w14:paraId="310693B6">
      <w:pPr>
        <w:tabs>
          <w:tab w:val="left" w:pos="6358"/>
        </w:tabs>
        <w:snapToGrid w:val="0"/>
        <w:spacing w:line="400" w:lineRule="exact"/>
        <w:jc w:val="left"/>
        <w:rPr>
          <w:rFonts w:hint="eastAsia" w:ascii="宋体" w:hAnsi="宋体" w:eastAsia="宋体" w:cs="宋体"/>
          <w:b/>
          <w:bCs/>
          <w:color w:val="auto"/>
          <w:sz w:val="21"/>
          <w:szCs w:val="21"/>
          <w:highlight w:val="none"/>
        </w:rPr>
      </w:pPr>
      <w:bookmarkStart w:id="86" w:name="_Toc221356898"/>
      <w:bookmarkStart w:id="87" w:name="_Toc221356961"/>
      <w:r>
        <w:rPr>
          <w:rFonts w:hint="eastAsia" w:ascii="宋体" w:hAnsi="宋体" w:eastAsia="宋体" w:cs="宋体"/>
          <w:b/>
          <w:bCs/>
          <w:color w:val="auto"/>
          <w:sz w:val="21"/>
          <w:szCs w:val="21"/>
          <w:highlight w:val="none"/>
        </w:rPr>
        <w:t>一、总则</w:t>
      </w:r>
    </w:p>
    <w:p w14:paraId="7368F247">
      <w:pPr>
        <w:spacing w:line="420" w:lineRule="exact"/>
        <w:ind w:firstLine="420" w:firstLineChars="200"/>
        <w:rPr>
          <w:rFonts w:hint="eastAsia" w:ascii="宋体" w:hAnsi="宋体" w:eastAsia="宋体" w:cs="宋体"/>
          <w:color w:val="auto"/>
          <w:sz w:val="21"/>
          <w:szCs w:val="21"/>
          <w:highlight w:val="none"/>
        </w:rPr>
      </w:pPr>
      <w:bookmarkStart w:id="88" w:name="_Toc416695955"/>
      <w:bookmarkStart w:id="89" w:name="_Toc413771022"/>
      <w:r>
        <w:rPr>
          <w:rFonts w:hint="eastAsia" w:ascii="宋体" w:hAnsi="宋体" w:eastAsia="宋体" w:cs="宋体"/>
          <w:color w:val="auto"/>
          <w:sz w:val="21"/>
          <w:szCs w:val="21"/>
          <w:highlight w:val="none"/>
        </w:rPr>
        <w:t>评审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097225EB">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bookmarkEnd w:id="88"/>
      <w:bookmarkEnd w:id="89"/>
      <w:r>
        <w:rPr>
          <w:rFonts w:hint="eastAsia" w:ascii="宋体" w:hAnsi="宋体" w:eastAsia="宋体" w:cs="宋体"/>
          <w:b/>
          <w:bCs/>
          <w:color w:val="auto"/>
          <w:sz w:val="21"/>
          <w:szCs w:val="21"/>
          <w:highlight w:val="none"/>
        </w:rPr>
        <w:t>评审组织</w:t>
      </w:r>
    </w:p>
    <w:p w14:paraId="082D98FE">
      <w:pPr>
        <w:tabs>
          <w:tab w:val="left" w:pos="6358"/>
        </w:tabs>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评审及磋商工作由采购人依法组建的磋商小组负责，评审及磋商全过程由有关部门指导监督。</w:t>
      </w:r>
    </w:p>
    <w:p w14:paraId="3E928B0C">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bookmarkStart w:id="90" w:name="_Toc416695957"/>
      <w:bookmarkStart w:id="91" w:name="_Toc413771024"/>
      <w:r>
        <w:rPr>
          <w:rFonts w:hint="eastAsia" w:ascii="宋体" w:hAnsi="宋体" w:eastAsia="宋体" w:cs="宋体"/>
          <w:b/>
          <w:bCs/>
          <w:color w:val="auto"/>
          <w:sz w:val="21"/>
          <w:szCs w:val="21"/>
          <w:highlight w:val="none"/>
        </w:rPr>
        <w:t>三、评审及磋商的程序</w:t>
      </w:r>
      <w:bookmarkEnd w:id="90"/>
      <w:bookmarkEnd w:id="91"/>
    </w:p>
    <w:p w14:paraId="2CC7DB46">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熟悉竞争性磋商文件和评审磋商办法；</w:t>
      </w:r>
    </w:p>
    <w:p w14:paraId="6B98D90C">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开启磋商响应文件（一次报价不公布）；</w:t>
      </w:r>
    </w:p>
    <w:p w14:paraId="14F5752A">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p w14:paraId="3EBA30D2">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磋商、询标（需要时）；</w:t>
      </w:r>
    </w:p>
    <w:p w14:paraId="72A39AEC">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磋商响应文件商务技术标评分；</w:t>
      </w:r>
    </w:p>
    <w:p w14:paraId="0071BBB0">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磋商二次报价或最终报价；</w:t>
      </w:r>
    </w:p>
    <w:p w14:paraId="4DC24763">
      <w:pPr>
        <w:numPr>
          <w:ilvl w:val="0"/>
          <w:numId w:val="16"/>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磋商小组根据评审结果，提交评审报告。</w:t>
      </w:r>
    </w:p>
    <w:p w14:paraId="2AA0D950">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四、评审细则</w:t>
      </w:r>
    </w:p>
    <w:p w14:paraId="21F20274">
      <w:pPr>
        <w:numPr>
          <w:ilvl w:val="0"/>
          <w:numId w:val="17"/>
        </w:numPr>
        <w:tabs>
          <w:tab w:val="left" w:pos="6358"/>
        </w:tabs>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磋商响应文件的商务技术评分（</w:t>
      </w:r>
      <w:r>
        <w:rPr>
          <w:rFonts w:hint="eastAsia" w:ascii="宋体" w:hAnsi="宋体" w:eastAsia="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分）</w:t>
      </w:r>
    </w:p>
    <w:p w14:paraId="54F37978">
      <w:pPr>
        <w:tabs>
          <w:tab w:val="left" w:pos="6358"/>
        </w:tabs>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4"/>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78"/>
        <w:gridCol w:w="5889"/>
        <w:gridCol w:w="804"/>
        <w:gridCol w:w="846"/>
      </w:tblGrid>
      <w:tr w14:paraId="43FA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noWrap w:val="0"/>
            <w:vAlign w:val="center"/>
          </w:tcPr>
          <w:p w14:paraId="09A6A8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378" w:type="dxa"/>
            <w:noWrap w:val="0"/>
            <w:vAlign w:val="center"/>
          </w:tcPr>
          <w:p w14:paraId="36E064F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评定项目</w:t>
            </w:r>
          </w:p>
        </w:tc>
        <w:tc>
          <w:tcPr>
            <w:tcW w:w="5889" w:type="dxa"/>
            <w:noWrap w:val="0"/>
            <w:vAlign w:val="center"/>
          </w:tcPr>
          <w:p w14:paraId="6C13AF8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804" w:type="dxa"/>
            <w:noWrap w:val="0"/>
            <w:vAlign w:val="center"/>
          </w:tcPr>
          <w:p w14:paraId="6DD1CF4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分值</w:t>
            </w:r>
          </w:p>
        </w:tc>
        <w:tc>
          <w:tcPr>
            <w:tcW w:w="846" w:type="dxa"/>
            <w:noWrap w:val="0"/>
            <w:vAlign w:val="center"/>
          </w:tcPr>
          <w:p w14:paraId="6795F5B7">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备注</w:t>
            </w:r>
          </w:p>
        </w:tc>
      </w:tr>
      <w:tr w14:paraId="2DF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93" w:type="dxa"/>
            <w:vMerge w:val="restart"/>
            <w:noWrap w:val="0"/>
            <w:vAlign w:val="center"/>
          </w:tcPr>
          <w:p w14:paraId="12C5DCBA">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color w:val="auto"/>
                <w:szCs w:val="21"/>
                <w:highlight w:val="none"/>
              </w:rPr>
              <w:t>1</w:t>
            </w:r>
          </w:p>
        </w:tc>
        <w:tc>
          <w:tcPr>
            <w:tcW w:w="1378" w:type="dxa"/>
            <w:vMerge w:val="restart"/>
            <w:noWrap w:val="0"/>
            <w:vAlign w:val="center"/>
          </w:tcPr>
          <w:p w14:paraId="1F8C1F5A">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情况</w:t>
            </w:r>
          </w:p>
        </w:tc>
        <w:tc>
          <w:tcPr>
            <w:tcW w:w="5889" w:type="dxa"/>
            <w:noWrap w:val="0"/>
            <w:vAlign w:val="center"/>
          </w:tcPr>
          <w:p w14:paraId="3297BB20">
            <w:pPr>
              <w:pStyle w:val="331"/>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right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投标人</w:t>
            </w:r>
            <w:r>
              <w:rPr>
                <w:rFonts w:hint="eastAsia" w:hAnsi="宋体" w:cs="宋体"/>
                <w:b w:val="0"/>
                <w:bCs/>
                <w:color w:val="auto"/>
                <w:kern w:val="2"/>
                <w:sz w:val="21"/>
                <w:szCs w:val="21"/>
                <w:highlight w:val="none"/>
                <w:lang w:val="en-US" w:eastAsia="zh-CN"/>
              </w:rPr>
              <w:t>认证情况：</w:t>
            </w:r>
            <w:r>
              <w:rPr>
                <w:rFonts w:hint="eastAsia" w:ascii="宋体" w:hAnsi="宋体" w:eastAsia="宋体" w:cs="宋体"/>
                <w:b w:val="0"/>
                <w:bCs/>
                <w:color w:val="auto"/>
                <w:kern w:val="2"/>
                <w:sz w:val="21"/>
                <w:szCs w:val="21"/>
                <w:highlight w:val="none"/>
                <w:lang w:val="en-US" w:eastAsia="zh-CN"/>
              </w:rPr>
              <w:t>具有质量管理体系认证证书、环境管理体系认证证书、职业健康安全体系认证证书。每个证书得1分，最高得3分。</w:t>
            </w:r>
          </w:p>
          <w:p w14:paraId="465539F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hAnsi="宋体" w:cs="宋体"/>
                <w:b w:val="0"/>
                <w:bCs/>
                <w:color w:val="auto"/>
                <w:kern w:val="2"/>
                <w:sz w:val="21"/>
                <w:szCs w:val="21"/>
                <w:highlight w:val="none"/>
                <w:lang w:val="en-US" w:eastAsia="zh-CN" w:bidi="ar-SA"/>
              </w:rPr>
              <w:t>注</w:t>
            </w:r>
            <w:r>
              <w:rPr>
                <w:rFonts w:hint="eastAsia" w:ascii="宋体" w:hAnsi="宋体" w:eastAsia="宋体" w:cs="宋体"/>
                <w:b w:val="0"/>
                <w:bCs/>
                <w:color w:val="auto"/>
                <w:kern w:val="2"/>
                <w:sz w:val="21"/>
                <w:szCs w:val="21"/>
                <w:highlight w:val="none"/>
                <w:lang w:val="en-US" w:eastAsia="zh-CN" w:bidi="ar-SA"/>
              </w:rPr>
              <w:t>：提供全国认证认可信息公共服务平台网站查询截图及有效认证证书扫描件加盖投标人公章或电子签章，不提供或提供资料不齐的不得分。</w:t>
            </w:r>
          </w:p>
        </w:tc>
        <w:tc>
          <w:tcPr>
            <w:tcW w:w="804" w:type="dxa"/>
            <w:noWrap w:val="0"/>
            <w:vAlign w:val="center"/>
          </w:tcPr>
          <w:p w14:paraId="37954A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tc>
        <w:tc>
          <w:tcPr>
            <w:tcW w:w="846" w:type="dxa"/>
            <w:noWrap w:val="0"/>
            <w:vAlign w:val="center"/>
          </w:tcPr>
          <w:p w14:paraId="04E5C46B">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2929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93" w:type="dxa"/>
            <w:vMerge w:val="continue"/>
            <w:noWrap w:val="0"/>
            <w:vAlign w:val="center"/>
          </w:tcPr>
          <w:p w14:paraId="0FA84196">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color w:val="auto"/>
                <w:szCs w:val="21"/>
                <w:highlight w:val="none"/>
              </w:rPr>
            </w:pPr>
          </w:p>
        </w:tc>
        <w:tc>
          <w:tcPr>
            <w:tcW w:w="1378" w:type="dxa"/>
            <w:vMerge w:val="continue"/>
            <w:noWrap w:val="0"/>
            <w:vAlign w:val="center"/>
          </w:tcPr>
          <w:p w14:paraId="374A59D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rPr>
            </w:pPr>
          </w:p>
        </w:tc>
        <w:tc>
          <w:tcPr>
            <w:tcW w:w="5889" w:type="dxa"/>
            <w:noWrap w:val="0"/>
            <w:vAlign w:val="center"/>
          </w:tcPr>
          <w:p w14:paraId="68103B88">
            <w:pPr>
              <w:pStyle w:val="331"/>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right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w:t>
            </w:r>
            <w:r>
              <w:rPr>
                <w:rFonts w:hint="eastAsia" w:hAnsi="宋体" w:cs="宋体"/>
                <w:b w:val="0"/>
                <w:bCs/>
                <w:color w:val="auto"/>
                <w:kern w:val="2"/>
                <w:sz w:val="21"/>
                <w:szCs w:val="21"/>
                <w:highlight w:val="none"/>
                <w:lang w:val="en-US" w:eastAsia="zh-CN" w:bidi="ar-SA"/>
              </w:rPr>
              <w:t>获得过市场监督管理局颁发的</w:t>
            </w:r>
            <w:r>
              <w:rPr>
                <w:rFonts w:hint="eastAsia" w:ascii="宋体" w:hAnsi="宋体" w:eastAsia="宋体" w:cs="宋体"/>
                <w:b/>
                <w:bCs w:val="0"/>
                <w:color w:val="auto"/>
                <w:kern w:val="2"/>
                <w:sz w:val="21"/>
                <w:szCs w:val="21"/>
                <w:highlight w:val="none"/>
                <w:lang w:val="en-US" w:eastAsia="zh-CN" w:bidi="ar-SA"/>
              </w:rPr>
              <w:t>CMA</w:t>
            </w:r>
            <w:r>
              <w:rPr>
                <w:rFonts w:hint="eastAsia" w:hAnsi="宋体" w:cs="宋体"/>
                <w:b w:val="0"/>
                <w:bCs/>
                <w:color w:val="auto"/>
                <w:kern w:val="2"/>
                <w:sz w:val="21"/>
                <w:szCs w:val="21"/>
                <w:highlight w:val="none"/>
                <w:lang w:val="en-US" w:eastAsia="zh-CN" w:bidi="ar-SA"/>
              </w:rPr>
              <w:t>检验检测机构资质认定证书</w:t>
            </w:r>
            <w:r>
              <w:rPr>
                <w:rFonts w:hint="eastAsia" w:ascii="宋体" w:hAnsi="宋体" w:eastAsia="宋体" w:cs="宋体"/>
                <w:b w:val="0"/>
                <w:bCs/>
                <w:color w:val="auto"/>
                <w:kern w:val="2"/>
                <w:sz w:val="21"/>
                <w:szCs w:val="21"/>
                <w:highlight w:val="none"/>
                <w:lang w:val="en-US" w:eastAsia="zh-CN" w:bidi="ar-SA"/>
              </w:rPr>
              <w:t>的得3分。</w:t>
            </w:r>
          </w:p>
          <w:p w14:paraId="0B1FE2DF">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hAnsi="宋体" w:cs="宋体"/>
                <w:b/>
                <w:bCs w:val="0"/>
                <w:color w:val="auto"/>
                <w:kern w:val="2"/>
                <w:sz w:val="21"/>
                <w:szCs w:val="21"/>
                <w:highlight w:val="none"/>
                <w:lang w:val="en-US" w:eastAsia="zh-CN" w:bidi="ar-SA"/>
              </w:rPr>
            </w:pPr>
            <w:r>
              <w:rPr>
                <w:rFonts w:hint="eastAsia" w:hAnsi="宋体" w:cs="宋体"/>
                <w:b/>
                <w:bCs w:val="0"/>
                <w:color w:val="auto"/>
                <w:kern w:val="2"/>
                <w:sz w:val="21"/>
                <w:szCs w:val="21"/>
                <w:highlight w:val="none"/>
                <w:lang w:val="en-US" w:eastAsia="zh-CN" w:bidi="ar-SA"/>
              </w:rPr>
              <w:t>注</w:t>
            </w:r>
            <w:r>
              <w:rPr>
                <w:rFonts w:hint="eastAsia" w:ascii="宋体" w:hAnsi="宋体" w:eastAsia="宋体" w:cs="宋体"/>
                <w:b/>
                <w:bCs w:val="0"/>
                <w:color w:val="auto"/>
                <w:kern w:val="2"/>
                <w:sz w:val="21"/>
                <w:szCs w:val="21"/>
                <w:highlight w:val="none"/>
                <w:lang w:val="en-US" w:eastAsia="zh-CN" w:bidi="ar-SA"/>
              </w:rPr>
              <w:t>：提供相关证书</w:t>
            </w:r>
            <w:r>
              <w:rPr>
                <w:rFonts w:hint="eastAsia" w:ascii="宋体" w:hAnsi="宋体" w:eastAsia="宋体" w:cs="宋体"/>
                <w:b/>
                <w:bCs/>
                <w:color w:val="auto"/>
                <w:kern w:val="2"/>
                <w:sz w:val="21"/>
                <w:szCs w:val="21"/>
                <w:highlight w:val="none"/>
              </w:rPr>
              <w:t>扫描件加盖投标人公章或电子签章</w:t>
            </w:r>
            <w:r>
              <w:rPr>
                <w:rFonts w:hint="eastAsia" w:ascii="宋体" w:hAnsi="宋体" w:eastAsia="宋体" w:cs="宋体"/>
                <w:b/>
                <w:bCs w:val="0"/>
                <w:color w:val="auto"/>
                <w:kern w:val="2"/>
                <w:sz w:val="21"/>
                <w:szCs w:val="21"/>
                <w:highlight w:val="none"/>
                <w:lang w:val="en-US" w:eastAsia="zh-CN" w:bidi="ar-SA"/>
              </w:rPr>
              <w:t>。</w:t>
            </w:r>
          </w:p>
        </w:tc>
        <w:tc>
          <w:tcPr>
            <w:tcW w:w="804" w:type="dxa"/>
            <w:shd w:val="clear" w:color="auto" w:fill="auto"/>
            <w:noWrap w:val="0"/>
            <w:vAlign w:val="center"/>
          </w:tcPr>
          <w:p w14:paraId="0C7ACE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0-3分</w:t>
            </w:r>
          </w:p>
        </w:tc>
        <w:tc>
          <w:tcPr>
            <w:tcW w:w="846" w:type="dxa"/>
            <w:shd w:val="clear" w:color="auto" w:fill="auto"/>
            <w:noWrap w:val="0"/>
            <w:vAlign w:val="center"/>
          </w:tcPr>
          <w:p w14:paraId="3C171652">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7B2A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32C3C692">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Cs w:val="21"/>
                <w:highlight w:val="none"/>
                <w:lang w:val="en-US" w:eastAsia="zh-CN"/>
              </w:rPr>
              <w:t>2</w:t>
            </w:r>
          </w:p>
        </w:tc>
        <w:tc>
          <w:tcPr>
            <w:tcW w:w="1378" w:type="dxa"/>
            <w:noWrap w:val="0"/>
            <w:vAlign w:val="center"/>
          </w:tcPr>
          <w:p w14:paraId="37DF5642">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hAnsi="宋体" w:cs="宋体"/>
                <w:color w:val="auto"/>
                <w:kern w:val="2"/>
                <w:sz w:val="21"/>
                <w:szCs w:val="21"/>
                <w:highlight w:val="none"/>
                <w:lang w:val="en-US" w:eastAsia="zh-CN"/>
              </w:rPr>
              <w:t>投标人</w:t>
            </w:r>
            <w:r>
              <w:rPr>
                <w:rFonts w:hint="eastAsia" w:ascii="宋体" w:hAnsi="宋体" w:eastAsia="宋体" w:cs="宋体"/>
                <w:b w:val="0"/>
                <w:bCs/>
                <w:color w:val="auto"/>
                <w:kern w:val="2"/>
                <w:sz w:val="21"/>
                <w:szCs w:val="21"/>
                <w:highlight w:val="none"/>
                <w:lang w:val="en-US" w:eastAsia="zh-CN"/>
              </w:rPr>
              <w:t>自2021年1月1日</w:t>
            </w:r>
            <w:r>
              <w:rPr>
                <w:rFonts w:hint="eastAsia" w:ascii="宋体" w:hAnsi="宋体" w:eastAsia="宋体" w:cs="宋体"/>
                <w:color w:val="auto"/>
                <w:kern w:val="2"/>
                <w:sz w:val="21"/>
                <w:szCs w:val="21"/>
                <w:highlight w:val="none"/>
              </w:rPr>
              <w:t>业绩</w:t>
            </w:r>
          </w:p>
        </w:tc>
        <w:tc>
          <w:tcPr>
            <w:tcW w:w="5889" w:type="dxa"/>
            <w:noWrap w:val="0"/>
            <w:vAlign w:val="center"/>
          </w:tcPr>
          <w:p w14:paraId="12B6DCCB">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投标人自2021年1月1日（时间以合同签订时间为准）至今，承担过水质检测项目的，每</w:t>
            </w:r>
            <w:r>
              <w:rPr>
                <w:rFonts w:hint="eastAsia" w:hAnsi="宋体" w:cs="宋体"/>
                <w:b w:val="0"/>
                <w:bCs/>
                <w:color w:val="auto"/>
                <w:kern w:val="2"/>
                <w:sz w:val="21"/>
                <w:szCs w:val="21"/>
                <w:highlight w:val="none"/>
                <w:lang w:val="en-US" w:eastAsia="zh-CN"/>
              </w:rPr>
              <w:t>提供</w:t>
            </w:r>
            <w:r>
              <w:rPr>
                <w:rFonts w:hint="eastAsia" w:ascii="宋体" w:hAnsi="宋体" w:eastAsia="宋体" w:cs="宋体"/>
                <w:b w:val="0"/>
                <w:bCs/>
                <w:color w:val="auto"/>
                <w:kern w:val="2"/>
                <w:sz w:val="21"/>
                <w:szCs w:val="21"/>
                <w:highlight w:val="none"/>
                <w:lang w:val="en-US" w:eastAsia="zh-CN"/>
              </w:rPr>
              <w:t>1个得1分，最高得2分</w:t>
            </w:r>
            <w:r>
              <w:rPr>
                <w:rFonts w:hint="eastAsia" w:hAnsi="宋体" w:cs="宋体"/>
                <w:b w:val="0"/>
                <w:bCs/>
                <w:color w:val="auto"/>
                <w:kern w:val="2"/>
                <w:sz w:val="21"/>
                <w:szCs w:val="21"/>
                <w:highlight w:val="none"/>
                <w:lang w:val="en-US" w:eastAsia="zh-CN"/>
              </w:rPr>
              <w:t>。</w:t>
            </w:r>
          </w:p>
          <w:p w14:paraId="2E464E43">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color w:val="auto"/>
                <w:kern w:val="2"/>
                <w:sz w:val="21"/>
                <w:szCs w:val="21"/>
                <w:highlight w:val="none"/>
                <w:lang w:val="en-US" w:eastAsia="zh-CN"/>
              </w:rPr>
            </w:pPr>
            <w:r>
              <w:rPr>
                <w:rFonts w:hint="eastAsia" w:hAnsi="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lang w:val="en-US" w:eastAsia="zh-CN"/>
              </w:rPr>
              <w:t>投标文件中提供合同扫描件加盖公章；</w:t>
            </w:r>
            <w:r>
              <w:rPr>
                <w:rFonts w:hint="eastAsia" w:ascii="宋体" w:hAnsi="宋体" w:eastAsia="宋体" w:cs="宋体"/>
                <w:b w:val="0"/>
                <w:bCs/>
                <w:color w:val="auto"/>
                <w:kern w:val="2"/>
                <w:sz w:val="21"/>
                <w:szCs w:val="21"/>
                <w:highlight w:val="none"/>
                <w:lang w:val="en-US" w:eastAsia="zh-CN"/>
              </w:rPr>
              <w:t>合同中如无法体现该合同包含水质检测内容的，需提供业主证明材料加盖公章；未提供上述资料的不得分，同一个项目不同服务年份的多个合同仅计算一次。</w:t>
            </w:r>
          </w:p>
        </w:tc>
        <w:tc>
          <w:tcPr>
            <w:tcW w:w="804" w:type="dxa"/>
            <w:noWrap w:val="0"/>
            <w:vAlign w:val="center"/>
          </w:tcPr>
          <w:p w14:paraId="001B0C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0-2分</w:t>
            </w:r>
          </w:p>
        </w:tc>
        <w:tc>
          <w:tcPr>
            <w:tcW w:w="846" w:type="dxa"/>
            <w:noWrap w:val="0"/>
            <w:vAlign w:val="center"/>
          </w:tcPr>
          <w:p w14:paraId="290C1A49">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1820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593" w:type="dxa"/>
            <w:noWrap w:val="0"/>
            <w:vAlign w:val="center"/>
          </w:tcPr>
          <w:p w14:paraId="4C47A037">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78" w:type="dxa"/>
            <w:shd w:val="clear" w:color="auto" w:fill="auto"/>
            <w:noWrap w:val="0"/>
            <w:vAlign w:val="center"/>
          </w:tcPr>
          <w:p w14:paraId="2EE1EDAE">
            <w:pPr>
              <w:pStyle w:val="331"/>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项目负责人</w:t>
            </w:r>
          </w:p>
        </w:tc>
        <w:tc>
          <w:tcPr>
            <w:tcW w:w="5889" w:type="dxa"/>
            <w:shd w:val="clear" w:color="auto" w:fill="auto"/>
            <w:noWrap w:val="0"/>
            <w:vAlign w:val="center"/>
          </w:tcPr>
          <w:p w14:paraId="334F01D2">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拟派本项目项目负责人具备具有</w:t>
            </w:r>
            <w:r>
              <w:rPr>
                <w:rFonts w:hint="eastAsia" w:ascii="宋体" w:hAnsi="宋体" w:eastAsia="宋体" w:cs="宋体"/>
                <w:color w:val="auto"/>
                <w:kern w:val="2"/>
                <w:sz w:val="21"/>
                <w:szCs w:val="21"/>
                <w:highlight w:val="none"/>
                <w:lang w:val="en-US" w:eastAsia="zh-CN"/>
              </w:rPr>
              <w:t>环境</w:t>
            </w:r>
            <w:r>
              <w:rPr>
                <w:rFonts w:hint="eastAsia" w:hAnsi="宋体" w:cs="宋体"/>
                <w:color w:val="auto"/>
                <w:kern w:val="2"/>
                <w:sz w:val="21"/>
                <w:szCs w:val="21"/>
                <w:highlight w:val="none"/>
                <w:lang w:val="en-US" w:eastAsia="zh-CN"/>
              </w:rPr>
              <w:t>监测</w:t>
            </w:r>
            <w:r>
              <w:rPr>
                <w:rFonts w:hint="eastAsia" w:ascii="宋体" w:hAnsi="宋体" w:eastAsia="宋体" w:cs="宋体"/>
                <w:color w:val="auto"/>
                <w:kern w:val="2"/>
                <w:sz w:val="21"/>
                <w:szCs w:val="21"/>
                <w:highlight w:val="none"/>
              </w:rPr>
              <w:t>类或化工（学）</w:t>
            </w:r>
            <w:r>
              <w:rPr>
                <w:rFonts w:hint="eastAsia" w:hAnsi="宋体" w:cs="宋体"/>
                <w:color w:val="auto"/>
                <w:kern w:val="2"/>
                <w:sz w:val="21"/>
                <w:szCs w:val="21"/>
                <w:highlight w:val="none"/>
                <w:lang w:val="en-US" w:eastAsia="zh-CN"/>
              </w:rPr>
              <w:t>类等</w:t>
            </w:r>
            <w:r>
              <w:rPr>
                <w:rFonts w:hint="eastAsia" w:ascii="宋体" w:hAnsi="宋体" w:eastAsia="宋体" w:cs="宋体"/>
                <w:color w:val="auto"/>
                <w:kern w:val="2"/>
                <w:sz w:val="21"/>
                <w:szCs w:val="21"/>
                <w:highlight w:val="none"/>
              </w:rPr>
              <w:t>相关专业</w:t>
            </w:r>
            <w:r>
              <w:rPr>
                <w:rFonts w:hint="eastAsia" w:hAnsi="宋体" w:cs="宋体"/>
                <w:color w:val="auto"/>
                <w:kern w:val="2"/>
                <w:sz w:val="21"/>
                <w:szCs w:val="21"/>
                <w:highlight w:val="none"/>
                <w:lang w:val="en-US" w:eastAsia="zh-CN"/>
              </w:rPr>
              <w:t>中级</w:t>
            </w:r>
            <w:r>
              <w:rPr>
                <w:rFonts w:hint="eastAsia" w:ascii="宋体" w:hAnsi="宋体" w:eastAsia="宋体" w:cs="宋体"/>
                <w:color w:val="auto"/>
                <w:kern w:val="2"/>
                <w:sz w:val="21"/>
                <w:szCs w:val="21"/>
                <w:highlight w:val="none"/>
              </w:rPr>
              <w:t>工程师</w:t>
            </w:r>
            <w:r>
              <w:rPr>
                <w:rFonts w:hint="eastAsia" w:hAnsi="宋体" w:cs="宋体"/>
                <w:color w:val="auto"/>
                <w:kern w:val="2"/>
                <w:sz w:val="21"/>
                <w:szCs w:val="21"/>
                <w:highlight w:val="none"/>
                <w:lang w:val="en-US" w:eastAsia="zh-CN"/>
              </w:rPr>
              <w:t>职称</w:t>
            </w:r>
            <w:r>
              <w:rPr>
                <w:rFonts w:hint="eastAsia" w:ascii="宋体" w:hAnsi="宋体" w:eastAsia="宋体" w:cs="宋体"/>
                <w:color w:val="auto"/>
                <w:kern w:val="2"/>
                <w:sz w:val="21"/>
                <w:szCs w:val="21"/>
                <w:highlight w:val="none"/>
              </w:rPr>
              <w:t>得</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分，高级工程师及以上</w:t>
            </w:r>
            <w:r>
              <w:rPr>
                <w:rFonts w:hint="eastAsia" w:hAnsi="宋体" w:cs="宋体"/>
                <w:color w:val="auto"/>
                <w:kern w:val="2"/>
                <w:sz w:val="21"/>
                <w:szCs w:val="21"/>
                <w:highlight w:val="none"/>
                <w:lang w:val="en-US" w:eastAsia="zh-CN"/>
              </w:rPr>
              <w:t>职称</w:t>
            </w:r>
            <w:r>
              <w:rPr>
                <w:rFonts w:hint="eastAsia" w:ascii="宋体" w:hAnsi="宋体" w:eastAsia="宋体" w:cs="宋体"/>
                <w:color w:val="auto"/>
                <w:kern w:val="2"/>
                <w:sz w:val="21"/>
                <w:szCs w:val="21"/>
                <w:highlight w:val="none"/>
              </w:rPr>
              <w:t>得</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r>
              <w:rPr>
                <w:rFonts w:hint="eastAsia" w:ascii="宋体" w:hAnsi="宋体" w:eastAsia="宋体" w:cs="宋体"/>
                <w:b/>
                <w:bCs/>
                <w:color w:val="auto"/>
                <w:kern w:val="2"/>
                <w:sz w:val="21"/>
                <w:szCs w:val="21"/>
                <w:highlight w:val="none"/>
              </w:rPr>
              <w:t>本项最高得</w:t>
            </w:r>
            <w:r>
              <w:rPr>
                <w:rFonts w:hint="eastAsia"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分</w:t>
            </w:r>
            <w:r>
              <w:rPr>
                <w:rFonts w:hint="eastAsia" w:ascii="宋体" w:hAnsi="宋体" w:eastAsia="宋体" w:cs="宋体"/>
                <w:color w:val="auto"/>
                <w:kern w:val="2"/>
                <w:sz w:val="21"/>
                <w:szCs w:val="21"/>
                <w:highlight w:val="none"/>
              </w:rPr>
              <w:t>。</w:t>
            </w:r>
          </w:p>
          <w:p w14:paraId="5A672D28">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注：提供证书扫描件及近三个月内</w:t>
            </w:r>
            <w:r>
              <w:rPr>
                <w:rFonts w:hint="eastAsia" w:hAnsi="宋体" w:cs="宋体"/>
                <w:color w:val="auto"/>
                <w:kern w:val="2"/>
                <w:sz w:val="21"/>
                <w:szCs w:val="21"/>
                <w:highlight w:val="none"/>
                <w:lang w:val="en-US" w:eastAsia="zh-CN"/>
              </w:rPr>
              <w:t>任意一个月</w:t>
            </w:r>
            <w:r>
              <w:rPr>
                <w:rFonts w:hint="eastAsia" w:ascii="宋体" w:hAnsi="宋体" w:eastAsia="宋体" w:cs="宋体"/>
                <w:color w:val="auto"/>
                <w:kern w:val="2"/>
                <w:sz w:val="21"/>
                <w:szCs w:val="21"/>
                <w:highlight w:val="none"/>
              </w:rPr>
              <w:t>的社保证明加盖投标人公章或电子签章，不符合不得分。</w:t>
            </w:r>
          </w:p>
        </w:tc>
        <w:tc>
          <w:tcPr>
            <w:tcW w:w="804" w:type="dxa"/>
            <w:shd w:val="clear" w:color="auto" w:fill="auto"/>
            <w:noWrap w:val="0"/>
            <w:vAlign w:val="center"/>
          </w:tcPr>
          <w:p w14:paraId="013A51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righ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p>
        </w:tc>
        <w:tc>
          <w:tcPr>
            <w:tcW w:w="846" w:type="dxa"/>
            <w:shd w:val="clear" w:color="auto" w:fill="auto"/>
            <w:noWrap w:val="0"/>
            <w:vAlign w:val="center"/>
          </w:tcPr>
          <w:p w14:paraId="0EA51D12">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05D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93" w:type="dxa"/>
            <w:vMerge w:val="restart"/>
            <w:noWrap w:val="0"/>
            <w:vAlign w:val="center"/>
          </w:tcPr>
          <w:p w14:paraId="17F8B8DF">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78" w:type="dxa"/>
            <w:vMerge w:val="restart"/>
            <w:shd w:val="clear" w:color="auto" w:fill="auto"/>
            <w:noWrap w:val="0"/>
            <w:vAlign w:val="center"/>
          </w:tcPr>
          <w:p w14:paraId="526C780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项目组成员配置情况</w:t>
            </w:r>
            <w:r>
              <w:rPr>
                <w:rFonts w:hint="eastAsia" w:ascii="宋体" w:hAnsi="宋体" w:eastAsia="宋体" w:cs="宋体"/>
                <w:b w:val="0"/>
                <w:bCs w:val="0"/>
                <w:color w:val="auto"/>
                <w:kern w:val="2"/>
                <w:sz w:val="21"/>
                <w:szCs w:val="21"/>
                <w:highlight w:val="none"/>
                <w:lang w:val="en-US" w:eastAsia="zh-CN"/>
              </w:rPr>
              <w:t>（除项目负责人外）</w:t>
            </w:r>
          </w:p>
        </w:tc>
        <w:tc>
          <w:tcPr>
            <w:tcW w:w="5889" w:type="dxa"/>
            <w:shd w:val="clear" w:color="auto" w:fill="auto"/>
            <w:noWrap w:val="0"/>
            <w:vAlign w:val="center"/>
          </w:tcPr>
          <w:p w14:paraId="2371D3C4">
            <w:pPr>
              <w:pStyle w:val="331"/>
              <w:keepNext w:val="0"/>
              <w:keepLines w:val="0"/>
              <w:pageBreakBefore w:val="0"/>
              <w:numPr>
                <w:ilvl w:val="0"/>
                <w:numId w:val="18"/>
              </w:numPr>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hAnsi="宋体" w:cs="宋体"/>
                <w:b w:val="0"/>
                <w:bCs w:val="0"/>
                <w:color w:val="auto"/>
                <w:kern w:val="2"/>
                <w:sz w:val="21"/>
                <w:szCs w:val="21"/>
                <w:highlight w:val="none"/>
                <w:lang w:val="en-US" w:eastAsia="zh-CN"/>
              </w:rPr>
              <w:t>拟投入本项目的人员</w:t>
            </w:r>
            <w:r>
              <w:rPr>
                <w:rFonts w:hint="eastAsia" w:ascii="宋体" w:hAnsi="宋体" w:eastAsia="宋体" w:cs="宋体"/>
                <w:b w:val="0"/>
                <w:bCs w:val="0"/>
                <w:color w:val="auto"/>
                <w:kern w:val="2"/>
                <w:sz w:val="21"/>
                <w:szCs w:val="21"/>
                <w:highlight w:val="none"/>
                <w:lang w:val="en-US" w:eastAsia="zh-CN"/>
              </w:rPr>
              <w:t>岗位配备合理</w:t>
            </w:r>
            <w:r>
              <w:rPr>
                <w:rFonts w:hint="eastAsia"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采样、样品保存、样品检测、报告编制、报告发放等</w:t>
            </w:r>
            <w:r>
              <w:rPr>
                <w:rFonts w:hint="eastAsia" w:hAnsi="宋体" w:cs="宋体"/>
                <w:b w:val="0"/>
                <w:bCs w:val="0"/>
                <w:color w:val="auto"/>
                <w:kern w:val="2"/>
                <w:sz w:val="21"/>
                <w:szCs w:val="21"/>
                <w:highlight w:val="none"/>
                <w:lang w:val="en-US" w:eastAsia="zh-CN"/>
              </w:rPr>
              <w:t>）、配备数量充足、专业技术能力，</w:t>
            </w:r>
            <w:r>
              <w:rPr>
                <w:rFonts w:hint="eastAsia" w:ascii="宋体" w:hAnsi="宋体" w:eastAsia="宋体" w:cs="宋体"/>
                <w:b w:val="0"/>
                <w:bCs w:val="0"/>
                <w:color w:val="auto"/>
                <w:kern w:val="2"/>
                <w:sz w:val="21"/>
                <w:szCs w:val="21"/>
                <w:highlight w:val="none"/>
                <w:lang w:val="en-US" w:eastAsia="zh-CN"/>
              </w:rPr>
              <w:t>进行综合评分。【评分范围：5,4,3,2，1,0】</w:t>
            </w:r>
          </w:p>
        </w:tc>
        <w:tc>
          <w:tcPr>
            <w:tcW w:w="804" w:type="dxa"/>
            <w:shd w:val="clear" w:color="auto" w:fill="auto"/>
            <w:noWrap w:val="0"/>
            <w:vAlign w:val="center"/>
          </w:tcPr>
          <w:p w14:paraId="5BB90752">
            <w:pPr>
              <w:keepNext w:val="0"/>
              <w:keepLines w:val="0"/>
              <w:pageBreakBefore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43E8BF7C">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0561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593" w:type="dxa"/>
            <w:vMerge w:val="continue"/>
            <w:noWrap w:val="0"/>
            <w:vAlign w:val="center"/>
          </w:tcPr>
          <w:p w14:paraId="11618313">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eastAsia" w:ascii="宋体" w:hAnsi="宋体" w:cs="宋体"/>
                <w:color w:val="auto"/>
                <w:szCs w:val="21"/>
                <w:highlight w:val="none"/>
                <w:lang w:val="en-US" w:eastAsia="zh-CN"/>
              </w:rPr>
            </w:pPr>
          </w:p>
        </w:tc>
        <w:tc>
          <w:tcPr>
            <w:tcW w:w="1378" w:type="dxa"/>
            <w:vMerge w:val="continue"/>
            <w:shd w:val="clear" w:color="auto" w:fill="auto"/>
            <w:noWrap w:val="0"/>
            <w:vAlign w:val="center"/>
          </w:tcPr>
          <w:p w14:paraId="3739B100">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rPr>
            </w:pPr>
          </w:p>
        </w:tc>
        <w:tc>
          <w:tcPr>
            <w:tcW w:w="5889" w:type="dxa"/>
            <w:shd w:val="clear" w:color="auto" w:fill="auto"/>
            <w:noWrap w:val="0"/>
            <w:vAlign w:val="center"/>
          </w:tcPr>
          <w:p w14:paraId="20C6C4C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rPr>
              <w:t>具有</w:t>
            </w:r>
            <w:r>
              <w:rPr>
                <w:rFonts w:hint="eastAsia" w:hAnsi="宋体" w:cs="宋体"/>
                <w:b w:val="0"/>
                <w:bCs w:val="0"/>
                <w:color w:val="auto"/>
                <w:kern w:val="2"/>
                <w:sz w:val="21"/>
                <w:szCs w:val="21"/>
                <w:highlight w:val="none"/>
                <w:lang w:val="en-US" w:eastAsia="zh-CN"/>
              </w:rPr>
              <w:t>水质</w:t>
            </w:r>
            <w:r>
              <w:rPr>
                <w:rFonts w:hint="eastAsia" w:ascii="宋体" w:hAnsi="宋体" w:eastAsia="宋体" w:cs="宋体"/>
                <w:b w:val="0"/>
                <w:bCs w:val="0"/>
                <w:color w:val="auto"/>
                <w:kern w:val="2"/>
                <w:sz w:val="21"/>
                <w:szCs w:val="21"/>
                <w:highlight w:val="none"/>
                <w:lang w:val="en-US" w:eastAsia="zh-CN"/>
              </w:rPr>
              <w:t>检验</w:t>
            </w:r>
            <w:r>
              <w:rPr>
                <w:rFonts w:hint="eastAsia" w:hAnsi="宋体" w:cs="宋体"/>
                <w:b w:val="0"/>
                <w:bCs w:val="0"/>
                <w:color w:val="auto"/>
                <w:kern w:val="2"/>
                <w:sz w:val="21"/>
                <w:szCs w:val="21"/>
                <w:highlight w:val="none"/>
                <w:lang w:val="en-US" w:eastAsia="zh-CN"/>
              </w:rPr>
              <w:t>类</w:t>
            </w:r>
            <w:r>
              <w:rPr>
                <w:rFonts w:hint="eastAsia" w:ascii="宋体" w:hAnsi="宋体" w:eastAsia="宋体" w:cs="宋体"/>
                <w:b w:val="0"/>
                <w:bCs w:val="0"/>
                <w:color w:val="auto"/>
                <w:kern w:val="2"/>
                <w:sz w:val="21"/>
                <w:szCs w:val="21"/>
                <w:highlight w:val="none"/>
                <w:lang w:val="en-US" w:eastAsia="zh-CN"/>
              </w:rPr>
              <w:t>（</w:t>
            </w:r>
            <w:r>
              <w:rPr>
                <w:rFonts w:hint="eastAsia" w:hAnsi="宋体" w:cs="宋体"/>
                <w:b w:val="0"/>
                <w:bCs w:val="0"/>
                <w:color w:val="auto"/>
                <w:kern w:val="2"/>
                <w:sz w:val="21"/>
                <w:szCs w:val="21"/>
                <w:highlight w:val="none"/>
                <w:lang w:val="en-US" w:eastAsia="zh-CN"/>
              </w:rPr>
              <w:t>含</w:t>
            </w:r>
            <w:r>
              <w:rPr>
                <w:rFonts w:hint="eastAsia" w:ascii="宋体" w:hAnsi="宋体" w:eastAsia="宋体" w:cs="宋体"/>
                <w:b w:val="0"/>
                <w:bCs w:val="0"/>
                <w:color w:val="auto"/>
                <w:kern w:val="2"/>
                <w:sz w:val="21"/>
                <w:szCs w:val="21"/>
                <w:highlight w:val="none"/>
                <w:lang w:val="en-US" w:eastAsia="zh-CN"/>
              </w:rPr>
              <w:t>监测或检测或分析或化验）的职业技能证书或</w:t>
            </w:r>
            <w:r>
              <w:rPr>
                <w:rFonts w:hint="eastAsia" w:ascii="宋体" w:hAnsi="宋体" w:cs="宋体"/>
                <w:b w:val="0"/>
                <w:bCs w:val="0"/>
                <w:color w:val="auto"/>
                <w:kern w:val="2"/>
                <w:sz w:val="21"/>
                <w:szCs w:val="21"/>
                <w:highlight w:val="none"/>
                <w:lang w:val="en-US" w:eastAsia="zh-CN" w:bidi="ar-SA"/>
              </w:rPr>
              <w:t>市政给排水专业</w:t>
            </w:r>
            <w:r>
              <w:rPr>
                <w:rFonts w:hint="eastAsia" w:hAnsi="宋体" w:cs="宋体"/>
                <w:b w:val="0"/>
                <w:bCs w:val="0"/>
                <w:color w:val="auto"/>
                <w:kern w:val="2"/>
                <w:sz w:val="21"/>
                <w:szCs w:val="21"/>
                <w:highlight w:val="none"/>
                <w:lang w:val="en-US" w:eastAsia="zh-CN"/>
              </w:rPr>
              <w:t>中级及以上</w:t>
            </w:r>
            <w:r>
              <w:rPr>
                <w:rFonts w:hint="eastAsia" w:ascii="宋体" w:hAnsi="宋体" w:eastAsia="宋体" w:cs="宋体"/>
                <w:b w:val="0"/>
                <w:bCs w:val="0"/>
                <w:color w:val="auto"/>
                <w:kern w:val="2"/>
                <w:sz w:val="21"/>
                <w:szCs w:val="21"/>
                <w:highlight w:val="none"/>
                <w:lang w:val="en-US" w:eastAsia="zh-CN"/>
              </w:rPr>
              <w:t>职称</w:t>
            </w:r>
            <w:r>
              <w:rPr>
                <w:rFonts w:hint="eastAsia" w:hAnsi="宋体" w:cs="宋体"/>
                <w:b w:val="0"/>
                <w:bCs w:val="0"/>
                <w:color w:val="auto"/>
                <w:kern w:val="2"/>
                <w:sz w:val="21"/>
                <w:szCs w:val="21"/>
                <w:highlight w:val="none"/>
                <w:lang w:val="en-US" w:eastAsia="zh-CN"/>
              </w:rPr>
              <w:t>证书</w:t>
            </w:r>
            <w:r>
              <w:rPr>
                <w:rFonts w:hint="eastAsia" w:hAnsi="宋体" w:cs="宋体"/>
                <w:b w:val="0"/>
                <w:bCs w:val="0"/>
                <w:color w:val="auto"/>
                <w:kern w:val="2"/>
                <w:sz w:val="21"/>
                <w:szCs w:val="21"/>
                <w:highlight w:val="none"/>
                <w:lang w:val="en-US" w:eastAsia="zh-CN" w:bidi="ar-SA"/>
              </w:rPr>
              <w:t>或</w:t>
            </w:r>
            <w:r>
              <w:rPr>
                <w:rFonts w:hint="eastAsia" w:hAnsi="宋体" w:cs="宋体"/>
                <w:b w:val="0"/>
                <w:bCs w:val="0"/>
                <w:color w:val="auto"/>
                <w:kern w:val="2"/>
                <w:sz w:val="21"/>
                <w:szCs w:val="21"/>
                <w:highlight w:val="none"/>
                <w:lang w:val="en-US" w:eastAsia="zh-CN"/>
              </w:rPr>
              <w:t>水质</w:t>
            </w:r>
            <w:r>
              <w:rPr>
                <w:rFonts w:hint="eastAsia" w:ascii="宋体" w:hAnsi="宋体" w:eastAsia="宋体" w:cs="宋体"/>
                <w:b w:val="0"/>
                <w:bCs w:val="0"/>
                <w:color w:val="auto"/>
                <w:kern w:val="2"/>
                <w:sz w:val="21"/>
                <w:szCs w:val="21"/>
                <w:highlight w:val="none"/>
                <w:lang w:val="en-US" w:eastAsia="zh-CN"/>
              </w:rPr>
              <w:t>检验</w:t>
            </w:r>
            <w:r>
              <w:rPr>
                <w:rFonts w:hint="eastAsia" w:hAnsi="宋体" w:cs="宋体"/>
                <w:b w:val="0"/>
                <w:bCs w:val="0"/>
                <w:color w:val="auto"/>
                <w:kern w:val="2"/>
                <w:sz w:val="21"/>
                <w:szCs w:val="21"/>
                <w:highlight w:val="none"/>
                <w:lang w:val="en-US" w:eastAsia="zh-CN"/>
              </w:rPr>
              <w:t>类</w:t>
            </w:r>
            <w:r>
              <w:rPr>
                <w:rFonts w:hint="eastAsia" w:ascii="宋体" w:hAnsi="宋体" w:eastAsia="宋体" w:cs="宋体"/>
                <w:b w:val="0"/>
                <w:bCs w:val="0"/>
                <w:color w:val="auto"/>
                <w:kern w:val="2"/>
                <w:sz w:val="21"/>
                <w:szCs w:val="21"/>
                <w:highlight w:val="none"/>
                <w:lang w:val="en-US" w:eastAsia="zh-CN"/>
              </w:rPr>
              <w:t>（</w:t>
            </w:r>
            <w:r>
              <w:rPr>
                <w:rFonts w:hint="eastAsia" w:hAnsi="宋体" w:cs="宋体"/>
                <w:b w:val="0"/>
                <w:bCs w:val="0"/>
                <w:color w:val="auto"/>
                <w:kern w:val="2"/>
                <w:sz w:val="21"/>
                <w:szCs w:val="21"/>
                <w:highlight w:val="none"/>
                <w:lang w:val="en-US" w:eastAsia="zh-CN"/>
              </w:rPr>
              <w:t>含</w:t>
            </w:r>
            <w:r>
              <w:rPr>
                <w:rFonts w:hint="eastAsia" w:ascii="宋体" w:hAnsi="宋体" w:eastAsia="宋体" w:cs="宋体"/>
                <w:b w:val="0"/>
                <w:bCs w:val="0"/>
                <w:color w:val="auto"/>
                <w:kern w:val="2"/>
                <w:sz w:val="21"/>
                <w:szCs w:val="21"/>
                <w:highlight w:val="none"/>
                <w:lang w:val="en-US" w:eastAsia="zh-CN"/>
              </w:rPr>
              <w:t>监测或检测或分析或化验）</w:t>
            </w:r>
            <w:r>
              <w:rPr>
                <w:rFonts w:hint="eastAsia" w:hAnsi="宋体" w:cs="宋体"/>
                <w:b w:val="0"/>
                <w:bCs w:val="0"/>
                <w:color w:val="auto"/>
                <w:kern w:val="2"/>
                <w:sz w:val="21"/>
                <w:szCs w:val="21"/>
                <w:highlight w:val="none"/>
                <w:lang w:val="en-US" w:eastAsia="zh-CN"/>
              </w:rPr>
              <w:t>中级及以上</w:t>
            </w:r>
            <w:r>
              <w:rPr>
                <w:rFonts w:hint="eastAsia" w:ascii="宋体" w:hAnsi="宋体" w:eastAsia="宋体" w:cs="宋体"/>
                <w:b w:val="0"/>
                <w:bCs w:val="0"/>
                <w:color w:val="auto"/>
                <w:kern w:val="2"/>
                <w:sz w:val="21"/>
                <w:szCs w:val="21"/>
                <w:highlight w:val="none"/>
                <w:lang w:val="en-US" w:eastAsia="zh-CN"/>
              </w:rPr>
              <w:t>职称</w:t>
            </w:r>
            <w:r>
              <w:rPr>
                <w:rFonts w:hint="eastAsia" w:hAnsi="宋体" w:cs="宋体"/>
                <w:b w:val="0"/>
                <w:bCs w:val="0"/>
                <w:color w:val="auto"/>
                <w:kern w:val="2"/>
                <w:sz w:val="21"/>
                <w:szCs w:val="21"/>
                <w:highlight w:val="none"/>
                <w:lang w:val="en-US" w:eastAsia="zh-CN"/>
              </w:rPr>
              <w:t>证书</w:t>
            </w:r>
            <w:r>
              <w:rPr>
                <w:rFonts w:hint="eastAsia" w:ascii="宋体" w:hAnsi="宋体" w:eastAsia="宋体" w:cs="宋体"/>
                <w:b w:val="0"/>
                <w:bCs w:val="0"/>
                <w:color w:val="auto"/>
                <w:kern w:val="2"/>
                <w:sz w:val="21"/>
                <w:szCs w:val="21"/>
                <w:highlight w:val="none"/>
                <w:lang w:val="en-US" w:eastAsia="zh-CN"/>
              </w:rPr>
              <w:t>，每提供1人得</w:t>
            </w:r>
            <w:r>
              <w:rPr>
                <w:rFonts w:hint="eastAsia"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rPr>
              <w:t>分（每人最多只得</w:t>
            </w:r>
            <w:r>
              <w:rPr>
                <w:rFonts w:hint="eastAsia"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rPr>
              <w:t>分），本项最高得</w:t>
            </w:r>
            <w:r>
              <w:rPr>
                <w:rFonts w:hint="eastAsia"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p w14:paraId="2664367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注：提供证书扫描件及近三个月内</w:t>
            </w:r>
            <w:r>
              <w:rPr>
                <w:rFonts w:hint="eastAsia" w:ascii="宋体" w:hAnsi="宋体" w:eastAsia="宋体" w:cs="宋体"/>
                <w:b/>
                <w:bCs/>
                <w:color w:val="auto"/>
                <w:kern w:val="2"/>
                <w:sz w:val="21"/>
                <w:szCs w:val="21"/>
                <w:highlight w:val="none"/>
                <w:lang w:val="en-US" w:eastAsia="zh-CN"/>
              </w:rPr>
              <w:t>任意一个月</w:t>
            </w:r>
            <w:r>
              <w:rPr>
                <w:rFonts w:hint="eastAsia" w:ascii="宋体" w:hAnsi="宋体" w:eastAsia="宋体" w:cs="宋体"/>
                <w:b/>
                <w:bCs/>
                <w:color w:val="auto"/>
                <w:kern w:val="2"/>
                <w:sz w:val="21"/>
                <w:szCs w:val="21"/>
                <w:highlight w:val="none"/>
              </w:rPr>
              <w:t>的社保证明加盖投标人公章或电子签章，不符合不得分。</w:t>
            </w:r>
          </w:p>
        </w:tc>
        <w:tc>
          <w:tcPr>
            <w:tcW w:w="804" w:type="dxa"/>
            <w:shd w:val="clear" w:color="auto" w:fill="auto"/>
            <w:noWrap w:val="0"/>
            <w:vAlign w:val="center"/>
          </w:tcPr>
          <w:p w14:paraId="2CCDF984">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6CF85BB3">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22A2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60C6724A">
            <w:pPr>
              <w:keepNext w:val="0"/>
              <w:keepLines w:val="0"/>
              <w:pageBreakBefore w:val="0"/>
              <w:suppressLineNumbers w:val="0"/>
              <w:kinsoku/>
              <w:wordWrap/>
              <w:overflowPunct/>
              <w:topLinePunct w:val="0"/>
              <w:bidi w:val="0"/>
              <w:spacing w:before="0" w:beforeAutospacing="0" w:after="0" w:afterAutospacing="0" w:line="312" w:lineRule="auto"/>
              <w:ind w:left="0" w:right="3" w:right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378" w:type="dxa"/>
            <w:shd w:val="clear" w:color="auto" w:fill="auto"/>
            <w:noWrap w:val="0"/>
            <w:vAlign w:val="center"/>
          </w:tcPr>
          <w:p w14:paraId="6C258124">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检测设备、材料配置情况</w:t>
            </w:r>
          </w:p>
        </w:tc>
        <w:tc>
          <w:tcPr>
            <w:tcW w:w="5889" w:type="dxa"/>
            <w:shd w:val="clear" w:color="auto" w:fill="auto"/>
            <w:noWrap w:val="0"/>
            <w:vAlign w:val="center"/>
          </w:tcPr>
          <w:p w14:paraId="12DB19A7">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根据投标人拟投入本项目的主要检测设备（</w:t>
            </w:r>
            <w:r>
              <w:rPr>
                <w:rFonts w:hint="eastAsia" w:ascii="宋体" w:hAnsi="宋体" w:cs="新宋体"/>
                <w:color w:val="auto"/>
                <w:sz w:val="21"/>
                <w:szCs w:val="21"/>
                <w:highlight w:val="none"/>
                <w:lang w:val="en-US" w:eastAsia="zh-CN"/>
              </w:rPr>
              <w:t>气相色谱仪、原子吸收仪、采样设备等</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新宋体"/>
                <w:color w:val="auto"/>
                <w:sz w:val="21"/>
                <w:szCs w:val="21"/>
                <w:highlight w:val="none"/>
                <w:lang w:val="en-US" w:eastAsia="zh-CN"/>
              </w:rPr>
              <w:t>主要检测试剂、耗材</w:t>
            </w:r>
            <w:r>
              <w:rPr>
                <w:rFonts w:hint="eastAsia" w:ascii="宋体" w:hAnsi="宋体" w:eastAsia="宋体" w:cs="宋体"/>
                <w:b w:val="0"/>
                <w:bCs w:val="0"/>
                <w:color w:val="auto"/>
                <w:kern w:val="2"/>
                <w:sz w:val="21"/>
                <w:szCs w:val="21"/>
                <w:highlight w:val="none"/>
                <w:lang w:val="en-US" w:eastAsia="zh-CN" w:bidi="ar-SA"/>
              </w:rPr>
              <w:t>等的数量、质量及先进性等情况进行综合评分。</w:t>
            </w:r>
            <w:r>
              <w:rPr>
                <w:rFonts w:hint="eastAsia" w:ascii="宋体" w:hAnsi="宋体" w:eastAsia="宋体" w:cs="宋体"/>
                <w:b w:val="0"/>
                <w:bCs w:val="0"/>
                <w:color w:val="auto"/>
                <w:kern w:val="2"/>
                <w:sz w:val="21"/>
                <w:szCs w:val="21"/>
                <w:highlight w:val="none"/>
                <w:lang w:val="en-US" w:eastAsia="zh-CN"/>
              </w:rPr>
              <w:t>【评分范围：5,4,3,2，1,0】</w:t>
            </w:r>
          </w:p>
          <w:p w14:paraId="0B3249E3">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lang w:val="en-US" w:eastAsia="zh-CN"/>
              </w:rPr>
            </w:pPr>
            <w:r>
              <w:rPr>
                <w:rFonts w:hint="eastAsia" w:ascii="宋体" w:hAnsi="宋体" w:eastAsia="宋体" w:cs="宋体"/>
                <w:b w:val="0"/>
                <w:bCs w:val="0"/>
                <w:color w:val="auto"/>
                <w:kern w:val="2"/>
                <w:sz w:val="21"/>
                <w:szCs w:val="21"/>
                <w:highlight w:val="none"/>
                <w:lang w:val="en-US" w:eastAsia="zh-CN" w:bidi="ar-SA"/>
              </w:rPr>
              <w:t>注：须提供检测仪器设备校准或检定等证书扫描件加盖公章。</w:t>
            </w:r>
          </w:p>
        </w:tc>
        <w:tc>
          <w:tcPr>
            <w:tcW w:w="804" w:type="dxa"/>
            <w:shd w:val="clear" w:color="auto" w:fill="auto"/>
            <w:noWrap w:val="0"/>
            <w:vAlign w:val="center"/>
          </w:tcPr>
          <w:p w14:paraId="48D8938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4A8D3AA3">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CE5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156BB343">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6</w:t>
            </w:r>
          </w:p>
        </w:tc>
        <w:tc>
          <w:tcPr>
            <w:tcW w:w="1378" w:type="dxa"/>
            <w:noWrap w:val="0"/>
            <w:vAlign w:val="center"/>
          </w:tcPr>
          <w:p w14:paraId="238438D5">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项目的理解程度</w:t>
            </w:r>
          </w:p>
        </w:tc>
        <w:tc>
          <w:tcPr>
            <w:tcW w:w="5889" w:type="dxa"/>
            <w:noWrap w:val="0"/>
            <w:vAlign w:val="center"/>
          </w:tcPr>
          <w:p w14:paraId="58E2C1D4">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根据投标人对</w:t>
            </w:r>
            <w:r>
              <w:rPr>
                <w:rFonts w:hint="eastAsia" w:ascii="宋体" w:hAnsi="宋体" w:eastAsia="宋体" w:cs="宋体"/>
                <w:b w:val="0"/>
                <w:bCs w:val="0"/>
                <w:color w:val="auto"/>
                <w:kern w:val="2"/>
                <w:sz w:val="21"/>
                <w:szCs w:val="21"/>
                <w:highlight w:val="none"/>
                <w:lang w:val="zh-CN" w:eastAsia="zh-CN" w:bidi="ar-SA"/>
              </w:rPr>
              <w:t>实施区域内</w:t>
            </w:r>
            <w:r>
              <w:rPr>
                <w:rFonts w:hint="eastAsia" w:ascii="宋体" w:hAnsi="宋体" w:eastAsia="宋体" w:cs="宋体"/>
                <w:b w:val="0"/>
                <w:bCs w:val="0"/>
                <w:color w:val="auto"/>
                <w:kern w:val="2"/>
                <w:sz w:val="21"/>
                <w:szCs w:val="21"/>
                <w:highlight w:val="none"/>
                <w:lang w:val="en-US" w:eastAsia="zh-CN" w:bidi="ar-SA"/>
              </w:rPr>
              <w:t>水质现状</w:t>
            </w:r>
            <w:r>
              <w:rPr>
                <w:rFonts w:hint="eastAsia" w:ascii="宋体" w:hAnsi="宋体" w:eastAsia="宋体" w:cs="宋体"/>
                <w:b w:val="0"/>
                <w:bCs w:val="0"/>
                <w:color w:val="auto"/>
                <w:kern w:val="2"/>
                <w:sz w:val="21"/>
                <w:szCs w:val="21"/>
                <w:highlight w:val="none"/>
                <w:lang w:val="zh-CN" w:eastAsia="zh-CN" w:bidi="ar-SA"/>
              </w:rPr>
              <w:t>了解情况</w:t>
            </w:r>
            <w:r>
              <w:rPr>
                <w:rFonts w:hint="eastAsia" w:ascii="宋体" w:hAnsi="宋体" w:eastAsia="宋体" w:cs="宋体"/>
                <w:b w:val="0"/>
                <w:bCs w:val="0"/>
                <w:color w:val="auto"/>
                <w:kern w:val="2"/>
                <w:sz w:val="21"/>
                <w:szCs w:val="21"/>
                <w:highlight w:val="none"/>
                <w:lang w:val="en-US" w:eastAsia="zh-CN" w:bidi="ar-SA"/>
              </w:rPr>
              <w:t>、项目实施的标准、</w:t>
            </w:r>
            <w:r>
              <w:rPr>
                <w:rFonts w:hint="eastAsia" w:ascii="宋体" w:hAnsi="宋体" w:eastAsia="宋体" w:cs="宋体"/>
                <w:b w:val="0"/>
                <w:bCs w:val="0"/>
                <w:color w:val="auto"/>
                <w:kern w:val="2"/>
                <w:sz w:val="21"/>
                <w:szCs w:val="21"/>
                <w:highlight w:val="none"/>
                <w:lang w:val="zh-CN" w:eastAsia="zh-CN" w:bidi="ar-SA"/>
              </w:rPr>
              <w:t>调研情况</w:t>
            </w:r>
            <w:r>
              <w:rPr>
                <w:rFonts w:hint="eastAsia" w:ascii="宋体" w:hAnsi="宋体" w:eastAsia="宋体" w:cs="宋体"/>
                <w:b w:val="0"/>
                <w:bCs w:val="0"/>
                <w:color w:val="auto"/>
                <w:kern w:val="2"/>
                <w:sz w:val="21"/>
                <w:szCs w:val="21"/>
                <w:highlight w:val="none"/>
                <w:lang w:val="en-US" w:eastAsia="zh-CN" w:bidi="ar-SA"/>
              </w:rPr>
              <w:t>进行综合评分。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noWrap w:val="0"/>
            <w:vAlign w:val="center"/>
          </w:tcPr>
          <w:p w14:paraId="23572061">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noWrap w:val="0"/>
            <w:vAlign w:val="center"/>
          </w:tcPr>
          <w:p w14:paraId="05A5F2D9">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1387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75B45BC5">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7</w:t>
            </w:r>
          </w:p>
        </w:tc>
        <w:tc>
          <w:tcPr>
            <w:tcW w:w="1378" w:type="dxa"/>
            <w:noWrap w:val="0"/>
            <w:vAlign w:val="center"/>
          </w:tcPr>
          <w:p w14:paraId="2E633C14">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检测的重点、难点</w:t>
            </w:r>
          </w:p>
        </w:tc>
        <w:tc>
          <w:tcPr>
            <w:tcW w:w="5889" w:type="dxa"/>
            <w:noWrap w:val="0"/>
            <w:vAlign w:val="center"/>
          </w:tcPr>
          <w:p w14:paraId="578712C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宋体"/>
                <w:bCs/>
                <w:color w:val="auto"/>
                <w:sz w:val="21"/>
                <w:highlight w:val="none"/>
                <w:lang w:val="zh-CN" w:eastAsia="zh-CN"/>
              </w:rPr>
              <w:t>针对本项目提供的重难点分析以及解决方案的完整性、可操作性及可扩展性</w:t>
            </w:r>
            <w:r>
              <w:rPr>
                <w:rFonts w:hint="eastAsia" w:ascii="宋体" w:hAnsi="宋体" w:eastAsia="宋体" w:cs="宋体"/>
                <w:b w:val="0"/>
                <w:bCs w:val="0"/>
                <w:color w:val="auto"/>
                <w:kern w:val="2"/>
                <w:sz w:val="21"/>
                <w:szCs w:val="21"/>
                <w:highlight w:val="none"/>
                <w:lang w:val="en-US" w:eastAsia="zh-CN" w:bidi="ar-SA"/>
              </w:rPr>
              <w:t>进行综合评分。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noWrap w:val="0"/>
            <w:vAlign w:val="center"/>
          </w:tcPr>
          <w:p w14:paraId="6EA2CA4B">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noWrap w:val="0"/>
            <w:vAlign w:val="center"/>
          </w:tcPr>
          <w:p w14:paraId="2073442D">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32F5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7D63EF4D">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8</w:t>
            </w:r>
          </w:p>
        </w:tc>
        <w:tc>
          <w:tcPr>
            <w:tcW w:w="1378" w:type="dxa"/>
            <w:vMerge w:val="restart"/>
            <w:noWrap w:val="0"/>
            <w:vAlign w:val="center"/>
          </w:tcPr>
          <w:p w14:paraId="15A13438">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服务方案</w:t>
            </w:r>
          </w:p>
        </w:tc>
        <w:tc>
          <w:tcPr>
            <w:tcW w:w="5889" w:type="dxa"/>
            <w:noWrap w:val="0"/>
            <w:vAlign w:val="center"/>
          </w:tcPr>
          <w:p w14:paraId="7E7A346C">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针对本项目制定的：①检测服务理念及目标制定、②各阶段任务分解计划安排方案及实施计划、③工作时间进度控制方案进行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497661C0">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1FD9E594">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667D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4FB6D9A5">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9</w:t>
            </w:r>
          </w:p>
        </w:tc>
        <w:tc>
          <w:tcPr>
            <w:tcW w:w="1378" w:type="dxa"/>
            <w:vMerge w:val="continue"/>
            <w:noWrap w:val="0"/>
            <w:vAlign w:val="center"/>
          </w:tcPr>
          <w:p w14:paraId="70E66AE0">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shd w:val="clear" w:color="auto" w:fill="auto"/>
            <w:noWrap w:val="0"/>
            <w:vAlign w:val="center"/>
          </w:tcPr>
          <w:p w14:paraId="6A28E2EA">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Times New Roman"/>
                <w:color w:val="auto"/>
                <w:kern w:val="2"/>
                <w:sz w:val="21"/>
                <w:szCs w:val="21"/>
                <w:highlight w:val="none"/>
                <w:lang w:val="en-US" w:eastAsia="zh-CN"/>
              </w:rPr>
              <w:t>针对本项目制定的取/采样方案（包括：取/采样点位的选择、取/采样严谨性及标准性、留样方式、操作流程）进行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6D11FBCA">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757CE437">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2105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21BB439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10</w:t>
            </w:r>
          </w:p>
        </w:tc>
        <w:tc>
          <w:tcPr>
            <w:tcW w:w="1378" w:type="dxa"/>
            <w:vMerge w:val="continue"/>
            <w:noWrap w:val="0"/>
            <w:vAlign w:val="center"/>
          </w:tcPr>
          <w:p w14:paraId="36AF7659">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noWrap w:val="0"/>
            <w:vAlign w:val="center"/>
          </w:tcPr>
          <w:p w14:paraId="308E8BD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Times New Roman"/>
                <w:color w:val="auto"/>
                <w:kern w:val="2"/>
                <w:sz w:val="21"/>
                <w:szCs w:val="21"/>
                <w:highlight w:val="none"/>
                <w:lang w:val="en-US" w:eastAsia="zh-CN"/>
              </w:rPr>
              <w:t>针对本项目制定的检测方案（包括：检测方法、检测流程、检测时间）进行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3EB76FE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60003661">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036F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4BC39817">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11</w:t>
            </w:r>
          </w:p>
        </w:tc>
        <w:tc>
          <w:tcPr>
            <w:tcW w:w="1378" w:type="dxa"/>
            <w:vMerge w:val="continue"/>
            <w:noWrap w:val="0"/>
            <w:vAlign w:val="center"/>
          </w:tcPr>
          <w:p w14:paraId="336E8C9C">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noWrap w:val="0"/>
            <w:vAlign w:val="center"/>
          </w:tcPr>
          <w:p w14:paraId="73500BF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对其针对本项目制定的检测报告出具方案（包括：检测报告的样式、检测报告出具时间、检测报告内容涉及情况）进行评审：</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69A4DB00">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67437135">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9E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54C133AD">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12</w:t>
            </w:r>
          </w:p>
        </w:tc>
        <w:tc>
          <w:tcPr>
            <w:tcW w:w="1378" w:type="dxa"/>
            <w:vMerge w:val="continue"/>
            <w:noWrap w:val="0"/>
            <w:vAlign w:val="center"/>
          </w:tcPr>
          <w:p w14:paraId="2A189593">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p>
        </w:tc>
        <w:tc>
          <w:tcPr>
            <w:tcW w:w="5889" w:type="dxa"/>
            <w:noWrap w:val="0"/>
            <w:vAlign w:val="center"/>
          </w:tcPr>
          <w:p w14:paraId="0D95155F">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针对本项目制定的管理制度（包括检测过程管理制度、档案管理制度等）的完善性、科学性、合理性进行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00235B0C">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4060BBDF">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36D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7B4285B8">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13</w:t>
            </w:r>
          </w:p>
        </w:tc>
        <w:tc>
          <w:tcPr>
            <w:tcW w:w="1378" w:type="dxa"/>
            <w:noWrap w:val="0"/>
            <w:vAlign w:val="center"/>
          </w:tcPr>
          <w:p w14:paraId="6DB87947">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新宋体"/>
                <w:color w:val="auto"/>
                <w:kern w:val="2"/>
                <w:sz w:val="21"/>
                <w:szCs w:val="21"/>
                <w:highlight w:val="none"/>
                <w:lang w:val="en-US" w:eastAsia="zh-CN" w:bidi="ar-SA"/>
              </w:rPr>
              <w:t>应急预案</w:t>
            </w:r>
          </w:p>
        </w:tc>
        <w:tc>
          <w:tcPr>
            <w:tcW w:w="5889" w:type="dxa"/>
            <w:noWrap w:val="0"/>
            <w:vAlign w:val="center"/>
          </w:tcPr>
          <w:p w14:paraId="6FB5272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default" w:ascii="宋体" w:hAnsi="宋体" w:eastAsia="宋体" w:cs="新宋体"/>
                <w:color w:val="auto"/>
                <w:kern w:val="2"/>
                <w:sz w:val="21"/>
                <w:szCs w:val="21"/>
                <w:highlight w:val="none"/>
                <w:lang w:val="en-US" w:eastAsia="zh-CN" w:bidi="ar-SA"/>
              </w:rPr>
              <w:t>针对本项目制定的</w:t>
            </w:r>
            <w:r>
              <w:rPr>
                <w:rFonts w:hint="eastAsia" w:ascii="宋体" w:hAnsi="宋体" w:eastAsia="宋体" w:cs="新宋体"/>
                <w:color w:val="auto"/>
                <w:kern w:val="2"/>
                <w:sz w:val="21"/>
                <w:szCs w:val="21"/>
                <w:highlight w:val="none"/>
                <w:lang w:val="en-US" w:eastAsia="zh-CN" w:bidi="ar-SA"/>
              </w:rPr>
              <w:t>应急预案</w:t>
            </w:r>
            <w:r>
              <w:rPr>
                <w:rFonts w:hint="default" w:ascii="宋体" w:hAnsi="宋体" w:eastAsia="宋体" w:cs="新宋体"/>
                <w:color w:val="auto"/>
                <w:kern w:val="2"/>
                <w:sz w:val="21"/>
                <w:szCs w:val="21"/>
                <w:highlight w:val="none"/>
                <w:lang w:val="en-US" w:eastAsia="zh-CN" w:bidi="ar-SA"/>
              </w:rPr>
              <w:t>（包括：作业人员应急预案、应急处理措施</w:t>
            </w:r>
            <w:r>
              <w:rPr>
                <w:rFonts w:hint="eastAsia" w:ascii="宋体" w:hAnsi="宋体" w:eastAsia="宋体" w:cs="新宋体"/>
                <w:color w:val="auto"/>
                <w:kern w:val="2"/>
                <w:sz w:val="21"/>
                <w:szCs w:val="21"/>
                <w:highlight w:val="none"/>
                <w:lang w:val="en-US" w:eastAsia="zh-CN" w:bidi="ar-SA"/>
              </w:rPr>
              <w:t>、恶劣天气下的应急工作预案</w:t>
            </w:r>
            <w:r>
              <w:rPr>
                <w:rFonts w:hint="default" w:ascii="宋体" w:hAnsi="宋体" w:eastAsia="宋体" w:cs="新宋体"/>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rPr>
              <w:t>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4A056464">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3702C087">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08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noWrap w:val="0"/>
            <w:vAlign w:val="center"/>
          </w:tcPr>
          <w:p w14:paraId="0FAC5547">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14</w:t>
            </w:r>
          </w:p>
        </w:tc>
        <w:tc>
          <w:tcPr>
            <w:tcW w:w="1378" w:type="dxa"/>
            <w:shd w:val="clear" w:color="auto" w:fill="auto"/>
            <w:noWrap w:val="0"/>
            <w:vAlign w:val="center"/>
          </w:tcPr>
          <w:p w14:paraId="2D74D2A1">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安全保障方案</w:t>
            </w:r>
          </w:p>
        </w:tc>
        <w:tc>
          <w:tcPr>
            <w:tcW w:w="5889" w:type="dxa"/>
            <w:shd w:val="clear" w:color="auto" w:fill="auto"/>
            <w:noWrap w:val="0"/>
            <w:vAlign w:val="center"/>
          </w:tcPr>
          <w:p w14:paraId="5F7A12EB">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eastAsia" w:ascii="宋体" w:hAnsi="宋体" w:eastAsia="宋体" w:cs="宋体"/>
                <w:color w:val="auto"/>
                <w:sz w:val="21"/>
                <w:szCs w:val="21"/>
                <w:highlight w:val="none"/>
                <w:lang w:val="en-US" w:eastAsia="zh-CN"/>
              </w:rPr>
              <w:t>针对本项目制定的安全保障方案（包括：作业人员安全保障措施、安全管理制度、安全责任落实措施、安全文明作业培训教育、安全标准管理或安全管理体系）</w:t>
            </w:r>
            <w:r>
              <w:rPr>
                <w:rFonts w:hint="eastAsia" w:ascii="宋体" w:hAnsi="宋体" w:eastAsia="宋体" w:cs="Times New Roman"/>
                <w:color w:val="auto"/>
                <w:kern w:val="2"/>
                <w:sz w:val="21"/>
                <w:szCs w:val="21"/>
                <w:highlight w:val="none"/>
                <w:lang w:val="en-US" w:eastAsia="zh-CN"/>
              </w:rPr>
              <w:t>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2931F439">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1E909957">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1A5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3" w:type="dxa"/>
            <w:noWrap w:val="0"/>
            <w:vAlign w:val="center"/>
          </w:tcPr>
          <w:p w14:paraId="7297A3DE">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15</w:t>
            </w:r>
          </w:p>
        </w:tc>
        <w:tc>
          <w:tcPr>
            <w:tcW w:w="1378" w:type="dxa"/>
            <w:shd w:val="clear" w:color="auto" w:fill="auto"/>
            <w:noWrap w:val="0"/>
            <w:vAlign w:val="center"/>
          </w:tcPr>
          <w:p w14:paraId="11D0814B">
            <w:pPr>
              <w:pStyle w:val="331"/>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服务响应及工作质量保障</w:t>
            </w:r>
          </w:p>
        </w:tc>
        <w:tc>
          <w:tcPr>
            <w:tcW w:w="5889" w:type="dxa"/>
            <w:shd w:val="clear" w:color="auto" w:fill="auto"/>
            <w:noWrap w:val="0"/>
            <w:vAlign w:val="center"/>
          </w:tcPr>
          <w:p w14:paraId="4A9C60C6">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w:t>
            </w:r>
            <w:r>
              <w:rPr>
                <w:rFonts w:hint="default" w:ascii="宋体" w:hAnsi="宋体" w:eastAsia="宋体" w:cs="新宋体"/>
                <w:color w:val="auto"/>
                <w:kern w:val="2"/>
                <w:sz w:val="21"/>
                <w:szCs w:val="21"/>
                <w:highlight w:val="none"/>
                <w:lang w:val="en-US" w:eastAsia="zh-CN" w:bidi="ar-SA"/>
              </w:rPr>
              <w:t>针对本项目制定的</w:t>
            </w:r>
            <w:r>
              <w:rPr>
                <w:rFonts w:hint="eastAsia" w:ascii="宋体" w:hAnsi="宋体" w:eastAsia="宋体" w:cs="新宋体"/>
                <w:color w:val="auto"/>
                <w:kern w:val="2"/>
                <w:sz w:val="21"/>
                <w:szCs w:val="21"/>
                <w:highlight w:val="none"/>
                <w:lang w:val="en-US" w:eastAsia="zh-CN" w:bidi="ar-SA"/>
              </w:rPr>
              <w:t>服务响应及工作质量保障</w:t>
            </w:r>
            <w:r>
              <w:rPr>
                <w:rFonts w:hint="default" w:ascii="宋体" w:hAnsi="宋体" w:eastAsia="宋体" w:cs="新宋体"/>
                <w:color w:val="auto"/>
                <w:kern w:val="2"/>
                <w:sz w:val="21"/>
                <w:szCs w:val="21"/>
                <w:highlight w:val="none"/>
                <w:lang w:val="en-US" w:eastAsia="zh-CN" w:bidi="ar-SA"/>
              </w:rPr>
              <w:t>方案（包括但不限于：</w:t>
            </w:r>
            <w:r>
              <w:rPr>
                <w:rFonts w:hint="eastAsia" w:ascii="宋体" w:hAnsi="宋体" w:eastAsia="宋体" w:cs="新宋体"/>
                <w:color w:val="auto"/>
                <w:kern w:val="2"/>
                <w:sz w:val="21"/>
                <w:szCs w:val="21"/>
                <w:highlight w:val="none"/>
                <w:lang w:val="en-US" w:eastAsia="zh-CN" w:bidi="ar-SA"/>
              </w:rPr>
              <w:t>服务便捷情况、服务场所设置情况、服务响应时间、工作质量保障方案</w:t>
            </w:r>
            <w:r>
              <w:rPr>
                <w:rFonts w:hint="default" w:ascii="宋体" w:hAnsi="宋体" w:eastAsia="宋体" w:cs="新宋体"/>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rPr>
              <w:t>进行</w:t>
            </w:r>
            <w:r>
              <w:rPr>
                <w:rFonts w:hint="eastAsia" w:ascii="宋体" w:hAnsi="宋体" w:eastAsia="宋体" w:cs="宋体"/>
                <w:b w:val="0"/>
                <w:bCs w:val="0"/>
                <w:color w:val="auto"/>
                <w:kern w:val="2"/>
                <w:sz w:val="21"/>
                <w:szCs w:val="21"/>
                <w:highlight w:val="none"/>
                <w:lang w:val="en-US" w:eastAsia="zh-CN" w:bidi="ar-SA"/>
              </w:rPr>
              <w:t>综合评分。</w:t>
            </w:r>
            <w:r>
              <w:rPr>
                <w:rFonts w:hint="eastAsia" w:ascii="宋体" w:hAnsi="宋体" w:eastAsia="宋体" w:cs="宋体"/>
                <w:b w:val="0"/>
                <w:bCs w:val="0"/>
                <w:color w:val="auto"/>
                <w:kern w:val="2"/>
                <w:sz w:val="21"/>
                <w:szCs w:val="21"/>
                <w:highlight w:val="none"/>
                <w:lang w:val="en-US" w:eastAsia="zh-CN"/>
              </w:rPr>
              <w:t>【评分范围：5,4,3,2，1,0】</w:t>
            </w:r>
          </w:p>
        </w:tc>
        <w:tc>
          <w:tcPr>
            <w:tcW w:w="804" w:type="dxa"/>
            <w:shd w:val="clear" w:color="auto" w:fill="auto"/>
            <w:noWrap w:val="0"/>
            <w:vAlign w:val="center"/>
          </w:tcPr>
          <w:p w14:paraId="6632875E">
            <w:pPr>
              <w:keepNext w:val="0"/>
              <w:keepLines w:val="0"/>
              <w:pageBreakBefore w:val="0"/>
              <w:suppressLineNumbers w:val="0"/>
              <w:kinsoku/>
              <w:wordWrap/>
              <w:overflowPunct/>
              <w:topLinePunct w:val="0"/>
              <w:bidi w:val="0"/>
              <w:spacing w:before="0" w:beforeAutospacing="0" w:after="0" w:afterAutospacing="0" w:line="312"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0-</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c>
          <w:tcPr>
            <w:tcW w:w="846" w:type="dxa"/>
            <w:shd w:val="clear" w:color="auto" w:fill="auto"/>
            <w:noWrap w:val="0"/>
            <w:vAlign w:val="center"/>
          </w:tcPr>
          <w:p w14:paraId="78041B23">
            <w:pPr>
              <w:keepNext w:val="0"/>
              <w:keepLines w:val="0"/>
              <w:pageBreakBefore w:val="0"/>
              <w:widowControl/>
              <w:suppressLineNumbers w:val="0"/>
              <w:kinsoku/>
              <w:wordWrap/>
              <w:overflowPunct/>
              <w:topLinePunct w:val="0"/>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bookmarkEnd w:id="86"/>
      <w:bookmarkEnd w:id="87"/>
    </w:tbl>
    <w:p w14:paraId="5C44A88F">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2.投标报价评分</w:t>
      </w:r>
      <w:r>
        <w:rPr>
          <w:rFonts w:hint="eastAsia" w:ascii="宋体" w:hAnsi="宋体" w:eastAsia="宋体" w:cs="宋体"/>
          <w:b/>
          <w:bCs/>
          <w:color w:val="auto"/>
          <w:szCs w:val="21"/>
          <w:highlight w:val="none"/>
        </w:rPr>
        <w:t>（20分）：</w:t>
      </w:r>
    </w:p>
    <w:p w14:paraId="0AB8F622">
      <w:pPr>
        <w:keepNext w:val="0"/>
        <w:keepLines w:val="0"/>
        <w:pageBreakBefore w:val="0"/>
        <w:widowControl w:val="0"/>
        <w:kinsoku/>
        <w:wordWrap/>
        <w:overflowPunct/>
        <w:autoSpaceDE/>
        <w:autoSpaceDN/>
        <w:bidi w:val="0"/>
        <w:adjustRightInd/>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满足竞争性磋商文件要求且最终报价的最低价作为评标基准价</w:t>
      </w:r>
      <w:r>
        <w:rPr>
          <w:rFonts w:hint="eastAsia" w:ascii="宋体" w:hAnsi="宋体" w:eastAsia="宋体" w:cs="宋体"/>
          <w:color w:val="auto"/>
          <w:kern w:val="0"/>
          <w:szCs w:val="21"/>
          <w:highlight w:val="none"/>
        </w:rPr>
        <w:t>；</w:t>
      </w:r>
    </w:p>
    <w:p w14:paraId="462FAE1A">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有效供应商的最终报价等于评标基准价时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其最终报价评分值为满分；</w:t>
      </w:r>
    </w:p>
    <w:p w14:paraId="78B59F47">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 xml:space="preserve"> 其他有效供应商报价得分</w:t>
      </w:r>
      <w:r>
        <w:rPr>
          <w:rFonts w:hint="eastAsia" w:ascii="宋体" w:hAnsi="宋体" w:eastAsia="宋体" w:cs="宋体"/>
          <w:color w:val="auto"/>
          <w:kern w:val="0"/>
          <w:szCs w:val="21"/>
          <w:highlight w:val="none"/>
        </w:rPr>
        <w:t>=（评标基准价/</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投标报价）×</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rPr>
        <w:t>（四舍五入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保留小数点后2位）</w:t>
      </w:r>
    </w:p>
    <w:p w14:paraId="0D308CCC">
      <w:pPr>
        <w:keepNext w:val="0"/>
        <w:keepLines w:val="0"/>
        <w:pageBreakBefore w:val="0"/>
        <w:widowControl w:val="0"/>
        <w:kinsoku/>
        <w:wordWrap/>
        <w:overflowPunct/>
        <w:autoSpaceDE/>
        <w:autoSpaceDN/>
        <w:bidi w:val="0"/>
        <w:adjustRightInd/>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如供应商报价超过项目采购最高限价，其磋商响应文件作无效标处理</w:t>
      </w:r>
      <w:r>
        <w:rPr>
          <w:rFonts w:hint="eastAsia" w:ascii="宋体" w:hAnsi="宋体" w:eastAsia="宋体" w:cs="宋体"/>
          <w:color w:val="auto"/>
          <w:kern w:val="0"/>
          <w:szCs w:val="21"/>
          <w:highlight w:val="none"/>
        </w:rPr>
        <w:t>。</w:t>
      </w:r>
    </w:p>
    <w:p w14:paraId="45ACEDE0">
      <w:pPr>
        <w:keepNext w:val="0"/>
        <w:keepLines w:val="0"/>
        <w:pageBreakBefore w:val="0"/>
        <w:widowControl w:val="0"/>
        <w:kinsoku/>
        <w:wordWrap/>
        <w:overflowPunct/>
        <w:autoSpaceDE/>
        <w:autoSpaceDN/>
        <w:bidi w:val="0"/>
        <w:adjustRightInd/>
        <w:snapToGrid/>
        <w:spacing w:line="44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 w:val="21"/>
          <w:szCs w:val="21"/>
          <w:highlight w:val="none"/>
        </w:rPr>
        <w:t>所有供应商投标报价均超过项目采购最高限价，项目按流（废）标处理，重新组织采购程序</w:t>
      </w:r>
      <w:r>
        <w:rPr>
          <w:rFonts w:hint="eastAsia" w:ascii="宋体" w:hAnsi="宋体" w:eastAsia="宋体" w:cs="宋体"/>
          <w:color w:val="auto"/>
          <w:kern w:val="0"/>
          <w:szCs w:val="21"/>
          <w:highlight w:val="none"/>
        </w:rPr>
        <w:t>。</w:t>
      </w:r>
    </w:p>
    <w:p w14:paraId="14CDAA98">
      <w:pPr>
        <w:keepNext w:val="0"/>
        <w:keepLines w:val="0"/>
        <w:pageBreakBefore w:val="0"/>
        <w:widowControl w:val="0"/>
        <w:kinsoku/>
        <w:wordWrap/>
        <w:overflowPunct/>
        <w:autoSpaceDE/>
        <w:autoSpaceDN/>
        <w:bidi w:val="0"/>
        <w:adjustRightInd/>
        <w:snapToGrid/>
        <w:spacing w:line="440" w:lineRule="exact"/>
        <w:ind w:firstLine="21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lang w:val="en-US" w:eastAsia="zh-CN"/>
        </w:rPr>
        <w:t xml:space="preserve">5 </w:t>
      </w:r>
      <w:r>
        <w:rPr>
          <w:rFonts w:hint="eastAsia" w:ascii="宋体" w:hAnsi="宋体" w:eastAsia="宋体" w:cs="宋体"/>
          <w:color w:val="auto"/>
          <w:szCs w:val="21"/>
          <w:highlight w:val="none"/>
        </w:rPr>
        <w:t>政府采购政策说明</w:t>
      </w:r>
    </w:p>
    <w:p w14:paraId="3A7ED9EB">
      <w:pPr>
        <w:keepNext w:val="0"/>
        <w:keepLines w:val="0"/>
        <w:pageBreakBefore w:val="0"/>
        <w:widowControl w:val="0"/>
        <w:kinsoku/>
        <w:wordWrap/>
        <w:overflowPunct/>
        <w:topLinePunct/>
        <w:autoSpaceDE/>
        <w:autoSpaceDN/>
        <w:bidi w:val="0"/>
        <w:adjustRightInd/>
        <w:snapToGrid/>
        <w:spacing w:line="440" w:lineRule="exact"/>
        <w:ind w:firstLine="316" w:firstLineChars="15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价格扣除</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详见“第二章 </w:t>
      </w:r>
      <w:r>
        <w:rPr>
          <w:rFonts w:hint="eastAsia" w:ascii="宋体" w:hAnsi="宋体" w:eastAsia="宋体" w:cs="宋体"/>
          <w:b/>
          <w:bCs/>
          <w:color w:val="auto"/>
          <w:highlight w:val="none"/>
        </w:rPr>
        <w:t>投标人须知”规定</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如仅面向中小企业采购</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不进行价格扣除</w:t>
      </w:r>
      <w:r>
        <w:rPr>
          <w:rFonts w:hint="eastAsia" w:ascii="宋体" w:hAnsi="宋体" w:eastAsia="宋体" w:cs="宋体"/>
          <w:b/>
          <w:bCs/>
          <w:color w:val="auto"/>
          <w:szCs w:val="21"/>
          <w:highlight w:val="none"/>
        </w:rPr>
        <w:t>。</w:t>
      </w:r>
    </w:p>
    <w:p w14:paraId="26656110">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3.有效投标人的综合得分为</w:t>
      </w:r>
      <w:r>
        <w:rPr>
          <w:rFonts w:hint="eastAsia" w:ascii="宋体" w:hAnsi="宋体" w:cs="宋体"/>
          <w:b/>
          <w:bCs/>
          <w:color w:val="auto"/>
          <w:szCs w:val="21"/>
          <w:highlight w:val="none"/>
          <w:lang w:val="en-US" w:eastAsia="zh-CN"/>
        </w:rPr>
        <w:t>商务</w:t>
      </w:r>
      <w:r>
        <w:rPr>
          <w:rFonts w:hint="eastAsia" w:ascii="宋体" w:hAnsi="宋体" w:eastAsia="宋体" w:cs="宋体"/>
          <w:b/>
          <w:bCs/>
          <w:color w:val="auto"/>
          <w:szCs w:val="21"/>
          <w:highlight w:val="none"/>
        </w:rPr>
        <w:t>技术文件得分和投标报价得分的总和。</w:t>
      </w:r>
    </w:p>
    <w:p w14:paraId="3065C732">
      <w:pPr>
        <w:topLinePunct/>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磋商小组按综合得分高低顺序排列，综合得分前三名供应商依次作为第一、第二、第三成交候选人向采购人推荐，并提交评审报告。得分相同的，按供应商报价由低到高顺序排列。</w:t>
      </w:r>
    </w:p>
    <w:p w14:paraId="0EE0683B">
      <w:pPr>
        <w:pStyle w:val="73"/>
        <w:rPr>
          <w:rFonts w:hint="eastAsia" w:ascii="宋体" w:hAnsi="宋体" w:eastAsia="宋体" w:cs="宋体"/>
          <w:color w:val="auto"/>
          <w:sz w:val="21"/>
          <w:szCs w:val="21"/>
          <w:highlight w:val="none"/>
        </w:rPr>
      </w:pPr>
    </w:p>
    <w:p w14:paraId="7DFEC148">
      <w:pPr>
        <w:pStyle w:val="73"/>
        <w:rPr>
          <w:rFonts w:hint="eastAsia" w:ascii="宋体" w:hAnsi="宋体" w:eastAsia="宋体" w:cs="宋体"/>
          <w:color w:val="auto"/>
          <w:sz w:val="21"/>
          <w:szCs w:val="21"/>
          <w:highlight w:val="none"/>
        </w:rPr>
      </w:pPr>
    </w:p>
    <w:p w14:paraId="277D3B3A">
      <w:pPr>
        <w:pStyle w:val="73"/>
        <w:rPr>
          <w:rFonts w:hint="eastAsia" w:ascii="宋体" w:hAnsi="宋体" w:eastAsia="宋体" w:cs="宋体"/>
          <w:color w:val="auto"/>
          <w:sz w:val="21"/>
          <w:szCs w:val="21"/>
          <w:highlight w:val="none"/>
        </w:rPr>
      </w:pPr>
    </w:p>
    <w:p w14:paraId="70B6E32D">
      <w:pPr>
        <w:pStyle w:val="73"/>
        <w:rPr>
          <w:rFonts w:hint="eastAsia" w:ascii="宋体" w:hAnsi="宋体" w:eastAsia="宋体" w:cs="宋体"/>
          <w:color w:val="auto"/>
          <w:sz w:val="21"/>
          <w:szCs w:val="21"/>
          <w:highlight w:val="none"/>
        </w:rPr>
      </w:pPr>
    </w:p>
    <w:p w14:paraId="276077CB">
      <w:pPr>
        <w:pStyle w:val="73"/>
        <w:rPr>
          <w:rFonts w:hint="eastAsia" w:ascii="宋体" w:hAnsi="宋体" w:eastAsia="宋体" w:cs="宋体"/>
          <w:color w:val="auto"/>
          <w:sz w:val="21"/>
          <w:szCs w:val="21"/>
          <w:highlight w:val="none"/>
        </w:rPr>
      </w:pPr>
    </w:p>
    <w:p w14:paraId="3AD8DB76">
      <w:pPr>
        <w:pStyle w:val="73"/>
        <w:rPr>
          <w:rFonts w:hint="eastAsia" w:ascii="宋体" w:hAnsi="宋体" w:eastAsia="宋体" w:cs="宋体"/>
          <w:color w:val="auto"/>
          <w:sz w:val="21"/>
          <w:szCs w:val="21"/>
          <w:highlight w:val="none"/>
        </w:rPr>
      </w:pPr>
    </w:p>
    <w:p w14:paraId="2E0F7788">
      <w:pPr>
        <w:pStyle w:val="73"/>
        <w:rPr>
          <w:rFonts w:hint="eastAsia" w:ascii="宋体" w:hAnsi="宋体" w:eastAsia="宋体" w:cs="宋体"/>
          <w:color w:val="auto"/>
          <w:sz w:val="21"/>
          <w:szCs w:val="21"/>
          <w:highlight w:val="none"/>
        </w:rPr>
      </w:pPr>
    </w:p>
    <w:p w14:paraId="3A5F0E74">
      <w:pPr>
        <w:pStyle w:val="73"/>
        <w:rPr>
          <w:rFonts w:hint="eastAsia" w:ascii="宋体" w:hAnsi="宋体" w:eastAsia="宋体" w:cs="宋体"/>
          <w:color w:val="auto"/>
          <w:sz w:val="21"/>
          <w:szCs w:val="21"/>
          <w:highlight w:val="none"/>
        </w:rPr>
      </w:pPr>
    </w:p>
    <w:p w14:paraId="6B6497BC">
      <w:pPr>
        <w:pStyle w:val="73"/>
        <w:rPr>
          <w:rFonts w:hint="eastAsia" w:ascii="宋体" w:hAnsi="宋体" w:eastAsia="宋体" w:cs="宋体"/>
          <w:color w:val="auto"/>
          <w:sz w:val="21"/>
          <w:szCs w:val="21"/>
          <w:highlight w:val="none"/>
        </w:rPr>
      </w:pPr>
    </w:p>
    <w:p w14:paraId="32996F44">
      <w:pPr>
        <w:pStyle w:val="406"/>
        <w:spacing w:line="500" w:lineRule="exact"/>
        <w:ind w:firstLine="482"/>
        <w:jc w:val="center"/>
        <w:rPr>
          <w:rFonts w:hint="eastAsia" w:ascii="宋体" w:hAnsi="宋体" w:eastAsia="宋体" w:cs="宋体"/>
          <w:b/>
          <w:color w:val="auto"/>
          <w:sz w:val="24"/>
          <w:szCs w:val="24"/>
          <w:highlight w:val="none"/>
        </w:rPr>
      </w:pPr>
    </w:p>
    <w:p w14:paraId="47AA1AC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D65D1B6">
      <w:pPr>
        <w:pStyle w:val="406"/>
        <w:spacing w:line="500" w:lineRule="exact"/>
        <w:ind w:firstLine="482"/>
        <w:jc w:val="center"/>
        <w:rPr>
          <w:rFonts w:hint="eastAsia" w:ascii="宋体" w:hAnsi="宋体" w:eastAsia="宋体" w:cs="宋体"/>
          <w:b/>
          <w:color w:val="auto"/>
          <w:sz w:val="24"/>
          <w:szCs w:val="24"/>
          <w:highlight w:val="none"/>
        </w:rPr>
      </w:pPr>
    </w:p>
    <w:p w14:paraId="200EB0A1">
      <w:pPr>
        <w:pStyle w:val="406"/>
        <w:spacing w:line="5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政府采购活动现场确认声明书</w:t>
      </w:r>
    </w:p>
    <w:p w14:paraId="59C129EA">
      <w:pPr>
        <w:pStyle w:val="406"/>
        <w:spacing w:line="500" w:lineRule="exact"/>
        <w:ind w:firstLine="4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温州市龙湾区综合行政执法局</w:t>
      </w:r>
      <w:r>
        <w:rPr>
          <w:rFonts w:hint="eastAsia" w:ascii="宋体" w:hAnsi="宋体" w:eastAsia="宋体" w:cs="宋体"/>
          <w:b/>
          <w:bCs/>
          <w:color w:val="auto"/>
          <w:sz w:val="22"/>
          <w:szCs w:val="22"/>
          <w:highlight w:val="none"/>
        </w:rPr>
        <w:t>：</w:t>
      </w:r>
    </w:p>
    <w:p w14:paraId="39CB0B46">
      <w:pPr>
        <w:pStyle w:val="406"/>
        <w:spacing w:line="500" w:lineRule="exact"/>
        <w:ind w:firstLine="442"/>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eastAsia="zh-CN"/>
        </w:rPr>
        <w:t>温州市方略工程项目管理有限公司</w:t>
      </w:r>
      <w:r>
        <w:rPr>
          <w:rFonts w:hint="eastAsia" w:ascii="宋体" w:hAnsi="宋体" w:eastAsia="宋体" w:cs="宋体"/>
          <w:b/>
          <w:color w:val="auto"/>
          <w:kern w:val="0"/>
          <w:sz w:val="22"/>
          <w:szCs w:val="22"/>
          <w:highlight w:val="none"/>
        </w:rPr>
        <w:t>：</w:t>
      </w:r>
    </w:p>
    <w:p w14:paraId="75A2C884">
      <w:pPr>
        <w:pStyle w:val="406"/>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合法授权参加项目</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65599984">
      <w:pPr>
        <w:pStyle w:val="405"/>
        <w:widowControl/>
        <w:numPr>
          <w:ilvl w:val="0"/>
          <w:numId w:val="19"/>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14:paraId="301FF45C">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009CE959">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17DB4D68">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434713AD">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A.法定代表人或负责人或实际控制人是同一人</w:t>
      </w:r>
      <w:r>
        <w:rPr>
          <w:rFonts w:hint="eastAsia" w:hAnsi="宋体" w:cs="宋体"/>
          <w:color w:val="auto"/>
          <w:kern w:val="0"/>
          <w:sz w:val="22"/>
          <w:szCs w:val="22"/>
          <w:highlight w:val="none"/>
          <w:lang w:eastAsia="zh-CN"/>
        </w:rPr>
        <w:t>；</w:t>
      </w:r>
    </w:p>
    <w:p w14:paraId="275A285D">
      <w:pPr>
        <w:pStyle w:val="406"/>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B.法定代表人或负责人或实际控制人是夫妻关系</w:t>
      </w:r>
      <w:r>
        <w:rPr>
          <w:rFonts w:hint="eastAsia" w:hAnsi="宋体" w:cs="宋体"/>
          <w:color w:val="auto"/>
          <w:kern w:val="0"/>
          <w:sz w:val="22"/>
          <w:szCs w:val="22"/>
          <w:highlight w:val="none"/>
          <w:lang w:eastAsia="zh-CN"/>
        </w:rPr>
        <w:t>；</w:t>
      </w:r>
    </w:p>
    <w:p w14:paraId="7A73E165">
      <w:pPr>
        <w:pStyle w:val="406"/>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hAnsi="宋体" w:cs="宋体"/>
          <w:color w:val="auto"/>
          <w:kern w:val="0"/>
          <w:sz w:val="22"/>
          <w:szCs w:val="22"/>
          <w:highlight w:val="none"/>
          <w:lang w:eastAsia="zh-CN"/>
        </w:rPr>
        <w:t>；</w:t>
      </w:r>
    </w:p>
    <w:p w14:paraId="77EF0206">
      <w:pPr>
        <w:pStyle w:val="406"/>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hAnsi="宋体" w:cs="宋体"/>
          <w:color w:val="auto"/>
          <w:kern w:val="0"/>
          <w:sz w:val="22"/>
          <w:szCs w:val="22"/>
          <w:highlight w:val="none"/>
          <w:lang w:eastAsia="zh-CN"/>
        </w:rPr>
        <w:t>；</w:t>
      </w:r>
    </w:p>
    <w:p w14:paraId="5978E1FB">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hAnsi="宋体" w:cs="宋体"/>
          <w:color w:val="auto"/>
          <w:kern w:val="0"/>
          <w:sz w:val="22"/>
          <w:szCs w:val="22"/>
          <w:highlight w:val="none"/>
          <w:lang w:eastAsia="zh-CN"/>
        </w:rPr>
        <w:t>；</w:t>
      </w:r>
    </w:p>
    <w:p w14:paraId="3CAD12C7">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hAnsi="宋体" w:cs="宋体"/>
          <w:color w:val="auto"/>
          <w:kern w:val="0"/>
          <w:sz w:val="22"/>
          <w:szCs w:val="22"/>
          <w:highlight w:val="none"/>
          <w:lang w:eastAsia="zh-CN"/>
        </w:rPr>
        <w:t>；</w:t>
      </w:r>
    </w:p>
    <w:p w14:paraId="54785FF1">
      <w:pPr>
        <w:pStyle w:val="406"/>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hAnsi="宋体" w:cs="宋体"/>
          <w:color w:val="auto"/>
          <w:kern w:val="0"/>
          <w:sz w:val="22"/>
          <w:szCs w:val="22"/>
          <w:highlight w:val="none"/>
          <w:lang w:eastAsia="zh-CN"/>
        </w:rPr>
        <w:t>；</w:t>
      </w:r>
    </w:p>
    <w:p w14:paraId="6C3B1976">
      <w:pPr>
        <w:pStyle w:val="406"/>
        <w:spacing w:line="480" w:lineRule="exact"/>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r>
        <w:rPr>
          <w:rFonts w:hint="eastAsia" w:hAnsi="宋体" w:cs="宋体"/>
          <w:color w:val="auto"/>
          <w:sz w:val="22"/>
          <w:szCs w:val="22"/>
          <w:highlight w:val="none"/>
          <w:lang w:eastAsia="zh-CN"/>
        </w:rPr>
        <w:t>；</w:t>
      </w:r>
    </w:p>
    <w:p w14:paraId="4BC5915E">
      <w:pPr>
        <w:pStyle w:val="406"/>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19A0A153">
      <w:pPr>
        <w:pStyle w:val="405"/>
        <w:widowControl/>
        <w:numPr>
          <w:ilvl w:val="0"/>
          <w:numId w:val="20"/>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14:paraId="652F2FD2">
      <w:pPr>
        <w:pStyle w:val="405"/>
        <w:widowControl/>
        <w:numPr>
          <w:ilvl w:val="0"/>
          <w:numId w:val="20"/>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27C6DC1E">
      <w:pPr>
        <w:pStyle w:val="406"/>
        <w:spacing w:line="500" w:lineRule="exact"/>
        <w:ind w:firstLine="6600" w:firstLineChars="3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供应商代表签字：</w:t>
      </w:r>
    </w:p>
    <w:p w14:paraId="27DDFDD4">
      <w:pPr>
        <w:spacing w:line="440" w:lineRule="exact"/>
        <w:jc w:val="right"/>
        <w:rPr>
          <w:rFonts w:hint="eastAsia" w:ascii="宋体" w:hAnsi="宋体" w:eastAsia="宋体" w:cs="宋体"/>
          <w:color w:val="auto"/>
          <w:sz w:val="22"/>
          <w:szCs w:val="22"/>
          <w:highlight w:val="none"/>
        </w:rPr>
      </w:pPr>
    </w:p>
    <w:p w14:paraId="1D1280DF">
      <w:pPr>
        <w:spacing w:line="440" w:lineRule="exact"/>
        <w:jc w:val="righ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年  月  日</w:t>
      </w:r>
    </w:p>
    <w:p w14:paraId="5F7A0730">
      <w:pPr>
        <w:pStyle w:val="51"/>
        <w:tabs>
          <w:tab w:val="left" w:pos="6208"/>
        </w:tabs>
        <w:jc w:val="both"/>
        <w:rPr>
          <w:rFonts w:hint="eastAsia" w:ascii="宋体" w:hAnsi="宋体" w:eastAsia="宋体" w:cs="宋体"/>
          <w:color w:val="auto"/>
          <w:sz w:val="21"/>
          <w:szCs w:val="21"/>
          <w:highlight w:val="none"/>
          <w:lang w:eastAsia="zh-CN"/>
        </w:rPr>
      </w:pPr>
      <w:bookmarkStart w:id="92" w:name="_Toc8614"/>
      <w:r>
        <w:rPr>
          <w:rFonts w:hint="eastAsia" w:ascii="宋体" w:hAnsi="宋体" w:eastAsia="宋体" w:cs="宋体"/>
          <w:color w:val="auto"/>
          <w:sz w:val="22"/>
          <w:szCs w:val="22"/>
          <w:highlight w:val="none"/>
        </w:rPr>
        <w:t>说明：填写完毕，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"mailto:发送至邮箱406216823@qq.com"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sz w:val="22"/>
          <w:szCs w:val="22"/>
          <w:highlight w:val="none"/>
        </w:rPr>
        <w:t>发送至邮箱</w:t>
      </w:r>
      <w:r>
        <w:rPr>
          <w:rStyle w:val="65"/>
          <w:rFonts w:hint="eastAsia" w:ascii="宋体" w:hAnsi="宋体" w:eastAsia="宋体" w:cs="宋体"/>
          <w:color w:val="auto"/>
          <w:sz w:val="22"/>
          <w:szCs w:val="22"/>
          <w:highlight w:val="none"/>
          <w:lang w:eastAsia="zh-CN"/>
        </w:rPr>
        <w:t>243995196</w:t>
      </w:r>
      <w:r>
        <w:rPr>
          <w:rStyle w:val="65"/>
          <w:rFonts w:hint="eastAsia" w:ascii="宋体" w:hAnsi="宋体" w:eastAsia="宋体" w:cs="宋体"/>
          <w:color w:val="auto"/>
          <w:sz w:val="22"/>
          <w:szCs w:val="22"/>
          <w:highlight w:val="none"/>
        </w:rPr>
        <w:t>@qq.com</w:t>
      </w:r>
      <w:r>
        <w:rPr>
          <w:rStyle w:val="65"/>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w:t>
      </w:r>
      <w:bookmarkEnd w:id="92"/>
    </w:p>
    <w:sectPr>
      <w:pgSz w:w="11906" w:h="16838"/>
      <w:pgMar w:top="1134" w:right="1134" w:bottom="1134" w:left="1417" w:header="851"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86"/>
    <w:family w:val="auto"/>
    <w:pitch w:val="default"/>
    <w:sig w:usb0="00000000" w:usb1="00000000" w:usb2="00000010"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Linotype Univers 330 Ligh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Univers LT Std 57 Cn">
    <w:altName w:val="Arial"/>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EAD3">
    <w:pPr>
      <w:pStyle w:val="36"/>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8A07">
    <w:pPr>
      <w:pStyle w:val="36"/>
      <w:framePr w:wrap="around" w:vAnchor="text" w:hAnchor="margin" w:xAlign="center" w:y="1"/>
      <w:rPr>
        <w:rStyle w:val="58"/>
      </w:rPr>
    </w:pPr>
    <w:r>
      <w:fldChar w:fldCharType="begin"/>
    </w:r>
    <w:r>
      <w:rPr>
        <w:rStyle w:val="58"/>
      </w:rPr>
      <w:instrText xml:space="preserve">PAGE  </w:instrText>
    </w:r>
    <w:r>
      <w:fldChar w:fldCharType="end"/>
    </w:r>
  </w:p>
  <w:p w14:paraId="297531F9">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18C2">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AC42">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434C64">
                          <w:pPr>
                            <w:pStyle w:val="3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6F434C64">
                    <w:pPr>
                      <w:pStyle w:val="3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E920">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7AE5CC">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87AE5CC">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1B82">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2EC9">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6A8F">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0E0B">
    <w:pPr>
      <w:pStyle w:val="37"/>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A0AAE">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9B176"/>
    <w:multiLevelType w:val="singleLevel"/>
    <w:tmpl w:val="A4F9B176"/>
    <w:lvl w:ilvl="0" w:tentative="0">
      <w:start w:val="1"/>
      <w:numFmt w:val="decimal"/>
      <w:suff w:val="nothing"/>
      <w:lvlText w:val="%1）"/>
      <w:lvlJc w:val="left"/>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C6E82396"/>
    <w:multiLevelType w:val="singleLevel"/>
    <w:tmpl w:val="C6E82396"/>
    <w:lvl w:ilvl="0" w:tentative="0">
      <w:start w:val="1"/>
      <w:numFmt w:val="decimal"/>
      <w:suff w:val="nothing"/>
      <w:lvlText w:val="%1）"/>
      <w:lvlJc w:val="left"/>
    </w:lvl>
  </w:abstractNum>
  <w:abstractNum w:abstractNumId="3">
    <w:nsid w:val="EAC07E0E"/>
    <w:multiLevelType w:val="singleLevel"/>
    <w:tmpl w:val="EAC07E0E"/>
    <w:lvl w:ilvl="0" w:tentative="0">
      <w:start w:val="1"/>
      <w:numFmt w:val="decimal"/>
      <w:suff w:val="nothing"/>
      <w:lvlText w:val="%1．"/>
      <w:lvlJc w:val="left"/>
      <w:pPr>
        <w:ind w:left="0" w:firstLine="400"/>
      </w:pPr>
      <w:rPr>
        <w:rFonts w:hint="default"/>
      </w:rPr>
    </w:lvl>
  </w:abstractNum>
  <w:abstractNum w:abstractNumId="4">
    <w:nsid w:val="00000006"/>
    <w:multiLevelType w:val="multilevel"/>
    <w:tmpl w:val="00000006"/>
    <w:lvl w:ilvl="0" w:tentative="0">
      <w:start w:val="1"/>
      <w:numFmt w:val="decimal"/>
      <w:pStyle w:val="16"/>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5"/>
      <w:numFmt w:val="decimal"/>
      <w:pStyle w:val="265"/>
      <w:lvlText w:val="%1."/>
      <w:lvlJc w:val="left"/>
      <w:pPr>
        <w:tabs>
          <w:tab w:val="left" w:pos="360"/>
        </w:tabs>
        <w:ind w:left="360" w:hanging="360"/>
      </w:pPr>
      <w:rPr>
        <w:rFonts w:hint="default"/>
      </w:rPr>
    </w:lvl>
    <w:lvl w:ilvl="1" w:tentative="0">
      <w:start w:val="0"/>
      <w:numFmt w:val="none"/>
      <w:pStyle w:val="318"/>
      <w:lvlText w:val=""/>
      <w:lvlJc w:val="left"/>
      <w:pPr>
        <w:tabs>
          <w:tab w:val="left" w:pos="360"/>
        </w:tabs>
      </w:pPr>
    </w:lvl>
    <w:lvl w:ilvl="2" w:tentative="0">
      <w:start w:val="0"/>
      <w:numFmt w:val="none"/>
      <w:pStyle w:val="256"/>
      <w:lvlText w:val=""/>
      <w:lvlJc w:val="left"/>
      <w:pPr>
        <w:tabs>
          <w:tab w:val="left" w:pos="360"/>
        </w:tabs>
      </w:pPr>
    </w:lvl>
    <w:lvl w:ilvl="3" w:tentative="0">
      <w:start w:val="0"/>
      <w:numFmt w:val="none"/>
      <w:pStyle w:val="255"/>
      <w:lvlText w:val=""/>
      <w:lvlJc w:val="left"/>
      <w:pPr>
        <w:tabs>
          <w:tab w:val="left" w:pos="360"/>
        </w:tabs>
      </w:pPr>
    </w:lvl>
    <w:lvl w:ilvl="4" w:tentative="0">
      <w:start w:val="0"/>
      <w:numFmt w:val="none"/>
      <w:pStyle w:val="254"/>
      <w:lvlText w:val=""/>
      <w:lvlJc w:val="left"/>
      <w:pPr>
        <w:tabs>
          <w:tab w:val="left" w:pos="360"/>
        </w:tabs>
      </w:pPr>
    </w:lvl>
    <w:lvl w:ilvl="5" w:tentative="0">
      <w:start w:val="0"/>
      <w:numFmt w:val="none"/>
      <w:pStyle w:val="306"/>
      <w:lvlText w:val=""/>
      <w:lvlJc w:val="left"/>
      <w:pPr>
        <w:tabs>
          <w:tab w:val="left" w:pos="360"/>
        </w:tabs>
      </w:pPr>
    </w:lvl>
    <w:lvl w:ilvl="6" w:tentative="0">
      <w:start w:val="0"/>
      <w:numFmt w:val="none"/>
      <w:pStyle w:val="385"/>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11DB309F"/>
    <w:multiLevelType w:val="multilevel"/>
    <w:tmpl w:val="11DB309F"/>
    <w:lvl w:ilvl="0" w:tentative="0">
      <w:start w:val="1"/>
      <w:numFmt w:val="chineseCountingThousand"/>
      <w:pStyle w:val="401"/>
      <w:lvlText w:val="%1、"/>
      <w:lvlJc w:val="left"/>
      <w:pPr>
        <w:ind w:left="987" w:hanging="420"/>
      </w:pPr>
      <w:rPr>
        <w:rFonts w:hint="eastAsia"/>
        <w:b/>
        <w:bCs w:val="0"/>
        <w:i w:val="0"/>
        <w:iCs w:val="0"/>
        <w:caps w:val="0"/>
        <w:smallCaps w:val="0"/>
        <w:strike w:val="0"/>
        <w:dstrike w:val="0"/>
        <w:color w:val="000000"/>
        <w:spacing w:val="0"/>
        <w:position w:val="0"/>
        <w:u w:val="none"/>
      </w:rPr>
    </w:lvl>
    <w:lvl w:ilvl="1" w:tentative="0">
      <w:start w:val="1"/>
      <w:numFmt w:val="decimal"/>
      <w:pStyle w:val="403"/>
      <w:isLgl/>
      <w:lvlText w:val="%1.%2."/>
      <w:lvlJc w:val="left"/>
      <w:pPr>
        <w:tabs>
          <w:tab w:val="left" w:pos="431"/>
        </w:tabs>
        <w:ind w:left="0" w:firstLine="0"/>
      </w:pPr>
      <w:rPr>
        <w:rFonts w:hint="eastAsia"/>
        <w:b/>
        <w:i w:val="0"/>
        <w:sz w:val="28"/>
        <w:szCs w:val="28"/>
      </w:rPr>
    </w:lvl>
    <w:lvl w:ilvl="2" w:tentative="0">
      <w:start w:val="1"/>
      <w:numFmt w:val="decimal"/>
      <w:pStyle w:val="404"/>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16410696"/>
    <w:multiLevelType w:val="singleLevel"/>
    <w:tmpl w:val="16410696"/>
    <w:lvl w:ilvl="0" w:tentative="0">
      <w:start w:val="1"/>
      <w:numFmt w:val="decimal"/>
      <w:suff w:val="nothing"/>
      <w:lvlText w:val="%1）"/>
      <w:lvlJc w:val="left"/>
    </w:lvl>
  </w:abstractNum>
  <w:abstractNum w:abstractNumId="8">
    <w:nsid w:val="177D77AF"/>
    <w:multiLevelType w:val="singleLevel"/>
    <w:tmpl w:val="177D77AF"/>
    <w:lvl w:ilvl="0" w:tentative="0">
      <w:start w:val="1"/>
      <w:numFmt w:val="decimal"/>
      <w:suff w:val="nothing"/>
      <w:lvlText w:val="%1．"/>
      <w:lvlJc w:val="left"/>
      <w:pPr>
        <w:ind w:left="0" w:firstLine="400"/>
      </w:pPr>
      <w:rPr>
        <w:rFonts w:hint="default"/>
      </w:rPr>
    </w:lvl>
  </w:abstractNum>
  <w:abstractNum w:abstractNumId="9">
    <w:nsid w:val="30C31466"/>
    <w:multiLevelType w:val="singleLevel"/>
    <w:tmpl w:val="30C31466"/>
    <w:lvl w:ilvl="0" w:tentative="0">
      <w:start w:val="1"/>
      <w:numFmt w:val="decimal"/>
      <w:suff w:val="space"/>
      <w:lvlText w:val="%1."/>
      <w:lvlJc w:val="left"/>
    </w:lvl>
  </w:abstractNum>
  <w:abstractNum w:abstractNumId="10">
    <w:nsid w:val="30EF7371"/>
    <w:multiLevelType w:val="multilevel"/>
    <w:tmpl w:val="30EF7371"/>
    <w:lvl w:ilvl="0" w:tentative="0">
      <w:start w:val="1"/>
      <w:numFmt w:val="decimal"/>
      <w:lvlText w:val="（%1）"/>
      <w:lvlJc w:val="left"/>
      <w:pPr>
        <w:tabs>
          <w:tab w:val="left" w:pos="680"/>
        </w:tabs>
        <w:ind w:left="680" w:hanging="680"/>
      </w:pPr>
      <w:rPr>
        <w:rFonts w:hint="default" w:cs="Times New Roman"/>
        <w:b w:val="0"/>
        <w:i w:val="0"/>
        <w:color w:val="auto"/>
        <w:sz w:val="21"/>
        <w:szCs w:val="21"/>
      </w:rPr>
    </w:lvl>
    <w:lvl w:ilvl="1" w:tentative="0">
      <w:start w:val="1"/>
      <w:numFmt w:val="decimal"/>
      <w:lvlText w:val="4.%2"/>
      <w:lvlJc w:val="left"/>
      <w:pPr>
        <w:tabs>
          <w:tab w:val="left" w:pos="680"/>
        </w:tabs>
        <w:ind w:left="680" w:hanging="680"/>
      </w:pPr>
      <w:rPr>
        <w:rFonts w:hint="default" w:ascii="Arial" w:hAnsi="Arial" w:eastAsia="宋体" w:cs="Times New Roman"/>
        <w:b w:val="0"/>
        <w:i w:val="0"/>
        <w:sz w:val="21"/>
      </w:rPr>
    </w:lvl>
    <w:lvl w:ilvl="2" w:tentative="0">
      <w:start w:val="1"/>
      <w:numFmt w:val="decimal"/>
      <w:lvlText w:val="%1.%2.%3"/>
      <w:lvlJc w:val="left"/>
      <w:pPr>
        <w:tabs>
          <w:tab w:val="left" w:pos="720"/>
        </w:tabs>
        <w:ind w:left="420" w:hanging="420"/>
      </w:pPr>
      <w:rPr>
        <w:rFonts w:hint="eastAsia" w:cs="Times New Roman"/>
      </w:rPr>
    </w:lvl>
    <w:lvl w:ilvl="3" w:tentative="0">
      <w:start w:val="1"/>
      <w:numFmt w:val="decimal"/>
      <w:lvlText w:val="%1.%2.%3.%4"/>
      <w:lvlJc w:val="left"/>
      <w:pPr>
        <w:tabs>
          <w:tab w:val="left" w:pos="420"/>
        </w:tabs>
        <w:ind w:left="420" w:hanging="420"/>
      </w:pPr>
      <w:rPr>
        <w:rFonts w:hint="eastAsia" w:cs="Times New Roman"/>
      </w:rPr>
    </w:lvl>
    <w:lvl w:ilvl="4" w:tentative="0">
      <w:start w:val="1"/>
      <w:numFmt w:val="decimal"/>
      <w:lvlText w:val="%1.%2.%3.%4.%5"/>
      <w:lvlJc w:val="left"/>
      <w:pPr>
        <w:tabs>
          <w:tab w:val="left" w:pos="420"/>
        </w:tabs>
        <w:ind w:left="420" w:hanging="420"/>
      </w:pPr>
      <w:rPr>
        <w:rFonts w:hint="eastAsia" w:cs="Times New Roman"/>
      </w:rPr>
    </w:lvl>
    <w:lvl w:ilvl="5" w:tentative="0">
      <w:start w:val="1"/>
      <w:numFmt w:val="decimal"/>
      <w:lvlText w:val="%1.%2.%3.%4.%5.%6"/>
      <w:lvlJc w:val="left"/>
      <w:pPr>
        <w:tabs>
          <w:tab w:val="left" w:pos="420"/>
        </w:tabs>
        <w:ind w:left="420" w:hanging="420"/>
      </w:pPr>
      <w:rPr>
        <w:rFonts w:hint="eastAsia" w:cs="Times New Roman"/>
      </w:rPr>
    </w:lvl>
    <w:lvl w:ilvl="6" w:tentative="0">
      <w:start w:val="1"/>
      <w:numFmt w:val="decimal"/>
      <w:lvlText w:val="%1.%2.%3.%4.%5.%6.%7"/>
      <w:lvlJc w:val="left"/>
      <w:pPr>
        <w:tabs>
          <w:tab w:val="left" w:pos="420"/>
        </w:tabs>
        <w:ind w:left="420" w:hanging="420"/>
      </w:pPr>
      <w:rPr>
        <w:rFonts w:hint="eastAsia" w:cs="Times New Roman"/>
      </w:rPr>
    </w:lvl>
    <w:lvl w:ilvl="7" w:tentative="0">
      <w:start w:val="1"/>
      <w:numFmt w:val="decimal"/>
      <w:lvlText w:val="%1.%2.%3.%4.%5.%6.%7.%8"/>
      <w:lvlJc w:val="left"/>
      <w:pPr>
        <w:tabs>
          <w:tab w:val="left" w:pos="420"/>
        </w:tabs>
        <w:ind w:left="420" w:hanging="420"/>
      </w:pPr>
      <w:rPr>
        <w:rFonts w:hint="eastAsia" w:cs="Times New Roman"/>
      </w:rPr>
    </w:lvl>
    <w:lvl w:ilvl="8" w:tentative="0">
      <w:start w:val="1"/>
      <w:numFmt w:val="decimal"/>
      <w:lvlText w:val="%1.%2.%3.%4.%5.%6.%7.%8.%9"/>
      <w:lvlJc w:val="left"/>
      <w:pPr>
        <w:tabs>
          <w:tab w:val="left" w:pos="420"/>
        </w:tabs>
        <w:ind w:left="420" w:hanging="420"/>
      </w:pPr>
      <w:rPr>
        <w:rFonts w:hint="eastAsia" w:cs="Times New Roman"/>
      </w:rPr>
    </w:lvl>
  </w:abstractNum>
  <w:abstractNum w:abstractNumId="11">
    <w:nsid w:val="3AF4585B"/>
    <w:multiLevelType w:val="multilevel"/>
    <w:tmpl w:val="3AF4585B"/>
    <w:lvl w:ilvl="0" w:tentative="0">
      <w:start w:val="1"/>
      <w:numFmt w:val="decimal"/>
      <w:lvlText w:val="（%1）"/>
      <w:lvlJc w:val="left"/>
      <w:pPr>
        <w:tabs>
          <w:tab w:val="left" w:pos="-524"/>
        </w:tabs>
        <w:ind w:left="-524" w:hanging="375"/>
      </w:pPr>
      <w:rPr>
        <w:rFonts w:hint="default" w:cs="Times New Roman"/>
      </w:rPr>
    </w:lvl>
    <w:lvl w:ilvl="1" w:tentative="0">
      <w:start w:val="3"/>
      <w:numFmt w:val="japaneseCounting"/>
      <w:lvlText w:val="（%2）"/>
      <w:lvlJc w:val="left"/>
      <w:pPr>
        <w:tabs>
          <w:tab w:val="left" w:pos="720"/>
        </w:tabs>
        <w:ind w:left="720" w:hanging="720"/>
      </w:pPr>
      <w:rPr>
        <w:rFonts w:hint="default" w:cs="Times New Roman"/>
      </w:rPr>
    </w:lvl>
    <w:lvl w:ilvl="2" w:tentative="0">
      <w:start w:val="1"/>
      <w:numFmt w:val="lowerRoman"/>
      <w:lvlText w:val="%3."/>
      <w:lvlJc w:val="right"/>
      <w:pPr>
        <w:tabs>
          <w:tab w:val="left" w:pos="361"/>
        </w:tabs>
        <w:ind w:left="361" w:hanging="420"/>
      </w:pPr>
      <w:rPr>
        <w:rFonts w:cs="Times New Roman"/>
      </w:rPr>
    </w:lvl>
    <w:lvl w:ilvl="3" w:tentative="0">
      <w:start w:val="1"/>
      <w:numFmt w:val="decimal"/>
      <w:lvlText w:val="%4."/>
      <w:lvlJc w:val="left"/>
      <w:pPr>
        <w:tabs>
          <w:tab w:val="left" w:pos="781"/>
        </w:tabs>
        <w:ind w:left="781" w:hanging="420"/>
      </w:pPr>
      <w:rPr>
        <w:rFonts w:cs="Times New Roman"/>
      </w:rPr>
    </w:lvl>
    <w:lvl w:ilvl="4" w:tentative="0">
      <w:start w:val="1"/>
      <w:numFmt w:val="lowerLetter"/>
      <w:lvlText w:val="%5)"/>
      <w:lvlJc w:val="left"/>
      <w:pPr>
        <w:tabs>
          <w:tab w:val="left" w:pos="1201"/>
        </w:tabs>
        <w:ind w:left="1201" w:hanging="420"/>
      </w:pPr>
      <w:rPr>
        <w:rFonts w:cs="Times New Roman"/>
      </w:rPr>
    </w:lvl>
    <w:lvl w:ilvl="5" w:tentative="0">
      <w:start w:val="1"/>
      <w:numFmt w:val="lowerRoman"/>
      <w:lvlText w:val="%6."/>
      <w:lvlJc w:val="right"/>
      <w:pPr>
        <w:tabs>
          <w:tab w:val="left" w:pos="1621"/>
        </w:tabs>
        <w:ind w:left="1621" w:hanging="420"/>
      </w:pPr>
      <w:rPr>
        <w:rFonts w:cs="Times New Roman"/>
      </w:rPr>
    </w:lvl>
    <w:lvl w:ilvl="6" w:tentative="0">
      <w:start w:val="1"/>
      <w:numFmt w:val="decimal"/>
      <w:lvlText w:val="%7."/>
      <w:lvlJc w:val="left"/>
      <w:pPr>
        <w:tabs>
          <w:tab w:val="left" w:pos="2041"/>
        </w:tabs>
        <w:ind w:left="2041" w:hanging="420"/>
      </w:pPr>
      <w:rPr>
        <w:rFonts w:cs="Times New Roman"/>
      </w:rPr>
    </w:lvl>
    <w:lvl w:ilvl="7" w:tentative="0">
      <w:start w:val="1"/>
      <w:numFmt w:val="lowerLetter"/>
      <w:lvlText w:val="%8)"/>
      <w:lvlJc w:val="left"/>
      <w:pPr>
        <w:tabs>
          <w:tab w:val="left" w:pos="2461"/>
        </w:tabs>
        <w:ind w:left="2461" w:hanging="420"/>
      </w:pPr>
      <w:rPr>
        <w:rFonts w:cs="Times New Roman"/>
      </w:rPr>
    </w:lvl>
    <w:lvl w:ilvl="8" w:tentative="0">
      <w:start w:val="1"/>
      <w:numFmt w:val="lowerRoman"/>
      <w:lvlText w:val="%9."/>
      <w:lvlJc w:val="right"/>
      <w:pPr>
        <w:tabs>
          <w:tab w:val="left" w:pos="2881"/>
        </w:tabs>
        <w:ind w:left="2881" w:hanging="420"/>
      </w:pPr>
      <w:rPr>
        <w:rFonts w:cs="Times New Roman"/>
      </w:rPr>
    </w:lvl>
  </w:abstractNum>
  <w:abstractNum w:abstractNumId="12">
    <w:nsid w:val="54F403B5"/>
    <w:multiLevelType w:val="singleLevel"/>
    <w:tmpl w:val="54F403B5"/>
    <w:lvl w:ilvl="0" w:tentative="0">
      <w:start w:val="1"/>
      <w:numFmt w:val="chineseCounting"/>
      <w:suff w:val="nothing"/>
      <w:lvlText w:val="%1、"/>
      <w:lvlJc w:val="left"/>
      <w:pPr>
        <w:ind w:left="0" w:firstLine="0"/>
      </w:pPr>
    </w:lvl>
  </w:abstractNum>
  <w:abstractNum w:abstractNumId="13">
    <w:nsid w:val="557FD3DA"/>
    <w:multiLevelType w:val="singleLevel"/>
    <w:tmpl w:val="557FD3DA"/>
    <w:lvl w:ilvl="0" w:tentative="0">
      <w:start w:val="3"/>
      <w:numFmt w:val="chineseCounting"/>
      <w:suff w:val="nothing"/>
      <w:lvlText w:val="%1、"/>
      <w:lvlJc w:val="left"/>
      <w:pPr>
        <w:ind w:left="0" w:firstLine="0"/>
      </w:pPr>
    </w:lvl>
  </w:abstractNum>
  <w:abstractNum w:abstractNumId="14">
    <w:nsid w:val="59E912FC"/>
    <w:multiLevelType w:val="singleLevel"/>
    <w:tmpl w:val="59E912FC"/>
    <w:lvl w:ilvl="0" w:tentative="0">
      <w:start w:val="5"/>
      <w:numFmt w:val="chineseCounting"/>
      <w:suff w:val="nothing"/>
      <w:lvlText w:val="%1、"/>
      <w:lvlJc w:val="left"/>
      <w:rPr>
        <w:rFonts w:hint="eastAsia"/>
      </w:rPr>
    </w:lvl>
  </w:abstractNum>
  <w:abstractNum w:abstractNumId="15">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6">
    <w:nsid w:val="5D9F7323"/>
    <w:multiLevelType w:val="multilevel"/>
    <w:tmpl w:val="5D9F732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BD2A09E"/>
    <w:multiLevelType w:val="singleLevel"/>
    <w:tmpl w:val="6BD2A09E"/>
    <w:lvl w:ilvl="0" w:tentative="0">
      <w:start w:val="1"/>
      <w:numFmt w:val="decimal"/>
      <w:suff w:val="nothing"/>
      <w:lvlText w:val="%1、"/>
      <w:lvlJc w:val="left"/>
    </w:lvl>
  </w:abstractNum>
  <w:abstractNum w:abstractNumId="18">
    <w:nsid w:val="79392A5D"/>
    <w:multiLevelType w:val="singleLevel"/>
    <w:tmpl w:val="79392A5D"/>
    <w:lvl w:ilvl="0" w:tentative="0">
      <w:start w:val="1"/>
      <w:numFmt w:val="chineseCounting"/>
      <w:suff w:val="nothing"/>
      <w:lvlText w:val="%1、"/>
      <w:lvlJc w:val="left"/>
      <w:rPr>
        <w:rFonts w:hint="eastAsia"/>
      </w:rPr>
    </w:lvl>
  </w:abstractNum>
  <w:abstractNum w:abstractNumId="19">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5"/>
  </w:num>
  <w:num w:numId="3">
    <w:abstractNumId w:val="6"/>
  </w:num>
  <w:num w:numId="4">
    <w:abstractNumId w:val="14"/>
  </w:num>
  <w:num w:numId="5">
    <w:abstractNumId w:val="9"/>
  </w:num>
  <w:num w:numId="6">
    <w:abstractNumId w:val="19"/>
  </w:num>
  <w:num w:numId="7">
    <w:abstractNumId w:val="1"/>
  </w:num>
  <w:num w:numId="8">
    <w:abstractNumId w:val="2"/>
    <w:lvlOverride w:ilvl="0">
      <w:startOverride w:val="1"/>
    </w:lvlOverride>
  </w:num>
  <w:num w:numId="9">
    <w:abstractNumId w:val="0"/>
    <w:lvlOverride w:ilvl="0">
      <w:startOverride w:val="1"/>
    </w:lvlOverride>
  </w:num>
  <w:num w:numId="10">
    <w:abstractNumId w:val="7"/>
    <w:lvlOverride w:ilvl="0">
      <w:startOverride w:val="1"/>
    </w:lvlOverride>
  </w:num>
  <w:num w:numId="11">
    <w:abstractNumId w:val="11"/>
  </w:num>
  <w:num w:numId="12">
    <w:abstractNumId w:val="10"/>
  </w:num>
  <w:num w:numId="13">
    <w:abstractNumId w:val="15"/>
  </w:num>
  <w:num w:numId="14">
    <w:abstractNumId w:val="16"/>
  </w:num>
  <w:num w:numId="15">
    <w:abstractNumId w:val="18"/>
  </w:num>
  <w:num w:numId="16">
    <w:abstractNumId w:val="8"/>
  </w:num>
  <w:num w:numId="17">
    <w:abstractNumId w:val="3"/>
  </w:num>
  <w:num w:numId="18">
    <w:abstractNumId w:val="17"/>
  </w:num>
  <w:num w:numId="19">
    <w:abstractNumId w:val="12"/>
    <w:lvlOverride w:ilvl="0">
      <w:startOverride w:val="1"/>
    </w:lvlOverride>
  </w:num>
  <w:num w:numId="20">
    <w:abstractNumId w:val="1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2U4ZGExYjIwNjgzMTI3ZDQxMjIzMWNmMGZhZGUifQ=="/>
  </w:docVars>
  <w:rsids>
    <w:rsidRoot w:val="00172A27"/>
    <w:rsid w:val="000020D1"/>
    <w:rsid w:val="0000469E"/>
    <w:rsid w:val="00004960"/>
    <w:rsid w:val="000100BA"/>
    <w:rsid w:val="00013ACC"/>
    <w:rsid w:val="000140A7"/>
    <w:rsid w:val="0001503C"/>
    <w:rsid w:val="000211CB"/>
    <w:rsid w:val="00021B89"/>
    <w:rsid w:val="00025364"/>
    <w:rsid w:val="00034534"/>
    <w:rsid w:val="00040B6E"/>
    <w:rsid w:val="00041F17"/>
    <w:rsid w:val="00042795"/>
    <w:rsid w:val="000429CF"/>
    <w:rsid w:val="000517F5"/>
    <w:rsid w:val="000526A1"/>
    <w:rsid w:val="000528C6"/>
    <w:rsid w:val="00052D17"/>
    <w:rsid w:val="0006026B"/>
    <w:rsid w:val="00061FD3"/>
    <w:rsid w:val="00066192"/>
    <w:rsid w:val="00067C7D"/>
    <w:rsid w:val="00071105"/>
    <w:rsid w:val="000717C3"/>
    <w:rsid w:val="000750E3"/>
    <w:rsid w:val="000765F2"/>
    <w:rsid w:val="000772F6"/>
    <w:rsid w:val="000773D1"/>
    <w:rsid w:val="00077739"/>
    <w:rsid w:val="00080B28"/>
    <w:rsid w:val="000823E2"/>
    <w:rsid w:val="00082E06"/>
    <w:rsid w:val="000910A6"/>
    <w:rsid w:val="00096BB9"/>
    <w:rsid w:val="00097751"/>
    <w:rsid w:val="000A0281"/>
    <w:rsid w:val="000A10A2"/>
    <w:rsid w:val="000A45A4"/>
    <w:rsid w:val="000A4F9A"/>
    <w:rsid w:val="000A5CCD"/>
    <w:rsid w:val="000A5CE7"/>
    <w:rsid w:val="000A5FBE"/>
    <w:rsid w:val="000A6090"/>
    <w:rsid w:val="000A7566"/>
    <w:rsid w:val="000A7835"/>
    <w:rsid w:val="000B1627"/>
    <w:rsid w:val="000B30F6"/>
    <w:rsid w:val="000B460F"/>
    <w:rsid w:val="000B4E1F"/>
    <w:rsid w:val="000B668A"/>
    <w:rsid w:val="000B75CB"/>
    <w:rsid w:val="000C0DAD"/>
    <w:rsid w:val="000C1E25"/>
    <w:rsid w:val="000C1FCD"/>
    <w:rsid w:val="000C36B8"/>
    <w:rsid w:val="000C3B95"/>
    <w:rsid w:val="000C48B6"/>
    <w:rsid w:val="000C58F2"/>
    <w:rsid w:val="000D0679"/>
    <w:rsid w:val="000D3765"/>
    <w:rsid w:val="000D6DF2"/>
    <w:rsid w:val="000E37E0"/>
    <w:rsid w:val="000E3A8A"/>
    <w:rsid w:val="000E3DDC"/>
    <w:rsid w:val="000E44B1"/>
    <w:rsid w:val="000E5247"/>
    <w:rsid w:val="000E54E8"/>
    <w:rsid w:val="000E56D0"/>
    <w:rsid w:val="000E6387"/>
    <w:rsid w:val="000E74F4"/>
    <w:rsid w:val="000F1760"/>
    <w:rsid w:val="000F31F1"/>
    <w:rsid w:val="000F3394"/>
    <w:rsid w:val="000F6E07"/>
    <w:rsid w:val="000F78C4"/>
    <w:rsid w:val="000F7B5B"/>
    <w:rsid w:val="001070BA"/>
    <w:rsid w:val="00113898"/>
    <w:rsid w:val="0011598D"/>
    <w:rsid w:val="0011601B"/>
    <w:rsid w:val="001203C5"/>
    <w:rsid w:val="00120AE6"/>
    <w:rsid w:val="00120C4F"/>
    <w:rsid w:val="00125ED0"/>
    <w:rsid w:val="00132584"/>
    <w:rsid w:val="0013313F"/>
    <w:rsid w:val="00136C72"/>
    <w:rsid w:val="00136E58"/>
    <w:rsid w:val="00136F8E"/>
    <w:rsid w:val="00137AC1"/>
    <w:rsid w:val="001402DA"/>
    <w:rsid w:val="001516AF"/>
    <w:rsid w:val="00152090"/>
    <w:rsid w:val="0015757C"/>
    <w:rsid w:val="00157A35"/>
    <w:rsid w:val="00157CE0"/>
    <w:rsid w:val="00157D81"/>
    <w:rsid w:val="00162651"/>
    <w:rsid w:val="00162E03"/>
    <w:rsid w:val="00162EA6"/>
    <w:rsid w:val="00163911"/>
    <w:rsid w:val="001641A9"/>
    <w:rsid w:val="001652BE"/>
    <w:rsid w:val="00165AEE"/>
    <w:rsid w:val="00166956"/>
    <w:rsid w:val="00170DAE"/>
    <w:rsid w:val="0017256F"/>
    <w:rsid w:val="00172A27"/>
    <w:rsid w:val="00173998"/>
    <w:rsid w:val="00180FB8"/>
    <w:rsid w:val="00181C49"/>
    <w:rsid w:val="001820F6"/>
    <w:rsid w:val="00184E8E"/>
    <w:rsid w:val="00185ECE"/>
    <w:rsid w:val="001907CE"/>
    <w:rsid w:val="001908DA"/>
    <w:rsid w:val="00190FB5"/>
    <w:rsid w:val="0019147F"/>
    <w:rsid w:val="001952CC"/>
    <w:rsid w:val="001973B3"/>
    <w:rsid w:val="001A0219"/>
    <w:rsid w:val="001A0A65"/>
    <w:rsid w:val="001A3735"/>
    <w:rsid w:val="001A5D6D"/>
    <w:rsid w:val="001A6E7D"/>
    <w:rsid w:val="001B192B"/>
    <w:rsid w:val="001B281E"/>
    <w:rsid w:val="001B4D71"/>
    <w:rsid w:val="001B5C4B"/>
    <w:rsid w:val="001B5DFA"/>
    <w:rsid w:val="001B6FE3"/>
    <w:rsid w:val="001C18E4"/>
    <w:rsid w:val="001C66E0"/>
    <w:rsid w:val="001C6714"/>
    <w:rsid w:val="001D000C"/>
    <w:rsid w:val="001D14D6"/>
    <w:rsid w:val="001D1BF1"/>
    <w:rsid w:val="001D32C3"/>
    <w:rsid w:val="001D411F"/>
    <w:rsid w:val="001D477F"/>
    <w:rsid w:val="001E1987"/>
    <w:rsid w:val="001E1ABE"/>
    <w:rsid w:val="001E3203"/>
    <w:rsid w:val="001E3E15"/>
    <w:rsid w:val="001E5266"/>
    <w:rsid w:val="001E5A33"/>
    <w:rsid w:val="001E6123"/>
    <w:rsid w:val="001F01F9"/>
    <w:rsid w:val="001F04E0"/>
    <w:rsid w:val="001F10CC"/>
    <w:rsid w:val="001F23AA"/>
    <w:rsid w:val="001F4A3F"/>
    <w:rsid w:val="001F55A7"/>
    <w:rsid w:val="00201066"/>
    <w:rsid w:val="00204093"/>
    <w:rsid w:val="00205090"/>
    <w:rsid w:val="00205A5C"/>
    <w:rsid w:val="002071D0"/>
    <w:rsid w:val="0021066E"/>
    <w:rsid w:val="002135E8"/>
    <w:rsid w:val="00215129"/>
    <w:rsid w:val="002171DA"/>
    <w:rsid w:val="00220A51"/>
    <w:rsid w:val="00222783"/>
    <w:rsid w:val="00225414"/>
    <w:rsid w:val="00225FB0"/>
    <w:rsid w:val="00231743"/>
    <w:rsid w:val="00234100"/>
    <w:rsid w:val="00234C5A"/>
    <w:rsid w:val="002361ED"/>
    <w:rsid w:val="00237F32"/>
    <w:rsid w:val="00240F90"/>
    <w:rsid w:val="00240F97"/>
    <w:rsid w:val="002449E5"/>
    <w:rsid w:val="002452A3"/>
    <w:rsid w:val="002453F2"/>
    <w:rsid w:val="00245754"/>
    <w:rsid w:val="00245E73"/>
    <w:rsid w:val="00245F1C"/>
    <w:rsid w:val="00246487"/>
    <w:rsid w:val="0024764A"/>
    <w:rsid w:val="00247DAB"/>
    <w:rsid w:val="00252334"/>
    <w:rsid w:val="00252D92"/>
    <w:rsid w:val="002550E9"/>
    <w:rsid w:val="0025523F"/>
    <w:rsid w:val="002612C9"/>
    <w:rsid w:val="00262446"/>
    <w:rsid w:val="002641BB"/>
    <w:rsid w:val="00264523"/>
    <w:rsid w:val="00264EB6"/>
    <w:rsid w:val="00264FE0"/>
    <w:rsid w:val="0026670F"/>
    <w:rsid w:val="0026681B"/>
    <w:rsid w:val="00273345"/>
    <w:rsid w:val="0027455F"/>
    <w:rsid w:val="0027583F"/>
    <w:rsid w:val="00277AE9"/>
    <w:rsid w:val="002808A3"/>
    <w:rsid w:val="00281371"/>
    <w:rsid w:val="0028173C"/>
    <w:rsid w:val="00282BF3"/>
    <w:rsid w:val="00282DEB"/>
    <w:rsid w:val="00283764"/>
    <w:rsid w:val="0028536D"/>
    <w:rsid w:val="002861AB"/>
    <w:rsid w:val="0028639F"/>
    <w:rsid w:val="0028749D"/>
    <w:rsid w:val="002A0B12"/>
    <w:rsid w:val="002A188E"/>
    <w:rsid w:val="002A3701"/>
    <w:rsid w:val="002A6CD2"/>
    <w:rsid w:val="002B03FD"/>
    <w:rsid w:val="002B0EFA"/>
    <w:rsid w:val="002B20CC"/>
    <w:rsid w:val="002B760F"/>
    <w:rsid w:val="002B7EA6"/>
    <w:rsid w:val="002C0713"/>
    <w:rsid w:val="002C0D0F"/>
    <w:rsid w:val="002C133A"/>
    <w:rsid w:val="002C1F7A"/>
    <w:rsid w:val="002C5FA2"/>
    <w:rsid w:val="002C6213"/>
    <w:rsid w:val="002C7355"/>
    <w:rsid w:val="002D0620"/>
    <w:rsid w:val="002D1508"/>
    <w:rsid w:val="002D1925"/>
    <w:rsid w:val="002D2738"/>
    <w:rsid w:val="002D36F0"/>
    <w:rsid w:val="002D62CF"/>
    <w:rsid w:val="002D634E"/>
    <w:rsid w:val="002D6D42"/>
    <w:rsid w:val="002D7636"/>
    <w:rsid w:val="002E313D"/>
    <w:rsid w:val="002E3ED6"/>
    <w:rsid w:val="002E44AF"/>
    <w:rsid w:val="002E4E17"/>
    <w:rsid w:val="002F262E"/>
    <w:rsid w:val="002F3DD5"/>
    <w:rsid w:val="002F4510"/>
    <w:rsid w:val="002F4A66"/>
    <w:rsid w:val="002F5652"/>
    <w:rsid w:val="002F5DDE"/>
    <w:rsid w:val="002F5E0B"/>
    <w:rsid w:val="002F7683"/>
    <w:rsid w:val="00300F47"/>
    <w:rsid w:val="0030180D"/>
    <w:rsid w:val="00301C70"/>
    <w:rsid w:val="00302C93"/>
    <w:rsid w:val="00303A0B"/>
    <w:rsid w:val="00312846"/>
    <w:rsid w:val="003140D4"/>
    <w:rsid w:val="00317168"/>
    <w:rsid w:val="00320364"/>
    <w:rsid w:val="00320B5F"/>
    <w:rsid w:val="00322CDA"/>
    <w:rsid w:val="00322FA0"/>
    <w:rsid w:val="00323F2D"/>
    <w:rsid w:val="00324F57"/>
    <w:rsid w:val="00330F68"/>
    <w:rsid w:val="003317B4"/>
    <w:rsid w:val="003331F4"/>
    <w:rsid w:val="003334E2"/>
    <w:rsid w:val="00333FAF"/>
    <w:rsid w:val="00334582"/>
    <w:rsid w:val="00334CA0"/>
    <w:rsid w:val="0033661D"/>
    <w:rsid w:val="00341A59"/>
    <w:rsid w:val="003440EC"/>
    <w:rsid w:val="00346936"/>
    <w:rsid w:val="0035123F"/>
    <w:rsid w:val="0035369C"/>
    <w:rsid w:val="0035432D"/>
    <w:rsid w:val="003544B5"/>
    <w:rsid w:val="00363654"/>
    <w:rsid w:val="003636A3"/>
    <w:rsid w:val="003666B1"/>
    <w:rsid w:val="00370103"/>
    <w:rsid w:val="0037030E"/>
    <w:rsid w:val="0037045B"/>
    <w:rsid w:val="00370C29"/>
    <w:rsid w:val="00374BBC"/>
    <w:rsid w:val="00375698"/>
    <w:rsid w:val="00377ED5"/>
    <w:rsid w:val="00380587"/>
    <w:rsid w:val="003857DC"/>
    <w:rsid w:val="00390EFE"/>
    <w:rsid w:val="00392D90"/>
    <w:rsid w:val="00396FBE"/>
    <w:rsid w:val="003A1A9C"/>
    <w:rsid w:val="003A3B0E"/>
    <w:rsid w:val="003A439F"/>
    <w:rsid w:val="003A460D"/>
    <w:rsid w:val="003A5C49"/>
    <w:rsid w:val="003B1F86"/>
    <w:rsid w:val="003B4250"/>
    <w:rsid w:val="003B51D1"/>
    <w:rsid w:val="003B63E2"/>
    <w:rsid w:val="003B646F"/>
    <w:rsid w:val="003B6D7D"/>
    <w:rsid w:val="003C1270"/>
    <w:rsid w:val="003C3CF2"/>
    <w:rsid w:val="003C42C7"/>
    <w:rsid w:val="003C4625"/>
    <w:rsid w:val="003D2933"/>
    <w:rsid w:val="003D2C16"/>
    <w:rsid w:val="003D3E56"/>
    <w:rsid w:val="003D427F"/>
    <w:rsid w:val="003D43D9"/>
    <w:rsid w:val="003D6276"/>
    <w:rsid w:val="003E1909"/>
    <w:rsid w:val="003E270F"/>
    <w:rsid w:val="003E29FF"/>
    <w:rsid w:val="003F05A5"/>
    <w:rsid w:val="003F1255"/>
    <w:rsid w:val="003F16D2"/>
    <w:rsid w:val="003F47BE"/>
    <w:rsid w:val="0040337C"/>
    <w:rsid w:val="00405799"/>
    <w:rsid w:val="0040676D"/>
    <w:rsid w:val="00407C6C"/>
    <w:rsid w:val="004100A0"/>
    <w:rsid w:val="00411A6E"/>
    <w:rsid w:val="004145D4"/>
    <w:rsid w:val="0042049E"/>
    <w:rsid w:val="00420711"/>
    <w:rsid w:val="0042311D"/>
    <w:rsid w:val="00425913"/>
    <w:rsid w:val="0042621A"/>
    <w:rsid w:val="00430108"/>
    <w:rsid w:val="004327BA"/>
    <w:rsid w:val="004370FA"/>
    <w:rsid w:val="0044037B"/>
    <w:rsid w:val="004412DE"/>
    <w:rsid w:val="0044262B"/>
    <w:rsid w:val="004426E2"/>
    <w:rsid w:val="004456B0"/>
    <w:rsid w:val="004501B7"/>
    <w:rsid w:val="0045042E"/>
    <w:rsid w:val="00450B0B"/>
    <w:rsid w:val="004523C0"/>
    <w:rsid w:val="004551E9"/>
    <w:rsid w:val="004558DF"/>
    <w:rsid w:val="004574C5"/>
    <w:rsid w:val="004608F5"/>
    <w:rsid w:val="00461365"/>
    <w:rsid w:val="00464929"/>
    <w:rsid w:val="00465153"/>
    <w:rsid w:val="00470107"/>
    <w:rsid w:val="0047158F"/>
    <w:rsid w:val="004751C7"/>
    <w:rsid w:val="00475493"/>
    <w:rsid w:val="0047729E"/>
    <w:rsid w:val="0048063D"/>
    <w:rsid w:val="0048110A"/>
    <w:rsid w:val="00481F74"/>
    <w:rsid w:val="00482057"/>
    <w:rsid w:val="004821A8"/>
    <w:rsid w:val="00485DA9"/>
    <w:rsid w:val="004875E8"/>
    <w:rsid w:val="00491079"/>
    <w:rsid w:val="0049219E"/>
    <w:rsid w:val="00492300"/>
    <w:rsid w:val="004956DF"/>
    <w:rsid w:val="004A1225"/>
    <w:rsid w:val="004A3332"/>
    <w:rsid w:val="004A5234"/>
    <w:rsid w:val="004A66B6"/>
    <w:rsid w:val="004B02EF"/>
    <w:rsid w:val="004B27EE"/>
    <w:rsid w:val="004B3428"/>
    <w:rsid w:val="004B5DDF"/>
    <w:rsid w:val="004B617F"/>
    <w:rsid w:val="004B6C78"/>
    <w:rsid w:val="004B7929"/>
    <w:rsid w:val="004C1B24"/>
    <w:rsid w:val="004C1D9B"/>
    <w:rsid w:val="004C2CBB"/>
    <w:rsid w:val="004C3B37"/>
    <w:rsid w:val="004C6E7E"/>
    <w:rsid w:val="004C7F81"/>
    <w:rsid w:val="004D36A4"/>
    <w:rsid w:val="004D50EE"/>
    <w:rsid w:val="004D7594"/>
    <w:rsid w:val="004E20EF"/>
    <w:rsid w:val="004E5358"/>
    <w:rsid w:val="004E5D4B"/>
    <w:rsid w:val="004F059F"/>
    <w:rsid w:val="004F0CFB"/>
    <w:rsid w:val="004F1229"/>
    <w:rsid w:val="004F246B"/>
    <w:rsid w:val="004F3130"/>
    <w:rsid w:val="004F4042"/>
    <w:rsid w:val="004F4F39"/>
    <w:rsid w:val="004F5A73"/>
    <w:rsid w:val="004F63E8"/>
    <w:rsid w:val="004F6CC0"/>
    <w:rsid w:val="00502922"/>
    <w:rsid w:val="00503750"/>
    <w:rsid w:val="00504BA1"/>
    <w:rsid w:val="00504D6A"/>
    <w:rsid w:val="005068B7"/>
    <w:rsid w:val="00506DDC"/>
    <w:rsid w:val="00510350"/>
    <w:rsid w:val="00510FD6"/>
    <w:rsid w:val="00511B93"/>
    <w:rsid w:val="00513819"/>
    <w:rsid w:val="00514650"/>
    <w:rsid w:val="00516E84"/>
    <w:rsid w:val="00520376"/>
    <w:rsid w:val="00522A5F"/>
    <w:rsid w:val="00525563"/>
    <w:rsid w:val="00526F98"/>
    <w:rsid w:val="00532726"/>
    <w:rsid w:val="00540AC5"/>
    <w:rsid w:val="00540F0D"/>
    <w:rsid w:val="00543D9A"/>
    <w:rsid w:val="00543E8A"/>
    <w:rsid w:val="00551F4A"/>
    <w:rsid w:val="00554362"/>
    <w:rsid w:val="00555D85"/>
    <w:rsid w:val="00562388"/>
    <w:rsid w:val="00564B33"/>
    <w:rsid w:val="005657AE"/>
    <w:rsid w:val="00565E06"/>
    <w:rsid w:val="00567CB7"/>
    <w:rsid w:val="005723EE"/>
    <w:rsid w:val="00572BE1"/>
    <w:rsid w:val="00572CD1"/>
    <w:rsid w:val="00573CEF"/>
    <w:rsid w:val="0057536A"/>
    <w:rsid w:val="005754DB"/>
    <w:rsid w:val="005756AB"/>
    <w:rsid w:val="005816C0"/>
    <w:rsid w:val="00582C22"/>
    <w:rsid w:val="005830B3"/>
    <w:rsid w:val="00584716"/>
    <w:rsid w:val="00584782"/>
    <w:rsid w:val="00587EB2"/>
    <w:rsid w:val="00590DE4"/>
    <w:rsid w:val="005A43B4"/>
    <w:rsid w:val="005A6404"/>
    <w:rsid w:val="005A7115"/>
    <w:rsid w:val="005B1363"/>
    <w:rsid w:val="005B1650"/>
    <w:rsid w:val="005B2C0D"/>
    <w:rsid w:val="005B3A71"/>
    <w:rsid w:val="005B3E6E"/>
    <w:rsid w:val="005B5942"/>
    <w:rsid w:val="005C2E48"/>
    <w:rsid w:val="005C37BB"/>
    <w:rsid w:val="005C39EB"/>
    <w:rsid w:val="005C4386"/>
    <w:rsid w:val="005C4976"/>
    <w:rsid w:val="005C5744"/>
    <w:rsid w:val="005C5AA5"/>
    <w:rsid w:val="005D2F4F"/>
    <w:rsid w:val="005D4DDA"/>
    <w:rsid w:val="005E1530"/>
    <w:rsid w:val="005E1B91"/>
    <w:rsid w:val="005E4DB2"/>
    <w:rsid w:val="005F0D7E"/>
    <w:rsid w:val="005F178D"/>
    <w:rsid w:val="005F240B"/>
    <w:rsid w:val="005F2CA1"/>
    <w:rsid w:val="005F5C78"/>
    <w:rsid w:val="005F683F"/>
    <w:rsid w:val="005F7E3E"/>
    <w:rsid w:val="006015D9"/>
    <w:rsid w:val="0060182B"/>
    <w:rsid w:val="00603FC8"/>
    <w:rsid w:val="0060726C"/>
    <w:rsid w:val="0061049E"/>
    <w:rsid w:val="00610FBE"/>
    <w:rsid w:val="0061145C"/>
    <w:rsid w:val="00611B3C"/>
    <w:rsid w:val="00611E6C"/>
    <w:rsid w:val="00614261"/>
    <w:rsid w:val="006148B4"/>
    <w:rsid w:val="00622B5A"/>
    <w:rsid w:val="00623821"/>
    <w:rsid w:val="006241C3"/>
    <w:rsid w:val="00624E10"/>
    <w:rsid w:val="00625905"/>
    <w:rsid w:val="00625D7D"/>
    <w:rsid w:val="00627606"/>
    <w:rsid w:val="0063156F"/>
    <w:rsid w:val="00633DC1"/>
    <w:rsid w:val="0063428C"/>
    <w:rsid w:val="00636312"/>
    <w:rsid w:val="006419C3"/>
    <w:rsid w:val="00642E64"/>
    <w:rsid w:val="00643D21"/>
    <w:rsid w:val="006443C7"/>
    <w:rsid w:val="006459F0"/>
    <w:rsid w:val="00647E53"/>
    <w:rsid w:val="006513A6"/>
    <w:rsid w:val="00653BB6"/>
    <w:rsid w:val="00655A70"/>
    <w:rsid w:val="00661E16"/>
    <w:rsid w:val="00664594"/>
    <w:rsid w:val="00664993"/>
    <w:rsid w:val="00665183"/>
    <w:rsid w:val="00667386"/>
    <w:rsid w:val="00667927"/>
    <w:rsid w:val="00670A21"/>
    <w:rsid w:val="00673E29"/>
    <w:rsid w:val="0067734C"/>
    <w:rsid w:val="0068011F"/>
    <w:rsid w:val="0068035C"/>
    <w:rsid w:val="00680FC0"/>
    <w:rsid w:val="00682CF5"/>
    <w:rsid w:val="0068353C"/>
    <w:rsid w:val="00683600"/>
    <w:rsid w:val="00686726"/>
    <w:rsid w:val="0068688C"/>
    <w:rsid w:val="006932F4"/>
    <w:rsid w:val="00694924"/>
    <w:rsid w:val="0069593E"/>
    <w:rsid w:val="006A343B"/>
    <w:rsid w:val="006B15B5"/>
    <w:rsid w:val="006B22FC"/>
    <w:rsid w:val="006B4C92"/>
    <w:rsid w:val="006B50E2"/>
    <w:rsid w:val="006B6B18"/>
    <w:rsid w:val="006C5B24"/>
    <w:rsid w:val="006C6FC8"/>
    <w:rsid w:val="006C7F73"/>
    <w:rsid w:val="006D0AD1"/>
    <w:rsid w:val="006D16A6"/>
    <w:rsid w:val="006D42FE"/>
    <w:rsid w:val="006D55EB"/>
    <w:rsid w:val="006D612A"/>
    <w:rsid w:val="006D75B7"/>
    <w:rsid w:val="006E2B22"/>
    <w:rsid w:val="006E31CA"/>
    <w:rsid w:val="006E5C15"/>
    <w:rsid w:val="006F000D"/>
    <w:rsid w:val="006F361B"/>
    <w:rsid w:val="006F3FB5"/>
    <w:rsid w:val="006F49BD"/>
    <w:rsid w:val="006F4AD3"/>
    <w:rsid w:val="00700C74"/>
    <w:rsid w:val="00705650"/>
    <w:rsid w:val="0070709C"/>
    <w:rsid w:val="007105B1"/>
    <w:rsid w:val="00710E02"/>
    <w:rsid w:val="00711DAF"/>
    <w:rsid w:val="007123A7"/>
    <w:rsid w:val="00712711"/>
    <w:rsid w:val="00712E65"/>
    <w:rsid w:val="00714E62"/>
    <w:rsid w:val="00715DD8"/>
    <w:rsid w:val="007173B9"/>
    <w:rsid w:val="00717483"/>
    <w:rsid w:val="00717501"/>
    <w:rsid w:val="007205BE"/>
    <w:rsid w:val="0072089A"/>
    <w:rsid w:val="0072278A"/>
    <w:rsid w:val="00722FCD"/>
    <w:rsid w:val="00723F9D"/>
    <w:rsid w:val="007249F8"/>
    <w:rsid w:val="00725811"/>
    <w:rsid w:val="00732D1C"/>
    <w:rsid w:val="00733B00"/>
    <w:rsid w:val="007406E2"/>
    <w:rsid w:val="00740988"/>
    <w:rsid w:val="00740A4D"/>
    <w:rsid w:val="00742FBC"/>
    <w:rsid w:val="00744010"/>
    <w:rsid w:val="00745864"/>
    <w:rsid w:val="00745BB9"/>
    <w:rsid w:val="00745FC6"/>
    <w:rsid w:val="00747DF4"/>
    <w:rsid w:val="007527BF"/>
    <w:rsid w:val="00753F3F"/>
    <w:rsid w:val="007568A1"/>
    <w:rsid w:val="0075741F"/>
    <w:rsid w:val="0076216B"/>
    <w:rsid w:val="00764A14"/>
    <w:rsid w:val="007703C6"/>
    <w:rsid w:val="007725D0"/>
    <w:rsid w:val="00774309"/>
    <w:rsid w:val="00774BAD"/>
    <w:rsid w:val="00776EDB"/>
    <w:rsid w:val="00777023"/>
    <w:rsid w:val="007778EB"/>
    <w:rsid w:val="007840CE"/>
    <w:rsid w:val="00784419"/>
    <w:rsid w:val="00790A06"/>
    <w:rsid w:val="00791336"/>
    <w:rsid w:val="007916D7"/>
    <w:rsid w:val="00792948"/>
    <w:rsid w:val="00792CDE"/>
    <w:rsid w:val="007954D8"/>
    <w:rsid w:val="007A1D41"/>
    <w:rsid w:val="007A210A"/>
    <w:rsid w:val="007A22A3"/>
    <w:rsid w:val="007A39BA"/>
    <w:rsid w:val="007A41D7"/>
    <w:rsid w:val="007A4374"/>
    <w:rsid w:val="007A464A"/>
    <w:rsid w:val="007B1683"/>
    <w:rsid w:val="007B1AB0"/>
    <w:rsid w:val="007B2CFE"/>
    <w:rsid w:val="007B338F"/>
    <w:rsid w:val="007B5423"/>
    <w:rsid w:val="007B6190"/>
    <w:rsid w:val="007B6A6A"/>
    <w:rsid w:val="007B6C9E"/>
    <w:rsid w:val="007B7415"/>
    <w:rsid w:val="007B7552"/>
    <w:rsid w:val="007B77E3"/>
    <w:rsid w:val="007B7AA3"/>
    <w:rsid w:val="007C116E"/>
    <w:rsid w:val="007C26F8"/>
    <w:rsid w:val="007C3405"/>
    <w:rsid w:val="007D02B5"/>
    <w:rsid w:val="007D0799"/>
    <w:rsid w:val="007D10AB"/>
    <w:rsid w:val="007D1D5B"/>
    <w:rsid w:val="007D3DCD"/>
    <w:rsid w:val="007D593F"/>
    <w:rsid w:val="007D5BCB"/>
    <w:rsid w:val="007D6026"/>
    <w:rsid w:val="007E069D"/>
    <w:rsid w:val="007E0983"/>
    <w:rsid w:val="007E1DC4"/>
    <w:rsid w:val="007E2F31"/>
    <w:rsid w:val="007F1E15"/>
    <w:rsid w:val="007F5396"/>
    <w:rsid w:val="007F6964"/>
    <w:rsid w:val="007F7348"/>
    <w:rsid w:val="00803D04"/>
    <w:rsid w:val="0080584C"/>
    <w:rsid w:val="00807618"/>
    <w:rsid w:val="00807DB0"/>
    <w:rsid w:val="00810523"/>
    <w:rsid w:val="00811C8B"/>
    <w:rsid w:val="00814119"/>
    <w:rsid w:val="00814AB4"/>
    <w:rsid w:val="008154D0"/>
    <w:rsid w:val="00815C67"/>
    <w:rsid w:val="0082536B"/>
    <w:rsid w:val="00826B03"/>
    <w:rsid w:val="008307DF"/>
    <w:rsid w:val="0083175D"/>
    <w:rsid w:val="00831A2F"/>
    <w:rsid w:val="00832917"/>
    <w:rsid w:val="00833C4E"/>
    <w:rsid w:val="00835D0C"/>
    <w:rsid w:val="00835D2F"/>
    <w:rsid w:val="008369F1"/>
    <w:rsid w:val="0083710F"/>
    <w:rsid w:val="008375FF"/>
    <w:rsid w:val="008415D2"/>
    <w:rsid w:val="00843CA7"/>
    <w:rsid w:val="008442F6"/>
    <w:rsid w:val="0084548A"/>
    <w:rsid w:val="00845C32"/>
    <w:rsid w:val="0084671B"/>
    <w:rsid w:val="00851143"/>
    <w:rsid w:val="008539D7"/>
    <w:rsid w:val="00857E55"/>
    <w:rsid w:val="00860E97"/>
    <w:rsid w:val="0086117C"/>
    <w:rsid w:val="00864169"/>
    <w:rsid w:val="008653D9"/>
    <w:rsid w:val="00870DAA"/>
    <w:rsid w:val="008717EC"/>
    <w:rsid w:val="00872BA5"/>
    <w:rsid w:val="00874BD1"/>
    <w:rsid w:val="00876E97"/>
    <w:rsid w:val="00881A2F"/>
    <w:rsid w:val="008822EF"/>
    <w:rsid w:val="00882566"/>
    <w:rsid w:val="00884409"/>
    <w:rsid w:val="00885B23"/>
    <w:rsid w:val="00887943"/>
    <w:rsid w:val="00890575"/>
    <w:rsid w:val="008923AF"/>
    <w:rsid w:val="00893B7B"/>
    <w:rsid w:val="0089458F"/>
    <w:rsid w:val="00896FA1"/>
    <w:rsid w:val="008A1014"/>
    <w:rsid w:val="008A2005"/>
    <w:rsid w:val="008A348E"/>
    <w:rsid w:val="008A3D60"/>
    <w:rsid w:val="008A4BBE"/>
    <w:rsid w:val="008A7E00"/>
    <w:rsid w:val="008B0154"/>
    <w:rsid w:val="008B114E"/>
    <w:rsid w:val="008B33C4"/>
    <w:rsid w:val="008B77A5"/>
    <w:rsid w:val="008C035F"/>
    <w:rsid w:val="008C30E1"/>
    <w:rsid w:val="008C36F6"/>
    <w:rsid w:val="008C56BE"/>
    <w:rsid w:val="008C602C"/>
    <w:rsid w:val="008C7DEF"/>
    <w:rsid w:val="008D0799"/>
    <w:rsid w:val="008D1E60"/>
    <w:rsid w:val="008D45E5"/>
    <w:rsid w:val="008D572F"/>
    <w:rsid w:val="008D6204"/>
    <w:rsid w:val="008D665F"/>
    <w:rsid w:val="008D6B3F"/>
    <w:rsid w:val="008E3C58"/>
    <w:rsid w:val="008E5336"/>
    <w:rsid w:val="008E61B7"/>
    <w:rsid w:val="008E66E7"/>
    <w:rsid w:val="008E7F0A"/>
    <w:rsid w:val="008F1D93"/>
    <w:rsid w:val="008F267D"/>
    <w:rsid w:val="008F26E7"/>
    <w:rsid w:val="008F4CF0"/>
    <w:rsid w:val="0090021D"/>
    <w:rsid w:val="00900D62"/>
    <w:rsid w:val="00904D66"/>
    <w:rsid w:val="0091292B"/>
    <w:rsid w:val="00921EBB"/>
    <w:rsid w:val="00921F47"/>
    <w:rsid w:val="0092388F"/>
    <w:rsid w:val="0092578D"/>
    <w:rsid w:val="00927B53"/>
    <w:rsid w:val="00930C30"/>
    <w:rsid w:val="009319D5"/>
    <w:rsid w:val="00931AF9"/>
    <w:rsid w:val="00932626"/>
    <w:rsid w:val="00933655"/>
    <w:rsid w:val="0093637C"/>
    <w:rsid w:val="00936A7D"/>
    <w:rsid w:val="00936FC1"/>
    <w:rsid w:val="00937D7D"/>
    <w:rsid w:val="00940B3D"/>
    <w:rsid w:val="00942007"/>
    <w:rsid w:val="0094246A"/>
    <w:rsid w:val="0094329C"/>
    <w:rsid w:val="009443A3"/>
    <w:rsid w:val="0094534C"/>
    <w:rsid w:val="0094770C"/>
    <w:rsid w:val="009607B4"/>
    <w:rsid w:val="009628EC"/>
    <w:rsid w:val="00967043"/>
    <w:rsid w:val="00967DE1"/>
    <w:rsid w:val="00972499"/>
    <w:rsid w:val="009777F6"/>
    <w:rsid w:val="00977F88"/>
    <w:rsid w:val="009801C4"/>
    <w:rsid w:val="0098645F"/>
    <w:rsid w:val="009913F0"/>
    <w:rsid w:val="00992707"/>
    <w:rsid w:val="009934FC"/>
    <w:rsid w:val="009937D6"/>
    <w:rsid w:val="009940E1"/>
    <w:rsid w:val="00996A02"/>
    <w:rsid w:val="009A0264"/>
    <w:rsid w:val="009A0BB7"/>
    <w:rsid w:val="009A11E4"/>
    <w:rsid w:val="009A1613"/>
    <w:rsid w:val="009A25CC"/>
    <w:rsid w:val="009A289A"/>
    <w:rsid w:val="009A5AD0"/>
    <w:rsid w:val="009A5B8A"/>
    <w:rsid w:val="009A6441"/>
    <w:rsid w:val="009A6530"/>
    <w:rsid w:val="009A6AB6"/>
    <w:rsid w:val="009A7560"/>
    <w:rsid w:val="009B1709"/>
    <w:rsid w:val="009B1718"/>
    <w:rsid w:val="009B2A6F"/>
    <w:rsid w:val="009B3954"/>
    <w:rsid w:val="009B45BE"/>
    <w:rsid w:val="009B6778"/>
    <w:rsid w:val="009B6ABF"/>
    <w:rsid w:val="009B6F7A"/>
    <w:rsid w:val="009C0BE2"/>
    <w:rsid w:val="009C21CC"/>
    <w:rsid w:val="009C2835"/>
    <w:rsid w:val="009C4980"/>
    <w:rsid w:val="009C4BEB"/>
    <w:rsid w:val="009C5451"/>
    <w:rsid w:val="009C6A10"/>
    <w:rsid w:val="009C6DEE"/>
    <w:rsid w:val="009D0C96"/>
    <w:rsid w:val="009D1055"/>
    <w:rsid w:val="009D3C50"/>
    <w:rsid w:val="009D50DC"/>
    <w:rsid w:val="009D5982"/>
    <w:rsid w:val="009D6637"/>
    <w:rsid w:val="009D6B48"/>
    <w:rsid w:val="009D7984"/>
    <w:rsid w:val="009E027E"/>
    <w:rsid w:val="009E2EB9"/>
    <w:rsid w:val="009E4D2A"/>
    <w:rsid w:val="009F23DE"/>
    <w:rsid w:val="009F3666"/>
    <w:rsid w:val="009F3B2E"/>
    <w:rsid w:val="009F3B69"/>
    <w:rsid w:val="009F535E"/>
    <w:rsid w:val="009F7F82"/>
    <w:rsid w:val="00A00231"/>
    <w:rsid w:val="00A019A6"/>
    <w:rsid w:val="00A01D8A"/>
    <w:rsid w:val="00A039B7"/>
    <w:rsid w:val="00A03CB3"/>
    <w:rsid w:val="00A04039"/>
    <w:rsid w:val="00A04563"/>
    <w:rsid w:val="00A05C4D"/>
    <w:rsid w:val="00A06171"/>
    <w:rsid w:val="00A069E6"/>
    <w:rsid w:val="00A06F22"/>
    <w:rsid w:val="00A074F6"/>
    <w:rsid w:val="00A1122E"/>
    <w:rsid w:val="00A118DC"/>
    <w:rsid w:val="00A11A46"/>
    <w:rsid w:val="00A135E0"/>
    <w:rsid w:val="00A15557"/>
    <w:rsid w:val="00A17A8F"/>
    <w:rsid w:val="00A207B5"/>
    <w:rsid w:val="00A24318"/>
    <w:rsid w:val="00A24BF8"/>
    <w:rsid w:val="00A250AD"/>
    <w:rsid w:val="00A25327"/>
    <w:rsid w:val="00A27ECE"/>
    <w:rsid w:val="00A322A2"/>
    <w:rsid w:val="00A32F70"/>
    <w:rsid w:val="00A336F6"/>
    <w:rsid w:val="00A40E62"/>
    <w:rsid w:val="00A41277"/>
    <w:rsid w:val="00A45EBF"/>
    <w:rsid w:val="00A51E1F"/>
    <w:rsid w:val="00A53CF7"/>
    <w:rsid w:val="00A57B31"/>
    <w:rsid w:val="00A61F6C"/>
    <w:rsid w:val="00A62852"/>
    <w:rsid w:val="00A62EB9"/>
    <w:rsid w:val="00A63FB1"/>
    <w:rsid w:val="00A6485D"/>
    <w:rsid w:val="00A67510"/>
    <w:rsid w:val="00A7049C"/>
    <w:rsid w:val="00A724F9"/>
    <w:rsid w:val="00A751B5"/>
    <w:rsid w:val="00A7683E"/>
    <w:rsid w:val="00A7712C"/>
    <w:rsid w:val="00A821EF"/>
    <w:rsid w:val="00A87A6E"/>
    <w:rsid w:val="00A91FBF"/>
    <w:rsid w:val="00A92AFD"/>
    <w:rsid w:val="00A94C0F"/>
    <w:rsid w:val="00A9690B"/>
    <w:rsid w:val="00AA137F"/>
    <w:rsid w:val="00AA7CE9"/>
    <w:rsid w:val="00AB0A9F"/>
    <w:rsid w:val="00AB0BBB"/>
    <w:rsid w:val="00AB1BAF"/>
    <w:rsid w:val="00AB2D72"/>
    <w:rsid w:val="00AB4423"/>
    <w:rsid w:val="00AB45E7"/>
    <w:rsid w:val="00AB51E5"/>
    <w:rsid w:val="00AB5391"/>
    <w:rsid w:val="00AB776C"/>
    <w:rsid w:val="00AC0197"/>
    <w:rsid w:val="00AC0D59"/>
    <w:rsid w:val="00AC368D"/>
    <w:rsid w:val="00AC4072"/>
    <w:rsid w:val="00AC4746"/>
    <w:rsid w:val="00AC5687"/>
    <w:rsid w:val="00AC5F24"/>
    <w:rsid w:val="00AC77B7"/>
    <w:rsid w:val="00AD1E77"/>
    <w:rsid w:val="00AD3036"/>
    <w:rsid w:val="00AD4B49"/>
    <w:rsid w:val="00AD6697"/>
    <w:rsid w:val="00AD74E0"/>
    <w:rsid w:val="00AD79B0"/>
    <w:rsid w:val="00AE0F47"/>
    <w:rsid w:val="00AE1831"/>
    <w:rsid w:val="00AE2B36"/>
    <w:rsid w:val="00AE4A56"/>
    <w:rsid w:val="00AE4B5A"/>
    <w:rsid w:val="00AF4EEF"/>
    <w:rsid w:val="00AF6D6A"/>
    <w:rsid w:val="00AF7C86"/>
    <w:rsid w:val="00B00E46"/>
    <w:rsid w:val="00B02C92"/>
    <w:rsid w:val="00B035C0"/>
    <w:rsid w:val="00B04FA7"/>
    <w:rsid w:val="00B06C23"/>
    <w:rsid w:val="00B0754D"/>
    <w:rsid w:val="00B078E0"/>
    <w:rsid w:val="00B14CDA"/>
    <w:rsid w:val="00B14FE4"/>
    <w:rsid w:val="00B15565"/>
    <w:rsid w:val="00B159A8"/>
    <w:rsid w:val="00B20B2D"/>
    <w:rsid w:val="00B21EED"/>
    <w:rsid w:val="00B22E12"/>
    <w:rsid w:val="00B23A3B"/>
    <w:rsid w:val="00B23D5F"/>
    <w:rsid w:val="00B2635D"/>
    <w:rsid w:val="00B265AA"/>
    <w:rsid w:val="00B26C5E"/>
    <w:rsid w:val="00B30887"/>
    <w:rsid w:val="00B312AD"/>
    <w:rsid w:val="00B33ED8"/>
    <w:rsid w:val="00B35FA3"/>
    <w:rsid w:val="00B370FE"/>
    <w:rsid w:val="00B41F38"/>
    <w:rsid w:val="00B444C0"/>
    <w:rsid w:val="00B45565"/>
    <w:rsid w:val="00B50333"/>
    <w:rsid w:val="00B5194A"/>
    <w:rsid w:val="00B5707A"/>
    <w:rsid w:val="00B5793D"/>
    <w:rsid w:val="00B62FCB"/>
    <w:rsid w:val="00B63DD3"/>
    <w:rsid w:val="00B65D01"/>
    <w:rsid w:val="00B65D90"/>
    <w:rsid w:val="00B67782"/>
    <w:rsid w:val="00B74335"/>
    <w:rsid w:val="00B754C4"/>
    <w:rsid w:val="00B75BC7"/>
    <w:rsid w:val="00B80B5C"/>
    <w:rsid w:val="00B83F89"/>
    <w:rsid w:val="00B84069"/>
    <w:rsid w:val="00B84B79"/>
    <w:rsid w:val="00B84D22"/>
    <w:rsid w:val="00B8565C"/>
    <w:rsid w:val="00B92E80"/>
    <w:rsid w:val="00B939D8"/>
    <w:rsid w:val="00B9507C"/>
    <w:rsid w:val="00B95EA4"/>
    <w:rsid w:val="00B95ECF"/>
    <w:rsid w:val="00BA16C6"/>
    <w:rsid w:val="00BA328E"/>
    <w:rsid w:val="00BA4AD8"/>
    <w:rsid w:val="00BA6683"/>
    <w:rsid w:val="00BB1A96"/>
    <w:rsid w:val="00BB299D"/>
    <w:rsid w:val="00BB3C54"/>
    <w:rsid w:val="00BB64C1"/>
    <w:rsid w:val="00BB73C4"/>
    <w:rsid w:val="00BC0D8B"/>
    <w:rsid w:val="00BC12BC"/>
    <w:rsid w:val="00BC543D"/>
    <w:rsid w:val="00BC65A3"/>
    <w:rsid w:val="00BC6892"/>
    <w:rsid w:val="00BD1280"/>
    <w:rsid w:val="00BD21F7"/>
    <w:rsid w:val="00BD31B8"/>
    <w:rsid w:val="00BD4765"/>
    <w:rsid w:val="00BD6BA5"/>
    <w:rsid w:val="00BD6FC9"/>
    <w:rsid w:val="00BD7FF9"/>
    <w:rsid w:val="00BE05C8"/>
    <w:rsid w:val="00BE0727"/>
    <w:rsid w:val="00BE29D0"/>
    <w:rsid w:val="00BE4D4D"/>
    <w:rsid w:val="00BE4FDB"/>
    <w:rsid w:val="00BE5C2C"/>
    <w:rsid w:val="00BE6386"/>
    <w:rsid w:val="00BE6423"/>
    <w:rsid w:val="00BE6441"/>
    <w:rsid w:val="00BF05CF"/>
    <w:rsid w:val="00BF0810"/>
    <w:rsid w:val="00BF1E9B"/>
    <w:rsid w:val="00BF4ED2"/>
    <w:rsid w:val="00BF525E"/>
    <w:rsid w:val="00BF7AAB"/>
    <w:rsid w:val="00C039E5"/>
    <w:rsid w:val="00C0682B"/>
    <w:rsid w:val="00C06910"/>
    <w:rsid w:val="00C077A8"/>
    <w:rsid w:val="00C116BF"/>
    <w:rsid w:val="00C12586"/>
    <w:rsid w:val="00C13916"/>
    <w:rsid w:val="00C1467F"/>
    <w:rsid w:val="00C1508F"/>
    <w:rsid w:val="00C2026E"/>
    <w:rsid w:val="00C2178D"/>
    <w:rsid w:val="00C22710"/>
    <w:rsid w:val="00C24AA2"/>
    <w:rsid w:val="00C31A8F"/>
    <w:rsid w:val="00C37C6E"/>
    <w:rsid w:val="00C42F9E"/>
    <w:rsid w:val="00C43DD2"/>
    <w:rsid w:val="00C458ED"/>
    <w:rsid w:val="00C54D62"/>
    <w:rsid w:val="00C5749C"/>
    <w:rsid w:val="00C61605"/>
    <w:rsid w:val="00C61CBD"/>
    <w:rsid w:val="00C64F3E"/>
    <w:rsid w:val="00C652B8"/>
    <w:rsid w:val="00C71351"/>
    <w:rsid w:val="00C7207C"/>
    <w:rsid w:val="00C72709"/>
    <w:rsid w:val="00C72D05"/>
    <w:rsid w:val="00C731D8"/>
    <w:rsid w:val="00C74231"/>
    <w:rsid w:val="00C75D03"/>
    <w:rsid w:val="00C77254"/>
    <w:rsid w:val="00C80944"/>
    <w:rsid w:val="00C84CD5"/>
    <w:rsid w:val="00C850BE"/>
    <w:rsid w:val="00C86F88"/>
    <w:rsid w:val="00C87BBD"/>
    <w:rsid w:val="00C90266"/>
    <w:rsid w:val="00C93722"/>
    <w:rsid w:val="00C95B9B"/>
    <w:rsid w:val="00CA3651"/>
    <w:rsid w:val="00CA4352"/>
    <w:rsid w:val="00CA445C"/>
    <w:rsid w:val="00CA7BB9"/>
    <w:rsid w:val="00CB2459"/>
    <w:rsid w:val="00CB24BB"/>
    <w:rsid w:val="00CB3536"/>
    <w:rsid w:val="00CB4265"/>
    <w:rsid w:val="00CB4798"/>
    <w:rsid w:val="00CB4992"/>
    <w:rsid w:val="00CC2550"/>
    <w:rsid w:val="00CC42D2"/>
    <w:rsid w:val="00CC46CE"/>
    <w:rsid w:val="00CC4D80"/>
    <w:rsid w:val="00CD15BF"/>
    <w:rsid w:val="00CD4742"/>
    <w:rsid w:val="00CD51EE"/>
    <w:rsid w:val="00CD5845"/>
    <w:rsid w:val="00CD6F2E"/>
    <w:rsid w:val="00CE2EE3"/>
    <w:rsid w:val="00CE3202"/>
    <w:rsid w:val="00CE683A"/>
    <w:rsid w:val="00CE7AA7"/>
    <w:rsid w:val="00CE7BF5"/>
    <w:rsid w:val="00CF060E"/>
    <w:rsid w:val="00CF1A4A"/>
    <w:rsid w:val="00CF26BF"/>
    <w:rsid w:val="00CF389B"/>
    <w:rsid w:val="00CF463C"/>
    <w:rsid w:val="00CF5280"/>
    <w:rsid w:val="00CF5521"/>
    <w:rsid w:val="00CF64BA"/>
    <w:rsid w:val="00CF7E90"/>
    <w:rsid w:val="00D01268"/>
    <w:rsid w:val="00D014C4"/>
    <w:rsid w:val="00D0767B"/>
    <w:rsid w:val="00D10E31"/>
    <w:rsid w:val="00D1129A"/>
    <w:rsid w:val="00D13922"/>
    <w:rsid w:val="00D13E0F"/>
    <w:rsid w:val="00D17007"/>
    <w:rsid w:val="00D20055"/>
    <w:rsid w:val="00D23BC3"/>
    <w:rsid w:val="00D25C90"/>
    <w:rsid w:val="00D25CC0"/>
    <w:rsid w:val="00D27206"/>
    <w:rsid w:val="00D27871"/>
    <w:rsid w:val="00D307B4"/>
    <w:rsid w:val="00D30F43"/>
    <w:rsid w:val="00D32B36"/>
    <w:rsid w:val="00D33026"/>
    <w:rsid w:val="00D34258"/>
    <w:rsid w:val="00D35CC6"/>
    <w:rsid w:val="00D35E50"/>
    <w:rsid w:val="00D35FE3"/>
    <w:rsid w:val="00D37E3F"/>
    <w:rsid w:val="00D41307"/>
    <w:rsid w:val="00D4293A"/>
    <w:rsid w:val="00D42D14"/>
    <w:rsid w:val="00D47449"/>
    <w:rsid w:val="00D4755E"/>
    <w:rsid w:val="00D47910"/>
    <w:rsid w:val="00D51886"/>
    <w:rsid w:val="00D55822"/>
    <w:rsid w:val="00D6096D"/>
    <w:rsid w:val="00D615CA"/>
    <w:rsid w:val="00D6713E"/>
    <w:rsid w:val="00D671AC"/>
    <w:rsid w:val="00D7139C"/>
    <w:rsid w:val="00D72D5A"/>
    <w:rsid w:val="00D74FA8"/>
    <w:rsid w:val="00D76667"/>
    <w:rsid w:val="00D76BEB"/>
    <w:rsid w:val="00D8161F"/>
    <w:rsid w:val="00D81E5E"/>
    <w:rsid w:val="00D82179"/>
    <w:rsid w:val="00D82AC5"/>
    <w:rsid w:val="00D82FD5"/>
    <w:rsid w:val="00D91FBD"/>
    <w:rsid w:val="00D929FD"/>
    <w:rsid w:val="00D95DCC"/>
    <w:rsid w:val="00D96DE7"/>
    <w:rsid w:val="00DA04F4"/>
    <w:rsid w:val="00DA06AE"/>
    <w:rsid w:val="00DA0B4F"/>
    <w:rsid w:val="00DA0DE9"/>
    <w:rsid w:val="00DA205D"/>
    <w:rsid w:val="00DA263E"/>
    <w:rsid w:val="00DA7401"/>
    <w:rsid w:val="00DA741D"/>
    <w:rsid w:val="00DB09D1"/>
    <w:rsid w:val="00DB1366"/>
    <w:rsid w:val="00DB1C0A"/>
    <w:rsid w:val="00DC017B"/>
    <w:rsid w:val="00DC2E7E"/>
    <w:rsid w:val="00DC2FD7"/>
    <w:rsid w:val="00DC30FE"/>
    <w:rsid w:val="00DC6E00"/>
    <w:rsid w:val="00DD14D9"/>
    <w:rsid w:val="00DD1CE5"/>
    <w:rsid w:val="00DD4444"/>
    <w:rsid w:val="00DD5147"/>
    <w:rsid w:val="00DE1BE7"/>
    <w:rsid w:val="00DE48D4"/>
    <w:rsid w:val="00DE7924"/>
    <w:rsid w:val="00DF014F"/>
    <w:rsid w:val="00DF0A18"/>
    <w:rsid w:val="00DF2AB3"/>
    <w:rsid w:val="00DF3B73"/>
    <w:rsid w:val="00DF57E6"/>
    <w:rsid w:val="00E030C9"/>
    <w:rsid w:val="00E05F07"/>
    <w:rsid w:val="00E10C6F"/>
    <w:rsid w:val="00E12906"/>
    <w:rsid w:val="00E12AD2"/>
    <w:rsid w:val="00E15B0F"/>
    <w:rsid w:val="00E15FF8"/>
    <w:rsid w:val="00E171F7"/>
    <w:rsid w:val="00E172E7"/>
    <w:rsid w:val="00E202C6"/>
    <w:rsid w:val="00E20494"/>
    <w:rsid w:val="00E23410"/>
    <w:rsid w:val="00E23880"/>
    <w:rsid w:val="00E23A0A"/>
    <w:rsid w:val="00E25B77"/>
    <w:rsid w:val="00E25CB9"/>
    <w:rsid w:val="00E26005"/>
    <w:rsid w:val="00E26DBA"/>
    <w:rsid w:val="00E33246"/>
    <w:rsid w:val="00E34157"/>
    <w:rsid w:val="00E34C6C"/>
    <w:rsid w:val="00E34CCD"/>
    <w:rsid w:val="00E34CF2"/>
    <w:rsid w:val="00E34E3C"/>
    <w:rsid w:val="00E3677E"/>
    <w:rsid w:val="00E37F50"/>
    <w:rsid w:val="00E4082C"/>
    <w:rsid w:val="00E4108C"/>
    <w:rsid w:val="00E41128"/>
    <w:rsid w:val="00E41227"/>
    <w:rsid w:val="00E414B4"/>
    <w:rsid w:val="00E42ACF"/>
    <w:rsid w:val="00E42E9C"/>
    <w:rsid w:val="00E42F32"/>
    <w:rsid w:val="00E4402E"/>
    <w:rsid w:val="00E45AFA"/>
    <w:rsid w:val="00E46540"/>
    <w:rsid w:val="00E46994"/>
    <w:rsid w:val="00E46E63"/>
    <w:rsid w:val="00E503B0"/>
    <w:rsid w:val="00E52274"/>
    <w:rsid w:val="00E53E0C"/>
    <w:rsid w:val="00E550A3"/>
    <w:rsid w:val="00E5527F"/>
    <w:rsid w:val="00E572F2"/>
    <w:rsid w:val="00E64671"/>
    <w:rsid w:val="00E6517A"/>
    <w:rsid w:val="00E65CDA"/>
    <w:rsid w:val="00E65FC2"/>
    <w:rsid w:val="00E66729"/>
    <w:rsid w:val="00E66F77"/>
    <w:rsid w:val="00E671F7"/>
    <w:rsid w:val="00E70A19"/>
    <w:rsid w:val="00E7133D"/>
    <w:rsid w:val="00E74B44"/>
    <w:rsid w:val="00E756D4"/>
    <w:rsid w:val="00E75C0C"/>
    <w:rsid w:val="00E81B5B"/>
    <w:rsid w:val="00E8358F"/>
    <w:rsid w:val="00E842F5"/>
    <w:rsid w:val="00E91E5B"/>
    <w:rsid w:val="00E949B9"/>
    <w:rsid w:val="00EA4BFD"/>
    <w:rsid w:val="00EA4D43"/>
    <w:rsid w:val="00EA64CC"/>
    <w:rsid w:val="00EB0C61"/>
    <w:rsid w:val="00EB3213"/>
    <w:rsid w:val="00EB35A4"/>
    <w:rsid w:val="00EB3D98"/>
    <w:rsid w:val="00EB4DC1"/>
    <w:rsid w:val="00EB53C3"/>
    <w:rsid w:val="00EB7FC5"/>
    <w:rsid w:val="00EC0F15"/>
    <w:rsid w:val="00EC1014"/>
    <w:rsid w:val="00EC3841"/>
    <w:rsid w:val="00EC44A8"/>
    <w:rsid w:val="00EC4C0A"/>
    <w:rsid w:val="00EC5B02"/>
    <w:rsid w:val="00EC5B74"/>
    <w:rsid w:val="00EC61A3"/>
    <w:rsid w:val="00ED2F44"/>
    <w:rsid w:val="00ED5742"/>
    <w:rsid w:val="00ED59D5"/>
    <w:rsid w:val="00EE17BE"/>
    <w:rsid w:val="00EE2938"/>
    <w:rsid w:val="00EE4D4A"/>
    <w:rsid w:val="00EE5069"/>
    <w:rsid w:val="00EE54B2"/>
    <w:rsid w:val="00EE5E1C"/>
    <w:rsid w:val="00EE6590"/>
    <w:rsid w:val="00EE66B1"/>
    <w:rsid w:val="00EF77E0"/>
    <w:rsid w:val="00F02922"/>
    <w:rsid w:val="00F032A0"/>
    <w:rsid w:val="00F03BFA"/>
    <w:rsid w:val="00F0539C"/>
    <w:rsid w:val="00F054C4"/>
    <w:rsid w:val="00F06DE3"/>
    <w:rsid w:val="00F0786C"/>
    <w:rsid w:val="00F127F0"/>
    <w:rsid w:val="00F1680D"/>
    <w:rsid w:val="00F16B57"/>
    <w:rsid w:val="00F17807"/>
    <w:rsid w:val="00F17ECE"/>
    <w:rsid w:val="00F21121"/>
    <w:rsid w:val="00F2202D"/>
    <w:rsid w:val="00F27AF4"/>
    <w:rsid w:val="00F320F9"/>
    <w:rsid w:val="00F33963"/>
    <w:rsid w:val="00F366DD"/>
    <w:rsid w:val="00F37EC9"/>
    <w:rsid w:val="00F37F56"/>
    <w:rsid w:val="00F41FB4"/>
    <w:rsid w:val="00F42677"/>
    <w:rsid w:val="00F433AF"/>
    <w:rsid w:val="00F45BB9"/>
    <w:rsid w:val="00F61B83"/>
    <w:rsid w:val="00F642DD"/>
    <w:rsid w:val="00F65910"/>
    <w:rsid w:val="00F67754"/>
    <w:rsid w:val="00F701AF"/>
    <w:rsid w:val="00F726E3"/>
    <w:rsid w:val="00F72D91"/>
    <w:rsid w:val="00F7396B"/>
    <w:rsid w:val="00F75B38"/>
    <w:rsid w:val="00F75D02"/>
    <w:rsid w:val="00F76E40"/>
    <w:rsid w:val="00F815A1"/>
    <w:rsid w:val="00F8287B"/>
    <w:rsid w:val="00F85348"/>
    <w:rsid w:val="00F85C36"/>
    <w:rsid w:val="00F866C3"/>
    <w:rsid w:val="00F90209"/>
    <w:rsid w:val="00F9119F"/>
    <w:rsid w:val="00F93B86"/>
    <w:rsid w:val="00F963A6"/>
    <w:rsid w:val="00F975DA"/>
    <w:rsid w:val="00FA2EAD"/>
    <w:rsid w:val="00FA3209"/>
    <w:rsid w:val="00FA4398"/>
    <w:rsid w:val="00FA52BA"/>
    <w:rsid w:val="00FA60AA"/>
    <w:rsid w:val="00FA74B5"/>
    <w:rsid w:val="00FA75BD"/>
    <w:rsid w:val="00FA7FE1"/>
    <w:rsid w:val="00FB01E9"/>
    <w:rsid w:val="00FB0F30"/>
    <w:rsid w:val="00FB1040"/>
    <w:rsid w:val="00FB36DE"/>
    <w:rsid w:val="00FB42A5"/>
    <w:rsid w:val="00FC10E2"/>
    <w:rsid w:val="00FC1D21"/>
    <w:rsid w:val="00FC2430"/>
    <w:rsid w:val="00FC3BD6"/>
    <w:rsid w:val="00FC471F"/>
    <w:rsid w:val="00FC47B4"/>
    <w:rsid w:val="00FC553F"/>
    <w:rsid w:val="00FC555B"/>
    <w:rsid w:val="00FC5C07"/>
    <w:rsid w:val="00FD07F7"/>
    <w:rsid w:val="00FD4636"/>
    <w:rsid w:val="00FD4997"/>
    <w:rsid w:val="00FD4C7B"/>
    <w:rsid w:val="00FD5CCD"/>
    <w:rsid w:val="00FD5CF0"/>
    <w:rsid w:val="00FD6264"/>
    <w:rsid w:val="00FD67BD"/>
    <w:rsid w:val="00FE0AF8"/>
    <w:rsid w:val="00FE3141"/>
    <w:rsid w:val="00FE5B28"/>
    <w:rsid w:val="00FE6290"/>
    <w:rsid w:val="00FE69FA"/>
    <w:rsid w:val="00FF0768"/>
    <w:rsid w:val="00FF09CE"/>
    <w:rsid w:val="00FF2966"/>
    <w:rsid w:val="00FF2A9B"/>
    <w:rsid w:val="00FF5AC5"/>
    <w:rsid w:val="010E0E85"/>
    <w:rsid w:val="011C626C"/>
    <w:rsid w:val="01444A6E"/>
    <w:rsid w:val="0145478B"/>
    <w:rsid w:val="015B3238"/>
    <w:rsid w:val="017A36FD"/>
    <w:rsid w:val="01814321"/>
    <w:rsid w:val="01897A84"/>
    <w:rsid w:val="018B21C1"/>
    <w:rsid w:val="018F6A3E"/>
    <w:rsid w:val="01923C55"/>
    <w:rsid w:val="019271CC"/>
    <w:rsid w:val="01B34E22"/>
    <w:rsid w:val="01B47E04"/>
    <w:rsid w:val="01C24651"/>
    <w:rsid w:val="01C40DDD"/>
    <w:rsid w:val="01C5380A"/>
    <w:rsid w:val="01E84685"/>
    <w:rsid w:val="01F87633"/>
    <w:rsid w:val="021E018C"/>
    <w:rsid w:val="023D293E"/>
    <w:rsid w:val="024B0894"/>
    <w:rsid w:val="024B4428"/>
    <w:rsid w:val="024E71FD"/>
    <w:rsid w:val="02592BFE"/>
    <w:rsid w:val="025D08EA"/>
    <w:rsid w:val="025F28B4"/>
    <w:rsid w:val="026633D8"/>
    <w:rsid w:val="02813C31"/>
    <w:rsid w:val="02A1111E"/>
    <w:rsid w:val="02AB5498"/>
    <w:rsid w:val="02B45585"/>
    <w:rsid w:val="02BC3862"/>
    <w:rsid w:val="02D620B1"/>
    <w:rsid w:val="02E33464"/>
    <w:rsid w:val="02E76C83"/>
    <w:rsid w:val="03096EC1"/>
    <w:rsid w:val="030B2A3C"/>
    <w:rsid w:val="03167B0B"/>
    <w:rsid w:val="032B45E6"/>
    <w:rsid w:val="034F1899"/>
    <w:rsid w:val="03500649"/>
    <w:rsid w:val="035148F2"/>
    <w:rsid w:val="036327D4"/>
    <w:rsid w:val="03782633"/>
    <w:rsid w:val="037B3BA0"/>
    <w:rsid w:val="037C7E76"/>
    <w:rsid w:val="037E70EF"/>
    <w:rsid w:val="03A72764"/>
    <w:rsid w:val="03D270B5"/>
    <w:rsid w:val="03DF5C61"/>
    <w:rsid w:val="03FC4F5A"/>
    <w:rsid w:val="03FD6D49"/>
    <w:rsid w:val="04013182"/>
    <w:rsid w:val="04021749"/>
    <w:rsid w:val="041553F9"/>
    <w:rsid w:val="042F5D1F"/>
    <w:rsid w:val="043E5BE8"/>
    <w:rsid w:val="04506335"/>
    <w:rsid w:val="045E2D02"/>
    <w:rsid w:val="04622C64"/>
    <w:rsid w:val="04637138"/>
    <w:rsid w:val="047F2F94"/>
    <w:rsid w:val="048C1F56"/>
    <w:rsid w:val="049173CF"/>
    <w:rsid w:val="04A14EC1"/>
    <w:rsid w:val="04A22F2C"/>
    <w:rsid w:val="04B862AB"/>
    <w:rsid w:val="04C32FE5"/>
    <w:rsid w:val="04D02B40"/>
    <w:rsid w:val="04D70530"/>
    <w:rsid w:val="04D70FCE"/>
    <w:rsid w:val="04E23328"/>
    <w:rsid w:val="04E71A2F"/>
    <w:rsid w:val="04E732F6"/>
    <w:rsid w:val="04EC2FD7"/>
    <w:rsid w:val="053B7608"/>
    <w:rsid w:val="053C79F0"/>
    <w:rsid w:val="05524952"/>
    <w:rsid w:val="055B3806"/>
    <w:rsid w:val="05860158"/>
    <w:rsid w:val="05A30D9B"/>
    <w:rsid w:val="05A56CF5"/>
    <w:rsid w:val="05C173E2"/>
    <w:rsid w:val="05CA5496"/>
    <w:rsid w:val="05E57574"/>
    <w:rsid w:val="05ED6D79"/>
    <w:rsid w:val="05EE2C8F"/>
    <w:rsid w:val="05EF03F3"/>
    <w:rsid w:val="05F81055"/>
    <w:rsid w:val="060911FE"/>
    <w:rsid w:val="061F7618"/>
    <w:rsid w:val="0620235A"/>
    <w:rsid w:val="06340450"/>
    <w:rsid w:val="065210AB"/>
    <w:rsid w:val="065509A1"/>
    <w:rsid w:val="066B44FC"/>
    <w:rsid w:val="06710E08"/>
    <w:rsid w:val="06770305"/>
    <w:rsid w:val="06780BD6"/>
    <w:rsid w:val="06B65EAC"/>
    <w:rsid w:val="06BD70AD"/>
    <w:rsid w:val="06CD79BD"/>
    <w:rsid w:val="06D3561E"/>
    <w:rsid w:val="06E420C0"/>
    <w:rsid w:val="06E6438F"/>
    <w:rsid w:val="06F82F14"/>
    <w:rsid w:val="06FC4B75"/>
    <w:rsid w:val="07040646"/>
    <w:rsid w:val="07066719"/>
    <w:rsid w:val="07115EB5"/>
    <w:rsid w:val="07221B9A"/>
    <w:rsid w:val="07317410"/>
    <w:rsid w:val="07465E59"/>
    <w:rsid w:val="07497FDB"/>
    <w:rsid w:val="07512DF9"/>
    <w:rsid w:val="077D00DC"/>
    <w:rsid w:val="079A6309"/>
    <w:rsid w:val="07A1396F"/>
    <w:rsid w:val="07C961DB"/>
    <w:rsid w:val="07D813AB"/>
    <w:rsid w:val="07E51AAD"/>
    <w:rsid w:val="07EE4D0C"/>
    <w:rsid w:val="07F42BBE"/>
    <w:rsid w:val="07F854BA"/>
    <w:rsid w:val="08105ABC"/>
    <w:rsid w:val="08173C39"/>
    <w:rsid w:val="083F6977"/>
    <w:rsid w:val="08515F3C"/>
    <w:rsid w:val="0854278F"/>
    <w:rsid w:val="086230FE"/>
    <w:rsid w:val="08634780"/>
    <w:rsid w:val="08680A79"/>
    <w:rsid w:val="08680FC0"/>
    <w:rsid w:val="086A0CF9"/>
    <w:rsid w:val="087F5A5E"/>
    <w:rsid w:val="08941636"/>
    <w:rsid w:val="0898267C"/>
    <w:rsid w:val="08B60571"/>
    <w:rsid w:val="08B8700D"/>
    <w:rsid w:val="08BB7EF3"/>
    <w:rsid w:val="08C571E9"/>
    <w:rsid w:val="08C7561E"/>
    <w:rsid w:val="08DF64FD"/>
    <w:rsid w:val="08E21B49"/>
    <w:rsid w:val="08E73869"/>
    <w:rsid w:val="08F16945"/>
    <w:rsid w:val="08F20335"/>
    <w:rsid w:val="08FE3363"/>
    <w:rsid w:val="08FF7541"/>
    <w:rsid w:val="090303BC"/>
    <w:rsid w:val="09336848"/>
    <w:rsid w:val="093E6CBB"/>
    <w:rsid w:val="09547108"/>
    <w:rsid w:val="097932C0"/>
    <w:rsid w:val="097A3FC6"/>
    <w:rsid w:val="097A44DE"/>
    <w:rsid w:val="097C01EF"/>
    <w:rsid w:val="0984481C"/>
    <w:rsid w:val="09872764"/>
    <w:rsid w:val="09896468"/>
    <w:rsid w:val="098D26C4"/>
    <w:rsid w:val="09A3064C"/>
    <w:rsid w:val="09A777B0"/>
    <w:rsid w:val="09B36796"/>
    <w:rsid w:val="09C01089"/>
    <w:rsid w:val="09CB2232"/>
    <w:rsid w:val="09DC3E45"/>
    <w:rsid w:val="09E75075"/>
    <w:rsid w:val="09E916BC"/>
    <w:rsid w:val="09ED4C49"/>
    <w:rsid w:val="09F91116"/>
    <w:rsid w:val="0A4D4223"/>
    <w:rsid w:val="0A544CC8"/>
    <w:rsid w:val="0A674E03"/>
    <w:rsid w:val="0A685335"/>
    <w:rsid w:val="0A717628"/>
    <w:rsid w:val="0A7E21DF"/>
    <w:rsid w:val="0A8355EC"/>
    <w:rsid w:val="0A8869D0"/>
    <w:rsid w:val="0A9633A1"/>
    <w:rsid w:val="0AA86648"/>
    <w:rsid w:val="0AAF1847"/>
    <w:rsid w:val="0ABA2D7D"/>
    <w:rsid w:val="0AC41B74"/>
    <w:rsid w:val="0AC77248"/>
    <w:rsid w:val="0ACC7324"/>
    <w:rsid w:val="0AD8714E"/>
    <w:rsid w:val="0AF132CF"/>
    <w:rsid w:val="0AF150D0"/>
    <w:rsid w:val="0AF67B2D"/>
    <w:rsid w:val="0AFE7B5A"/>
    <w:rsid w:val="0B071D3B"/>
    <w:rsid w:val="0B0E4E77"/>
    <w:rsid w:val="0B14447E"/>
    <w:rsid w:val="0B416FFB"/>
    <w:rsid w:val="0B46169B"/>
    <w:rsid w:val="0B470389"/>
    <w:rsid w:val="0B4D37F6"/>
    <w:rsid w:val="0B540EAA"/>
    <w:rsid w:val="0B5A4560"/>
    <w:rsid w:val="0B6D0D74"/>
    <w:rsid w:val="0B72274B"/>
    <w:rsid w:val="0B7F6BD1"/>
    <w:rsid w:val="0B940F0C"/>
    <w:rsid w:val="0BA01E81"/>
    <w:rsid w:val="0BB579E9"/>
    <w:rsid w:val="0BB93035"/>
    <w:rsid w:val="0BE12B86"/>
    <w:rsid w:val="0BEC4CD3"/>
    <w:rsid w:val="0BFD6957"/>
    <w:rsid w:val="0C11189F"/>
    <w:rsid w:val="0C2D285A"/>
    <w:rsid w:val="0C3F5977"/>
    <w:rsid w:val="0C455461"/>
    <w:rsid w:val="0C466FEC"/>
    <w:rsid w:val="0C4850AD"/>
    <w:rsid w:val="0C567A44"/>
    <w:rsid w:val="0C5F7B86"/>
    <w:rsid w:val="0C656D19"/>
    <w:rsid w:val="0C712449"/>
    <w:rsid w:val="0C872D00"/>
    <w:rsid w:val="0C874AB1"/>
    <w:rsid w:val="0C9602C6"/>
    <w:rsid w:val="0C98355E"/>
    <w:rsid w:val="0CB755D9"/>
    <w:rsid w:val="0CC45B7A"/>
    <w:rsid w:val="0CC72A85"/>
    <w:rsid w:val="0CEE6D0E"/>
    <w:rsid w:val="0CF77927"/>
    <w:rsid w:val="0CF956B3"/>
    <w:rsid w:val="0D060307"/>
    <w:rsid w:val="0D1809B4"/>
    <w:rsid w:val="0D181FDD"/>
    <w:rsid w:val="0D1A352B"/>
    <w:rsid w:val="0D293F6D"/>
    <w:rsid w:val="0D2F406A"/>
    <w:rsid w:val="0D466B4A"/>
    <w:rsid w:val="0D5A4DF7"/>
    <w:rsid w:val="0D605CD1"/>
    <w:rsid w:val="0D6549FF"/>
    <w:rsid w:val="0D7039A8"/>
    <w:rsid w:val="0D732931"/>
    <w:rsid w:val="0D7731A8"/>
    <w:rsid w:val="0D8542C2"/>
    <w:rsid w:val="0D99213B"/>
    <w:rsid w:val="0DA9425F"/>
    <w:rsid w:val="0DAE1B6A"/>
    <w:rsid w:val="0DB57E54"/>
    <w:rsid w:val="0DBE326F"/>
    <w:rsid w:val="0DCF41A4"/>
    <w:rsid w:val="0DD51C7C"/>
    <w:rsid w:val="0DE53184"/>
    <w:rsid w:val="0E0D58BA"/>
    <w:rsid w:val="0E1053AA"/>
    <w:rsid w:val="0E1E7AC7"/>
    <w:rsid w:val="0E26051D"/>
    <w:rsid w:val="0E2A1C4C"/>
    <w:rsid w:val="0E5A1580"/>
    <w:rsid w:val="0E617999"/>
    <w:rsid w:val="0E672F3A"/>
    <w:rsid w:val="0E7B053D"/>
    <w:rsid w:val="0E8E414D"/>
    <w:rsid w:val="0E9824E1"/>
    <w:rsid w:val="0EA0672E"/>
    <w:rsid w:val="0EAA61D3"/>
    <w:rsid w:val="0EC02241"/>
    <w:rsid w:val="0EC046DA"/>
    <w:rsid w:val="0EC23CBD"/>
    <w:rsid w:val="0EC71E62"/>
    <w:rsid w:val="0EDA2205"/>
    <w:rsid w:val="0EDF2614"/>
    <w:rsid w:val="0EE02FCE"/>
    <w:rsid w:val="0EEB6487"/>
    <w:rsid w:val="0F20161D"/>
    <w:rsid w:val="0F20786F"/>
    <w:rsid w:val="0F235FDA"/>
    <w:rsid w:val="0F2904D1"/>
    <w:rsid w:val="0F29159C"/>
    <w:rsid w:val="0F2E7896"/>
    <w:rsid w:val="0F32477C"/>
    <w:rsid w:val="0F546B75"/>
    <w:rsid w:val="0F657030"/>
    <w:rsid w:val="0F7E29D8"/>
    <w:rsid w:val="0F824210"/>
    <w:rsid w:val="0FB35595"/>
    <w:rsid w:val="0FB35FED"/>
    <w:rsid w:val="0FBE27E2"/>
    <w:rsid w:val="0FE47865"/>
    <w:rsid w:val="0FF1075A"/>
    <w:rsid w:val="0FF2280B"/>
    <w:rsid w:val="0FFB2DDB"/>
    <w:rsid w:val="0FFC029B"/>
    <w:rsid w:val="10081EF9"/>
    <w:rsid w:val="100C7A90"/>
    <w:rsid w:val="10246B23"/>
    <w:rsid w:val="102B47B0"/>
    <w:rsid w:val="103C4234"/>
    <w:rsid w:val="10593DE8"/>
    <w:rsid w:val="105953E1"/>
    <w:rsid w:val="105F6519"/>
    <w:rsid w:val="10611EED"/>
    <w:rsid w:val="10632882"/>
    <w:rsid w:val="10692007"/>
    <w:rsid w:val="107C6D27"/>
    <w:rsid w:val="109D1177"/>
    <w:rsid w:val="10A83A8C"/>
    <w:rsid w:val="10BF5D13"/>
    <w:rsid w:val="10C95EC0"/>
    <w:rsid w:val="10D56EC9"/>
    <w:rsid w:val="10DB1A50"/>
    <w:rsid w:val="10DF5386"/>
    <w:rsid w:val="10F60887"/>
    <w:rsid w:val="1109680C"/>
    <w:rsid w:val="110B5EA0"/>
    <w:rsid w:val="113B44EC"/>
    <w:rsid w:val="11445B88"/>
    <w:rsid w:val="114471D9"/>
    <w:rsid w:val="114E2471"/>
    <w:rsid w:val="116E75F1"/>
    <w:rsid w:val="117311E0"/>
    <w:rsid w:val="11754949"/>
    <w:rsid w:val="117A7569"/>
    <w:rsid w:val="117B77B3"/>
    <w:rsid w:val="118825F2"/>
    <w:rsid w:val="118C25D2"/>
    <w:rsid w:val="11915DB7"/>
    <w:rsid w:val="119360D6"/>
    <w:rsid w:val="1198193E"/>
    <w:rsid w:val="11AD363C"/>
    <w:rsid w:val="11AF44AC"/>
    <w:rsid w:val="11CA1947"/>
    <w:rsid w:val="11DE5549"/>
    <w:rsid w:val="11E51394"/>
    <w:rsid w:val="11E95D4A"/>
    <w:rsid w:val="120328B4"/>
    <w:rsid w:val="12072620"/>
    <w:rsid w:val="1207521D"/>
    <w:rsid w:val="12211934"/>
    <w:rsid w:val="12434E14"/>
    <w:rsid w:val="12445B3A"/>
    <w:rsid w:val="125A20F5"/>
    <w:rsid w:val="12711568"/>
    <w:rsid w:val="12783A86"/>
    <w:rsid w:val="127E6D86"/>
    <w:rsid w:val="12816876"/>
    <w:rsid w:val="128714B6"/>
    <w:rsid w:val="129A1939"/>
    <w:rsid w:val="12A367ED"/>
    <w:rsid w:val="12C14EC5"/>
    <w:rsid w:val="12C22387"/>
    <w:rsid w:val="12D13E2D"/>
    <w:rsid w:val="12D9220E"/>
    <w:rsid w:val="13082AF4"/>
    <w:rsid w:val="130D2041"/>
    <w:rsid w:val="1331710B"/>
    <w:rsid w:val="13490DCF"/>
    <w:rsid w:val="134E68E8"/>
    <w:rsid w:val="135304A7"/>
    <w:rsid w:val="137B1B62"/>
    <w:rsid w:val="13944560"/>
    <w:rsid w:val="139A4463"/>
    <w:rsid w:val="13AE369B"/>
    <w:rsid w:val="13B45A37"/>
    <w:rsid w:val="13B640D4"/>
    <w:rsid w:val="13BA3DEE"/>
    <w:rsid w:val="13C676BC"/>
    <w:rsid w:val="13F5512F"/>
    <w:rsid w:val="14071F8B"/>
    <w:rsid w:val="142B4CEC"/>
    <w:rsid w:val="14316E66"/>
    <w:rsid w:val="14331E76"/>
    <w:rsid w:val="1434754B"/>
    <w:rsid w:val="144B713C"/>
    <w:rsid w:val="144E758F"/>
    <w:rsid w:val="146D5F7F"/>
    <w:rsid w:val="14736B9B"/>
    <w:rsid w:val="148443FC"/>
    <w:rsid w:val="14850671"/>
    <w:rsid w:val="149D101A"/>
    <w:rsid w:val="14A12D99"/>
    <w:rsid w:val="14A3224E"/>
    <w:rsid w:val="14B00AF2"/>
    <w:rsid w:val="14BE16BC"/>
    <w:rsid w:val="14DC2DA6"/>
    <w:rsid w:val="14DF1632"/>
    <w:rsid w:val="14E2467B"/>
    <w:rsid w:val="14E41A0F"/>
    <w:rsid w:val="14E54E9B"/>
    <w:rsid w:val="14F01823"/>
    <w:rsid w:val="14F52C04"/>
    <w:rsid w:val="150A2F86"/>
    <w:rsid w:val="150F529F"/>
    <w:rsid w:val="1524253E"/>
    <w:rsid w:val="152775D4"/>
    <w:rsid w:val="152F5B8A"/>
    <w:rsid w:val="15602773"/>
    <w:rsid w:val="157708C6"/>
    <w:rsid w:val="158F12AA"/>
    <w:rsid w:val="15A903A5"/>
    <w:rsid w:val="15AC7766"/>
    <w:rsid w:val="15B8435D"/>
    <w:rsid w:val="15DD358D"/>
    <w:rsid w:val="15EF2952"/>
    <w:rsid w:val="160F7CF5"/>
    <w:rsid w:val="163B7106"/>
    <w:rsid w:val="165A5414"/>
    <w:rsid w:val="16781D3E"/>
    <w:rsid w:val="16805733"/>
    <w:rsid w:val="168E4AF4"/>
    <w:rsid w:val="16921052"/>
    <w:rsid w:val="16982409"/>
    <w:rsid w:val="169C37CB"/>
    <w:rsid w:val="16B07844"/>
    <w:rsid w:val="16C17241"/>
    <w:rsid w:val="16C5421C"/>
    <w:rsid w:val="16D44DE6"/>
    <w:rsid w:val="16D50C89"/>
    <w:rsid w:val="16DB4F0E"/>
    <w:rsid w:val="16E66CA8"/>
    <w:rsid w:val="16F13FCB"/>
    <w:rsid w:val="170B4961"/>
    <w:rsid w:val="17103777"/>
    <w:rsid w:val="171B3F42"/>
    <w:rsid w:val="1720040C"/>
    <w:rsid w:val="172A4801"/>
    <w:rsid w:val="17372BA0"/>
    <w:rsid w:val="17383A54"/>
    <w:rsid w:val="17405FB1"/>
    <w:rsid w:val="17457E73"/>
    <w:rsid w:val="17641D15"/>
    <w:rsid w:val="176A2BA8"/>
    <w:rsid w:val="17775EF9"/>
    <w:rsid w:val="177D5F83"/>
    <w:rsid w:val="17A26C7E"/>
    <w:rsid w:val="17A26D29"/>
    <w:rsid w:val="17C8687A"/>
    <w:rsid w:val="17CC40F0"/>
    <w:rsid w:val="17F7539F"/>
    <w:rsid w:val="180551D2"/>
    <w:rsid w:val="180C06D4"/>
    <w:rsid w:val="182972B6"/>
    <w:rsid w:val="183121A5"/>
    <w:rsid w:val="183F5A03"/>
    <w:rsid w:val="1840063A"/>
    <w:rsid w:val="18820C52"/>
    <w:rsid w:val="1889564E"/>
    <w:rsid w:val="188F3AF3"/>
    <w:rsid w:val="18960F6A"/>
    <w:rsid w:val="189C5C61"/>
    <w:rsid w:val="18A230A3"/>
    <w:rsid w:val="18AD0BEB"/>
    <w:rsid w:val="18B02EF0"/>
    <w:rsid w:val="18B90B18"/>
    <w:rsid w:val="18C64FE3"/>
    <w:rsid w:val="18C871B7"/>
    <w:rsid w:val="18D314AE"/>
    <w:rsid w:val="18F56002"/>
    <w:rsid w:val="18F66F2C"/>
    <w:rsid w:val="18FE633B"/>
    <w:rsid w:val="19004393"/>
    <w:rsid w:val="19046B90"/>
    <w:rsid w:val="190D2C12"/>
    <w:rsid w:val="191F46F3"/>
    <w:rsid w:val="192C43A1"/>
    <w:rsid w:val="193C7538"/>
    <w:rsid w:val="19506ED6"/>
    <w:rsid w:val="1973118E"/>
    <w:rsid w:val="19742C91"/>
    <w:rsid w:val="19747CBC"/>
    <w:rsid w:val="197B093F"/>
    <w:rsid w:val="198527A8"/>
    <w:rsid w:val="198B076F"/>
    <w:rsid w:val="198D0432"/>
    <w:rsid w:val="199B53A3"/>
    <w:rsid w:val="199D4525"/>
    <w:rsid w:val="19B71E21"/>
    <w:rsid w:val="19B87E48"/>
    <w:rsid w:val="19C05CD6"/>
    <w:rsid w:val="19DB2D10"/>
    <w:rsid w:val="19DB4496"/>
    <w:rsid w:val="19DD1235"/>
    <w:rsid w:val="19E415C3"/>
    <w:rsid w:val="19ED0B10"/>
    <w:rsid w:val="19F416DC"/>
    <w:rsid w:val="1A007F4F"/>
    <w:rsid w:val="1A147FD0"/>
    <w:rsid w:val="1A2F6BB8"/>
    <w:rsid w:val="1A3E68F9"/>
    <w:rsid w:val="1A4E703E"/>
    <w:rsid w:val="1A5F3BE3"/>
    <w:rsid w:val="1A5F591F"/>
    <w:rsid w:val="1A617A4D"/>
    <w:rsid w:val="1A656F2B"/>
    <w:rsid w:val="1A712C0C"/>
    <w:rsid w:val="1A82318C"/>
    <w:rsid w:val="1A907657"/>
    <w:rsid w:val="1A9E0AE5"/>
    <w:rsid w:val="1AAC1FB7"/>
    <w:rsid w:val="1AD24133"/>
    <w:rsid w:val="1AFD2812"/>
    <w:rsid w:val="1B1A1616"/>
    <w:rsid w:val="1B334486"/>
    <w:rsid w:val="1B451064"/>
    <w:rsid w:val="1B481CDF"/>
    <w:rsid w:val="1B486183"/>
    <w:rsid w:val="1B490595"/>
    <w:rsid w:val="1B5A1DB3"/>
    <w:rsid w:val="1B5E59A7"/>
    <w:rsid w:val="1B636B19"/>
    <w:rsid w:val="1B6D5BEA"/>
    <w:rsid w:val="1B6F38C7"/>
    <w:rsid w:val="1B7105EA"/>
    <w:rsid w:val="1B726EB7"/>
    <w:rsid w:val="1B743FAF"/>
    <w:rsid w:val="1B752966"/>
    <w:rsid w:val="1B81387D"/>
    <w:rsid w:val="1B862808"/>
    <w:rsid w:val="1B8A5F0A"/>
    <w:rsid w:val="1B9413C8"/>
    <w:rsid w:val="1B9C5D53"/>
    <w:rsid w:val="1B9E21F7"/>
    <w:rsid w:val="1BA161B7"/>
    <w:rsid w:val="1BA83EEF"/>
    <w:rsid w:val="1BB27AA1"/>
    <w:rsid w:val="1BBA200E"/>
    <w:rsid w:val="1BBF5CF1"/>
    <w:rsid w:val="1BF77953"/>
    <w:rsid w:val="1BF93F18"/>
    <w:rsid w:val="1C3F6CF1"/>
    <w:rsid w:val="1C584C52"/>
    <w:rsid w:val="1C6F4025"/>
    <w:rsid w:val="1C827473"/>
    <w:rsid w:val="1C8A614F"/>
    <w:rsid w:val="1CA365FD"/>
    <w:rsid w:val="1CB12000"/>
    <w:rsid w:val="1CBC2927"/>
    <w:rsid w:val="1CC655B2"/>
    <w:rsid w:val="1CCF5C33"/>
    <w:rsid w:val="1CD113E7"/>
    <w:rsid w:val="1CDF6673"/>
    <w:rsid w:val="1CE277EC"/>
    <w:rsid w:val="1CE70278"/>
    <w:rsid w:val="1CEE4B20"/>
    <w:rsid w:val="1D05152A"/>
    <w:rsid w:val="1D051823"/>
    <w:rsid w:val="1D203D04"/>
    <w:rsid w:val="1D37025D"/>
    <w:rsid w:val="1D601743"/>
    <w:rsid w:val="1D65301C"/>
    <w:rsid w:val="1D7172E5"/>
    <w:rsid w:val="1D747847"/>
    <w:rsid w:val="1D7B5C46"/>
    <w:rsid w:val="1D7D7B19"/>
    <w:rsid w:val="1D881248"/>
    <w:rsid w:val="1D8F0099"/>
    <w:rsid w:val="1D920211"/>
    <w:rsid w:val="1D94136E"/>
    <w:rsid w:val="1D9C22C5"/>
    <w:rsid w:val="1DA13AFA"/>
    <w:rsid w:val="1DA9410B"/>
    <w:rsid w:val="1DAD0520"/>
    <w:rsid w:val="1DB23514"/>
    <w:rsid w:val="1DC00253"/>
    <w:rsid w:val="1DCA1402"/>
    <w:rsid w:val="1DCA202E"/>
    <w:rsid w:val="1DE57CB9"/>
    <w:rsid w:val="1E3B0787"/>
    <w:rsid w:val="1E3D4E10"/>
    <w:rsid w:val="1E4116A8"/>
    <w:rsid w:val="1E535EBD"/>
    <w:rsid w:val="1E543091"/>
    <w:rsid w:val="1E6D560F"/>
    <w:rsid w:val="1E6F2058"/>
    <w:rsid w:val="1E7A04CB"/>
    <w:rsid w:val="1E8E2DB0"/>
    <w:rsid w:val="1E9D29DA"/>
    <w:rsid w:val="1E9D3E41"/>
    <w:rsid w:val="1EA2746D"/>
    <w:rsid w:val="1EB525EF"/>
    <w:rsid w:val="1EB6109D"/>
    <w:rsid w:val="1ED15537"/>
    <w:rsid w:val="1ED96B39"/>
    <w:rsid w:val="1EE01BA9"/>
    <w:rsid w:val="1EE61F3B"/>
    <w:rsid w:val="1EFA027C"/>
    <w:rsid w:val="1F1665D9"/>
    <w:rsid w:val="1F227FC8"/>
    <w:rsid w:val="1F2A132B"/>
    <w:rsid w:val="1F52137F"/>
    <w:rsid w:val="1F571EF6"/>
    <w:rsid w:val="1F5D4DAE"/>
    <w:rsid w:val="1F6E32A4"/>
    <w:rsid w:val="1F703EFB"/>
    <w:rsid w:val="1F73636E"/>
    <w:rsid w:val="1F835531"/>
    <w:rsid w:val="1F8D5C4D"/>
    <w:rsid w:val="1F901EA7"/>
    <w:rsid w:val="1FAD0CAB"/>
    <w:rsid w:val="1FBD220D"/>
    <w:rsid w:val="1FDD44EC"/>
    <w:rsid w:val="1FE315A6"/>
    <w:rsid w:val="200810C6"/>
    <w:rsid w:val="200B71FE"/>
    <w:rsid w:val="202A422D"/>
    <w:rsid w:val="207B66B3"/>
    <w:rsid w:val="208F342C"/>
    <w:rsid w:val="20A26336"/>
    <w:rsid w:val="20A83220"/>
    <w:rsid w:val="20C04A0E"/>
    <w:rsid w:val="20E06E5E"/>
    <w:rsid w:val="20E77692"/>
    <w:rsid w:val="210406C9"/>
    <w:rsid w:val="21063FF6"/>
    <w:rsid w:val="21162880"/>
    <w:rsid w:val="211B1C44"/>
    <w:rsid w:val="21241474"/>
    <w:rsid w:val="2130749E"/>
    <w:rsid w:val="213B4094"/>
    <w:rsid w:val="2154055A"/>
    <w:rsid w:val="21584AE0"/>
    <w:rsid w:val="215A77B7"/>
    <w:rsid w:val="215C4736"/>
    <w:rsid w:val="215F06A9"/>
    <w:rsid w:val="21623EAE"/>
    <w:rsid w:val="21673237"/>
    <w:rsid w:val="217D660A"/>
    <w:rsid w:val="218472E2"/>
    <w:rsid w:val="218C7F8D"/>
    <w:rsid w:val="21933ED0"/>
    <w:rsid w:val="219B2BCD"/>
    <w:rsid w:val="21A46708"/>
    <w:rsid w:val="21BB5A00"/>
    <w:rsid w:val="21C34929"/>
    <w:rsid w:val="21CE2911"/>
    <w:rsid w:val="21EF55AB"/>
    <w:rsid w:val="21F209E2"/>
    <w:rsid w:val="220B649F"/>
    <w:rsid w:val="22146A1A"/>
    <w:rsid w:val="22205764"/>
    <w:rsid w:val="22235B21"/>
    <w:rsid w:val="223630DF"/>
    <w:rsid w:val="22430565"/>
    <w:rsid w:val="2252030F"/>
    <w:rsid w:val="22784F9A"/>
    <w:rsid w:val="227D579B"/>
    <w:rsid w:val="22BA0840"/>
    <w:rsid w:val="22BF02C5"/>
    <w:rsid w:val="22C44C41"/>
    <w:rsid w:val="22CC31F6"/>
    <w:rsid w:val="22DB181A"/>
    <w:rsid w:val="22E56CDD"/>
    <w:rsid w:val="22E744D4"/>
    <w:rsid w:val="22F11B81"/>
    <w:rsid w:val="230F7587"/>
    <w:rsid w:val="231C545E"/>
    <w:rsid w:val="231F27E0"/>
    <w:rsid w:val="232079E6"/>
    <w:rsid w:val="232272BA"/>
    <w:rsid w:val="232C412B"/>
    <w:rsid w:val="23447230"/>
    <w:rsid w:val="23466363"/>
    <w:rsid w:val="234E4FBC"/>
    <w:rsid w:val="23534348"/>
    <w:rsid w:val="2369654A"/>
    <w:rsid w:val="23863CED"/>
    <w:rsid w:val="23875F17"/>
    <w:rsid w:val="23A10B26"/>
    <w:rsid w:val="23A2459C"/>
    <w:rsid w:val="23A8672F"/>
    <w:rsid w:val="23AA48AE"/>
    <w:rsid w:val="23AD1279"/>
    <w:rsid w:val="23B6137F"/>
    <w:rsid w:val="23B86D20"/>
    <w:rsid w:val="23EB16FF"/>
    <w:rsid w:val="23FE3883"/>
    <w:rsid w:val="240345A4"/>
    <w:rsid w:val="240E1EB6"/>
    <w:rsid w:val="241B49E1"/>
    <w:rsid w:val="241B7189"/>
    <w:rsid w:val="2425047C"/>
    <w:rsid w:val="242C63E4"/>
    <w:rsid w:val="24343749"/>
    <w:rsid w:val="24401EEB"/>
    <w:rsid w:val="2443573A"/>
    <w:rsid w:val="24457704"/>
    <w:rsid w:val="24480FA2"/>
    <w:rsid w:val="244A727F"/>
    <w:rsid w:val="244E3033"/>
    <w:rsid w:val="244F6828"/>
    <w:rsid w:val="247054DD"/>
    <w:rsid w:val="24776664"/>
    <w:rsid w:val="249A4DCC"/>
    <w:rsid w:val="24A16546"/>
    <w:rsid w:val="24AA469D"/>
    <w:rsid w:val="24B6415E"/>
    <w:rsid w:val="24B86128"/>
    <w:rsid w:val="24BB0700"/>
    <w:rsid w:val="24D8157B"/>
    <w:rsid w:val="24E448AE"/>
    <w:rsid w:val="24E96BAB"/>
    <w:rsid w:val="24FF0E4D"/>
    <w:rsid w:val="251470D6"/>
    <w:rsid w:val="25184226"/>
    <w:rsid w:val="251B0465"/>
    <w:rsid w:val="2527049C"/>
    <w:rsid w:val="252869A4"/>
    <w:rsid w:val="253C7016"/>
    <w:rsid w:val="253D2474"/>
    <w:rsid w:val="25457FB6"/>
    <w:rsid w:val="255F2A47"/>
    <w:rsid w:val="25793EDC"/>
    <w:rsid w:val="25870A1F"/>
    <w:rsid w:val="25937F1E"/>
    <w:rsid w:val="259A7A73"/>
    <w:rsid w:val="25A8619C"/>
    <w:rsid w:val="25AE615B"/>
    <w:rsid w:val="25B44F23"/>
    <w:rsid w:val="25EF7AF6"/>
    <w:rsid w:val="260C37B9"/>
    <w:rsid w:val="261B5B20"/>
    <w:rsid w:val="262F2132"/>
    <w:rsid w:val="265922A8"/>
    <w:rsid w:val="2673376C"/>
    <w:rsid w:val="267442D0"/>
    <w:rsid w:val="267812A5"/>
    <w:rsid w:val="268372E1"/>
    <w:rsid w:val="269402B1"/>
    <w:rsid w:val="26977FBF"/>
    <w:rsid w:val="26AC7DFB"/>
    <w:rsid w:val="26B36C9D"/>
    <w:rsid w:val="26BC0149"/>
    <w:rsid w:val="26BF0BCC"/>
    <w:rsid w:val="26D854EC"/>
    <w:rsid w:val="26E86A6C"/>
    <w:rsid w:val="26F01525"/>
    <w:rsid w:val="26FB2B1A"/>
    <w:rsid w:val="27005B64"/>
    <w:rsid w:val="2702009F"/>
    <w:rsid w:val="270D75D4"/>
    <w:rsid w:val="273E6FC2"/>
    <w:rsid w:val="27466F6A"/>
    <w:rsid w:val="27484CC0"/>
    <w:rsid w:val="27772A99"/>
    <w:rsid w:val="27853AD9"/>
    <w:rsid w:val="279616DA"/>
    <w:rsid w:val="279E0C22"/>
    <w:rsid w:val="27A632E3"/>
    <w:rsid w:val="27AF1622"/>
    <w:rsid w:val="27B00B34"/>
    <w:rsid w:val="27BC5F2F"/>
    <w:rsid w:val="27BD45BB"/>
    <w:rsid w:val="27CE221E"/>
    <w:rsid w:val="27D03788"/>
    <w:rsid w:val="27D36DD5"/>
    <w:rsid w:val="27E360FC"/>
    <w:rsid w:val="281D37D1"/>
    <w:rsid w:val="282A368F"/>
    <w:rsid w:val="282B4E63"/>
    <w:rsid w:val="283346EC"/>
    <w:rsid w:val="283B400E"/>
    <w:rsid w:val="283D2DCC"/>
    <w:rsid w:val="283E5AA6"/>
    <w:rsid w:val="28652F5F"/>
    <w:rsid w:val="286E6AFD"/>
    <w:rsid w:val="28753064"/>
    <w:rsid w:val="287C1549"/>
    <w:rsid w:val="28814A83"/>
    <w:rsid w:val="288D78CB"/>
    <w:rsid w:val="288F53F1"/>
    <w:rsid w:val="28AC2150"/>
    <w:rsid w:val="28B9246E"/>
    <w:rsid w:val="28CC28F0"/>
    <w:rsid w:val="28EF553B"/>
    <w:rsid w:val="2904650E"/>
    <w:rsid w:val="291C39BD"/>
    <w:rsid w:val="291F693B"/>
    <w:rsid w:val="29276F49"/>
    <w:rsid w:val="292C29B1"/>
    <w:rsid w:val="29306555"/>
    <w:rsid w:val="293B2E83"/>
    <w:rsid w:val="29451F54"/>
    <w:rsid w:val="294B77A1"/>
    <w:rsid w:val="29500600"/>
    <w:rsid w:val="298C77F9"/>
    <w:rsid w:val="298D105A"/>
    <w:rsid w:val="299802D6"/>
    <w:rsid w:val="29987001"/>
    <w:rsid w:val="299B4AAA"/>
    <w:rsid w:val="29BB4803"/>
    <w:rsid w:val="29E25A35"/>
    <w:rsid w:val="29E96D83"/>
    <w:rsid w:val="29F50F47"/>
    <w:rsid w:val="2A1262DA"/>
    <w:rsid w:val="2A13795C"/>
    <w:rsid w:val="2A16744D"/>
    <w:rsid w:val="2A1A5DF5"/>
    <w:rsid w:val="2A4944AA"/>
    <w:rsid w:val="2A540B7F"/>
    <w:rsid w:val="2A56270F"/>
    <w:rsid w:val="2A5F7A43"/>
    <w:rsid w:val="2A6D1762"/>
    <w:rsid w:val="2A780F8C"/>
    <w:rsid w:val="2A8D770F"/>
    <w:rsid w:val="2A8F0293"/>
    <w:rsid w:val="2AB7478C"/>
    <w:rsid w:val="2ABC4498"/>
    <w:rsid w:val="2AC667BC"/>
    <w:rsid w:val="2ACF5F79"/>
    <w:rsid w:val="2ADE0A34"/>
    <w:rsid w:val="2AF70CE5"/>
    <w:rsid w:val="2B0F281A"/>
    <w:rsid w:val="2B2D3A0D"/>
    <w:rsid w:val="2B4C7BA5"/>
    <w:rsid w:val="2B5A2A24"/>
    <w:rsid w:val="2B604E23"/>
    <w:rsid w:val="2B632C0D"/>
    <w:rsid w:val="2B64423F"/>
    <w:rsid w:val="2B6B0546"/>
    <w:rsid w:val="2B726905"/>
    <w:rsid w:val="2B737A3B"/>
    <w:rsid w:val="2B8B1F54"/>
    <w:rsid w:val="2B9D6077"/>
    <w:rsid w:val="2BBB02AC"/>
    <w:rsid w:val="2BD440AE"/>
    <w:rsid w:val="2BD64CE6"/>
    <w:rsid w:val="2BE041B6"/>
    <w:rsid w:val="2BE25E52"/>
    <w:rsid w:val="2C145FDC"/>
    <w:rsid w:val="2C1A1476"/>
    <w:rsid w:val="2C1B6F9C"/>
    <w:rsid w:val="2C2422F5"/>
    <w:rsid w:val="2C33078A"/>
    <w:rsid w:val="2C3342E6"/>
    <w:rsid w:val="2C532BDA"/>
    <w:rsid w:val="2C6820E3"/>
    <w:rsid w:val="2C8D6BB3"/>
    <w:rsid w:val="2CA361BA"/>
    <w:rsid w:val="2CAC3151"/>
    <w:rsid w:val="2CC36002"/>
    <w:rsid w:val="2CC43190"/>
    <w:rsid w:val="2CDA6697"/>
    <w:rsid w:val="2CFB12A7"/>
    <w:rsid w:val="2CFB5BBB"/>
    <w:rsid w:val="2D0975E0"/>
    <w:rsid w:val="2D0E133C"/>
    <w:rsid w:val="2D2C76B3"/>
    <w:rsid w:val="2D2E0549"/>
    <w:rsid w:val="2D364085"/>
    <w:rsid w:val="2D4542D1"/>
    <w:rsid w:val="2D575A4A"/>
    <w:rsid w:val="2D5D5670"/>
    <w:rsid w:val="2D636E4D"/>
    <w:rsid w:val="2D6A01DB"/>
    <w:rsid w:val="2D6C3F53"/>
    <w:rsid w:val="2D81205D"/>
    <w:rsid w:val="2D8F74B8"/>
    <w:rsid w:val="2D962D7E"/>
    <w:rsid w:val="2D964B2C"/>
    <w:rsid w:val="2D992F65"/>
    <w:rsid w:val="2D9E0C88"/>
    <w:rsid w:val="2DB142AE"/>
    <w:rsid w:val="2DB372C8"/>
    <w:rsid w:val="2DB81EEB"/>
    <w:rsid w:val="2DD809AF"/>
    <w:rsid w:val="2DDA3F5C"/>
    <w:rsid w:val="2DE40EE1"/>
    <w:rsid w:val="2DFA0EFD"/>
    <w:rsid w:val="2E041115"/>
    <w:rsid w:val="2E077EE1"/>
    <w:rsid w:val="2E293BF2"/>
    <w:rsid w:val="2E37052D"/>
    <w:rsid w:val="2E3C1960"/>
    <w:rsid w:val="2E3E0F1F"/>
    <w:rsid w:val="2E41718E"/>
    <w:rsid w:val="2E497DF1"/>
    <w:rsid w:val="2E676C46"/>
    <w:rsid w:val="2E704C40"/>
    <w:rsid w:val="2E765D8F"/>
    <w:rsid w:val="2E887C64"/>
    <w:rsid w:val="2EAA4677"/>
    <w:rsid w:val="2EB01214"/>
    <w:rsid w:val="2EB201EE"/>
    <w:rsid w:val="2EE21389"/>
    <w:rsid w:val="2EE33C73"/>
    <w:rsid w:val="2F130DA1"/>
    <w:rsid w:val="2F135CD3"/>
    <w:rsid w:val="2F2409B5"/>
    <w:rsid w:val="2F403B19"/>
    <w:rsid w:val="2F433D54"/>
    <w:rsid w:val="2F663722"/>
    <w:rsid w:val="2F6D3A0C"/>
    <w:rsid w:val="2F724879"/>
    <w:rsid w:val="2F945655"/>
    <w:rsid w:val="2F994DA8"/>
    <w:rsid w:val="2FA33530"/>
    <w:rsid w:val="2FA8615F"/>
    <w:rsid w:val="2FAA3B85"/>
    <w:rsid w:val="2FAF3D59"/>
    <w:rsid w:val="2FBD6387"/>
    <w:rsid w:val="2FC0031A"/>
    <w:rsid w:val="2FD11702"/>
    <w:rsid w:val="2FD162F0"/>
    <w:rsid w:val="2FDA4052"/>
    <w:rsid w:val="2FDB716E"/>
    <w:rsid w:val="2FF41FDE"/>
    <w:rsid w:val="30065A96"/>
    <w:rsid w:val="300D096E"/>
    <w:rsid w:val="300F506A"/>
    <w:rsid w:val="30185CCC"/>
    <w:rsid w:val="30403A98"/>
    <w:rsid w:val="30454BCD"/>
    <w:rsid w:val="30961DE2"/>
    <w:rsid w:val="309C4B4F"/>
    <w:rsid w:val="30A41146"/>
    <w:rsid w:val="30C16364"/>
    <w:rsid w:val="30CB0233"/>
    <w:rsid w:val="30D5114E"/>
    <w:rsid w:val="30F23939"/>
    <w:rsid w:val="30F81C5E"/>
    <w:rsid w:val="30FB5378"/>
    <w:rsid w:val="30FD217C"/>
    <w:rsid w:val="3103135B"/>
    <w:rsid w:val="31280B14"/>
    <w:rsid w:val="31470EF5"/>
    <w:rsid w:val="315F068C"/>
    <w:rsid w:val="31653193"/>
    <w:rsid w:val="316A2D28"/>
    <w:rsid w:val="3177339F"/>
    <w:rsid w:val="317D3ACC"/>
    <w:rsid w:val="317E6F03"/>
    <w:rsid w:val="317F0FFC"/>
    <w:rsid w:val="31891EB5"/>
    <w:rsid w:val="319E0453"/>
    <w:rsid w:val="31A22367"/>
    <w:rsid w:val="31A82C5F"/>
    <w:rsid w:val="31BA68EA"/>
    <w:rsid w:val="31BE1FAB"/>
    <w:rsid w:val="31C46067"/>
    <w:rsid w:val="31D07F54"/>
    <w:rsid w:val="31D806DB"/>
    <w:rsid w:val="31D976DD"/>
    <w:rsid w:val="31DD7C00"/>
    <w:rsid w:val="31E44EE1"/>
    <w:rsid w:val="31ED2299"/>
    <w:rsid w:val="31F20FA8"/>
    <w:rsid w:val="31F6203D"/>
    <w:rsid w:val="32083630"/>
    <w:rsid w:val="32444FE9"/>
    <w:rsid w:val="324803BF"/>
    <w:rsid w:val="32543CE4"/>
    <w:rsid w:val="325B3E89"/>
    <w:rsid w:val="32614B36"/>
    <w:rsid w:val="32C4540B"/>
    <w:rsid w:val="32D06D32"/>
    <w:rsid w:val="32D61E6F"/>
    <w:rsid w:val="32DE0B4C"/>
    <w:rsid w:val="32E26E31"/>
    <w:rsid w:val="3304078A"/>
    <w:rsid w:val="330B079A"/>
    <w:rsid w:val="33341726"/>
    <w:rsid w:val="33346287"/>
    <w:rsid w:val="333656BD"/>
    <w:rsid w:val="33437E6D"/>
    <w:rsid w:val="33447C99"/>
    <w:rsid w:val="33511509"/>
    <w:rsid w:val="335B677D"/>
    <w:rsid w:val="336735B5"/>
    <w:rsid w:val="338C31D7"/>
    <w:rsid w:val="3396631E"/>
    <w:rsid w:val="3397149F"/>
    <w:rsid w:val="33B977C6"/>
    <w:rsid w:val="33CE4E12"/>
    <w:rsid w:val="33D33712"/>
    <w:rsid w:val="33D91C17"/>
    <w:rsid w:val="33DC5263"/>
    <w:rsid w:val="33E412BD"/>
    <w:rsid w:val="33E50C36"/>
    <w:rsid w:val="34026E2F"/>
    <w:rsid w:val="340D76D4"/>
    <w:rsid w:val="34171988"/>
    <w:rsid w:val="341F20E9"/>
    <w:rsid w:val="342619BC"/>
    <w:rsid w:val="34310CB0"/>
    <w:rsid w:val="34474001"/>
    <w:rsid w:val="344D7F0F"/>
    <w:rsid w:val="34596954"/>
    <w:rsid w:val="345D45F6"/>
    <w:rsid w:val="347F2FC4"/>
    <w:rsid w:val="34850D34"/>
    <w:rsid w:val="348A1163"/>
    <w:rsid w:val="34C22769"/>
    <w:rsid w:val="34C9495B"/>
    <w:rsid w:val="34CC1CA4"/>
    <w:rsid w:val="34D86586"/>
    <w:rsid w:val="34E0292F"/>
    <w:rsid w:val="34EA389D"/>
    <w:rsid w:val="350466DA"/>
    <w:rsid w:val="35061884"/>
    <w:rsid w:val="35155C71"/>
    <w:rsid w:val="351C7B52"/>
    <w:rsid w:val="35320D0C"/>
    <w:rsid w:val="353A5DE2"/>
    <w:rsid w:val="35607F6D"/>
    <w:rsid w:val="356216B8"/>
    <w:rsid w:val="356566B5"/>
    <w:rsid w:val="35670FF5"/>
    <w:rsid w:val="3570151C"/>
    <w:rsid w:val="3583008C"/>
    <w:rsid w:val="358B7091"/>
    <w:rsid w:val="358C1AD1"/>
    <w:rsid w:val="358C2592"/>
    <w:rsid w:val="358D7508"/>
    <w:rsid w:val="35B53732"/>
    <w:rsid w:val="35CD57AB"/>
    <w:rsid w:val="35F24D6C"/>
    <w:rsid w:val="35F36169"/>
    <w:rsid w:val="36014CE6"/>
    <w:rsid w:val="360A255B"/>
    <w:rsid w:val="361E6861"/>
    <w:rsid w:val="36217932"/>
    <w:rsid w:val="362A675A"/>
    <w:rsid w:val="364A1DD1"/>
    <w:rsid w:val="366B11D8"/>
    <w:rsid w:val="36780EB8"/>
    <w:rsid w:val="367E6AA5"/>
    <w:rsid w:val="368500BA"/>
    <w:rsid w:val="36B3674F"/>
    <w:rsid w:val="36B50719"/>
    <w:rsid w:val="36C02C1A"/>
    <w:rsid w:val="36C37688"/>
    <w:rsid w:val="36D61BC6"/>
    <w:rsid w:val="36DA41E1"/>
    <w:rsid w:val="36DE6A44"/>
    <w:rsid w:val="36FD63F6"/>
    <w:rsid w:val="37024FE0"/>
    <w:rsid w:val="37041EEB"/>
    <w:rsid w:val="370B587C"/>
    <w:rsid w:val="37107445"/>
    <w:rsid w:val="3713113F"/>
    <w:rsid w:val="3724538F"/>
    <w:rsid w:val="372C4E0C"/>
    <w:rsid w:val="37335AE2"/>
    <w:rsid w:val="373E684E"/>
    <w:rsid w:val="37415D81"/>
    <w:rsid w:val="37427AD3"/>
    <w:rsid w:val="37492420"/>
    <w:rsid w:val="375F35F1"/>
    <w:rsid w:val="377A66FD"/>
    <w:rsid w:val="378E3872"/>
    <w:rsid w:val="37905BD8"/>
    <w:rsid w:val="379D4CDE"/>
    <w:rsid w:val="37AE4605"/>
    <w:rsid w:val="37D22C05"/>
    <w:rsid w:val="37D3697D"/>
    <w:rsid w:val="37DD15AA"/>
    <w:rsid w:val="37E17ABD"/>
    <w:rsid w:val="37E672C4"/>
    <w:rsid w:val="37EB2A7E"/>
    <w:rsid w:val="37EC177B"/>
    <w:rsid w:val="37FB2616"/>
    <w:rsid w:val="381551E7"/>
    <w:rsid w:val="38294525"/>
    <w:rsid w:val="384D1CD2"/>
    <w:rsid w:val="38611A4F"/>
    <w:rsid w:val="3876347B"/>
    <w:rsid w:val="387F6090"/>
    <w:rsid w:val="38806B05"/>
    <w:rsid w:val="388B025C"/>
    <w:rsid w:val="38924EE1"/>
    <w:rsid w:val="38977310"/>
    <w:rsid w:val="389B393F"/>
    <w:rsid w:val="38AE0106"/>
    <w:rsid w:val="38F142D1"/>
    <w:rsid w:val="38FF35B1"/>
    <w:rsid w:val="39274AEB"/>
    <w:rsid w:val="393521E9"/>
    <w:rsid w:val="3971001E"/>
    <w:rsid w:val="397871F7"/>
    <w:rsid w:val="399A3BF6"/>
    <w:rsid w:val="399B2947"/>
    <w:rsid w:val="39A5146A"/>
    <w:rsid w:val="39C944DB"/>
    <w:rsid w:val="39CF674E"/>
    <w:rsid w:val="39E70823"/>
    <w:rsid w:val="39F50028"/>
    <w:rsid w:val="39FA478D"/>
    <w:rsid w:val="3A041314"/>
    <w:rsid w:val="3A1E4827"/>
    <w:rsid w:val="3A2A4F7A"/>
    <w:rsid w:val="3A5D29C3"/>
    <w:rsid w:val="3A725143"/>
    <w:rsid w:val="3A8E52DD"/>
    <w:rsid w:val="3A8F74D3"/>
    <w:rsid w:val="3A9453A9"/>
    <w:rsid w:val="3A975B5D"/>
    <w:rsid w:val="3AB42542"/>
    <w:rsid w:val="3AC20ED6"/>
    <w:rsid w:val="3AD42938"/>
    <w:rsid w:val="3AF410E4"/>
    <w:rsid w:val="3B1139DC"/>
    <w:rsid w:val="3B201ED9"/>
    <w:rsid w:val="3B237604"/>
    <w:rsid w:val="3B2A4119"/>
    <w:rsid w:val="3B346891"/>
    <w:rsid w:val="3B3E5763"/>
    <w:rsid w:val="3B4C255B"/>
    <w:rsid w:val="3B551A93"/>
    <w:rsid w:val="3B606655"/>
    <w:rsid w:val="3B626996"/>
    <w:rsid w:val="3B6620EF"/>
    <w:rsid w:val="3B693ABE"/>
    <w:rsid w:val="3B6A55BB"/>
    <w:rsid w:val="3B712735"/>
    <w:rsid w:val="3B930F30"/>
    <w:rsid w:val="3BC51FAC"/>
    <w:rsid w:val="3BCC6D26"/>
    <w:rsid w:val="3BCD6DCC"/>
    <w:rsid w:val="3BD45336"/>
    <w:rsid w:val="3BE4333C"/>
    <w:rsid w:val="3BE9676F"/>
    <w:rsid w:val="3BED76AD"/>
    <w:rsid w:val="3BFF1AFF"/>
    <w:rsid w:val="3C05794C"/>
    <w:rsid w:val="3C1B6ADE"/>
    <w:rsid w:val="3C1F4887"/>
    <w:rsid w:val="3C2A77B9"/>
    <w:rsid w:val="3C3F1642"/>
    <w:rsid w:val="3C4340D1"/>
    <w:rsid w:val="3C451E1C"/>
    <w:rsid w:val="3C4C0F79"/>
    <w:rsid w:val="3C4C13B1"/>
    <w:rsid w:val="3C6F136A"/>
    <w:rsid w:val="3C751EA8"/>
    <w:rsid w:val="3C771FCD"/>
    <w:rsid w:val="3C8F6291"/>
    <w:rsid w:val="3C9A5CBB"/>
    <w:rsid w:val="3C9C0EE0"/>
    <w:rsid w:val="3CAA05F4"/>
    <w:rsid w:val="3CAA50D7"/>
    <w:rsid w:val="3CAF5C0A"/>
    <w:rsid w:val="3CC23CE7"/>
    <w:rsid w:val="3CC33245"/>
    <w:rsid w:val="3CD503F6"/>
    <w:rsid w:val="3CD94B9C"/>
    <w:rsid w:val="3CE021B0"/>
    <w:rsid w:val="3D112421"/>
    <w:rsid w:val="3D42709C"/>
    <w:rsid w:val="3D4F2F4A"/>
    <w:rsid w:val="3D685D41"/>
    <w:rsid w:val="3D734BA5"/>
    <w:rsid w:val="3D783084"/>
    <w:rsid w:val="3D864BBD"/>
    <w:rsid w:val="3D8B2B66"/>
    <w:rsid w:val="3D8F26B0"/>
    <w:rsid w:val="3D913C2B"/>
    <w:rsid w:val="3DB13215"/>
    <w:rsid w:val="3DD05032"/>
    <w:rsid w:val="3DD60B28"/>
    <w:rsid w:val="3DED3F4B"/>
    <w:rsid w:val="3DEE4B95"/>
    <w:rsid w:val="3DFE6F58"/>
    <w:rsid w:val="3E23240C"/>
    <w:rsid w:val="3E241CE0"/>
    <w:rsid w:val="3E242CFD"/>
    <w:rsid w:val="3E2A332E"/>
    <w:rsid w:val="3E2C20D2"/>
    <w:rsid w:val="3E301C92"/>
    <w:rsid w:val="3E34580E"/>
    <w:rsid w:val="3E590463"/>
    <w:rsid w:val="3E611186"/>
    <w:rsid w:val="3E8804C1"/>
    <w:rsid w:val="3EBA2645"/>
    <w:rsid w:val="3EBA7D64"/>
    <w:rsid w:val="3ED27815"/>
    <w:rsid w:val="3EE17BD1"/>
    <w:rsid w:val="3EF142B8"/>
    <w:rsid w:val="3EF52BFF"/>
    <w:rsid w:val="3EF73775"/>
    <w:rsid w:val="3EFC62CD"/>
    <w:rsid w:val="3EFE20B2"/>
    <w:rsid w:val="3F147026"/>
    <w:rsid w:val="3F156199"/>
    <w:rsid w:val="3F2301EA"/>
    <w:rsid w:val="3F2C52F0"/>
    <w:rsid w:val="3F2F0A1F"/>
    <w:rsid w:val="3F540FBA"/>
    <w:rsid w:val="3F60708E"/>
    <w:rsid w:val="3F647D81"/>
    <w:rsid w:val="3F817BE4"/>
    <w:rsid w:val="3F9A5F9A"/>
    <w:rsid w:val="3F9B5FD2"/>
    <w:rsid w:val="3FAC01DF"/>
    <w:rsid w:val="3FD31C10"/>
    <w:rsid w:val="3FE37861"/>
    <w:rsid w:val="3FF335F9"/>
    <w:rsid w:val="3FF47EA1"/>
    <w:rsid w:val="3FFA045E"/>
    <w:rsid w:val="40001511"/>
    <w:rsid w:val="4004001B"/>
    <w:rsid w:val="401F09B1"/>
    <w:rsid w:val="4026570D"/>
    <w:rsid w:val="402F6716"/>
    <w:rsid w:val="40361CB7"/>
    <w:rsid w:val="403C0D10"/>
    <w:rsid w:val="404068F5"/>
    <w:rsid w:val="40482210"/>
    <w:rsid w:val="40623AEE"/>
    <w:rsid w:val="406C796F"/>
    <w:rsid w:val="40706D55"/>
    <w:rsid w:val="40814BDA"/>
    <w:rsid w:val="409969B6"/>
    <w:rsid w:val="409E3FCC"/>
    <w:rsid w:val="40A37834"/>
    <w:rsid w:val="40B92BAB"/>
    <w:rsid w:val="40C82CCE"/>
    <w:rsid w:val="40E90FBF"/>
    <w:rsid w:val="40F260C6"/>
    <w:rsid w:val="40FF07E3"/>
    <w:rsid w:val="41072A4E"/>
    <w:rsid w:val="410A78B3"/>
    <w:rsid w:val="411865F2"/>
    <w:rsid w:val="41230A69"/>
    <w:rsid w:val="412F0A0C"/>
    <w:rsid w:val="41412BA9"/>
    <w:rsid w:val="41425B75"/>
    <w:rsid w:val="41524DB6"/>
    <w:rsid w:val="415D2552"/>
    <w:rsid w:val="41640607"/>
    <w:rsid w:val="416C3056"/>
    <w:rsid w:val="41735459"/>
    <w:rsid w:val="4180170D"/>
    <w:rsid w:val="4197455C"/>
    <w:rsid w:val="419A47A3"/>
    <w:rsid w:val="419D0727"/>
    <w:rsid w:val="41B35408"/>
    <w:rsid w:val="41B675BA"/>
    <w:rsid w:val="41C8461F"/>
    <w:rsid w:val="41D23035"/>
    <w:rsid w:val="41DC62AA"/>
    <w:rsid w:val="41F02995"/>
    <w:rsid w:val="41F2695A"/>
    <w:rsid w:val="42026F12"/>
    <w:rsid w:val="420B3F64"/>
    <w:rsid w:val="42131DED"/>
    <w:rsid w:val="421502BE"/>
    <w:rsid w:val="422A509B"/>
    <w:rsid w:val="42613D77"/>
    <w:rsid w:val="426421B7"/>
    <w:rsid w:val="4269685C"/>
    <w:rsid w:val="4270044C"/>
    <w:rsid w:val="42725710"/>
    <w:rsid w:val="42726795"/>
    <w:rsid w:val="427E2307"/>
    <w:rsid w:val="429C5AC6"/>
    <w:rsid w:val="42A660BB"/>
    <w:rsid w:val="42A92E88"/>
    <w:rsid w:val="42CF2ADA"/>
    <w:rsid w:val="42D41156"/>
    <w:rsid w:val="42D5052E"/>
    <w:rsid w:val="42D71B61"/>
    <w:rsid w:val="42DD6902"/>
    <w:rsid w:val="42EB4958"/>
    <w:rsid w:val="42ED123B"/>
    <w:rsid w:val="42FA1F60"/>
    <w:rsid w:val="4300495F"/>
    <w:rsid w:val="43024820"/>
    <w:rsid w:val="43030A5E"/>
    <w:rsid w:val="430A1DED"/>
    <w:rsid w:val="435C0D6B"/>
    <w:rsid w:val="437370B7"/>
    <w:rsid w:val="437662E2"/>
    <w:rsid w:val="43897891"/>
    <w:rsid w:val="439509AF"/>
    <w:rsid w:val="43BE4985"/>
    <w:rsid w:val="43D45F57"/>
    <w:rsid w:val="43D83C99"/>
    <w:rsid w:val="43EE51A5"/>
    <w:rsid w:val="440D5B73"/>
    <w:rsid w:val="441354CA"/>
    <w:rsid w:val="44223166"/>
    <w:rsid w:val="4426495C"/>
    <w:rsid w:val="44281E7B"/>
    <w:rsid w:val="445A2900"/>
    <w:rsid w:val="448259B3"/>
    <w:rsid w:val="44872FC9"/>
    <w:rsid w:val="44896D41"/>
    <w:rsid w:val="448C6831"/>
    <w:rsid w:val="449E7822"/>
    <w:rsid w:val="44AB4F09"/>
    <w:rsid w:val="44BE4F4C"/>
    <w:rsid w:val="44C401EC"/>
    <w:rsid w:val="44CF5C60"/>
    <w:rsid w:val="44DD3E91"/>
    <w:rsid w:val="44EB3AD2"/>
    <w:rsid w:val="44F2164B"/>
    <w:rsid w:val="44F73D6C"/>
    <w:rsid w:val="44F763A1"/>
    <w:rsid w:val="44FE6A97"/>
    <w:rsid w:val="45015D08"/>
    <w:rsid w:val="45090FCD"/>
    <w:rsid w:val="450A553B"/>
    <w:rsid w:val="4510597B"/>
    <w:rsid w:val="4523136D"/>
    <w:rsid w:val="45280009"/>
    <w:rsid w:val="453572F2"/>
    <w:rsid w:val="45454D2F"/>
    <w:rsid w:val="45620AA2"/>
    <w:rsid w:val="457948A6"/>
    <w:rsid w:val="457B2B2E"/>
    <w:rsid w:val="457D002E"/>
    <w:rsid w:val="45862254"/>
    <w:rsid w:val="458A4B1F"/>
    <w:rsid w:val="459E681C"/>
    <w:rsid w:val="459F22EB"/>
    <w:rsid w:val="45A04342"/>
    <w:rsid w:val="45A656D1"/>
    <w:rsid w:val="45AF27D7"/>
    <w:rsid w:val="45BA417E"/>
    <w:rsid w:val="45C30031"/>
    <w:rsid w:val="45F71FF0"/>
    <w:rsid w:val="46024FFD"/>
    <w:rsid w:val="46175DAE"/>
    <w:rsid w:val="461D2637"/>
    <w:rsid w:val="463D6035"/>
    <w:rsid w:val="465313B5"/>
    <w:rsid w:val="46712740"/>
    <w:rsid w:val="467D462E"/>
    <w:rsid w:val="467F03FC"/>
    <w:rsid w:val="468635AE"/>
    <w:rsid w:val="46957C1F"/>
    <w:rsid w:val="46BF08DF"/>
    <w:rsid w:val="46CA3B6E"/>
    <w:rsid w:val="46DF3BB7"/>
    <w:rsid w:val="46E416BF"/>
    <w:rsid w:val="46E841F3"/>
    <w:rsid w:val="46F91E7C"/>
    <w:rsid w:val="46F972FD"/>
    <w:rsid w:val="47277510"/>
    <w:rsid w:val="47413789"/>
    <w:rsid w:val="47486A40"/>
    <w:rsid w:val="476872E3"/>
    <w:rsid w:val="479B51D9"/>
    <w:rsid w:val="47AF7AC5"/>
    <w:rsid w:val="47F773E0"/>
    <w:rsid w:val="47FC08AC"/>
    <w:rsid w:val="47FC1AAA"/>
    <w:rsid w:val="480513AE"/>
    <w:rsid w:val="480E5EDB"/>
    <w:rsid w:val="48171432"/>
    <w:rsid w:val="48330FF9"/>
    <w:rsid w:val="4847426C"/>
    <w:rsid w:val="48566B3C"/>
    <w:rsid w:val="486B0228"/>
    <w:rsid w:val="4876080B"/>
    <w:rsid w:val="48BF71D5"/>
    <w:rsid w:val="48E924A4"/>
    <w:rsid w:val="48F873C3"/>
    <w:rsid w:val="490A09D4"/>
    <w:rsid w:val="490A177E"/>
    <w:rsid w:val="49105E08"/>
    <w:rsid w:val="49115557"/>
    <w:rsid w:val="492C296D"/>
    <w:rsid w:val="493F3EB3"/>
    <w:rsid w:val="4951666A"/>
    <w:rsid w:val="495A0CAC"/>
    <w:rsid w:val="497C0478"/>
    <w:rsid w:val="497C0C22"/>
    <w:rsid w:val="49885819"/>
    <w:rsid w:val="4994191D"/>
    <w:rsid w:val="49BD51B8"/>
    <w:rsid w:val="49BE56DF"/>
    <w:rsid w:val="49DE2E13"/>
    <w:rsid w:val="49F27137"/>
    <w:rsid w:val="4A0929FA"/>
    <w:rsid w:val="4A0A4CCA"/>
    <w:rsid w:val="4A110D60"/>
    <w:rsid w:val="4A13120E"/>
    <w:rsid w:val="4A2072DE"/>
    <w:rsid w:val="4A210C5D"/>
    <w:rsid w:val="4A471230"/>
    <w:rsid w:val="4A4C39AD"/>
    <w:rsid w:val="4A4D6D6B"/>
    <w:rsid w:val="4A630034"/>
    <w:rsid w:val="4AA05A14"/>
    <w:rsid w:val="4AAF15F0"/>
    <w:rsid w:val="4AB56AE2"/>
    <w:rsid w:val="4AB65EAF"/>
    <w:rsid w:val="4ABD14F2"/>
    <w:rsid w:val="4ADB5E1D"/>
    <w:rsid w:val="4AE22767"/>
    <w:rsid w:val="4AF07B1A"/>
    <w:rsid w:val="4AF424DE"/>
    <w:rsid w:val="4AFA44F5"/>
    <w:rsid w:val="4B5A047D"/>
    <w:rsid w:val="4B8339CF"/>
    <w:rsid w:val="4BBF4E98"/>
    <w:rsid w:val="4BCB7C3F"/>
    <w:rsid w:val="4BD146C5"/>
    <w:rsid w:val="4BD66AD1"/>
    <w:rsid w:val="4BE64169"/>
    <w:rsid w:val="4C0849EF"/>
    <w:rsid w:val="4C0C0983"/>
    <w:rsid w:val="4C124497"/>
    <w:rsid w:val="4C1A4723"/>
    <w:rsid w:val="4C205846"/>
    <w:rsid w:val="4C211F55"/>
    <w:rsid w:val="4C2832E3"/>
    <w:rsid w:val="4C3F7C92"/>
    <w:rsid w:val="4C451CC5"/>
    <w:rsid w:val="4C5E0D5A"/>
    <w:rsid w:val="4C7A2FF8"/>
    <w:rsid w:val="4C984E65"/>
    <w:rsid w:val="4C995F8F"/>
    <w:rsid w:val="4CB6269D"/>
    <w:rsid w:val="4CBF4276"/>
    <w:rsid w:val="4CCE5496"/>
    <w:rsid w:val="4CD03BF9"/>
    <w:rsid w:val="4CD541BE"/>
    <w:rsid w:val="4CD8358B"/>
    <w:rsid w:val="4CED68FA"/>
    <w:rsid w:val="4CF505B7"/>
    <w:rsid w:val="4CFF22DE"/>
    <w:rsid w:val="4D0C5693"/>
    <w:rsid w:val="4D477799"/>
    <w:rsid w:val="4D533A1C"/>
    <w:rsid w:val="4D626455"/>
    <w:rsid w:val="4D663E25"/>
    <w:rsid w:val="4D6D36A4"/>
    <w:rsid w:val="4D6F0072"/>
    <w:rsid w:val="4D722A68"/>
    <w:rsid w:val="4D7367E0"/>
    <w:rsid w:val="4D750476"/>
    <w:rsid w:val="4D783C1E"/>
    <w:rsid w:val="4D786A89"/>
    <w:rsid w:val="4D883B5D"/>
    <w:rsid w:val="4D9D26D1"/>
    <w:rsid w:val="4DA150FB"/>
    <w:rsid w:val="4DA519D1"/>
    <w:rsid w:val="4DA63028"/>
    <w:rsid w:val="4DAB41CC"/>
    <w:rsid w:val="4DB43EA3"/>
    <w:rsid w:val="4DBD0F93"/>
    <w:rsid w:val="4DC40DEA"/>
    <w:rsid w:val="4DC572DA"/>
    <w:rsid w:val="4DC662DA"/>
    <w:rsid w:val="4DC808DA"/>
    <w:rsid w:val="4DD94895"/>
    <w:rsid w:val="4DE374C2"/>
    <w:rsid w:val="4DE4148C"/>
    <w:rsid w:val="4DFF1E22"/>
    <w:rsid w:val="4E0F5A16"/>
    <w:rsid w:val="4E1577CD"/>
    <w:rsid w:val="4E1622A9"/>
    <w:rsid w:val="4E166EC4"/>
    <w:rsid w:val="4E1756EC"/>
    <w:rsid w:val="4E1B1742"/>
    <w:rsid w:val="4E2E279D"/>
    <w:rsid w:val="4E3D2D17"/>
    <w:rsid w:val="4E401C83"/>
    <w:rsid w:val="4E4402CE"/>
    <w:rsid w:val="4E47495A"/>
    <w:rsid w:val="4E4769C9"/>
    <w:rsid w:val="4E4D6B5E"/>
    <w:rsid w:val="4E51571E"/>
    <w:rsid w:val="4E6A36FF"/>
    <w:rsid w:val="4E6F1BA8"/>
    <w:rsid w:val="4E897468"/>
    <w:rsid w:val="4E9B7300"/>
    <w:rsid w:val="4EA61CCE"/>
    <w:rsid w:val="4EB128BB"/>
    <w:rsid w:val="4ED440E4"/>
    <w:rsid w:val="4ED80FF1"/>
    <w:rsid w:val="4EF83441"/>
    <w:rsid w:val="4EFE4FDC"/>
    <w:rsid w:val="4F133DD7"/>
    <w:rsid w:val="4F271B02"/>
    <w:rsid w:val="4F31425D"/>
    <w:rsid w:val="4F3B09F2"/>
    <w:rsid w:val="4F5C0D95"/>
    <w:rsid w:val="4F806F93"/>
    <w:rsid w:val="4F860A4D"/>
    <w:rsid w:val="4F895E47"/>
    <w:rsid w:val="4F8E64B1"/>
    <w:rsid w:val="4F912F4E"/>
    <w:rsid w:val="4F9A0054"/>
    <w:rsid w:val="4FA47125"/>
    <w:rsid w:val="4FC420B1"/>
    <w:rsid w:val="4FC60261"/>
    <w:rsid w:val="4FC74BC1"/>
    <w:rsid w:val="4FD86DCF"/>
    <w:rsid w:val="4FE64D5A"/>
    <w:rsid w:val="4FF67AFB"/>
    <w:rsid w:val="50067498"/>
    <w:rsid w:val="50175C6E"/>
    <w:rsid w:val="5023004A"/>
    <w:rsid w:val="50286D21"/>
    <w:rsid w:val="502901B8"/>
    <w:rsid w:val="502B6476"/>
    <w:rsid w:val="503633BC"/>
    <w:rsid w:val="50564473"/>
    <w:rsid w:val="506174DA"/>
    <w:rsid w:val="50660DE9"/>
    <w:rsid w:val="50661E70"/>
    <w:rsid w:val="507A1C34"/>
    <w:rsid w:val="50A32F39"/>
    <w:rsid w:val="50A57394"/>
    <w:rsid w:val="50A86781"/>
    <w:rsid w:val="50BD2FA6"/>
    <w:rsid w:val="50BD3647"/>
    <w:rsid w:val="50C80C4C"/>
    <w:rsid w:val="50CF199F"/>
    <w:rsid w:val="50DD28EE"/>
    <w:rsid w:val="50E277C4"/>
    <w:rsid w:val="50F2034F"/>
    <w:rsid w:val="510C4F82"/>
    <w:rsid w:val="51112598"/>
    <w:rsid w:val="51292114"/>
    <w:rsid w:val="51601EA1"/>
    <w:rsid w:val="51736DAF"/>
    <w:rsid w:val="51A1768C"/>
    <w:rsid w:val="51B122AB"/>
    <w:rsid w:val="51C84229"/>
    <w:rsid w:val="51CE6421"/>
    <w:rsid w:val="51DF2696"/>
    <w:rsid w:val="51E25299"/>
    <w:rsid w:val="51EB168C"/>
    <w:rsid w:val="51EF0FDE"/>
    <w:rsid w:val="51F779E0"/>
    <w:rsid w:val="51FC2209"/>
    <w:rsid w:val="52086F9A"/>
    <w:rsid w:val="522A2057"/>
    <w:rsid w:val="523302EC"/>
    <w:rsid w:val="523A5B3F"/>
    <w:rsid w:val="523C3645"/>
    <w:rsid w:val="52497B10"/>
    <w:rsid w:val="52505342"/>
    <w:rsid w:val="525560D4"/>
    <w:rsid w:val="52582329"/>
    <w:rsid w:val="5294310F"/>
    <w:rsid w:val="52993868"/>
    <w:rsid w:val="52A370AC"/>
    <w:rsid w:val="52A90561"/>
    <w:rsid w:val="52B458D1"/>
    <w:rsid w:val="52DD3B86"/>
    <w:rsid w:val="52DE0DE1"/>
    <w:rsid w:val="52E37F64"/>
    <w:rsid w:val="52E657E9"/>
    <w:rsid w:val="52FB5040"/>
    <w:rsid w:val="52FD5144"/>
    <w:rsid w:val="53013A3B"/>
    <w:rsid w:val="530421BA"/>
    <w:rsid w:val="53061753"/>
    <w:rsid w:val="531B14AC"/>
    <w:rsid w:val="53307F3E"/>
    <w:rsid w:val="534558E3"/>
    <w:rsid w:val="534A3B3F"/>
    <w:rsid w:val="534D60B9"/>
    <w:rsid w:val="534E34DD"/>
    <w:rsid w:val="53500453"/>
    <w:rsid w:val="53595132"/>
    <w:rsid w:val="535A067F"/>
    <w:rsid w:val="535B5D4C"/>
    <w:rsid w:val="538330A5"/>
    <w:rsid w:val="53947B89"/>
    <w:rsid w:val="539C13A0"/>
    <w:rsid w:val="53C34B56"/>
    <w:rsid w:val="53EF2767"/>
    <w:rsid w:val="5402441A"/>
    <w:rsid w:val="54134D92"/>
    <w:rsid w:val="54290B1F"/>
    <w:rsid w:val="543638C0"/>
    <w:rsid w:val="543A1E06"/>
    <w:rsid w:val="543E2F2F"/>
    <w:rsid w:val="543F11CA"/>
    <w:rsid w:val="544607AB"/>
    <w:rsid w:val="54461AD3"/>
    <w:rsid w:val="544B2ECC"/>
    <w:rsid w:val="545C1D7C"/>
    <w:rsid w:val="5463310B"/>
    <w:rsid w:val="546926EB"/>
    <w:rsid w:val="54813591"/>
    <w:rsid w:val="548E0FA2"/>
    <w:rsid w:val="549534E0"/>
    <w:rsid w:val="549A5EE9"/>
    <w:rsid w:val="54BC0A6D"/>
    <w:rsid w:val="54C0055D"/>
    <w:rsid w:val="54C9431E"/>
    <w:rsid w:val="54F4202D"/>
    <w:rsid w:val="54FC6190"/>
    <w:rsid w:val="55023DF2"/>
    <w:rsid w:val="550565D4"/>
    <w:rsid w:val="55172147"/>
    <w:rsid w:val="551E08BC"/>
    <w:rsid w:val="55210BC2"/>
    <w:rsid w:val="552E31B7"/>
    <w:rsid w:val="55426A08"/>
    <w:rsid w:val="55464EF7"/>
    <w:rsid w:val="55472A2C"/>
    <w:rsid w:val="554C0BA9"/>
    <w:rsid w:val="554E2794"/>
    <w:rsid w:val="55654C60"/>
    <w:rsid w:val="5568105C"/>
    <w:rsid w:val="55733821"/>
    <w:rsid w:val="557C08CC"/>
    <w:rsid w:val="557C6727"/>
    <w:rsid w:val="559C64A6"/>
    <w:rsid w:val="55A167FB"/>
    <w:rsid w:val="55BE25C3"/>
    <w:rsid w:val="55DD3B8F"/>
    <w:rsid w:val="55F9706A"/>
    <w:rsid w:val="561E055B"/>
    <w:rsid w:val="5633291A"/>
    <w:rsid w:val="563C00B7"/>
    <w:rsid w:val="56487932"/>
    <w:rsid w:val="566E5D97"/>
    <w:rsid w:val="56925F29"/>
    <w:rsid w:val="56A209B3"/>
    <w:rsid w:val="56AC5DE0"/>
    <w:rsid w:val="56B10078"/>
    <w:rsid w:val="56B46D6B"/>
    <w:rsid w:val="56C105B6"/>
    <w:rsid w:val="56DF1104"/>
    <w:rsid w:val="56E435A4"/>
    <w:rsid w:val="570F30D6"/>
    <w:rsid w:val="571E77BD"/>
    <w:rsid w:val="57396B1E"/>
    <w:rsid w:val="57457F69"/>
    <w:rsid w:val="574B678F"/>
    <w:rsid w:val="574C432A"/>
    <w:rsid w:val="57500559"/>
    <w:rsid w:val="576A0140"/>
    <w:rsid w:val="576C02E9"/>
    <w:rsid w:val="576F120B"/>
    <w:rsid w:val="57853398"/>
    <w:rsid w:val="578D1B23"/>
    <w:rsid w:val="579251E4"/>
    <w:rsid w:val="57A203EE"/>
    <w:rsid w:val="57B87779"/>
    <w:rsid w:val="57CE0AAF"/>
    <w:rsid w:val="57D00194"/>
    <w:rsid w:val="57D60E64"/>
    <w:rsid w:val="57DD29A9"/>
    <w:rsid w:val="57DE0CFA"/>
    <w:rsid w:val="57EC1C0A"/>
    <w:rsid w:val="57EF2F07"/>
    <w:rsid w:val="57F47A5E"/>
    <w:rsid w:val="57F73759"/>
    <w:rsid w:val="580249E9"/>
    <w:rsid w:val="5805436F"/>
    <w:rsid w:val="581B28A4"/>
    <w:rsid w:val="58256929"/>
    <w:rsid w:val="58296382"/>
    <w:rsid w:val="586955B3"/>
    <w:rsid w:val="5878714E"/>
    <w:rsid w:val="58797CA9"/>
    <w:rsid w:val="587F292B"/>
    <w:rsid w:val="5881600E"/>
    <w:rsid w:val="58835EAB"/>
    <w:rsid w:val="58845D9B"/>
    <w:rsid w:val="588673C8"/>
    <w:rsid w:val="58B303D9"/>
    <w:rsid w:val="58B71C77"/>
    <w:rsid w:val="58BA3515"/>
    <w:rsid w:val="58BB529D"/>
    <w:rsid w:val="58CC5105"/>
    <w:rsid w:val="58CD7840"/>
    <w:rsid w:val="58D94CD9"/>
    <w:rsid w:val="58DC7F4D"/>
    <w:rsid w:val="58E025CA"/>
    <w:rsid w:val="58EB7B73"/>
    <w:rsid w:val="5903310E"/>
    <w:rsid w:val="59095948"/>
    <w:rsid w:val="59154BEF"/>
    <w:rsid w:val="591B58C0"/>
    <w:rsid w:val="59204F48"/>
    <w:rsid w:val="59210FA5"/>
    <w:rsid w:val="59234ECA"/>
    <w:rsid w:val="59246BE1"/>
    <w:rsid w:val="592B7BAA"/>
    <w:rsid w:val="593410FD"/>
    <w:rsid w:val="5943350B"/>
    <w:rsid w:val="5943677E"/>
    <w:rsid w:val="594A216F"/>
    <w:rsid w:val="594C3C0B"/>
    <w:rsid w:val="59541E08"/>
    <w:rsid w:val="595D3DAB"/>
    <w:rsid w:val="5966475D"/>
    <w:rsid w:val="59834A43"/>
    <w:rsid w:val="59840B1E"/>
    <w:rsid w:val="59891EB3"/>
    <w:rsid w:val="59B94D9F"/>
    <w:rsid w:val="59C15F6D"/>
    <w:rsid w:val="59D83F5E"/>
    <w:rsid w:val="59E204C4"/>
    <w:rsid w:val="59F86F12"/>
    <w:rsid w:val="5A05630E"/>
    <w:rsid w:val="5A1F3CE5"/>
    <w:rsid w:val="5A6C2FC9"/>
    <w:rsid w:val="5A6D3BE8"/>
    <w:rsid w:val="5A741170"/>
    <w:rsid w:val="5A753BEA"/>
    <w:rsid w:val="5A763D56"/>
    <w:rsid w:val="5A8123CD"/>
    <w:rsid w:val="5A822399"/>
    <w:rsid w:val="5A8E6A07"/>
    <w:rsid w:val="5A932270"/>
    <w:rsid w:val="5A93401E"/>
    <w:rsid w:val="5AA9097C"/>
    <w:rsid w:val="5AAF372C"/>
    <w:rsid w:val="5AB02E22"/>
    <w:rsid w:val="5ABA5A4E"/>
    <w:rsid w:val="5AC16640"/>
    <w:rsid w:val="5ACF44C9"/>
    <w:rsid w:val="5AD05272"/>
    <w:rsid w:val="5AE00395"/>
    <w:rsid w:val="5AED2094"/>
    <w:rsid w:val="5AEE394A"/>
    <w:rsid w:val="5AF251E8"/>
    <w:rsid w:val="5AF3000A"/>
    <w:rsid w:val="5AFB5EB9"/>
    <w:rsid w:val="5AFD593B"/>
    <w:rsid w:val="5B011702"/>
    <w:rsid w:val="5B081542"/>
    <w:rsid w:val="5B0C3042"/>
    <w:rsid w:val="5B0D2022"/>
    <w:rsid w:val="5B157129"/>
    <w:rsid w:val="5B247565"/>
    <w:rsid w:val="5B264B73"/>
    <w:rsid w:val="5B2A44B1"/>
    <w:rsid w:val="5B2E3EE9"/>
    <w:rsid w:val="5B6B6D49"/>
    <w:rsid w:val="5B767BC7"/>
    <w:rsid w:val="5B7F45A2"/>
    <w:rsid w:val="5B8B1196"/>
    <w:rsid w:val="5B975306"/>
    <w:rsid w:val="5BB10BFF"/>
    <w:rsid w:val="5BB406F0"/>
    <w:rsid w:val="5BBB7CD0"/>
    <w:rsid w:val="5BC56C4F"/>
    <w:rsid w:val="5BCA019E"/>
    <w:rsid w:val="5BDB3ECE"/>
    <w:rsid w:val="5BDF1BE1"/>
    <w:rsid w:val="5BEA4111"/>
    <w:rsid w:val="5BF34CF4"/>
    <w:rsid w:val="5C1D0043"/>
    <w:rsid w:val="5C317F92"/>
    <w:rsid w:val="5C3D2CF7"/>
    <w:rsid w:val="5C49575C"/>
    <w:rsid w:val="5C4E59E6"/>
    <w:rsid w:val="5C556B56"/>
    <w:rsid w:val="5C5D6574"/>
    <w:rsid w:val="5C6F0602"/>
    <w:rsid w:val="5C865FCB"/>
    <w:rsid w:val="5C8D77D5"/>
    <w:rsid w:val="5C8F4ADF"/>
    <w:rsid w:val="5C9108EC"/>
    <w:rsid w:val="5C9934D4"/>
    <w:rsid w:val="5C9E7D8C"/>
    <w:rsid w:val="5CA85C63"/>
    <w:rsid w:val="5CCA2CE3"/>
    <w:rsid w:val="5CCF336E"/>
    <w:rsid w:val="5CD10E2D"/>
    <w:rsid w:val="5CE4226F"/>
    <w:rsid w:val="5D142D74"/>
    <w:rsid w:val="5D1B03DF"/>
    <w:rsid w:val="5D215608"/>
    <w:rsid w:val="5D316B4B"/>
    <w:rsid w:val="5D3929B6"/>
    <w:rsid w:val="5D4C593F"/>
    <w:rsid w:val="5D6049FD"/>
    <w:rsid w:val="5D6B3030"/>
    <w:rsid w:val="5D6C71EA"/>
    <w:rsid w:val="5D704AEA"/>
    <w:rsid w:val="5D8F4A9F"/>
    <w:rsid w:val="5D926D65"/>
    <w:rsid w:val="5D9641A3"/>
    <w:rsid w:val="5DB26B6E"/>
    <w:rsid w:val="5DBE7604"/>
    <w:rsid w:val="5DDC6327"/>
    <w:rsid w:val="5DDE5ADB"/>
    <w:rsid w:val="5DE93F98"/>
    <w:rsid w:val="5DF859BE"/>
    <w:rsid w:val="5DFD38D9"/>
    <w:rsid w:val="5E0115B6"/>
    <w:rsid w:val="5E087E8B"/>
    <w:rsid w:val="5E0A442F"/>
    <w:rsid w:val="5E102730"/>
    <w:rsid w:val="5E225DE5"/>
    <w:rsid w:val="5E36221D"/>
    <w:rsid w:val="5E373780"/>
    <w:rsid w:val="5E3C4107"/>
    <w:rsid w:val="5E4D0988"/>
    <w:rsid w:val="5E6006BB"/>
    <w:rsid w:val="5E7537A3"/>
    <w:rsid w:val="5E783C56"/>
    <w:rsid w:val="5E8C756F"/>
    <w:rsid w:val="5E9640DD"/>
    <w:rsid w:val="5EA22243"/>
    <w:rsid w:val="5EF74406"/>
    <w:rsid w:val="5EF91CCF"/>
    <w:rsid w:val="5F0D61FF"/>
    <w:rsid w:val="5F1132C6"/>
    <w:rsid w:val="5F1576F7"/>
    <w:rsid w:val="5F247AFE"/>
    <w:rsid w:val="5F266F23"/>
    <w:rsid w:val="5F2E144B"/>
    <w:rsid w:val="5F36141C"/>
    <w:rsid w:val="5F3833E6"/>
    <w:rsid w:val="5F3C0F79"/>
    <w:rsid w:val="5F492122"/>
    <w:rsid w:val="5F4B1DFD"/>
    <w:rsid w:val="5F50072F"/>
    <w:rsid w:val="5F5256CF"/>
    <w:rsid w:val="5F595338"/>
    <w:rsid w:val="5F620781"/>
    <w:rsid w:val="5F681FCF"/>
    <w:rsid w:val="5F6D308F"/>
    <w:rsid w:val="5F857143"/>
    <w:rsid w:val="5F926F9A"/>
    <w:rsid w:val="5F97635E"/>
    <w:rsid w:val="5FAD0A58"/>
    <w:rsid w:val="5FAD7930"/>
    <w:rsid w:val="5FC44F0A"/>
    <w:rsid w:val="5FE84E0C"/>
    <w:rsid w:val="5FF52005"/>
    <w:rsid w:val="5FFC0099"/>
    <w:rsid w:val="5FFD728A"/>
    <w:rsid w:val="5FFE1493"/>
    <w:rsid w:val="60024EDF"/>
    <w:rsid w:val="60035826"/>
    <w:rsid w:val="600A2A29"/>
    <w:rsid w:val="60172C8E"/>
    <w:rsid w:val="602C4435"/>
    <w:rsid w:val="60305F12"/>
    <w:rsid w:val="6037544B"/>
    <w:rsid w:val="60387845"/>
    <w:rsid w:val="603B4F3C"/>
    <w:rsid w:val="604858AA"/>
    <w:rsid w:val="604D7821"/>
    <w:rsid w:val="60510E15"/>
    <w:rsid w:val="605152E5"/>
    <w:rsid w:val="60612463"/>
    <w:rsid w:val="60673F83"/>
    <w:rsid w:val="6070184B"/>
    <w:rsid w:val="607B3016"/>
    <w:rsid w:val="60805044"/>
    <w:rsid w:val="60826C80"/>
    <w:rsid w:val="60985E9A"/>
    <w:rsid w:val="60990CA7"/>
    <w:rsid w:val="60BA0BCA"/>
    <w:rsid w:val="60C110F2"/>
    <w:rsid w:val="60CB2763"/>
    <w:rsid w:val="60D842A5"/>
    <w:rsid w:val="60EB3387"/>
    <w:rsid w:val="60F021CA"/>
    <w:rsid w:val="60F375C4"/>
    <w:rsid w:val="60FE756F"/>
    <w:rsid w:val="61204131"/>
    <w:rsid w:val="61291238"/>
    <w:rsid w:val="612A2C59"/>
    <w:rsid w:val="613F5F2E"/>
    <w:rsid w:val="614921AA"/>
    <w:rsid w:val="614B38A4"/>
    <w:rsid w:val="614C5F5A"/>
    <w:rsid w:val="6158044D"/>
    <w:rsid w:val="6161292D"/>
    <w:rsid w:val="61675733"/>
    <w:rsid w:val="61695AD8"/>
    <w:rsid w:val="616C7636"/>
    <w:rsid w:val="618E3791"/>
    <w:rsid w:val="61970A79"/>
    <w:rsid w:val="619F4436"/>
    <w:rsid w:val="61A13DAA"/>
    <w:rsid w:val="61A42FB4"/>
    <w:rsid w:val="61B431F8"/>
    <w:rsid w:val="61B62255"/>
    <w:rsid w:val="61C02D81"/>
    <w:rsid w:val="61C15914"/>
    <w:rsid w:val="61E34130"/>
    <w:rsid w:val="61EC768B"/>
    <w:rsid w:val="61ED04B8"/>
    <w:rsid w:val="62031A89"/>
    <w:rsid w:val="621F0147"/>
    <w:rsid w:val="624971CC"/>
    <w:rsid w:val="625C3F01"/>
    <w:rsid w:val="628B200E"/>
    <w:rsid w:val="62AD6C5A"/>
    <w:rsid w:val="62D1754A"/>
    <w:rsid w:val="62D9728D"/>
    <w:rsid w:val="62EE2739"/>
    <w:rsid w:val="62FF09F6"/>
    <w:rsid w:val="63065CD5"/>
    <w:rsid w:val="630D0026"/>
    <w:rsid w:val="63193D8E"/>
    <w:rsid w:val="631F51C0"/>
    <w:rsid w:val="633F11E7"/>
    <w:rsid w:val="63406533"/>
    <w:rsid w:val="6346272E"/>
    <w:rsid w:val="63604CB9"/>
    <w:rsid w:val="636369C4"/>
    <w:rsid w:val="63755EBC"/>
    <w:rsid w:val="6377558D"/>
    <w:rsid w:val="637D0340"/>
    <w:rsid w:val="638C3D00"/>
    <w:rsid w:val="63CA383F"/>
    <w:rsid w:val="63E00A4B"/>
    <w:rsid w:val="63E776F7"/>
    <w:rsid w:val="63EB73BE"/>
    <w:rsid w:val="640E5131"/>
    <w:rsid w:val="641F343C"/>
    <w:rsid w:val="642A71B1"/>
    <w:rsid w:val="642D505E"/>
    <w:rsid w:val="642F3009"/>
    <w:rsid w:val="64353881"/>
    <w:rsid w:val="6445282D"/>
    <w:rsid w:val="645A5BAC"/>
    <w:rsid w:val="645C048C"/>
    <w:rsid w:val="646959A3"/>
    <w:rsid w:val="646C19F5"/>
    <w:rsid w:val="64702BA8"/>
    <w:rsid w:val="647E7AED"/>
    <w:rsid w:val="647F2228"/>
    <w:rsid w:val="648669A1"/>
    <w:rsid w:val="64A357A5"/>
    <w:rsid w:val="64A85F96"/>
    <w:rsid w:val="64AA7A10"/>
    <w:rsid w:val="64AD2180"/>
    <w:rsid w:val="64B46367"/>
    <w:rsid w:val="64C50A15"/>
    <w:rsid w:val="64D2529B"/>
    <w:rsid w:val="64D414E2"/>
    <w:rsid w:val="64FF525C"/>
    <w:rsid w:val="6502071E"/>
    <w:rsid w:val="650F4BE9"/>
    <w:rsid w:val="65130235"/>
    <w:rsid w:val="651D7774"/>
    <w:rsid w:val="65216FBD"/>
    <w:rsid w:val="65256538"/>
    <w:rsid w:val="65256EAA"/>
    <w:rsid w:val="653552FA"/>
    <w:rsid w:val="6537227D"/>
    <w:rsid w:val="654368CB"/>
    <w:rsid w:val="65465867"/>
    <w:rsid w:val="655E20CB"/>
    <w:rsid w:val="655F0FD4"/>
    <w:rsid w:val="656377C9"/>
    <w:rsid w:val="656C745D"/>
    <w:rsid w:val="657F444F"/>
    <w:rsid w:val="65953340"/>
    <w:rsid w:val="65BF660F"/>
    <w:rsid w:val="65D13BDB"/>
    <w:rsid w:val="65E676F8"/>
    <w:rsid w:val="65EE590B"/>
    <w:rsid w:val="65FF6CE4"/>
    <w:rsid w:val="66065FEC"/>
    <w:rsid w:val="660D3C09"/>
    <w:rsid w:val="6619089C"/>
    <w:rsid w:val="662950F8"/>
    <w:rsid w:val="662A0B2A"/>
    <w:rsid w:val="664553C1"/>
    <w:rsid w:val="66495ED8"/>
    <w:rsid w:val="664D7777"/>
    <w:rsid w:val="66583F8C"/>
    <w:rsid w:val="66A01F9C"/>
    <w:rsid w:val="66BD4D07"/>
    <w:rsid w:val="66CF4630"/>
    <w:rsid w:val="66DD6F3D"/>
    <w:rsid w:val="670904C3"/>
    <w:rsid w:val="67283D40"/>
    <w:rsid w:val="6737274E"/>
    <w:rsid w:val="673E5445"/>
    <w:rsid w:val="67564D51"/>
    <w:rsid w:val="67646976"/>
    <w:rsid w:val="676C3A08"/>
    <w:rsid w:val="67852F40"/>
    <w:rsid w:val="67912388"/>
    <w:rsid w:val="67B007D0"/>
    <w:rsid w:val="67B657F0"/>
    <w:rsid w:val="67BA56E4"/>
    <w:rsid w:val="67BD413A"/>
    <w:rsid w:val="67C972D1"/>
    <w:rsid w:val="67CA3880"/>
    <w:rsid w:val="67EE6E63"/>
    <w:rsid w:val="67F82244"/>
    <w:rsid w:val="67FA1B80"/>
    <w:rsid w:val="680058A5"/>
    <w:rsid w:val="68175200"/>
    <w:rsid w:val="6817628E"/>
    <w:rsid w:val="681C5653"/>
    <w:rsid w:val="681E541D"/>
    <w:rsid w:val="682954C4"/>
    <w:rsid w:val="68346C86"/>
    <w:rsid w:val="685132E1"/>
    <w:rsid w:val="68597581"/>
    <w:rsid w:val="686C69B8"/>
    <w:rsid w:val="686F04C8"/>
    <w:rsid w:val="6876296E"/>
    <w:rsid w:val="688277EF"/>
    <w:rsid w:val="68921DB9"/>
    <w:rsid w:val="6897117D"/>
    <w:rsid w:val="689D1AB8"/>
    <w:rsid w:val="689D41B3"/>
    <w:rsid w:val="68A80483"/>
    <w:rsid w:val="68CC2AF4"/>
    <w:rsid w:val="68D95F14"/>
    <w:rsid w:val="68DA686F"/>
    <w:rsid w:val="68E97798"/>
    <w:rsid w:val="68EB6911"/>
    <w:rsid w:val="69101FC1"/>
    <w:rsid w:val="691A2D16"/>
    <w:rsid w:val="69356ED2"/>
    <w:rsid w:val="693C4BE9"/>
    <w:rsid w:val="69401815"/>
    <w:rsid w:val="695174FF"/>
    <w:rsid w:val="695426C5"/>
    <w:rsid w:val="69752D81"/>
    <w:rsid w:val="698931BC"/>
    <w:rsid w:val="6989676C"/>
    <w:rsid w:val="699D27C3"/>
    <w:rsid w:val="69A433E0"/>
    <w:rsid w:val="69AE49D0"/>
    <w:rsid w:val="69B35661"/>
    <w:rsid w:val="69C9662A"/>
    <w:rsid w:val="69D837FB"/>
    <w:rsid w:val="69D87C9F"/>
    <w:rsid w:val="69E057C4"/>
    <w:rsid w:val="69E94088"/>
    <w:rsid w:val="69EE5696"/>
    <w:rsid w:val="69F50851"/>
    <w:rsid w:val="69F93160"/>
    <w:rsid w:val="69FA5E67"/>
    <w:rsid w:val="6A097E59"/>
    <w:rsid w:val="6A332318"/>
    <w:rsid w:val="6A3603E2"/>
    <w:rsid w:val="6A4B0471"/>
    <w:rsid w:val="6A651E9E"/>
    <w:rsid w:val="6A65568E"/>
    <w:rsid w:val="6A6C412A"/>
    <w:rsid w:val="6A843983"/>
    <w:rsid w:val="6A9A589E"/>
    <w:rsid w:val="6AB66D3A"/>
    <w:rsid w:val="6ABA73A5"/>
    <w:rsid w:val="6AE07795"/>
    <w:rsid w:val="6B171F35"/>
    <w:rsid w:val="6B2D401B"/>
    <w:rsid w:val="6B315226"/>
    <w:rsid w:val="6B594E10"/>
    <w:rsid w:val="6B673089"/>
    <w:rsid w:val="6B686E01"/>
    <w:rsid w:val="6B7C62E5"/>
    <w:rsid w:val="6B8726D2"/>
    <w:rsid w:val="6B966935"/>
    <w:rsid w:val="6B9B51CA"/>
    <w:rsid w:val="6BAA566B"/>
    <w:rsid w:val="6BB16AFE"/>
    <w:rsid w:val="6BB9504A"/>
    <w:rsid w:val="6BC03C34"/>
    <w:rsid w:val="6BC71D79"/>
    <w:rsid w:val="6BD44496"/>
    <w:rsid w:val="6BD562A1"/>
    <w:rsid w:val="6BEB4F4D"/>
    <w:rsid w:val="6BEF1E36"/>
    <w:rsid w:val="6C005EAC"/>
    <w:rsid w:val="6C1D408F"/>
    <w:rsid w:val="6C271AD6"/>
    <w:rsid w:val="6C354562"/>
    <w:rsid w:val="6C440309"/>
    <w:rsid w:val="6C5A0E3F"/>
    <w:rsid w:val="6C5C5A7E"/>
    <w:rsid w:val="6C635F46"/>
    <w:rsid w:val="6C662212"/>
    <w:rsid w:val="6C6664E4"/>
    <w:rsid w:val="6C68355C"/>
    <w:rsid w:val="6C781A09"/>
    <w:rsid w:val="6C7E1F41"/>
    <w:rsid w:val="6C832144"/>
    <w:rsid w:val="6C8769E4"/>
    <w:rsid w:val="6C9205D9"/>
    <w:rsid w:val="6CAA3759"/>
    <w:rsid w:val="6CAB665B"/>
    <w:rsid w:val="6CC47E5A"/>
    <w:rsid w:val="6CC736FB"/>
    <w:rsid w:val="6CC747E5"/>
    <w:rsid w:val="6CF1403B"/>
    <w:rsid w:val="6D0B4738"/>
    <w:rsid w:val="6D0F1C2A"/>
    <w:rsid w:val="6D2360BD"/>
    <w:rsid w:val="6D25144D"/>
    <w:rsid w:val="6D2531FB"/>
    <w:rsid w:val="6D265E01"/>
    <w:rsid w:val="6D413DAD"/>
    <w:rsid w:val="6D73410A"/>
    <w:rsid w:val="6D820C4D"/>
    <w:rsid w:val="6D8F706F"/>
    <w:rsid w:val="6DB1683D"/>
    <w:rsid w:val="6DEE7A91"/>
    <w:rsid w:val="6DF64253"/>
    <w:rsid w:val="6DFF70B6"/>
    <w:rsid w:val="6E0252EB"/>
    <w:rsid w:val="6E0B73CB"/>
    <w:rsid w:val="6E104701"/>
    <w:rsid w:val="6E111648"/>
    <w:rsid w:val="6E1119D2"/>
    <w:rsid w:val="6E352852"/>
    <w:rsid w:val="6E3F653F"/>
    <w:rsid w:val="6E414065"/>
    <w:rsid w:val="6E562FDE"/>
    <w:rsid w:val="6E5A5127"/>
    <w:rsid w:val="6E66587A"/>
    <w:rsid w:val="6E71421E"/>
    <w:rsid w:val="6E723F57"/>
    <w:rsid w:val="6E815015"/>
    <w:rsid w:val="6EB02F99"/>
    <w:rsid w:val="6EC151A6"/>
    <w:rsid w:val="6EC24A7A"/>
    <w:rsid w:val="6EC66036"/>
    <w:rsid w:val="6ED17667"/>
    <w:rsid w:val="6ED84BE7"/>
    <w:rsid w:val="6EEE06C9"/>
    <w:rsid w:val="6EF822A2"/>
    <w:rsid w:val="6F106C53"/>
    <w:rsid w:val="6F12155D"/>
    <w:rsid w:val="6F2A4AF9"/>
    <w:rsid w:val="6F364044"/>
    <w:rsid w:val="6F5558EE"/>
    <w:rsid w:val="6F655550"/>
    <w:rsid w:val="6F7057EC"/>
    <w:rsid w:val="6F8919DB"/>
    <w:rsid w:val="6FA11EB8"/>
    <w:rsid w:val="6FA86872"/>
    <w:rsid w:val="6FAE6EA9"/>
    <w:rsid w:val="6FB65CD3"/>
    <w:rsid w:val="6FC036A4"/>
    <w:rsid w:val="6FC443D5"/>
    <w:rsid w:val="6FE30867"/>
    <w:rsid w:val="6FFE718C"/>
    <w:rsid w:val="70082960"/>
    <w:rsid w:val="70256A72"/>
    <w:rsid w:val="702E3465"/>
    <w:rsid w:val="702E6CA0"/>
    <w:rsid w:val="702F7280"/>
    <w:rsid w:val="70455963"/>
    <w:rsid w:val="70473489"/>
    <w:rsid w:val="704C4F43"/>
    <w:rsid w:val="70A82C64"/>
    <w:rsid w:val="70B054D2"/>
    <w:rsid w:val="70C1148D"/>
    <w:rsid w:val="70C615D7"/>
    <w:rsid w:val="70D8212E"/>
    <w:rsid w:val="70DA254F"/>
    <w:rsid w:val="70DC0075"/>
    <w:rsid w:val="70DC62B8"/>
    <w:rsid w:val="70E4170B"/>
    <w:rsid w:val="70E75A48"/>
    <w:rsid w:val="70ED2352"/>
    <w:rsid w:val="70EE1B56"/>
    <w:rsid w:val="710650F2"/>
    <w:rsid w:val="711F2EC6"/>
    <w:rsid w:val="7146408D"/>
    <w:rsid w:val="715A132F"/>
    <w:rsid w:val="71713B7E"/>
    <w:rsid w:val="717A1E6F"/>
    <w:rsid w:val="717E2EDA"/>
    <w:rsid w:val="718450C3"/>
    <w:rsid w:val="71921EF8"/>
    <w:rsid w:val="71AD37BF"/>
    <w:rsid w:val="71B135F8"/>
    <w:rsid w:val="71C1726B"/>
    <w:rsid w:val="71CE09AC"/>
    <w:rsid w:val="71CF3B70"/>
    <w:rsid w:val="71D93C75"/>
    <w:rsid w:val="71DA51AC"/>
    <w:rsid w:val="71E30D52"/>
    <w:rsid w:val="71E5166D"/>
    <w:rsid w:val="71E573FD"/>
    <w:rsid w:val="71F5138A"/>
    <w:rsid w:val="720307B4"/>
    <w:rsid w:val="721750DD"/>
    <w:rsid w:val="722E4900"/>
    <w:rsid w:val="724C54C4"/>
    <w:rsid w:val="72516841"/>
    <w:rsid w:val="7287571C"/>
    <w:rsid w:val="72893053"/>
    <w:rsid w:val="72AE77EF"/>
    <w:rsid w:val="72B1794F"/>
    <w:rsid w:val="72C467E9"/>
    <w:rsid w:val="72CA2102"/>
    <w:rsid w:val="72CC09B5"/>
    <w:rsid w:val="72D03C09"/>
    <w:rsid w:val="72D2478B"/>
    <w:rsid w:val="72FC67AC"/>
    <w:rsid w:val="730E028E"/>
    <w:rsid w:val="73154211"/>
    <w:rsid w:val="731F06ED"/>
    <w:rsid w:val="73233CC3"/>
    <w:rsid w:val="73562716"/>
    <w:rsid w:val="73563369"/>
    <w:rsid w:val="736C3B18"/>
    <w:rsid w:val="738513F9"/>
    <w:rsid w:val="73902F65"/>
    <w:rsid w:val="739411F0"/>
    <w:rsid w:val="739A7DBC"/>
    <w:rsid w:val="73C37B3A"/>
    <w:rsid w:val="73D74B24"/>
    <w:rsid w:val="73DD79E2"/>
    <w:rsid w:val="740021F6"/>
    <w:rsid w:val="741E4526"/>
    <w:rsid w:val="745B7503"/>
    <w:rsid w:val="74842EFD"/>
    <w:rsid w:val="749F1AE5"/>
    <w:rsid w:val="74B27FFC"/>
    <w:rsid w:val="74B310ED"/>
    <w:rsid w:val="74CE0A91"/>
    <w:rsid w:val="74D80B53"/>
    <w:rsid w:val="74E61367"/>
    <w:rsid w:val="74EA0887"/>
    <w:rsid w:val="74EB4D2A"/>
    <w:rsid w:val="74F76CC5"/>
    <w:rsid w:val="74FA4B59"/>
    <w:rsid w:val="750C4CA1"/>
    <w:rsid w:val="75103F83"/>
    <w:rsid w:val="751C35F6"/>
    <w:rsid w:val="75312CD9"/>
    <w:rsid w:val="75480616"/>
    <w:rsid w:val="755A442D"/>
    <w:rsid w:val="75696511"/>
    <w:rsid w:val="75787FC9"/>
    <w:rsid w:val="7579027F"/>
    <w:rsid w:val="758C63E9"/>
    <w:rsid w:val="758D1214"/>
    <w:rsid w:val="75925C60"/>
    <w:rsid w:val="759524DD"/>
    <w:rsid w:val="75A6462A"/>
    <w:rsid w:val="75B136A4"/>
    <w:rsid w:val="75B55338"/>
    <w:rsid w:val="75BA5E27"/>
    <w:rsid w:val="75C07904"/>
    <w:rsid w:val="75EA4FE2"/>
    <w:rsid w:val="75F45E61"/>
    <w:rsid w:val="75F75951"/>
    <w:rsid w:val="76097B1B"/>
    <w:rsid w:val="761E4C8C"/>
    <w:rsid w:val="76293A1D"/>
    <w:rsid w:val="763059B4"/>
    <w:rsid w:val="76323D0E"/>
    <w:rsid w:val="763E0C8B"/>
    <w:rsid w:val="763E532E"/>
    <w:rsid w:val="76426BCC"/>
    <w:rsid w:val="7668604C"/>
    <w:rsid w:val="76844875"/>
    <w:rsid w:val="76870A83"/>
    <w:rsid w:val="76927701"/>
    <w:rsid w:val="76972029"/>
    <w:rsid w:val="769A2FB0"/>
    <w:rsid w:val="76C75323"/>
    <w:rsid w:val="76C770D1"/>
    <w:rsid w:val="76CD20EF"/>
    <w:rsid w:val="76D4359C"/>
    <w:rsid w:val="76DD707F"/>
    <w:rsid w:val="76DE48C7"/>
    <w:rsid w:val="76E012A8"/>
    <w:rsid w:val="76E61D7C"/>
    <w:rsid w:val="77087DEA"/>
    <w:rsid w:val="770B16B4"/>
    <w:rsid w:val="770B3EB1"/>
    <w:rsid w:val="770E6AAE"/>
    <w:rsid w:val="771B10B2"/>
    <w:rsid w:val="77324E93"/>
    <w:rsid w:val="77347394"/>
    <w:rsid w:val="77405BD7"/>
    <w:rsid w:val="77707769"/>
    <w:rsid w:val="7771703D"/>
    <w:rsid w:val="77814308"/>
    <w:rsid w:val="77854853"/>
    <w:rsid w:val="778A680B"/>
    <w:rsid w:val="77A065D1"/>
    <w:rsid w:val="77A967D7"/>
    <w:rsid w:val="77B45926"/>
    <w:rsid w:val="77B91110"/>
    <w:rsid w:val="77BF2FA4"/>
    <w:rsid w:val="77C655DB"/>
    <w:rsid w:val="77C94015"/>
    <w:rsid w:val="77D24D10"/>
    <w:rsid w:val="77DA29A3"/>
    <w:rsid w:val="77E45A61"/>
    <w:rsid w:val="77EB6DF0"/>
    <w:rsid w:val="7802749A"/>
    <w:rsid w:val="7807661F"/>
    <w:rsid w:val="78114957"/>
    <w:rsid w:val="782567A5"/>
    <w:rsid w:val="783562BD"/>
    <w:rsid w:val="783F4B9C"/>
    <w:rsid w:val="78572DE9"/>
    <w:rsid w:val="785B050C"/>
    <w:rsid w:val="78677C2F"/>
    <w:rsid w:val="786A3427"/>
    <w:rsid w:val="78741052"/>
    <w:rsid w:val="7883171E"/>
    <w:rsid w:val="789D3685"/>
    <w:rsid w:val="78AC2EA9"/>
    <w:rsid w:val="78C316A9"/>
    <w:rsid w:val="78E36EC8"/>
    <w:rsid w:val="78E818E5"/>
    <w:rsid w:val="78EE0F59"/>
    <w:rsid w:val="78F426B9"/>
    <w:rsid w:val="792316FC"/>
    <w:rsid w:val="793547C6"/>
    <w:rsid w:val="794A09E1"/>
    <w:rsid w:val="794D0DBA"/>
    <w:rsid w:val="795D5278"/>
    <w:rsid w:val="7973709D"/>
    <w:rsid w:val="797F60D5"/>
    <w:rsid w:val="79856DD0"/>
    <w:rsid w:val="799139C7"/>
    <w:rsid w:val="79915775"/>
    <w:rsid w:val="7997722F"/>
    <w:rsid w:val="79AC66B8"/>
    <w:rsid w:val="79AD5230"/>
    <w:rsid w:val="79B96B8F"/>
    <w:rsid w:val="79BD47BC"/>
    <w:rsid w:val="79C16D0A"/>
    <w:rsid w:val="79D02741"/>
    <w:rsid w:val="79FC52E4"/>
    <w:rsid w:val="7A01776A"/>
    <w:rsid w:val="7A084370"/>
    <w:rsid w:val="7A0C1900"/>
    <w:rsid w:val="7A161615"/>
    <w:rsid w:val="7A434E36"/>
    <w:rsid w:val="7A456C8B"/>
    <w:rsid w:val="7A4F30DE"/>
    <w:rsid w:val="7A573234"/>
    <w:rsid w:val="7A583B2A"/>
    <w:rsid w:val="7A6115EB"/>
    <w:rsid w:val="7A6C7BE6"/>
    <w:rsid w:val="7A715CD2"/>
    <w:rsid w:val="7AB71F1E"/>
    <w:rsid w:val="7AE528A2"/>
    <w:rsid w:val="7AEC500C"/>
    <w:rsid w:val="7AFE2D3C"/>
    <w:rsid w:val="7B15411D"/>
    <w:rsid w:val="7B267E4C"/>
    <w:rsid w:val="7B290338"/>
    <w:rsid w:val="7B317854"/>
    <w:rsid w:val="7B38059E"/>
    <w:rsid w:val="7B396895"/>
    <w:rsid w:val="7B5913F5"/>
    <w:rsid w:val="7B5C26B1"/>
    <w:rsid w:val="7B5D7996"/>
    <w:rsid w:val="7B603460"/>
    <w:rsid w:val="7B926A7B"/>
    <w:rsid w:val="7BAA5E37"/>
    <w:rsid w:val="7BAE0860"/>
    <w:rsid w:val="7BD24E35"/>
    <w:rsid w:val="7BD52290"/>
    <w:rsid w:val="7BDB5C77"/>
    <w:rsid w:val="7BE23A26"/>
    <w:rsid w:val="7BEB1AB4"/>
    <w:rsid w:val="7BFB4960"/>
    <w:rsid w:val="7BFB74D3"/>
    <w:rsid w:val="7C0B3F04"/>
    <w:rsid w:val="7C150C70"/>
    <w:rsid w:val="7C190EA3"/>
    <w:rsid w:val="7C1D7794"/>
    <w:rsid w:val="7C2154D6"/>
    <w:rsid w:val="7C2735F3"/>
    <w:rsid w:val="7C276226"/>
    <w:rsid w:val="7C2D09C7"/>
    <w:rsid w:val="7C2F7BF3"/>
    <w:rsid w:val="7C374CF9"/>
    <w:rsid w:val="7C3B45D7"/>
    <w:rsid w:val="7C4532C1"/>
    <w:rsid w:val="7C55517F"/>
    <w:rsid w:val="7C5F5CE1"/>
    <w:rsid w:val="7C866853"/>
    <w:rsid w:val="7C872725"/>
    <w:rsid w:val="7C8A356B"/>
    <w:rsid w:val="7C9942BF"/>
    <w:rsid w:val="7C9B19EC"/>
    <w:rsid w:val="7C9B5288"/>
    <w:rsid w:val="7CA52ABC"/>
    <w:rsid w:val="7CB0040C"/>
    <w:rsid w:val="7CDC5375"/>
    <w:rsid w:val="7CE24C65"/>
    <w:rsid w:val="7CED7166"/>
    <w:rsid w:val="7CFA06DB"/>
    <w:rsid w:val="7D0270B5"/>
    <w:rsid w:val="7D075F0E"/>
    <w:rsid w:val="7D23702C"/>
    <w:rsid w:val="7D3846C5"/>
    <w:rsid w:val="7D3A21A4"/>
    <w:rsid w:val="7D457807"/>
    <w:rsid w:val="7D5611AF"/>
    <w:rsid w:val="7D676F18"/>
    <w:rsid w:val="7D6A715F"/>
    <w:rsid w:val="7D6B16D3"/>
    <w:rsid w:val="7D790677"/>
    <w:rsid w:val="7D7F51E6"/>
    <w:rsid w:val="7D8C4E8F"/>
    <w:rsid w:val="7D9D0952"/>
    <w:rsid w:val="7DAC6A53"/>
    <w:rsid w:val="7DBA67F5"/>
    <w:rsid w:val="7DBE3DB0"/>
    <w:rsid w:val="7DEC3D81"/>
    <w:rsid w:val="7DFD3EDF"/>
    <w:rsid w:val="7E135469"/>
    <w:rsid w:val="7E154BC6"/>
    <w:rsid w:val="7E1C2865"/>
    <w:rsid w:val="7E272796"/>
    <w:rsid w:val="7E350DC4"/>
    <w:rsid w:val="7E375C98"/>
    <w:rsid w:val="7E4454AB"/>
    <w:rsid w:val="7E54062D"/>
    <w:rsid w:val="7E7044F2"/>
    <w:rsid w:val="7E843559"/>
    <w:rsid w:val="7E8458A8"/>
    <w:rsid w:val="7E8D29AE"/>
    <w:rsid w:val="7E966220"/>
    <w:rsid w:val="7EBA6519"/>
    <w:rsid w:val="7EC0795C"/>
    <w:rsid w:val="7ECC6A62"/>
    <w:rsid w:val="7EE21250"/>
    <w:rsid w:val="7F0E0B96"/>
    <w:rsid w:val="7F1056BD"/>
    <w:rsid w:val="7F1811ED"/>
    <w:rsid w:val="7F1E662F"/>
    <w:rsid w:val="7F203823"/>
    <w:rsid w:val="7F2C21C7"/>
    <w:rsid w:val="7F3A4767"/>
    <w:rsid w:val="7F4771C2"/>
    <w:rsid w:val="7F6B1F37"/>
    <w:rsid w:val="7F7010C3"/>
    <w:rsid w:val="7F852E04"/>
    <w:rsid w:val="7F941E61"/>
    <w:rsid w:val="7FAC48D8"/>
    <w:rsid w:val="7FE531A4"/>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8"/>
    <w:autoRedefine/>
    <w:qFormat/>
    <w:uiPriority w:val="0"/>
    <w:pPr>
      <w:keepNext/>
      <w:jc w:val="center"/>
      <w:outlineLvl w:val="0"/>
    </w:pPr>
    <w:rPr>
      <w:rFonts w:ascii="楷体_GB2312" w:hAnsi="Tahoma" w:eastAsia="楷体_GB2312"/>
      <w:b/>
      <w:bCs/>
    </w:rPr>
  </w:style>
  <w:style w:type="paragraph" w:styleId="2">
    <w:name w:val="heading 2"/>
    <w:basedOn w:val="1"/>
    <w:next w:val="1"/>
    <w:link w:val="83"/>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20"/>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223"/>
    <w:autoRedefine/>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238"/>
    <w:autoRedefine/>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197"/>
    <w:autoRedefine/>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227"/>
    <w:autoRedefine/>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192"/>
    <w:autoRedefine/>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130"/>
    <w:autoRedefine/>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macro"/>
    <w:link w:val="189"/>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kern w:val="0"/>
      <w:sz w:val="20"/>
      <w:szCs w:val="20"/>
    </w:rPr>
  </w:style>
  <w:style w:type="paragraph" w:styleId="13">
    <w:name w:val="List Number"/>
    <w:basedOn w:val="1"/>
    <w:autoRedefine/>
    <w:qFormat/>
    <w:uiPriority w:val="0"/>
    <w:pPr>
      <w:tabs>
        <w:tab w:val="left" w:pos="360"/>
      </w:tabs>
      <w:ind w:left="360" w:hanging="360" w:hangingChars="200"/>
    </w:pPr>
  </w:style>
  <w:style w:type="paragraph" w:styleId="14">
    <w:name w:val="Normal Indent"/>
    <w:basedOn w:val="1"/>
    <w:next w:val="1"/>
    <w:link w:val="132"/>
    <w:autoRedefine/>
    <w:qFormat/>
    <w:uiPriority w:val="0"/>
    <w:pPr>
      <w:adjustRightInd w:val="0"/>
      <w:spacing w:line="312" w:lineRule="atLeast"/>
      <w:ind w:firstLine="420"/>
      <w:textAlignment w:val="baseline"/>
    </w:pPr>
    <w:rPr>
      <w:kern w:val="0"/>
      <w:szCs w:val="20"/>
    </w:r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numPr>
        <w:ilvl w:val="0"/>
        <w:numId w:val="1"/>
      </w:numPr>
      <w:tabs>
        <w:tab w:val="left" w:pos="360"/>
        <w:tab w:val="clear" w:pos="1080"/>
      </w:tabs>
    </w:pPr>
    <w:rPr>
      <w:szCs w:val="22"/>
    </w:rPr>
  </w:style>
  <w:style w:type="paragraph" w:styleId="17">
    <w:name w:val="Document Map"/>
    <w:basedOn w:val="1"/>
    <w:link w:val="113"/>
    <w:autoRedefine/>
    <w:qFormat/>
    <w:uiPriority w:val="0"/>
    <w:pPr>
      <w:shd w:val="clear" w:color="auto" w:fill="000080"/>
    </w:pPr>
  </w:style>
  <w:style w:type="paragraph" w:styleId="18">
    <w:name w:val="annotation text"/>
    <w:basedOn w:val="1"/>
    <w:link w:val="209"/>
    <w:autoRedefine/>
    <w:qFormat/>
    <w:uiPriority w:val="0"/>
    <w:pPr>
      <w:jc w:val="left"/>
    </w:pPr>
  </w:style>
  <w:style w:type="paragraph" w:styleId="19">
    <w:name w:val="Salutation"/>
    <w:basedOn w:val="1"/>
    <w:next w:val="1"/>
    <w:link w:val="222"/>
    <w:autoRedefine/>
    <w:qFormat/>
    <w:uiPriority w:val="0"/>
    <w:pPr>
      <w:tabs>
        <w:tab w:val="left" w:pos="840"/>
      </w:tabs>
      <w:autoSpaceDE w:val="0"/>
      <w:autoSpaceDN w:val="0"/>
      <w:adjustRightInd w:val="0"/>
      <w:jc w:val="left"/>
    </w:pPr>
    <w:rPr>
      <w:kern w:val="0"/>
      <w:sz w:val="24"/>
      <w:szCs w:val="20"/>
    </w:rPr>
  </w:style>
  <w:style w:type="paragraph" w:styleId="20">
    <w:name w:val="Body Text 3"/>
    <w:basedOn w:val="1"/>
    <w:link w:val="179"/>
    <w:autoRedefine/>
    <w:qFormat/>
    <w:uiPriority w:val="0"/>
    <w:pPr>
      <w:autoSpaceDE w:val="0"/>
      <w:autoSpaceDN w:val="0"/>
      <w:adjustRightInd w:val="0"/>
      <w:jc w:val="center"/>
    </w:pPr>
    <w:rPr>
      <w:kern w:val="0"/>
      <w:sz w:val="20"/>
      <w:szCs w:val="20"/>
    </w:rPr>
  </w:style>
  <w:style w:type="paragraph" w:styleId="21">
    <w:name w:val="Body Text"/>
    <w:basedOn w:val="1"/>
    <w:next w:val="22"/>
    <w:link w:val="101"/>
    <w:autoRedefine/>
    <w:qFormat/>
    <w:uiPriority w:val="0"/>
    <w:pPr>
      <w:spacing w:after="120"/>
    </w:pPr>
    <w:rPr>
      <w:rFonts w:ascii="Tahoma" w:hAnsi="Tahoma"/>
    </w:rPr>
  </w:style>
  <w:style w:type="paragraph" w:styleId="22">
    <w:name w:val="Body Text First Indent"/>
    <w:basedOn w:val="21"/>
    <w:next w:val="23"/>
    <w:link w:val="226"/>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23">
    <w:name w:val="toc 6"/>
    <w:basedOn w:val="1"/>
    <w:next w:val="1"/>
    <w:autoRedefine/>
    <w:qFormat/>
    <w:uiPriority w:val="39"/>
    <w:pPr>
      <w:autoSpaceDE w:val="0"/>
      <w:autoSpaceDN w:val="0"/>
      <w:adjustRightInd w:val="0"/>
      <w:ind w:left="2100" w:leftChars="1000"/>
      <w:jc w:val="left"/>
    </w:pPr>
    <w:rPr>
      <w:kern w:val="0"/>
      <w:sz w:val="20"/>
      <w:szCs w:val="20"/>
    </w:rPr>
  </w:style>
  <w:style w:type="paragraph" w:styleId="24">
    <w:name w:val="Body Text Indent"/>
    <w:basedOn w:val="1"/>
    <w:link w:val="239"/>
    <w:autoRedefine/>
    <w:qFormat/>
    <w:uiPriority w:val="0"/>
    <w:pPr>
      <w:adjustRightInd w:val="0"/>
      <w:spacing w:line="360" w:lineRule="auto"/>
      <w:ind w:firstLine="490"/>
      <w:jc w:val="left"/>
    </w:pPr>
    <w:rPr>
      <w:rFonts w:ascii="宋体" w:hAnsi="宋体"/>
      <w:sz w:val="24"/>
      <w:szCs w:val="20"/>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99"/>
    <w:pPr>
      <w:spacing w:after="120"/>
      <w:ind w:left="1440" w:leftChars="700" w:right="1440" w:rightChars="700"/>
    </w:pPr>
    <w:rPr>
      <w:szCs w:val="22"/>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39"/>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39"/>
    <w:pPr>
      <w:ind w:left="840" w:leftChars="400"/>
    </w:pPr>
  </w:style>
  <w:style w:type="paragraph" w:styleId="30">
    <w:name w:val="Plain Text"/>
    <w:basedOn w:val="1"/>
    <w:next w:val="31"/>
    <w:link w:val="177"/>
    <w:autoRedefine/>
    <w:qFormat/>
    <w:uiPriority w:val="0"/>
    <w:rPr>
      <w:rFonts w:ascii="宋体" w:hAnsi="Courier New"/>
      <w:szCs w:val="20"/>
    </w:rPr>
  </w:style>
  <w:style w:type="paragraph" w:styleId="31">
    <w:name w:val="Date"/>
    <w:basedOn w:val="1"/>
    <w:next w:val="1"/>
    <w:link w:val="139"/>
    <w:autoRedefine/>
    <w:qFormat/>
    <w:uiPriority w:val="0"/>
    <w:pPr>
      <w:spacing w:line="440" w:lineRule="exact"/>
    </w:pPr>
    <w:rPr>
      <w:spacing w:val="12"/>
      <w:sz w:val="24"/>
      <w:szCs w:val="20"/>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39"/>
    <w:pPr>
      <w:autoSpaceDE w:val="0"/>
      <w:autoSpaceDN w:val="0"/>
      <w:adjustRightInd w:val="0"/>
      <w:ind w:left="2940" w:leftChars="1400"/>
      <w:jc w:val="left"/>
    </w:pPr>
    <w:rPr>
      <w:kern w:val="0"/>
      <w:sz w:val="20"/>
      <w:szCs w:val="20"/>
    </w:rPr>
  </w:style>
  <w:style w:type="paragraph" w:styleId="34">
    <w:name w:val="Body Text Indent 2"/>
    <w:basedOn w:val="1"/>
    <w:link w:val="219"/>
    <w:autoRedefine/>
    <w:qFormat/>
    <w:uiPriority w:val="0"/>
    <w:pPr>
      <w:spacing w:after="120" w:line="480" w:lineRule="auto"/>
      <w:ind w:left="420" w:leftChars="200"/>
    </w:pPr>
  </w:style>
  <w:style w:type="paragraph" w:styleId="35">
    <w:name w:val="Balloon Text"/>
    <w:basedOn w:val="1"/>
    <w:link w:val="80"/>
    <w:autoRedefine/>
    <w:qFormat/>
    <w:uiPriority w:val="0"/>
    <w:rPr>
      <w:sz w:val="18"/>
      <w:szCs w:val="18"/>
    </w:rPr>
  </w:style>
  <w:style w:type="paragraph" w:styleId="36">
    <w:name w:val="footer"/>
    <w:basedOn w:val="1"/>
    <w:link w:val="92"/>
    <w:autoRedefine/>
    <w:qFormat/>
    <w:uiPriority w:val="0"/>
    <w:pPr>
      <w:tabs>
        <w:tab w:val="center" w:pos="4153"/>
        <w:tab w:val="right" w:pos="8306"/>
      </w:tabs>
      <w:snapToGrid w:val="0"/>
      <w:jc w:val="left"/>
    </w:pPr>
    <w:rPr>
      <w:sz w:val="18"/>
      <w:szCs w:val="18"/>
    </w:rPr>
  </w:style>
  <w:style w:type="paragraph" w:styleId="37">
    <w:name w:val="header"/>
    <w:basedOn w:val="1"/>
    <w:link w:val="205"/>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67"/>
    <w:autoRedefine/>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autoRedefine/>
    <w:qFormat/>
    <w:uiPriority w:val="39"/>
    <w:pPr>
      <w:spacing w:line="360" w:lineRule="exact"/>
      <w:ind w:left="718" w:hanging="718" w:hangingChars="342"/>
    </w:pPr>
    <w:rPr>
      <w:rFonts w:ascii="Arial" w:hAnsi="Arial" w:eastAsia="楷体_GB2312" w:cs="Arial"/>
    </w:rPr>
  </w:style>
  <w:style w:type="paragraph" w:styleId="40">
    <w:name w:val="toc 4"/>
    <w:basedOn w:val="1"/>
    <w:next w:val="1"/>
    <w:autoRedefine/>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99"/>
    <w:autoRedefine/>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autoRedefine/>
    <w:qFormat/>
    <w:uiPriority w:val="0"/>
    <w:pPr>
      <w:ind w:left="200" w:hanging="200" w:hangingChars="200"/>
    </w:pPr>
    <w:rPr>
      <w:sz w:val="28"/>
    </w:rPr>
  </w:style>
  <w:style w:type="paragraph" w:styleId="44">
    <w:name w:val="Body Text Indent 3"/>
    <w:basedOn w:val="1"/>
    <w:link w:val="168"/>
    <w:autoRedefine/>
    <w:qFormat/>
    <w:uiPriority w:val="0"/>
    <w:pPr>
      <w:spacing w:after="120"/>
      <w:ind w:left="420" w:leftChars="200"/>
    </w:pPr>
    <w:rPr>
      <w:sz w:val="16"/>
      <w:szCs w:val="16"/>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39"/>
    <w:pPr>
      <w:autoSpaceDE w:val="0"/>
      <w:autoSpaceDN w:val="0"/>
      <w:adjustRightInd w:val="0"/>
      <w:ind w:left="3360" w:leftChars="1600"/>
      <w:jc w:val="left"/>
    </w:pPr>
    <w:rPr>
      <w:kern w:val="0"/>
      <w:sz w:val="20"/>
      <w:szCs w:val="20"/>
    </w:rPr>
  </w:style>
  <w:style w:type="paragraph" w:styleId="47">
    <w:name w:val="Body Text 2"/>
    <w:basedOn w:val="1"/>
    <w:link w:val="161"/>
    <w:autoRedefine/>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link w:val="412"/>
    <w:autoRedefine/>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autoRedefine/>
    <w:qFormat/>
    <w:uiPriority w:val="0"/>
    <w:pPr>
      <w:spacing w:line="220" w:lineRule="exact"/>
      <w:jc w:val="center"/>
    </w:pPr>
    <w:rPr>
      <w:rFonts w:ascii="仿宋_GB2312" w:eastAsia="仿宋_GB2312"/>
      <w:szCs w:val="21"/>
    </w:rPr>
  </w:style>
  <w:style w:type="paragraph" w:styleId="51">
    <w:name w:val="Title"/>
    <w:basedOn w:val="1"/>
    <w:link w:val="171"/>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18"/>
    <w:next w:val="18"/>
    <w:link w:val="109"/>
    <w:autoRedefine/>
    <w:qFormat/>
    <w:uiPriority w:val="0"/>
    <w:rPr>
      <w:b/>
      <w:bCs/>
    </w:rPr>
  </w:style>
  <w:style w:type="paragraph" w:styleId="53">
    <w:name w:val="Body Text First Indent 2"/>
    <w:basedOn w:val="24"/>
    <w:next w:val="1"/>
    <w:autoRedefine/>
    <w:unhideWhenUsed/>
    <w:qFormat/>
    <w:uiPriority w:val="99"/>
    <w:pPr>
      <w:spacing w:after="120" w:line="240" w:lineRule="auto"/>
      <w:ind w:left="420" w:leftChars="200" w:firstLine="420"/>
    </w:pPr>
    <w:rPr>
      <w:rFonts w:cs="宋体"/>
      <w:sz w:val="21"/>
      <w:szCs w:val="21"/>
    </w:rPr>
  </w:style>
  <w:style w:type="table" w:styleId="55">
    <w:name w:val="Table Grid"/>
    <w:basedOn w:val="5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autoRedefine/>
    <w:qFormat/>
    <w:uiPriority w:val="0"/>
    <w:rPr>
      <w:rFonts w:ascii="仿宋_GB2312" w:eastAsia="仿宋_GB2312"/>
      <w:bCs/>
      <w:sz w:val="32"/>
      <w:szCs w:val="32"/>
    </w:rPr>
  </w:style>
  <w:style w:type="character" w:styleId="58">
    <w:name w:val="page number"/>
    <w:basedOn w:val="56"/>
    <w:autoRedefine/>
    <w:qFormat/>
    <w:uiPriority w:val="0"/>
  </w:style>
  <w:style w:type="character" w:styleId="59">
    <w:name w:val="FollowedHyperlink"/>
    <w:autoRedefine/>
    <w:qFormat/>
    <w:uiPriority w:val="0"/>
    <w:rPr>
      <w:rFonts w:ascii="仿宋_GB2312" w:eastAsia="仿宋_GB2312"/>
      <w:b/>
      <w:color w:val="800080"/>
      <w:sz w:val="32"/>
      <w:szCs w:val="32"/>
      <w:u w:val="single"/>
    </w:rPr>
  </w:style>
  <w:style w:type="character" w:styleId="60">
    <w:name w:val="Emphasis"/>
    <w:autoRedefine/>
    <w:qFormat/>
    <w:uiPriority w:val="0"/>
    <w:rPr>
      <w:i/>
      <w:iCs/>
    </w:rPr>
  </w:style>
  <w:style w:type="character" w:styleId="61">
    <w:name w:val="line number"/>
    <w:autoRedefine/>
    <w:qFormat/>
    <w:uiPriority w:val="0"/>
    <w:rPr>
      <w:rFonts w:ascii="仿宋_GB2312" w:hAnsi="Tahoma" w:eastAsia="仿宋_GB2312"/>
      <w:b/>
      <w:sz w:val="32"/>
      <w:szCs w:val="32"/>
    </w:rPr>
  </w:style>
  <w:style w:type="character" w:styleId="62">
    <w:name w:val="HTML Definition"/>
    <w:autoRedefine/>
    <w:unhideWhenUsed/>
    <w:qFormat/>
    <w:uiPriority w:val="99"/>
    <w:rPr>
      <w:szCs w:val="20"/>
    </w:rPr>
  </w:style>
  <w:style w:type="character" w:styleId="63">
    <w:name w:val="HTML Acronym"/>
    <w:basedOn w:val="56"/>
    <w:autoRedefine/>
    <w:unhideWhenUsed/>
    <w:qFormat/>
    <w:uiPriority w:val="99"/>
  </w:style>
  <w:style w:type="character" w:styleId="64">
    <w:name w:val="HTML Variable"/>
    <w:autoRedefine/>
    <w:unhideWhenUsed/>
    <w:qFormat/>
    <w:uiPriority w:val="99"/>
    <w:rPr>
      <w:szCs w:val="20"/>
    </w:rPr>
  </w:style>
  <w:style w:type="character" w:styleId="65">
    <w:name w:val="Hyperlink"/>
    <w:autoRedefine/>
    <w:qFormat/>
    <w:uiPriority w:val="99"/>
    <w:rPr>
      <w:rFonts w:ascii="仿宋_GB2312" w:eastAsia="仿宋_GB2312"/>
      <w:color w:val="000000"/>
      <w:sz w:val="20"/>
      <w:szCs w:val="20"/>
      <w:u w:val="none"/>
    </w:rPr>
  </w:style>
  <w:style w:type="character" w:styleId="66">
    <w:name w:val="HTML Code"/>
    <w:autoRedefine/>
    <w:unhideWhenUsed/>
    <w:qFormat/>
    <w:uiPriority w:val="99"/>
    <w:rPr>
      <w:rFonts w:hint="eastAsia" w:ascii="微软雅黑" w:hAnsi="微软雅黑" w:eastAsia="微软雅黑" w:cs="微软雅黑"/>
      <w:sz w:val="20"/>
      <w:szCs w:val="20"/>
    </w:rPr>
  </w:style>
  <w:style w:type="character" w:styleId="67">
    <w:name w:val="annotation reference"/>
    <w:autoRedefine/>
    <w:qFormat/>
    <w:uiPriority w:val="99"/>
    <w:rPr>
      <w:sz w:val="21"/>
      <w:szCs w:val="21"/>
    </w:rPr>
  </w:style>
  <w:style w:type="character" w:styleId="68">
    <w:name w:val="HTML Cite"/>
    <w:autoRedefine/>
    <w:qFormat/>
    <w:uiPriority w:val="0"/>
    <w:rPr>
      <w:color w:val="008000"/>
    </w:rPr>
  </w:style>
  <w:style w:type="character" w:styleId="69">
    <w:name w:val="footnote reference"/>
    <w:autoRedefine/>
    <w:qFormat/>
    <w:uiPriority w:val="0"/>
    <w:rPr>
      <w:vertAlign w:val="superscript"/>
    </w:rPr>
  </w:style>
  <w:style w:type="character" w:styleId="70">
    <w:name w:val="HTML Keyboard"/>
    <w:autoRedefine/>
    <w:unhideWhenUsed/>
    <w:qFormat/>
    <w:uiPriority w:val="99"/>
    <w:rPr>
      <w:rFonts w:hint="eastAsia" w:ascii="微软雅黑" w:hAnsi="微软雅黑" w:eastAsia="微软雅黑" w:cs="微软雅黑"/>
      <w:sz w:val="20"/>
      <w:szCs w:val="20"/>
    </w:rPr>
  </w:style>
  <w:style w:type="character" w:styleId="71">
    <w:name w:val="HTML Sample"/>
    <w:basedOn w:val="56"/>
    <w:autoRedefine/>
    <w:unhideWhenUsed/>
    <w:qFormat/>
    <w:uiPriority w:val="99"/>
    <w:rPr>
      <w:rFonts w:hint="eastAsia" w:ascii="微软雅黑" w:hAnsi="微软雅黑" w:eastAsia="微软雅黑" w:cs="微软雅黑"/>
      <w:szCs w:val="20"/>
    </w:rPr>
  </w:style>
  <w:style w:type="paragraph" w:customStyle="1" w:styleId="72">
    <w:name w:val="表格文字"/>
    <w:basedOn w:val="30"/>
    <w:next w:val="21"/>
    <w:autoRedefine/>
    <w:qFormat/>
    <w:uiPriority w:val="0"/>
    <w:pPr>
      <w:spacing w:line="420" w:lineRule="atLeast"/>
      <w:jc w:val="left"/>
    </w:pPr>
    <w:rPr>
      <w:szCs w:val="20"/>
    </w:rPr>
  </w:style>
  <w:style w:type="paragraph" w:customStyle="1" w:styleId="73">
    <w:name w:val="BodyText1I2"/>
    <w:basedOn w:val="74"/>
    <w:autoRedefine/>
    <w:qFormat/>
    <w:uiPriority w:val="0"/>
    <w:pPr>
      <w:spacing w:line="520" w:lineRule="exact"/>
      <w:ind w:left="570" w:firstLine="420"/>
      <w:jc w:val="both"/>
      <w:textAlignment w:val="baseline"/>
    </w:pPr>
  </w:style>
  <w:style w:type="paragraph" w:customStyle="1" w:styleId="74">
    <w:name w:val="BodyTextIndent"/>
    <w:basedOn w:val="1"/>
    <w:autoRedefine/>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paragraph" w:customStyle="1" w:styleId="75">
    <w:name w:val="Body Text First Indent1"/>
    <w:basedOn w:val="21"/>
    <w:autoRedefine/>
    <w:qFormat/>
    <w:uiPriority w:val="0"/>
    <w:pPr>
      <w:ind w:firstLine="420" w:firstLineChars="100"/>
    </w:pPr>
    <w:rPr>
      <w:rFonts w:hint="eastAsia"/>
      <w:sz w:val="21"/>
      <w:szCs w:val="22"/>
    </w:rPr>
  </w:style>
  <w:style w:type="character" w:customStyle="1" w:styleId="76">
    <w:name w:val="PI Char1"/>
    <w:autoRedefine/>
    <w:qFormat/>
    <w:uiPriority w:val="0"/>
    <w:rPr>
      <w:rFonts w:ascii="仿宋_GB2312" w:eastAsia="宋体"/>
      <w:b/>
      <w:kern w:val="2"/>
      <w:sz w:val="24"/>
      <w:szCs w:val="24"/>
      <w:lang w:val="en-US" w:eastAsia="zh-CN" w:bidi="ar-SA"/>
    </w:rPr>
  </w:style>
  <w:style w:type="character" w:customStyle="1" w:styleId="77">
    <w:name w:val="不明显强调1"/>
    <w:autoRedefine/>
    <w:qFormat/>
    <w:uiPriority w:val="0"/>
    <w:rPr>
      <w:i/>
      <w:iCs/>
      <w:color w:val="808080"/>
    </w:rPr>
  </w:style>
  <w:style w:type="character" w:customStyle="1" w:styleId="78">
    <w:name w:val="文档结构图 Char"/>
    <w:autoRedefine/>
    <w:qFormat/>
    <w:uiPriority w:val="0"/>
    <w:rPr>
      <w:rFonts w:eastAsia="宋体"/>
      <w:kern w:val="2"/>
      <w:sz w:val="21"/>
      <w:szCs w:val="24"/>
      <w:lang w:val="en-US" w:eastAsia="zh-CN" w:bidi="ar-SA"/>
    </w:rPr>
  </w:style>
  <w:style w:type="character" w:customStyle="1" w:styleId="79">
    <w:name w:val="red1"/>
    <w:autoRedefine/>
    <w:qFormat/>
    <w:uiPriority w:val="0"/>
    <w:rPr>
      <w:color w:val="FF0000"/>
      <w:szCs w:val="20"/>
    </w:rPr>
  </w:style>
  <w:style w:type="character" w:customStyle="1" w:styleId="80">
    <w:name w:val="批注框文本 Char"/>
    <w:link w:val="35"/>
    <w:autoRedefine/>
    <w:qFormat/>
    <w:uiPriority w:val="0"/>
    <w:rPr>
      <w:kern w:val="2"/>
      <w:sz w:val="18"/>
      <w:szCs w:val="18"/>
    </w:rPr>
  </w:style>
  <w:style w:type="character" w:customStyle="1" w:styleId="81">
    <w:name w:val="正文缩进 Char1 Char"/>
    <w:autoRedefine/>
    <w:qFormat/>
    <w:uiPriority w:val="0"/>
    <w:rPr>
      <w:rFonts w:ascii="仿宋_GB2312" w:eastAsia="宋体"/>
      <w:b/>
      <w:sz w:val="21"/>
      <w:szCs w:val="32"/>
      <w:lang w:val="en-US" w:eastAsia="zh-CN" w:bidi="ar-SA"/>
    </w:rPr>
  </w:style>
  <w:style w:type="character" w:customStyle="1" w:styleId="82">
    <w:name w:val="heading 6 Char1"/>
    <w:autoRedefine/>
    <w:qFormat/>
    <w:uiPriority w:val="0"/>
    <w:rPr>
      <w:rFonts w:ascii="Arial" w:hAnsi="Arial" w:eastAsia="黑体"/>
      <w:b/>
      <w:kern w:val="2"/>
      <w:sz w:val="24"/>
      <w:szCs w:val="24"/>
      <w:lang w:val="en-US" w:eastAsia="zh-CN" w:bidi="ar-SA"/>
    </w:rPr>
  </w:style>
  <w:style w:type="character" w:customStyle="1" w:styleId="83">
    <w:name w:val="标题 2 Char1"/>
    <w:link w:val="2"/>
    <w:autoRedefine/>
    <w:qFormat/>
    <w:uiPriority w:val="0"/>
    <w:rPr>
      <w:rFonts w:ascii="Arial" w:hAnsi="Arial" w:eastAsia="黑体"/>
      <w:b/>
      <w:bCs/>
      <w:kern w:val="2"/>
      <w:sz w:val="32"/>
      <w:szCs w:val="32"/>
    </w:rPr>
  </w:style>
  <w:style w:type="character" w:customStyle="1" w:styleId="84">
    <w:name w:val="zbggmain style9"/>
    <w:basedOn w:val="56"/>
    <w:autoRedefine/>
    <w:qFormat/>
    <w:uiPriority w:val="0"/>
  </w:style>
  <w:style w:type="character" w:customStyle="1" w:styleId="85">
    <w:name w:val="pages"/>
    <w:autoRedefine/>
    <w:qFormat/>
    <w:uiPriority w:val="0"/>
    <w:rPr>
      <w:color w:val="999999"/>
      <w:szCs w:val="20"/>
    </w:rPr>
  </w:style>
  <w:style w:type="character" w:customStyle="1" w:styleId="86">
    <w:name w:val="heading 3 Char2"/>
    <w:autoRedefine/>
    <w:qFormat/>
    <w:uiPriority w:val="0"/>
    <w:rPr>
      <w:rFonts w:ascii="仿宋_GB2312" w:eastAsia="仿宋_GB2312"/>
      <w:b/>
      <w:bCs/>
      <w:kern w:val="2"/>
      <w:sz w:val="32"/>
      <w:szCs w:val="32"/>
    </w:rPr>
  </w:style>
  <w:style w:type="character" w:customStyle="1" w:styleId="87">
    <w:name w:val="Char Char"/>
    <w:autoRedefine/>
    <w:qFormat/>
    <w:uiPriority w:val="0"/>
    <w:rPr>
      <w:rFonts w:ascii="宋体" w:hAnsi="Courier New" w:eastAsia="宋体"/>
      <w:kern w:val="2"/>
      <w:sz w:val="21"/>
      <w:lang w:val="en-US" w:eastAsia="zh-CN" w:bidi="ar-SA"/>
    </w:rPr>
  </w:style>
  <w:style w:type="character" w:customStyle="1" w:styleId="88">
    <w:name w:val="Char Char11"/>
    <w:autoRedefine/>
    <w:qFormat/>
    <w:uiPriority w:val="0"/>
    <w:rPr>
      <w:rFonts w:ascii="Times New Roman" w:hAnsi="Times New Roman" w:eastAsia="宋体" w:cs="Times New Roman"/>
      <w:sz w:val="18"/>
      <w:szCs w:val="18"/>
    </w:rPr>
  </w:style>
  <w:style w:type="character" w:customStyle="1" w:styleId="89">
    <w:name w:val="heading 2 Char1"/>
    <w:autoRedefine/>
    <w:qFormat/>
    <w:uiPriority w:val="0"/>
    <w:rPr>
      <w:rFonts w:ascii="Cambria" w:hAnsi="Cambria" w:eastAsia="宋体"/>
      <w:b/>
      <w:bCs/>
      <w:kern w:val="2"/>
      <w:sz w:val="32"/>
      <w:szCs w:val="32"/>
      <w:lang w:val="en-US" w:eastAsia="zh-CN" w:bidi="ar-SA"/>
    </w:rPr>
  </w:style>
  <w:style w:type="character" w:customStyle="1" w:styleId="90">
    <w:name w:val="标题 4 Char"/>
    <w:autoRedefine/>
    <w:qFormat/>
    <w:uiPriority w:val="0"/>
    <w:rPr>
      <w:rFonts w:ascii="Arial" w:hAnsi="Arial" w:eastAsia="黑体"/>
      <w:b/>
      <w:bCs/>
      <w:kern w:val="2"/>
      <w:sz w:val="28"/>
      <w:szCs w:val="28"/>
      <w:lang w:val="en-US" w:eastAsia="zh-CN" w:bidi="ar-SA"/>
    </w:rPr>
  </w:style>
  <w:style w:type="character" w:customStyle="1" w:styleId="91">
    <w:name w:val="hover15"/>
    <w:autoRedefine/>
    <w:qFormat/>
    <w:uiPriority w:val="0"/>
    <w:rPr>
      <w:szCs w:val="20"/>
      <w:u w:val="single"/>
    </w:rPr>
  </w:style>
  <w:style w:type="character" w:customStyle="1" w:styleId="92">
    <w:name w:val="页脚 Char1"/>
    <w:link w:val="36"/>
    <w:autoRedefine/>
    <w:qFormat/>
    <w:uiPriority w:val="0"/>
    <w:rPr>
      <w:kern w:val="2"/>
      <w:sz w:val="18"/>
      <w:szCs w:val="18"/>
    </w:rPr>
  </w:style>
  <w:style w:type="character" w:customStyle="1" w:styleId="93">
    <w:name w:val="smalltxt1"/>
    <w:autoRedefine/>
    <w:qFormat/>
    <w:uiPriority w:val="0"/>
    <w:rPr>
      <w:rFonts w:hint="default" w:ascii="ˎ̥" w:hAnsi="ˎ̥" w:eastAsia="仿宋_GB2312"/>
      <w:b/>
      <w:sz w:val="24"/>
      <w:szCs w:val="24"/>
    </w:rPr>
  </w:style>
  <w:style w:type="character" w:customStyle="1" w:styleId="94">
    <w:name w:val="宏文本 Char1"/>
    <w:autoRedefine/>
    <w:semiHidden/>
    <w:qFormat/>
    <w:uiPriority w:val="99"/>
    <w:rPr>
      <w:rFonts w:ascii="Courier New" w:hAnsi="Courier New" w:cs="Courier New"/>
      <w:kern w:val="2"/>
      <w:sz w:val="24"/>
      <w:szCs w:val="24"/>
    </w:rPr>
  </w:style>
  <w:style w:type="character" w:customStyle="1" w:styleId="95">
    <w:name w:val="heading 5 Char2"/>
    <w:autoRedefine/>
    <w:qFormat/>
    <w:uiPriority w:val="0"/>
    <w:rPr>
      <w:rFonts w:ascii="仿宋_GB2312" w:eastAsia="仿宋_GB2312"/>
      <w:b/>
      <w:bCs/>
      <w:kern w:val="2"/>
      <w:sz w:val="28"/>
      <w:szCs w:val="28"/>
    </w:rPr>
  </w:style>
  <w:style w:type="character" w:customStyle="1" w:styleId="96">
    <w:name w:val="heading 4 Char1"/>
    <w:autoRedefine/>
    <w:qFormat/>
    <w:uiPriority w:val="0"/>
    <w:rPr>
      <w:rFonts w:ascii="Cambria" w:hAnsi="Cambria" w:eastAsia="宋体"/>
      <w:b/>
      <w:bCs/>
      <w:kern w:val="2"/>
      <w:sz w:val="28"/>
      <w:szCs w:val="28"/>
      <w:lang w:val="en-US" w:eastAsia="zh-CN" w:bidi="ar-SA"/>
    </w:rPr>
  </w:style>
  <w:style w:type="character" w:customStyle="1" w:styleId="97">
    <w:name w:val="Char Char1"/>
    <w:autoRedefine/>
    <w:qFormat/>
    <w:uiPriority w:val="0"/>
    <w:rPr>
      <w:rFonts w:ascii="宋体" w:hAnsi="Courier New" w:eastAsia="宋体"/>
      <w:kern w:val="2"/>
      <w:sz w:val="21"/>
      <w:lang w:val="en-US" w:eastAsia="zh-CN" w:bidi="ar-SA"/>
    </w:rPr>
  </w:style>
  <w:style w:type="character" w:customStyle="1" w:styleId="98">
    <w:name w:val="heading 5 Char1"/>
    <w:autoRedefine/>
    <w:qFormat/>
    <w:uiPriority w:val="0"/>
    <w:rPr>
      <w:rFonts w:ascii="仿宋_GB2312" w:eastAsia="宋体"/>
      <w:b/>
      <w:bCs/>
      <w:kern w:val="2"/>
      <w:sz w:val="28"/>
      <w:szCs w:val="28"/>
      <w:lang w:val="en-US" w:eastAsia="zh-CN" w:bidi="ar-SA"/>
    </w:rPr>
  </w:style>
  <w:style w:type="character" w:customStyle="1" w:styleId="99">
    <w:name w:val="明显引用 Char"/>
    <w:link w:val="100"/>
    <w:autoRedefine/>
    <w:qFormat/>
    <w:uiPriority w:val="0"/>
    <w:rPr>
      <w:rFonts w:ascii="Calibri" w:hAnsi="Calibri"/>
      <w:b/>
      <w:bCs/>
      <w:i/>
      <w:iCs/>
      <w:color w:val="4F81BD"/>
      <w:sz w:val="32"/>
      <w:szCs w:val="32"/>
    </w:rPr>
  </w:style>
  <w:style w:type="paragraph" w:styleId="100">
    <w:name w:val="Intense Quote"/>
    <w:basedOn w:val="1"/>
    <w:next w:val="1"/>
    <w:link w:val="99"/>
    <w:autoRedefine/>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101">
    <w:name w:val="正文文本 Char1"/>
    <w:link w:val="21"/>
    <w:autoRedefine/>
    <w:qFormat/>
    <w:uiPriority w:val="0"/>
    <w:rPr>
      <w:rFonts w:ascii="Tahoma" w:hAnsi="Tahoma"/>
      <w:kern w:val="2"/>
      <w:sz w:val="21"/>
      <w:szCs w:val="24"/>
    </w:rPr>
  </w:style>
  <w:style w:type="character" w:customStyle="1" w:styleId="102">
    <w:name w:val="无间隔 Char"/>
    <w:link w:val="103"/>
    <w:autoRedefine/>
    <w:qFormat/>
    <w:uiPriority w:val="0"/>
    <w:rPr>
      <w:sz w:val="22"/>
      <w:szCs w:val="22"/>
      <w:lang w:val="en-US" w:eastAsia="zh-CN" w:bidi="ar-SA"/>
    </w:rPr>
  </w:style>
  <w:style w:type="paragraph" w:styleId="103">
    <w:name w:val="No Spacing"/>
    <w:link w:val="102"/>
    <w:autoRedefine/>
    <w:qFormat/>
    <w:uiPriority w:val="0"/>
    <w:rPr>
      <w:rFonts w:ascii="Calibri" w:hAnsi="Calibri" w:eastAsia="宋体" w:cs="Times New Roman"/>
      <w:sz w:val="22"/>
      <w:szCs w:val="22"/>
      <w:lang w:val="en-US" w:eastAsia="zh-CN" w:bidi="ar-SA"/>
    </w:rPr>
  </w:style>
  <w:style w:type="character" w:customStyle="1" w:styleId="104">
    <w:name w:val="标题 1 Char"/>
    <w:autoRedefine/>
    <w:qFormat/>
    <w:uiPriority w:val="0"/>
    <w:rPr>
      <w:rFonts w:eastAsia="宋体"/>
      <w:b/>
      <w:bCs/>
      <w:kern w:val="44"/>
      <w:sz w:val="44"/>
      <w:szCs w:val="44"/>
      <w:lang w:val="en-US" w:eastAsia="zh-CN" w:bidi="ar-SA"/>
    </w:rPr>
  </w:style>
  <w:style w:type="character" w:customStyle="1" w:styleId="105">
    <w:name w:val="heading 7 Char1"/>
    <w:autoRedefine/>
    <w:qFormat/>
    <w:uiPriority w:val="0"/>
    <w:rPr>
      <w:rFonts w:ascii="Arial" w:hAnsi="Arial" w:eastAsia="黑体"/>
      <w:b/>
      <w:sz w:val="21"/>
      <w:szCs w:val="21"/>
      <w:lang w:val="en-US" w:eastAsia="zh-CN" w:bidi="ar-SA"/>
    </w:rPr>
  </w:style>
  <w:style w:type="character" w:customStyle="1" w:styleId="106">
    <w:name w:val="pt141"/>
    <w:autoRedefine/>
    <w:qFormat/>
    <w:uiPriority w:val="0"/>
    <w:rPr>
      <w:rFonts w:ascii="仿宋_GB2312" w:eastAsia="仿宋_GB2312"/>
      <w:b/>
      <w:color w:val="330066"/>
      <w:spacing w:val="450"/>
      <w:sz w:val="22"/>
      <w:szCs w:val="22"/>
    </w:rPr>
  </w:style>
  <w:style w:type="character" w:customStyle="1" w:styleId="107">
    <w:name w:val="明显参考1"/>
    <w:autoRedefine/>
    <w:qFormat/>
    <w:uiPriority w:val="0"/>
    <w:rPr>
      <w:b/>
      <w:bCs/>
      <w:smallCaps/>
      <w:color w:val="C0504D"/>
      <w:spacing w:val="5"/>
      <w:u w:val="single"/>
    </w:rPr>
  </w:style>
  <w:style w:type="character" w:customStyle="1" w:styleId="108">
    <w:name w:val="num"/>
    <w:autoRedefine/>
    <w:qFormat/>
    <w:uiPriority w:val="0"/>
    <w:rPr>
      <w:b/>
      <w:color w:val="FF7800"/>
      <w:szCs w:val="20"/>
    </w:rPr>
  </w:style>
  <w:style w:type="character" w:customStyle="1" w:styleId="109">
    <w:name w:val="批注主题 Char1"/>
    <w:link w:val="52"/>
    <w:autoRedefine/>
    <w:qFormat/>
    <w:uiPriority w:val="0"/>
    <w:rPr>
      <w:b/>
      <w:bCs/>
      <w:kern w:val="2"/>
      <w:sz w:val="21"/>
      <w:szCs w:val="24"/>
    </w:rPr>
  </w:style>
  <w:style w:type="character" w:customStyle="1" w:styleId="110">
    <w:name w:val="标题 2 Char"/>
    <w:autoRedefine/>
    <w:qFormat/>
    <w:uiPriority w:val="0"/>
    <w:rPr>
      <w:rFonts w:ascii="Arial" w:hAnsi="Arial" w:eastAsia="黑体"/>
      <w:b/>
      <w:bCs/>
      <w:kern w:val="2"/>
      <w:sz w:val="32"/>
      <w:szCs w:val="32"/>
      <w:lang w:val="en-US" w:eastAsia="zh-CN" w:bidi="ar-SA"/>
    </w:rPr>
  </w:style>
  <w:style w:type="character" w:customStyle="1" w:styleId="111">
    <w:name w:val="副标题 Char1"/>
    <w:autoRedefine/>
    <w:qFormat/>
    <w:uiPriority w:val="11"/>
    <w:rPr>
      <w:rFonts w:ascii="Cambria" w:hAnsi="Cambria" w:cs="Times New Roman"/>
      <w:b/>
      <w:bCs/>
      <w:kern w:val="28"/>
      <w:sz w:val="32"/>
      <w:szCs w:val="32"/>
    </w:rPr>
  </w:style>
  <w:style w:type="character" w:customStyle="1" w:styleId="112">
    <w:name w:val="Plain Text Char"/>
    <w:autoRedefine/>
    <w:qFormat/>
    <w:uiPriority w:val="0"/>
    <w:rPr>
      <w:rFonts w:ascii="宋体" w:hAnsi="Courier New" w:eastAsia="宋体" w:cs="Times New Roman"/>
      <w:sz w:val="21"/>
      <w:szCs w:val="21"/>
    </w:rPr>
  </w:style>
  <w:style w:type="character" w:customStyle="1" w:styleId="113">
    <w:name w:val="文档结构图 Char1"/>
    <w:link w:val="17"/>
    <w:autoRedefine/>
    <w:qFormat/>
    <w:uiPriority w:val="0"/>
    <w:rPr>
      <w:kern w:val="2"/>
      <w:sz w:val="21"/>
      <w:szCs w:val="24"/>
      <w:shd w:val="clear" w:color="auto" w:fill="000080"/>
    </w:rPr>
  </w:style>
  <w:style w:type="character" w:customStyle="1" w:styleId="114">
    <w:name w:val="heading 4 Char"/>
    <w:autoRedefine/>
    <w:qFormat/>
    <w:uiPriority w:val="0"/>
    <w:rPr>
      <w:rFonts w:ascii="Arial" w:hAnsi="Arial" w:eastAsia="黑体" w:cs="Times New Roman"/>
      <w:b/>
      <w:sz w:val="21"/>
      <w:szCs w:val="21"/>
    </w:rPr>
  </w:style>
  <w:style w:type="character" w:customStyle="1" w:styleId="115">
    <w:name w:val="Char Char211"/>
    <w:autoRedefine/>
    <w:qFormat/>
    <w:uiPriority w:val="0"/>
    <w:rPr>
      <w:rFonts w:ascii="Times New Roman" w:hAnsi="Times New Roman" w:eastAsia="宋体" w:cs="Times New Roman"/>
      <w:b/>
      <w:bCs/>
      <w:kern w:val="44"/>
      <w:sz w:val="44"/>
      <w:szCs w:val="44"/>
    </w:rPr>
  </w:style>
  <w:style w:type="character" w:customStyle="1" w:styleId="116">
    <w:name w:val="Char Char19"/>
    <w:autoRedefine/>
    <w:qFormat/>
    <w:uiPriority w:val="0"/>
    <w:rPr>
      <w:rFonts w:ascii="Cambria" w:hAnsi="Cambria" w:eastAsia="仿宋_GB2312"/>
      <w:b/>
      <w:bCs/>
      <w:kern w:val="2"/>
      <w:sz w:val="32"/>
      <w:szCs w:val="32"/>
    </w:rPr>
  </w:style>
  <w:style w:type="character" w:customStyle="1" w:styleId="117">
    <w:name w:val="input"/>
    <w:basedOn w:val="56"/>
    <w:autoRedefine/>
    <w:qFormat/>
    <w:uiPriority w:val="0"/>
  </w:style>
  <w:style w:type="character" w:customStyle="1" w:styleId="118">
    <w:name w:val="Footer-Even Char1"/>
    <w:autoRedefine/>
    <w:qFormat/>
    <w:uiPriority w:val="0"/>
    <w:rPr>
      <w:rFonts w:ascii="仿宋_GB2312" w:eastAsia="宋体"/>
      <w:b/>
      <w:kern w:val="2"/>
      <w:sz w:val="18"/>
      <w:szCs w:val="18"/>
      <w:lang w:val="en-US" w:eastAsia="zh-CN" w:bidi="ar-SA"/>
    </w:rPr>
  </w:style>
  <w:style w:type="character" w:customStyle="1" w:styleId="119">
    <w:name w:val="Char Char22"/>
    <w:autoRedefine/>
    <w:qFormat/>
    <w:uiPriority w:val="0"/>
    <w:rPr>
      <w:rFonts w:ascii="Arial" w:hAnsi="Arial" w:eastAsia="黑体"/>
      <w:b/>
      <w:bCs/>
      <w:kern w:val="44"/>
      <w:sz w:val="30"/>
      <w:szCs w:val="44"/>
      <w:lang w:val="en-US" w:eastAsia="zh-CN" w:bidi="ar-SA"/>
    </w:rPr>
  </w:style>
  <w:style w:type="character" w:customStyle="1" w:styleId="120">
    <w:name w:val="标题 3 Char1"/>
    <w:link w:val="5"/>
    <w:autoRedefine/>
    <w:qFormat/>
    <w:uiPriority w:val="0"/>
    <w:rPr>
      <w:b/>
      <w:bCs/>
      <w:kern w:val="2"/>
      <w:sz w:val="32"/>
      <w:szCs w:val="32"/>
    </w:rPr>
  </w:style>
  <w:style w:type="character" w:customStyle="1" w:styleId="121">
    <w:name w:val="Style3"/>
    <w:autoRedefine/>
    <w:qFormat/>
    <w:uiPriority w:val="0"/>
    <w:rPr>
      <w:rFonts w:ascii="Calibri" w:hAnsi="宋体" w:eastAsia="宋体" w:cs="Times New Roman"/>
      <w:szCs w:val="22"/>
      <w:lang w:eastAsia="zh-CN"/>
    </w:rPr>
  </w:style>
  <w:style w:type="character" w:customStyle="1" w:styleId="122">
    <w:name w:val="Char Char20"/>
    <w:autoRedefine/>
    <w:qFormat/>
    <w:uiPriority w:val="0"/>
    <w:rPr>
      <w:rFonts w:ascii="仿宋_GB2312" w:eastAsia="仿宋_GB2312"/>
      <w:b/>
      <w:bCs/>
      <w:kern w:val="44"/>
      <w:sz w:val="44"/>
      <w:szCs w:val="44"/>
    </w:rPr>
  </w:style>
  <w:style w:type="character" w:customStyle="1" w:styleId="123">
    <w:name w:val="表正文 Char2"/>
    <w:autoRedefine/>
    <w:qFormat/>
    <w:uiPriority w:val="0"/>
    <w:rPr>
      <w:rFonts w:ascii="Times New Roman" w:hAnsi="Times New Roman" w:eastAsia="宋体" w:cs="Times New Roman"/>
      <w:szCs w:val="24"/>
    </w:rPr>
  </w:style>
  <w:style w:type="character" w:customStyle="1" w:styleId="124">
    <w:name w:val="批注文字 Char"/>
    <w:autoRedefine/>
    <w:qFormat/>
    <w:uiPriority w:val="99"/>
    <w:rPr>
      <w:rFonts w:eastAsia="宋体"/>
      <w:kern w:val="2"/>
      <w:sz w:val="21"/>
      <w:szCs w:val="24"/>
      <w:lang w:val="en-US" w:eastAsia="zh-CN" w:bidi="ar-SA"/>
    </w:rPr>
  </w:style>
  <w:style w:type="character" w:customStyle="1" w:styleId="125">
    <w:name w:val="heading 1 Char"/>
    <w:autoRedefine/>
    <w:qFormat/>
    <w:uiPriority w:val="0"/>
    <w:rPr>
      <w:rFonts w:ascii="Arial" w:hAnsi="Arial" w:eastAsia="黑体"/>
      <w:b/>
      <w:sz w:val="36"/>
      <w:szCs w:val="36"/>
    </w:rPr>
  </w:style>
  <w:style w:type="character" w:customStyle="1" w:styleId="126">
    <w:name w:val="Ò³Ã¼ Char Char1"/>
    <w:autoRedefine/>
    <w:qFormat/>
    <w:uiPriority w:val="0"/>
    <w:rPr>
      <w:rFonts w:ascii="仿宋_GB2312" w:eastAsia="宋体"/>
      <w:b/>
      <w:kern w:val="2"/>
      <w:sz w:val="18"/>
      <w:szCs w:val="18"/>
      <w:lang w:val="en-US" w:eastAsia="zh-CN" w:bidi="ar-SA"/>
    </w:rPr>
  </w:style>
  <w:style w:type="character" w:customStyle="1" w:styleId="127">
    <w:name w:val="引用 Char"/>
    <w:link w:val="128"/>
    <w:autoRedefine/>
    <w:qFormat/>
    <w:uiPriority w:val="0"/>
    <w:rPr>
      <w:rFonts w:ascii="Calibri" w:hAnsi="Calibri"/>
      <w:b/>
      <w:i/>
      <w:iCs/>
      <w:color w:val="000000"/>
      <w:sz w:val="32"/>
      <w:szCs w:val="32"/>
    </w:rPr>
  </w:style>
  <w:style w:type="paragraph" w:styleId="128">
    <w:name w:val="Quote"/>
    <w:basedOn w:val="1"/>
    <w:next w:val="1"/>
    <w:link w:val="127"/>
    <w:autoRedefine/>
    <w:qFormat/>
    <w:uiPriority w:val="0"/>
    <w:rPr>
      <w:b/>
      <w:i/>
      <w:iCs/>
      <w:color w:val="000000"/>
      <w:kern w:val="0"/>
      <w:sz w:val="32"/>
      <w:szCs w:val="32"/>
    </w:rPr>
  </w:style>
  <w:style w:type="character" w:customStyle="1" w:styleId="129">
    <w:name w:val="heading 4 Char2"/>
    <w:autoRedefine/>
    <w:qFormat/>
    <w:uiPriority w:val="0"/>
    <w:rPr>
      <w:rFonts w:ascii="Cambria" w:hAnsi="Cambria" w:eastAsia="仿宋_GB2312"/>
      <w:b/>
      <w:bCs/>
      <w:kern w:val="2"/>
      <w:sz w:val="28"/>
      <w:szCs w:val="28"/>
    </w:rPr>
  </w:style>
  <w:style w:type="character" w:customStyle="1" w:styleId="130">
    <w:name w:val="标题 9 Char"/>
    <w:link w:val="11"/>
    <w:autoRedefine/>
    <w:qFormat/>
    <w:uiPriority w:val="0"/>
    <w:rPr>
      <w:rFonts w:ascii="Arial" w:hAnsi="Arial" w:eastAsia="黑体"/>
      <w:b/>
      <w:sz w:val="21"/>
      <w:szCs w:val="32"/>
    </w:rPr>
  </w:style>
  <w:style w:type="character" w:customStyle="1" w:styleId="131">
    <w:name w:val="纯文本 Char"/>
    <w:autoRedefine/>
    <w:qFormat/>
    <w:uiPriority w:val="0"/>
    <w:rPr>
      <w:rFonts w:ascii="仿宋_GB2312" w:hAnsi="Wingdings" w:eastAsia="仿宋_GB2312"/>
      <w:sz w:val="21"/>
      <w:szCs w:val="21"/>
      <w:lang w:val="en-US" w:eastAsia="zh-CN" w:bidi="ar-SA"/>
    </w:rPr>
  </w:style>
  <w:style w:type="character" w:customStyle="1" w:styleId="132">
    <w:name w:val="正文缩进 Char1"/>
    <w:link w:val="14"/>
    <w:autoRedefine/>
    <w:qFormat/>
    <w:uiPriority w:val="0"/>
    <w:rPr>
      <w:rFonts w:eastAsia="宋体"/>
      <w:sz w:val="21"/>
      <w:lang w:val="en-US" w:eastAsia="zh-CN" w:bidi="ar-SA"/>
    </w:rPr>
  </w:style>
  <w:style w:type="character" w:customStyle="1" w:styleId="133">
    <w:name w:val="heading 2 Char"/>
    <w:autoRedefine/>
    <w:qFormat/>
    <w:uiPriority w:val="0"/>
    <w:rPr>
      <w:rFonts w:ascii="Arial" w:hAnsi="Arial" w:eastAsia="黑体" w:cs="Times New Roman"/>
      <w:b/>
      <w:sz w:val="30"/>
      <w:szCs w:val="24"/>
    </w:rPr>
  </w:style>
  <w:style w:type="character" w:customStyle="1" w:styleId="134">
    <w:name w:val="Table Text Char Char"/>
    <w:link w:val="135"/>
    <w:autoRedefine/>
    <w:qFormat/>
    <w:uiPriority w:val="0"/>
    <w:rPr>
      <w:sz w:val="24"/>
    </w:rPr>
  </w:style>
  <w:style w:type="paragraph" w:customStyle="1" w:styleId="135">
    <w:name w:val="Table Text"/>
    <w:basedOn w:val="1"/>
    <w:link w:val="134"/>
    <w:autoRedefine/>
    <w:qFormat/>
    <w:uiPriority w:val="0"/>
    <w:pPr>
      <w:widowControl/>
      <w:autoSpaceDE w:val="0"/>
      <w:autoSpaceDN w:val="0"/>
      <w:adjustRightInd w:val="0"/>
      <w:spacing w:before="60" w:after="60"/>
      <w:jc w:val="left"/>
    </w:pPr>
    <w:rPr>
      <w:kern w:val="0"/>
      <w:sz w:val="24"/>
      <w:szCs w:val="20"/>
    </w:rPr>
  </w:style>
  <w:style w:type="character" w:customStyle="1" w:styleId="136">
    <w:name w:val="heading 3 Char1"/>
    <w:autoRedefine/>
    <w:qFormat/>
    <w:uiPriority w:val="0"/>
    <w:rPr>
      <w:rFonts w:ascii="仿宋_GB2312" w:eastAsia="宋体"/>
      <w:b/>
      <w:bCs/>
      <w:kern w:val="2"/>
      <w:sz w:val="32"/>
      <w:szCs w:val="32"/>
      <w:lang w:val="en-US" w:eastAsia="zh-CN" w:bidi="ar-SA"/>
    </w:rPr>
  </w:style>
  <w:style w:type="character" w:customStyle="1" w:styleId="137">
    <w:name w:val="font31"/>
    <w:autoRedefine/>
    <w:qFormat/>
    <w:uiPriority w:val="0"/>
    <w:rPr>
      <w:rFonts w:hint="eastAsia" w:ascii="宋体" w:hAnsi="宋体" w:eastAsia="宋体" w:cs="宋体"/>
      <w:color w:val="000000"/>
      <w:sz w:val="20"/>
      <w:szCs w:val="20"/>
      <w:u w:val="none"/>
    </w:rPr>
  </w:style>
  <w:style w:type="character" w:customStyle="1" w:styleId="138">
    <w:name w:val="Char Char17"/>
    <w:autoRedefine/>
    <w:qFormat/>
    <w:uiPriority w:val="0"/>
    <w:rPr>
      <w:rFonts w:ascii="Cambria" w:hAnsi="Cambria" w:eastAsia="仿宋_GB2312"/>
      <w:b/>
      <w:bCs/>
      <w:kern w:val="2"/>
      <w:sz w:val="28"/>
      <w:szCs w:val="28"/>
    </w:rPr>
  </w:style>
  <w:style w:type="character" w:customStyle="1" w:styleId="139">
    <w:name w:val="日期 Char"/>
    <w:link w:val="31"/>
    <w:autoRedefine/>
    <w:qFormat/>
    <w:uiPriority w:val="0"/>
    <w:rPr>
      <w:spacing w:val="12"/>
      <w:kern w:val="2"/>
      <w:sz w:val="24"/>
    </w:rPr>
  </w:style>
  <w:style w:type="character" w:customStyle="1" w:styleId="140">
    <w:name w:val="Char Char16"/>
    <w:autoRedefine/>
    <w:qFormat/>
    <w:uiPriority w:val="0"/>
    <w:rPr>
      <w:rFonts w:ascii="仿宋_GB2312" w:eastAsia="仿宋_GB2312"/>
      <w:b/>
      <w:bCs/>
      <w:kern w:val="2"/>
      <w:sz w:val="28"/>
      <w:szCs w:val="28"/>
    </w:rPr>
  </w:style>
  <w:style w:type="character" w:customStyle="1" w:styleId="141">
    <w:name w:val="me04"/>
    <w:autoRedefine/>
    <w:qFormat/>
    <w:uiPriority w:val="0"/>
    <w:rPr>
      <w:rFonts w:ascii="仿宋_GB2312" w:hAnsi="Tahoma" w:eastAsia="仿宋_GB2312"/>
      <w:b/>
      <w:sz w:val="32"/>
      <w:szCs w:val="32"/>
    </w:rPr>
  </w:style>
  <w:style w:type="character" w:customStyle="1" w:styleId="142">
    <w:name w:val="明显引用 Char1"/>
    <w:autoRedefine/>
    <w:qFormat/>
    <w:uiPriority w:val="99"/>
    <w:rPr>
      <w:rFonts w:ascii="Tahoma" w:hAnsi="Tahoma"/>
      <w:b/>
      <w:bCs/>
      <w:i/>
      <w:iCs/>
      <w:color w:val="4F81BD"/>
      <w:kern w:val="2"/>
      <w:sz w:val="21"/>
      <w:szCs w:val="24"/>
    </w:rPr>
  </w:style>
  <w:style w:type="character" w:customStyle="1" w:styleId="143">
    <w:name w:val="页眉 Char"/>
    <w:autoRedefine/>
    <w:qFormat/>
    <w:uiPriority w:val="0"/>
    <w:rPr>
      <w:rFonts w:eastAsia="仿宋_GB2312"/>
      <w:kern w:val="2"/>
      <w:sz w:val="18"/>
      <w:szCs w:val="18"/>
      <w:lang w:val="en-US" w:eastAsia="zh-CN" w:bidi="ar-SA"/>
    </w:rPr>
  </w:style>
  <w:style w:type="character" w:customStyle="1" w:styleId="144">
    <w:name w:val="red"/>
    <w:autoRedefine/>
    <w:qFormat/>
    <w:uiPriority w:val="0"/>
    <w:rPr>
      <w:color w:val="FF0000"/>
      <w:szCs w:val="20"/>
    </w:rPr>
  </w:style>
  <w:style w:type="character" w:customStyle="1" w:styleId="145">
    <w:name w:val="正文1 Char Char"/>
    <w:link w:val="146"/>
    <w:autoRedefine/>
    <w:qFormat/>
    <w:uiPriority w:val="0"/>
    <w:rPr>
      <w:rFonts w:ascii="宋体" w:hAnsi="宋体" w:cs="宋体"/>
      <w:b/>
      <w:sz w:val="21"/>
      <w:szCs w:val="32"/>
    </w:rPr>
  </w:style>
  <w:style w:type="paragraph" w:customStyle="1" w:styleId="146">
    <w:name w:val="正文1"/>
    <w:basedOn w:val="1"/>
    <w:link w:val="145"/>
    <w:autoRedefine/>
    <w:qFormat/>
    <w:uiPriority w:val="0"/>
    <w:pPr>
      <w:widowControl/>
      <w:spacing w:line="360" w:lineRule="auto"/>
      <w:ind w:left="360" w:firstLine="420"/>
      <w:jc w:val="left"/>
    </w:pPr>
    <w:rPr>
      <w:rFonts w:ascii="宋体" w:hAnsi="宋体"/>
      <w:b/>
      <w:kern w:val="0"/>
      <w:szCs w:val="32"/>
    </w:rPr>
  </w:style>
  <w:style w:type="character" w:customStyle="1" w:styleId="147">
    <w:name w:val="heading 1 Char2"/>
    <w:autoRedefine/>
    <w:qFormat/>
    <w:uiPriority w:val="0"/>
    <w:rPr>
      <w:rFonts w:ascii="仿宋_GB2312" w:eastAsia="仿宋_GB2312"/>
      <w:b/>
      <w:bCs/>
      <w:kern w:val="44"/>
      <w:sz w:val="44"/>
      <w:szCs w:val="44"/>
    </w:rPr>
  </w:style>
  <w:style w:type="character" w:customStyle="1" w:styleId="148">
    <w:name w:val="font21"/>
    <w:autoRedefine/>
    <w:qFormat/>
    <w:uiPriority w:val="0"/>
    <w:rPr>
      <w:rFonts w:hint="default" w:ascii="Times New Roman" w:hAnsi="Times New Roman" w:cs="Times New Roman"/>
      <w:color w:val="000000"/>
      <w:sz w:val="20"/>
      <w:szCs w:val="20"/>
      <w:u w:val="none"/>
    </w:rPr>
  </w:style>
  <w:style w:type="character" w:customStyle="1" w:styleId="149">
    <w:name w:val="Char Char Char1"/>
    <w:autoRedefine/>
    <w:qFormat/>
    <w:uiPriority w:val="0"/>
    <w:rPr>
      <w:rFonts w:ascii="宋体" w:hAnsi="Courier New" w:eastAsia="仿宋_GB2312"/>
      <w:b/>
      <w:sz w:val="21"/>
      <w:szCs w:val="21"/>
    </w:rPr>
  </w:style>
  <w:style w:type="character" w:customStyle="1" w:styleId="150">
    <w:name w:val="页脚 Char"/>
    <w:autoRedefine/>
    <w:qFormat/>
    <w:uiPriority w:val="0"/>
    <w:rPr>
      <w:rFonts w:eastAsia="仿宋_GB2312"/>
      <w:kern w:val="2"/>
      <w:sz w:val="18"/>
      <w:szCs w:val="18"/>
      <w:lang w:val="en-US" w:eastAsia="zh-CN" w:bidi="ar-SA"/>
    </w:rPr>
  </w:style>
  <w:style w:type="character" w:customStyle="1" w:styleId="151">
    <w:name w:val="正文首行缩进 Char"/>
    <w:autoRedefine/>
    <w:qFormat/>
    <w:uiPriority w:val="0"/>
    <w:rPr>
      <w:rFonts w:ascii="仿宋_GB2312" w:eastAsia="宋体"/>
      <w:kern w:val="2"/>
      <w:sz w:val="21"/>
      <w:szCs w:val="24"/>
      <w:lang w:val="en-US" w:eastAsia="zh-CN" w:bidi="ar-SA"/>
    </w:rPr>
  </w:style>
  <w:style w:type="character" w:customStyle="1" w:styleId="152">
    <w:name w:val="正文文本 Char"/>
    <w:autoRedefine/>
    <w:qFormat/>
    <w:uiPriority w:val="99"/>
    <w:rPr>
      <w:rFonts w:ascii="仿宋_GB2312" w:eastAsia="宋体"/>
      <w:b/>
      <w:kern w:val="2"/>
      <w:sz w:val="21"/>
      <w:szCs w:val="24"/>
      <w:lang w:val="en-US" w:eastAsia="zh-CN" w:bidi="ar-SA"/>
    </w:rPr>
  </w:style>
  <w:style w:type="character" w:customStyle="1" w:styleId="153">
    <w:name w:val="Char Char201"/>
    <w:autoRedefine/>
    <w:qFormat/>
    <w:uiPriority w:val="0"/>
    <w:rPr>
      <w:rFonts w:ascii="Cambria" w:hAnsi="Cambria" w:eastAsia="宋体" w:cs="Times New Roman"/>
      <w:b/>
      <w:bCs/>
      <w:sz w:val="32"/>
      <w:szCs w:val="32"/>
    </w:rPr>
  </w:style>
  <w:style w:type="character" w:customStyle="1" w:styleId="154">
    <w:name w:val="font01"/>
    <w:autoRedefine/>
    <w:qFormat/>
    <w:uiPriority w:val="0"/>
    <w:rPr>
      <w:rFonts w:hint="eastAsia" w:ascii="宋体" w:hAnsi="宋体" w:eastAsia="宋体" w:cs="宋体"/>
      <w:color w:val="000000"/>
      <w:sz w:val="22"/>
      <w:szCs w:val="22"/>
      <w:u w:val="none"/>
    </w:rPr>
  </w:style>
  <w:style w:type="character" w:customStyle="1" w:styleId="155">
    <w:name w:val="样式2 Char Char"/>
    <w:link w:val="156"/>
    <w:autoRedefine/>
    <w:qFormat/>
    <w:uiPriority w:val="0"/>
    <w:rPr>
      <w:rFonts w:ascii="宋体" w:hAnsi="宋体"/>
      <w:b/>
      <w:bCs/>
      <w:kern w:val="2"/>
      <w:sz w:val="28"/>
      <w:szCs w:val="28"/>
    </w:rPr>
  </w:style>
  <w:style w:type="paragraph" w:customStyle="1" w:styleId="156">
    <w:name w:val="样式2"/>
    <w:basedOn w:val="2"/>
    <w:link w:val="155"/>
    <w:autoRedefine/>
    <w:qFormat/>
    <w:uiPriority w:val="0"/>
    <w:pPr>
      <w:snapToGrid w:val="0"/>
      <w:spacing w:afterLines="50" w:line="480" w:lineRule="exact"/>
      <w:ind w:firstLine="556"/>
    </w:pPr>
    <w:rPr>
      <w:rFonts w:ascii="宋体" w:hAnsi="宋体" w:eastAsia="宋体"/>
      <w:sz w:val="28"/>
      <w:szCs w:val="28"/>
    </w:rPr>
  </w:style>
  <w:style w:type="character" w:customStyle="1" w:styleId="157">
    <w:name w:val="heading 2 Char2"/>
    <w:autoRedefine/>
    <w:qFormat/>
    <w:uiPriority w:val="0"/>
    <w:rPr>
      <w:rFonts w:ascii="Cambria" w:hAnsi="Cambria" w:eastAsia="仿宋_GB2312"/>
      <w:b/>
      <w:bCs/>
      <w:kern w:val="2"/>
      <w:sz w:val="32"/>
      <w:szCs w:val="32"/>
    </w:rPr>
  </w:style>
  <w:style w:type="character" w:customStyle="1" w:styleId="158">
    <w:name w:val="Texte Char Char"/>
    <w:autoRedefine/>
    <w:qFormat/>
    <w:uiPriority w:val="0"/>
    <w:rPr>
      <w:rFonts w:ascii="宋体" w:hAnsi="Courier New" w:eastAsia="宋体"/>
      <w:b/>
      <w:sz w:val="21"/>
      <w:szCs w:val="21"/>
      <w:lang w:val="en-US" w:eastAsia="zh-CN" w:bidi="ar-SA"/>
    </w:rPr>
  </w:style>
  <w:style w:type="character" w:customStyle="1" w:styleId="159">
    <w:name w:val="引用 Char1"/>
    <w:autoRedefine/>
    <w:qFormat/>
    <w:uiPriority w:val="99"/>
    <w:rPr>
      <w:rFonts w:ascii="Tahoma" w:hAnsi="Tahoma"/>
      <w:i/>
      <w:iCs/>
      <w:color w:val="000000"/>
      <w:kern w:val="2"/>
      <w:sz w:val="21"/>
      <w:szCs w:val="24"/>
    </w:rPr>
  </w:style>
  <w:style w:type="character" w:customStyle="1" w:styleId="160">
    <w:name w:val="authcode"/>
    <w:basedOn w:val="56"/>
    <w:autoRedefine/>
    <w:qFormat/>
    <w:uiPriority w:val="0"/>
  </w:style>
  <w:style w:type="character" w:customStyle="1" w:styleId="161">
    <w:name w:val="正文文本 2 Char"/>
    <w:basedOn w:val="56"/>
    <w:link w:val="47"/>
    <w:autoRedefine/>
    <w:qFormat/>
    <w:uiPriority w:val="0"/>
  </w:style>
  <w:style w:type="character" w:customStyle="1" w:styleId="162">
    <w:name w:val="fr"/>
    <w:basedOn w:val="56"/>
    <w:autoRedefine/>
    <w:qFormat/>
    <w:uiPriority w:val="0"/>
  </w:style>
  <w:style w:type="character" w:customStyle="1" w:styleId="163">
    <w:name w:val="gray6"/>
    <w:autoRedefine/>
    <w:qFormat/>
    <w:uiPriority w:val="0"/>
    <w:rPr>
      <w:rFonts w:ascii="仿宋_GB2312" w:hAnsi="Tahoma" w:eastAsia="仿宋_GB2312"/>
      <w:b/>
      <w:sz w:val="32"/>
      <w:szCs w:val="32"/>
    </w:rPr>
  </w:style>
  <w:style w:type="character" w:customStyle="1" w:styleId="164">
    <w:name w:val="heading 3 Char"/>
    <w:autoRedefine/>
    <w:qFormat/>
    <w:uiPriority w:val="0"/>
    <w:rPr>
      <w:rFonts w:ascii="Arial" w:hAnsi="Arial" w:eastAsia="黑体"/>
      <w:b/>
      <w:sz w:val="28"/>
      <w:szCs w:val="24"/>
    </w:rPr>
  </w:style>
  <w:style w:type="character" w:customStyle="1" w:styleId="165">
    <w:name w:val="不明显参考1"/>
    <w:autoRedefine/>
    <w:qFormat/>
    <w:uiPriority w:val="0"/>
    <w:rPr>
      <w:smallCaps/>
      <w:color w:val="C0504D"/>
      <w:u w:val="single"/>
    </w:rPr>
  </w:style>
  <w:style w:type="character" w:customStyle="1" w:styleId="166">
    <w:name w:val="正文缩进 Char"/>
    <w:autoRedefine/>
    <w:qFormat/>
    <w:uiPriority w:val="0"/>
    <w:rPr>
      <w:rFonts w:eastAsia="仿宋_GB2312"/>
      <w:sz w:val="21"/>
      <w:lang w:val="en-US" w:eastAsia="zh-CN" w:bidi="ar-SA"/>
    </w:rPr>
  </w:style>
  <w:style w:type="character" w:customStyle="1" w:styleId="167">
    <w:name w:val="签名 Char"/>
    <w:link w:val="38"/>
    <w:autoRedefine/>
    <w:qFormat/>
    <w:uiPriority w:val="0"/>
    <w:rPr>
      <w:rFonts w:ascii="Tahoma" w:hAnsi="Tahoma" w:eastAsia="仿宋_GB2312"/>
      <w:sz w:val="24"/>
      <w:szCs w:val="20"/>
    </w:rPr>
  </w:style>
  <w:style w:type="character" w:customStyle="1" w:styleId="168">
    <w:name w:val="正文文本缩进 3 Char"/>
    <w:link w:val="44"/>
    <w:autoRedefine/>
    <w:qFormat/>
    <w:uiPriority w:val="0"/>
    <w:rPr>
      <w:kern w:val="2"/>
      <w:sz w:val="16"/>
      <w:szCs w:val="16"/>
    </w:rPr>
  </w:style>
  <w:style w:type="character" w:customStyle="1" w:styleId="169">
    <w:name w:val="style41"/>
    <w:autoRedefine/>
    <w:qFormat/>
    <w:uiPriority w:val="0"/>
    <w:rPr>
      <w:rFonts w:ascii="仿宋_GB2312" w:eastAsia="仿宋_GB2312"/>
      <w:b/>
      <w:color w:val="auto"/>
      <w:sz w:val="32"/>
      <w:szCs w:val="32"/>
    </w:rPr>
  </w:style>
  <w:style w:type="character" w:customStyle="1" w:styleId="170">
    <w:name w:val="dandyren_title1"/>
    <w:autoRedefine/>
    <w:qFormat/>
    <w:uiPriority w:val="0"/>
    <w:rPr>
      <w:rFonts w:ascii="仿宋_GB2312" w:eastAsia="仿宋_GB2312"/>
      <w:b/>
      <w:bCs/>
      <w:color w:val="FF6633"/>
      <w:sz w:val="18"/>
      <w:szCs w:val="18"/>
    </w:rPr>
  </w:style>
  <w:style w:type="character" w:customStyle="1" w:styleId="171">
    <w:name w:val="标题 Char"/>
    <w:link w:val="51"/>
    <w:autoRedefine/>
    <w:qFormat/>
    <w:uiPriority w:val="0"/>
    <w:rPr>
      <w:rFonts w:ascii="Cambria" w:hAnsi="Cambria"/>
      <w:b/>
      <w:bCs/>
      <w:sz w:val="32"/>
      <w:szCs w:val="32"/>
    </w:rPr>
  </w:style>
  <w:style w:type="character" w:customStyle="1" w:styleId="172">
    <w:name w:val="Char Char18"/>
    <w:autoRedefine/>
    <w:qFormat/>
    <w:uiPriority w:val="0"/>
    <w:rPr>
      <w:rFonts w:ascii="仿宋_GB2312" w:eastAsia="仿宋_GB2312"/>
      <w:b/>
      <w:bCs/>
      <w:kern w:val="2"/>
      <w:sz w:val="32"/>
      <w:szCs w:val="32"/>
    </w:rPr>
  </w:style>
  <w:style w:type="character" w:customStyle="1" w:styleId="173">
    <w:name w:val="样式 正文文本 Char Char Char"/>
    <w:autoRedefine/>
    <w:qFormat/>
    <w:uiPriority w:val="0"/>
    <w:rPr>
      <w:rFonts w:ascii="Arial" w:hAnsi="Arial" w:eastAsia="宋体"/>
      <w:color w:val="000000"/>
      <w:kern w:val="2"/>
      <w:sz w:val="21"/>
      <w:lang w:val="en-US" w:eastAsia="zh-CN" w:bidi="ar-SA"/>
    </w:rPr>
  </w:style>
  <w:style w:type="character" w:customStyle="1" w:styleId="174">
    <w:name w:val="Char Char2"/>
    <w:autoRedefine/>
    <w:qFormat/>
    <w:uiPriority w:val="0"/>
    <w:rPr>
      <w:rFonts w:ascii="Arial" w:hAnsi="Arial" w:eastAsia="黑体"/>
      <w:b/>
      <w:bCs/>
      <w:kern w:val="44"/>
      <w:sz w:val="30"/>
      <w:szCs w:val="44"/>
      <w:lang w:val="en-US" w:eastAsia="zh-CN" w:bidi="ar-SA"/>
    </w:rPr>
  </w:style>
  <w:style w:type="character" w:customStyle="1" w:styleId="175">
    <w:name w:val="PI Char2"/>
    <w:autoRedefine/>
    <w:qFormat/>
    <w:uiPriority w:val="0"/>
    <w:rPr>
      <w:rFonts w:ascii="仿宋_GB2312" w:eastAsia="仿宋_GB2312"/>
      <w:b/>
      <w:kern w:val="2"/>
      <w:sz w:val="24"/>
      <w:szCs w:val="24"/>
    </w:rPr>
  </w:style>
  <w:style w:type="character" w:customStyle="1" w:styleId="176">
    <w:name w:val="Ò³Ã¼ Char Char2"/>
    <w:autoRedefine/>
    <w:qFormat/>
    <w:uiPriority w:val="0"/>
    <w:rPr>
      <w:rFonts w:ascii="仿宋_GB2312" w:eastAsia="仿宋_GB2312"/>
      <w:b/>
      <w:kern w:val="2"/>
      <w:sz w:val="18"/>
      <w:szCs w:val="18"/>
    </w:rPr>
  </w:style>
  <w:style w:type="character" w:customStyle="1" w:styleId="177">
    <w:name w:val="纯文本 Char1"/>
    <w:link w:val="30"/>
    <w:autoRedefine/>
    <w:qFormat/>
    <w:uiPriority w:val="0"/>
    <w:rPr>
      <w:rFonts w:ascii="宋体" w:hAnsi="Courier New" w:eastAsia="宋体"/>
      <w:kern w:val="2"/>
      <w:sz w:val="21"/>
      <w:lang w:val="en-US" w:eastAsia="zh-CN" w:bidi="ar-SA"/>
    </w:rPr>
  </w:style>
  <w:style w:type="character" w:customStyle="1" w:styleId="178">
    <w:name w:val="标题 1 Char1"/>
    <w:link w:val="4"/>
    <w:autoRedefine/>
    <w:qFormat/>
    <w:uiPriority w:val="0"/>
    <w:rPr>
      <w:rFonts w:ascii="楷体_GB2312" w:hAnsi="Tahoma" w:eastAsia="楷体_GB2312"/>
      <w:b/>
      <w:bCs/>
      <w:kern w:val="2"/>
      <w:sz w:val="21"/>
      <w:szCs w:val="24"/>
    </w:rPr>
  </w:style>
  <w:style w:type="character" w:customStyle="1" w:styleId="179">
    <w:name w:val="正文文本 3 Char"/>
    <w:basedOn w:val="56"/>
    <w:link w:val="20"/>
    <w:autoRedefine/>
    <w:qFormat/>
    <w:uiPriority w:val="0"/>
  </w:style>
  <w:style w:type="character" w:customStyle="1" w:styleId="180">
    <w:name w:val="样式 正文文本 Char Char"/>
    <w:link w:val="181"/>
    <w:autoRedefine/>
    <w:qFormat/>
    <w:uiPriority w:val="0"/>
    <w:rPr>
      <w:rFonts w:ascii="Arial" w:hAnsi="Arial" w:cs="宋体"/>
      <w:color w:val="000000"/>
      <w:kern w:val="2"/>
      <w:sz w:val="21"/>
    </w:rPr>
  </w:style>
  <w:style w:type="paragraph" w:customStyle="1" w:styleId="181">
    <w:name w:val="样式 正文文本"/>
    <w:basedOn w:val="1"/>
    <w:link w:val="180"/>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82">
    <w:name w:val="Char1"/>
    <w:autoRedefine/>
    <w:qFormat/>
    <w:uiPriority w:val="0"/>
    <w:rPr>
      <w:rFonts w:ascii="宋体" w:hAnsi="宋体" w:eastAsia="宋体"/>
      <w:b/>
      <w:kern w:val="2"/>
      <w:sz w:val="24"/>
      <w:szCs w:val="24"/>
      <w:lang w:val="en-US" w:eastAsia="zh-CN" w:bidi="ar-SA"/>
    </w:rPr>
  </w:style>
  <w:style w:type="character" w:customStyle="1" w:styleId="183">
    <w:name w:val="Char Char6"/>
    <w:autoRedefine/>
    <w:qFormat/>
    <w:uiPriority w:val="0"/>
    <w:rPr>
      <w:rFonts w:ascii="Times New Roman" w:hAnsi="Times New Roman" w:eastAsia="宋体" w:cs="Times New Roman"/>
      <w:szCs w:val="24"/>
    </w:rPr>
  </w:style>
  <w:style w:type="character" w:customStyle="1" w:styleId="184">
    <w:name w:val="Footer-Even Char"/>
    <w:autoRedefine/>
    <w:qFormat/>
    <w:uiPriority w:val="0"/>
    <w:rPr>
      <w:rFonts w:ascii="仿宋_GB2312" w:eastAsia="仿宋_GB2312"/>
      <w:b/>
      <w:sz w:val="18"/>
      <w:szCs w:val="18"/>
    </w:rPr>
  </w:style>
  <w:style w:type="character" w:customStyle="1" w:styleId="185">
    <w:name w:val="heading 8 Char1"/>
    <w:autoRedefine/>
    <w:qFormat/>
    <w:uiPriority w:val="0"/>
    <w:rPr>
      <w:rFonts w:ascii="Arial" w:hAnsi="Arial" w:eastAsia="黑体"/>
      <w:b/>
      <w:sz w:val="24"/>
      <w:szCs w:val="32"/>
      <w:lang w:val="en-US" w:eastAsia="zh-CN" w:bidi="ar-SA"/>
    </w:rPr>
  </w:style>
  <w:style w:type="character" w:customStyle="1" w:styleId="186">
    <w:name w:val="Char Char21"/>
    <w:autoRedefine/>
    <w:qFormat/>
    <w:uiPriority w:val="0"/>
    <w:rPr>
      <w:rFonts w:ascii="Times New Roman" w:hAnsi="Times New Roman" w:eastAsia="宋体" w:cs="Times New Roman"/>
      <w:b/>
      <w:bCs/>
      <w:kern w:val="44"/>
      <w:sz w:val="44"/>
      <w:szCs w:val="44"/>
    </w:rPr>
  </w:style>
  <w:style w:type="character" w:customStyle="1" w:styleId="187">
    <w:name w:val="doc"/>
    <w:basedOn w:val="56"/>
    <w:autoRedefine/>
    <w:qFormat/>
    <w:uiPriority w:val="0"/>
  </w:style>
  <w:style w:type="character" w:customStyle="1" w:styleId="188">
    <w:name w:val="标题 3 Char"/>
    <w:autoRedefine/>
    <w:qFormat/>
    <w:uiPriority w:val="0"/>
    <w:rPr>
      <w:rFonts w:ascii="黑体" w:hAnsi="宋体" w:eastAsia="黑体"/>
      <w:bCs/>
      <w:kern w:val="2"/>
      <w:sz w:val="28"/>
      <w:szCs w:val="28"/>
      <w:lang w:val="en-US" w:eastAsia="zh-CN" w:bidi="ar-SA"/>
    </w:rPr>
  </w:style>
  <w:style w:type="character" w:customStyle="1" w:styleId="189">
    <w:name w:val="宏文本 Char"/>
    <w:link w:val="3"/>
    <w:autoRedefine/>
    <w:qFormat/>
    <w:uiPriority w:val="99"/>
    <w:rPr>
      <w:rFonts w:ascii="Courier New" w:hAnsi="Courier New"/>
      <w:kern w:val="2"/>
      <w:sz w:val="24"/>
      <w:szCs w:val="24"/>
      <w:lang w:val="en-US" w:eastAsia="zh-CN" w:bidi="ar-SA"/>
    </w:rPr>
  </w:style>
  <w:style w:type="character" w:customStyle="1" w:styleId="190">
    <w:name w:val="A3"/>
    <w:autoRedefine/>
    <w:qFormat/>
    <w:uiPriority w:val="0"/>
    <w:rPr>
      <w:rFonts w:ascii="ZapfDingbatsNr2EFOP-Regular" w:eastAsia="ZapfDingbatsNr2EFOP-Regular" w:cs="ZapfDingbatsNr2EFOP-Regular"/>
      <w:color w:val="211D1E"/>
      <w:sz w:val="14"/>
      <w:szCs w:val="14"/>
    </w:rPr>
  </w:style>
  <w:style w:type="character" w:customStyle="1" w:styleId="191">
    <w:name w:val="Char Char111"/>
    <w:autoRedefine/>
    <w:qFormat/>
    <w:uiPriority w:val="0"/>
    <w:rPr>
      <w:rFonts w:ascii="Times New Roman" w:hAnsi="Times New Roman" w:eastAsia="宋体" w:cs="Times New Roman"/>
      <w:sz w:val="18"/>
      <w:szCs w:val="18"/>
    </w:rPr>
  </w:style>
  <w:style w:type="character" w:customStyle="1" w:styleId="192">
    <w:name w:val="标题 8 Char"/>
    <w:link w:val="10"/>
    <w:autoRedefine/>
    <w:qFormat/>
    <w:uiPriority w:val="0"/>
    <w:rPr>
      <w:rFonts w:ascii="Arial" w:hAnsi="Arial" w:eastAsia="黑体"/>
      <w:b/>
      <w:sz w:val="24"/>
      <w:szCs w:val="32"/>
    </w:rPr>
  </w:style>
  <w:style w:type="character" w:customStyle="1" w:styleId="193">
    <w:name w:val="标书标题 3 Char Char Char"/>
    <w:link w:val="194"/>
    <w:autoRedefine/>
    <w:qFormat/>
    <w:uiPriority w:val="0"/>
    <w:rPr>
      <w:rFonts w:ascii="Arial" w:hAnsi="Arial" w:eastAsia="仿宋_GB2312"/>
      <w:b/>
      <w:kern w:val="2"/>
      <w:sz w:val="24"/>
      <w:szCs w:val="32"/>
    </w:rPr>
  </w:style>
  <w:style w:type="paragraph" w:customStyle="1" w:styleId="194">
    <w:name w:val="标书标题 3 Char"/>
    <w:basedOn w:val="1"/>
    <w:link w:val="193"/>
    <w:autoRedefine/>
    <w:qFormat/>
    <w:uiPriority w:val="0"/>
    <w:pPr>
      <w:tabs>
        <w:tab w:val="left" w:pos="720"/>
      </w:tabs>
      <w:spacing w:line="360" w:lineRule="auto"/>
      <w:outlineLvl w:val="2"/>
    </w:pPr>
    <w:rPr>
      <w:rFonts w:ascii="Arial" w:hAnsi="Arial" w:eastAsia="仿宋_GB2312"/>
      <w:b/>
      <w:sz w:val="24"/>
      <w:szCs w:val="32"/>
    </w:rPr>
  </w:style>
  <w:style w:type="character" w:customStyle="1" w:styleId="195">
    <w:name w:val="param_td1"/>
    <w:autoRedefine/>
    <w:qFormat/>
    <w:uiPriority w:val="0"/>
    <w:rPr>
      <w:rFonts w:ascii="仿宋_GB2312" w:hAnsi="Tahoma" w:eastAsia="仿宋_GB2312"/>
      <w:b/>
      <w:sz w:val="32"/>
      <w:szCs w:val="32"/>
    </w:rPr>
  </w:style>
  <w:style w:type="character" w:customStyle="1" w:styleId="196">
    <w:name w:val="font161"/>
    <w:autoRedefine/>
    <w:qFormat/>
    <w:uiPriority w:val="0"/>
    <w:rPr>
      <w:b/>
      <w:bCs/>
      <w:sz w:val="32"/>
      <w:szCs w:val="32"/>
    </w:rPr>
  </w:style>
  <w:style w:type="character" w:customStyle="1" w:styleId="197">
    <w:name w:val="标题 6 Char"/>
    <w:link w:val="8"/>
    <w:autoRedefine/>
    <w:qFormat/>
    <w:uiPriority w:val="0"/>
    <w:rPr>
      <w:rFonts w:ascii="Arial" w:hAnsi="Arial" w:eastAsia="黑体"/>
      <w:b/>
      <w:bCs/>
      <w:kern w:val="2"/>
      <w:sz w:val="24"/>
      <w:szCs w:val="24"/>
    </w:rPr>
  </w:style>
  <w:style w:type="character" w:customStyle="1" w:styleId="198">
    <w:name w:val="font11"/>
    <w:autoRedefine/>
    <w:qFormat/>
    <w:uiPriority w:val="0"/>
    <w:rPr>
      <w:rFonts w:hint="eastAsia" w:ascii="宋体" w:hAnsi="宋体" w:eastAsia="宋体" w:cs="宋体"/>
      <w:color w:val="000000"/>
      <w:sz w:val="20"/>
      <w:szCs w:val="20"/>
      <w:u w:val="none"/>
      <w:vertAlign w:val="superscript"/>
    </w:rPr>
  </w:style>
  <w:style w:type="character" w:customStyle="1" w:styleId="199">
    <w:name w:val="副标题 Char"/>
    <w:link w:val="41"/>
    <w:autoRedefine/>
    <w:qFormat/>
    <w:uiPriority w:val="0"/>
    <w:rPr>
      <w:rFonts w:ascii="Cambria" w:hAnsi="Cambria"/>
      <w:b/>
      <w:bCs/>
      <w:kern w:val="28"/>
      <w:sz w:val="32"/>
      <w:szCs w:val="32"/>
    </w:rPr>
  </w:style>
  <w:style w:type="character" w:customStyle="1" w:styleId="200">
    <w:name w:val="表格 Char Char"/>
    <w:link w:val="201"/>
    <w:autoRedefine/>
    <w:qFormat/>
    <w:uiPriority w:val="0"/>
    <w:rPr>
      <w:rFonts w:ascii="宋体" w:hAnsi="宋体"/>
      <w:b/>
      <w:sz w:val="32"/>
      <w:szCs w:val="32"/>
    </w:rPr>
  </w:style>
  <w:style w:type="paragraph" w:customStyle="1" w:styleId="201">
    <w:name w:val="表格"/>
    <w:basedOn w:val="1"/>
    <w:link w:val="200"/>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02">
    <w:name w:val="doc1"/>
    <w:basedOn w:val="56"/>
    <w:autoRedefine/>
    <w:qFormat/>
    <w:uiPriority w:val="0"/>
  </w:style>
  <w:style w:type="character" w:customStyle="1" w:styleId="203">
    <w:name w:val="heading 1 Char1"/>
    <w:autoRedefine/>
    <w:qFormat/>
    <w:uiPriority w:val="0"/>
    <w:rPr>
      <w:rFonts w:ascii="仿宋_GB2312" w:eastAsia="宋体"/>
      <w:b/>
      <w:bCs/>
      <w:kern w:val="44"/>
      <w:sz w:val="44"/>
      <w:szCs w:val="44"/>
      <w:lang w:val="en-US" w:eastAsia="zh-CN" w:bidi="ar-SA"/>
    </w:rPr>
  </w:style>
  <w:style w:type="character" w:customStyle="1" w:styleId="204">
    <w:name w:val="Char Char Char Char Char Char Char Char Char"/>
    <w:autoRedefine/>
    <w:qFormat/>
    <w:uiPriority w:val="0"/>
    <w:rPr>
      <w:rFonts w:ascii="宋体" w:hAnsi="Courier New" w:eastAsia="宋体"/>
      <w:b/>
      <w:sz w:val="21"/>
      <w:szCs w:val="21"/>
      <w:lang w:val="en-US" w:eastAsia="zh-CN" w:bidi="ar-SA"/>
    </w:rPr>
  </w:style>
  <w:style w:type="character" w:customStyle="1" w:styleId="205">
    <w:name w:val="页眉 Char1"/>
    <w:link w:val="37"/>
    <w:autoRedefine/>
    <w:qFormat/>
    <w:uiPriority w:val="0"/>
    <w:rPr>
      <w:kern w:val="2"/>
      <w:sz w:val="18"/>
      <w:szCs w:val="18"/>
    </w:rPr>
  </w:style>
  <w:style w:type="character" w:customStyle="1" w:styleId="206">
    <w:name w:val="正文首行缩进 Char1"/>
    <w:autoRedefine/>
    <w:qFormat/>
    <w:uiPriority w:val="0"/>
    <w:rPr>
      <w:rFonts w:ascii="Tahoma" w:hAnsi="Tahoma"/>
      <w:kern w:val="2"/>
      <w:sz w:val="21"/>
      <w:szCs w:val="24"/>
    </w:rPr>
  </w:style>
  <w:style w:type="character" w:customStyle="1" w:styleId="207">
    <w:name w:val="op-map-singlepoint-info-right1"/>
    <w:basedOn w:val="56"/>
    <w:autoRedefine/>
    <w:qFormat/>
    <w:uiPriority w:val="0"/>
  </w:style>
  <w:style w:type="character" w:customStyle="1" w:styleId="208">
    <w:name w:val="A6"/>
    <w:autoRedefine/>
    <w:qFormat/>
    <w:uiPriority w:val="0"/>
    <w:rPr>
      <w:rFonts w:cs="Helvetica Neue"/>
      <w:color w:val="3E667A"/>
      <w:sz w:val="14"/>
      <w:szCs w:val="14"/>
    </w:rPr>
  </w:style>
  <w:style w:type="character" w:customStyle="1" w:styleId="209">
    <w:name w:val="批注文字 Char1"/>
    <w:link w:val="18"/>
    <w:autoRedefine/>
    <w:qFormat/>
    <w:uiPriority w:val="0"/>
    <w:rPr>
      <w:kern w:val="2"/>
      <w:sz w:val="21"/>
      <w:szCs w:val="24"/>
    </w:rPr>
  </w:style>
  <w:style w:type="character" w:customStyle="1" w:styleId="210">
    <w:name w:val="书籍标题1"/>
    <w:autoRedefine/>
    <w:qFormat/>
    <w:uiPriority w:val="0"/>
    <w:rPr>
      <w:b/>
      <w:bCs/>
      <w:smallCaps/>
      <w:spacing w:val="5"/>
    </w:rPr>
  </w:style>
  <w:style w:type="character" w:customStyle="1" w:styleId="211">
    <w:name w:val="ändrad Char"/>
    <w:autoRedefine/>
    <w:qFormat/>
    <w:uiPriority w:val="0"/>
    <w:rPr>
      <w:rFonts w:ascii="仿宋_GB2312" w:eastAsia="宋体"/>
      <w:b/>
      <w:kern w:val="2"/>
      <w:sz w:val="21"/>
      <w:szCs w:val="24"/>
      <w:lang w:val="en-US" w:eastAsia="zh-CN" w:bidi="ar-SA"/>
    </w:rPr>
  </w:style>
  <w:style w:type="character" w:customStyle="1" w:styleId="212">
    <w:name w:val="正文文本缩进 2 Char"/>
    <w:autoRedefine/>
    <w:qFormat/>
    <w:uiPriority w:val="0"/>
    <w:rPr>
      <w:kern w:val="2"/>
      <w:sz w:val="21"/>
      <w:szCs w:val="24"/>
    </w:rPr>
  </w:style>
  <w:style w:type="character" w:customStyle="1" w:styleId="213">
    <w:name w:val="Char Char61"/>
    <w:autoRedefine/>
    <w:qFormat/>
    <w:uiPriority w:val="0"/>
    <w:rPr>
      <w:rFonts w:ascii="Times New Roman" w:hAnsi="Times New Roman" w:eastAsia="宋体" w:cs="Times New Roman"/>
      <w:szCs w:val="24"/>
    </w:rPr>
  </w:style>
  <w:style w:type="character" w:customStyle="1" w:styleId="214">
    <w:name w:val="Char Char15"/>
    <w:autoRedefine/>
    <w:qFormat/>
    <w:uiPriority w:val="0"/>
    <w:rPr>
      <w:rFonts w:ascii="Arial" w:hAnsi="Arial" w:eastAsia="黑体"/>
      <w:b/>
      <w:sz w:val="24"/>
      <w:szCs w:val="24"/>
    </w:rPr>
  </w:style>
  <w:style w:type="character" w:customStyle="1" w:styleId="215">
    <w:name w:val="普通文字1 Char"/>
    <w:autoRedefine/>
    <w:qFormat/>
    <w:uiPriority w:val="0"/>
    <w:rPr>
      <w:rFonts w:ascii="宋体" w:hAnsi="Courier New" w:eastAsia="宋体" w:cs="Courier New"/>
      <w:kern w:val="2"/>
      <w:sz w:val="21"/>
      <w:szCs w:val="21"/>
      <w:lang w:val="en-US" w:eastAsia="zh-CN" w:bidi="ar-SA"/>
    </w:rPr>
  </w:style>
  <w:style w:type="character" w:customStyle="1" w:styleId="216">
    <w:name w:val="Style1"/>
    <w:autoRedefine/>
    <w:qFormat/>
    <w:uiPriority w:val="0"/>
    <w:rPr>
      <w:rFonts w:ascii="Calibri" w:hAnsi="宋体" w:eastAsia="宋体" w:cs="Times New Roman"/>
      <w:sz w:val="22"/>
      <w:szCs w:val="22"/>
      <w:lang w:eastAsia="zh-CN"/>
    </w:rPr>
  </w:style>
  <w:style w:type="character" w:customStyle="1" w:styleId="217">
    <w:name w:val="PI Char"/>
    <w:autoRedefine/>
    <w:qFormat/>
    <w:uiPriority w:val="0"/>
    <w:rPr>
      <w:rFonts w:ascii="宋体" w:hAnsi="宋体" w:eastAsia="仿宋_GB2312"/>
      <w:b/>
      <w:sz w:val="24"/>
      <w:szCs w:val="32"/>
    </w:rPr>
  </w:style>
  <w:style w:type="character" w:customStyle="1" w:styleId="218">
    <w:name w:val="password"/>
    <w:basedOn w:val="56"/>
    <w:autoRedefine/>
    <w:qFormat/>
    <w:uiPriority w:val="0"/>
  </w:style>
  <w:style w:type="character" w:customStyle="1" w:styleId="219">
    <w:name w:val="正文文本缩进 2 Char1"/>
    <w:link w:val="34"/>
    <w:autoRedefine/>
    <w:qFormat/>
    <w:uiPriority w:val="0"/>
    <w:rPr>
      <w:kern w:val="2"/>
      <w:sz w:val="21"/>
      <w:szCs w:val="24"/>
    </w:rPr>
  </w:style>
  <w:style w:type="character" w:customStyle="1" w:styleId="220">
    <w:name w:val="Style2"/>
    <w:autoRedefine/>
    <w:qFormat/>
    <w:uiPriority w:val="0"/>
    <w:rPr>
      <w:rFonts w:ascii="Calibri" w:hAnsi="宋体" w:eastAsia="宋体" w:cs="Times New Roman"/>
      <w:sz w:val="22"/>
      <w:szCs w:val="22"/>
      <w:lang w:eastAsia="zh-CN"/>
    </w:rPr>
  </w:style>
  <w:style w:type="character" w:customStyle="1" w:styleId="221">
    <w:name w:val="明显强调1"/>
    <w:autoRedefine/>
    <w:qFormat/>
    <w:uiPriority w:val="0"/>
    <w:rPr>
      <w:b/>
      <w:bCs/>
      <w:i/>
      <w:iCs/>
      <w:color w:val="4F81BD"/>
    </w:rPr>
  </w:style>
  <w:style w:type="character" w:customStyle="1" w:styleId="222">
    <w:name w:val="称呼 Char"/>
    <w:basedOn w:val="56"/>
    <w:link w:val="19"/>
    <w:autoRedefine/>
    <w:qFormat/>
    <w:uiPriority w:val="0"/>
  </w:style>
  <w:style w:type="character" w:customStyle="1" w:styleId="223">
    <w:name w:val="标题 4 Char1"/>
    <w:link w:val="6"/>
    <w:autoRedefine/>
    <w:qFormat/>
    <w:uiPriority w:val="0"/>
    <w:rPr>
      <w:rFonts w:ascii="Cambria" w:hAnsi="Cambria"/>
      <w:b/>
      <w:bCs/>
      <w:kern w:val="2"/>
      <w:sz w:val="28"/>
      <w:szCs w:val="28"/>
    </w:rPr>
  </w:style>
  <w:style w:type="character" w:customStyle="1" w:styleId="224">
    <w:name w:val="标题 Char1"/>
    <w:autoRedefine/>
    <w:qFormat/>
    <w:uiPriority w:val="10"/>
    <w:rPr>
      <w:rFonts w:ascii="Cambria" w:hAnsi="Cambria" w:cs="Times New Roman"/>
      <w:b/>
      <w:bCs/>
      <w:kern w:val="2"/>
      <w:sz w:val="32"/>
      <w:szCs w:val="32"/>
    </w:rPr>
  </w:style>
  <w:style w:type="character" w:customStyle="1" w:styleId="225">
    <w:name w:val="heading 9 Char1"/>
    <w:autoRedefine/>
    <w:qFormat/>
    <w:uiPriority w:val="0"/>
    <w:rPr>
      <w:rFonts w:ascii="Arial" w:hAnsi="Arial" w:eastAsia="黑体"/>
      <w:b/>
      <w:sz w:val="21"/>
      <w:szCs w:val="32"/>
      <w:lang w:val="en-US" w:eastAsia="zh-CN" w:bidi="ar-SA"/>
    </w:rPr>
  </w:style>
  <w:style w:type="character" w:customStyle="1" w:styleId="226">
    <w:name w:val="正文首行缩进 Char2"/>
    <w:link w:val="22"/>
    <w:autoRedefine/>
    <w:qFormat/>
    <w:uiPriority w:val="0"/>
    <w:rPr>
      <w:rFonts w:ascii="仿宋_GB2312"/>
      <w:b/>
      <w:sz w:val="32"/>
      <w:szCs w:val="32"/>
    </w:rPr>
  </w:style>
  <w:style w:type="character" w:customStyle="1" w:styleId="227">
    <w:name w:val="标题 7 Char"/>
    <w:link w:val="9"/>
    <w:autoRedefine/>
    <w:qFormat/>
    <w:uiPriority w:val="0"/>
    <w:rPr>
      <w:rFonts w:ascii="Arial" w:hAnsi="Arial" w:eastAsia="黑体"/>
      <w:b/>
      <w:sz w:val="21"/>
      <w:szCs w:val="21"/>
    </w:rPr>
  </w:style>
  <w:style w:type="character" w:customStyle="1" w:styleId="228">
    <w:name w:val="style111"/>
    <w:autoRedefine/>
    <w:qFormat/>
    <w:uiPriority w:val="0"/>
    <w:rPr>
      <w:sz w:val="27"/>
      <w:szCs w:val="27"/>
    </w:rPr>
  </w:style>
  <w:style w:type="character" w:customStyle="1" w:styleId="229">
    <w:name w:val="hui"/>
    <w:autoRedefine/>
    <w:qFormat/>
    <w:uiPriority w:val="0"/>
    <w:rPr>
      <w:rFonts w:ascii="仿宋_GB2312" w:hAnsi="Tahoma" w:eastAsia="仿宋_GB2312"/>
      <w:b/>
      <w:sz w:val="32"/>
      <w:szCs w:val="32"/>
    </w:rPr>
  </w:style>
  <w:style w:type="character" w:customStyle="1" w:styleId="230">
    <w:name w:val="release-day"/>
    <w:autoRedefine/>
    <w:qFormat/>
    <w:uiPriority w:val="0"/>
    <w:rPr>
      <w:szCs w:val="20"/>
      <w:bdr w:val="single" w:color="BDEBB0" w:sz="4" w:space="0"/>
      <w:shd w:val="clear" w:color="auto" w:fill="F5FFF1"/>
    </w:rPr>
  </w:style>
  <w:style w:type="character" w:customStyle="1" w:styleId="231">
    <w:name w:val="Ò³Ã¼ Char Char"/>
    <w:autoRedefine/>
    <w:qFormat/>
    <w:uiPriority w:val="0"/>
    <w:rPr>
      <w:rFonts w:ascii="仿宋_GB2312" w:eastAsia="仿宋_GB2312"/>
      <w:b/>
      <w:sz w:val="18"/>
      <w:szCs w:val="18"/>
    </w:rPr>
  </w:style>
  <w:style w:type="character" w:customStyle="1" w:styleId="232">
    <w:name w:val="批注主题 Char"/>
    <w:autoRedefine/>
    <w:qFormat/>
    <w:uiPriority w:val="0"/>
    <w:rPr>
      <w:rFonts w:eastAsia="宋体"/>
      <w:b/>
      <w:bCs/>
      <w:kern w:val="2"/>
      <w:sz w:val="21"/>
      <w:szCs w:val="24"/>
      <w:lang w:val="en-US" w:eastAsia="zh-CN" w:bidi="ar-SA"/>
    </w:rPr>
  </w:style>
  <w:style w:type="character" w:customStyle="1" w:styleId="233">
    <w:name w:val="heading 5 Char"/>
    <w:autoRedefine/>
    <w:qFormat/>
    <w:uiPriority w:val="0"/>
    <w:rPr>
      <w:rFonts w:ascii="Arial" w:hAnsi="Arial" w:eastAsia="黑体"/>
      <w:b/>
      <w:sz w:val="21"/>
      <w:szCs w:val="21"/>
    </w:rPr>
  </w:style>
  <w:style w:type="character" w:customStyle="1" w:styleId="234">
    <w:name w:val="Style5"/>
    <w:autoRedefine/>
    <w:qFormat/>
    <w:uiPriority w:val="0"/>
    <w:rPr>
      <w:rFonts w:ascii="Calibri" w:hAnsi="宋体" w:eastAsia="宋体" w:cs="Times New Roman"/>
      <w:sz w:val="22"/>
      <w:szCs w:val="22"/>
      <w:lang w:eastAsia="zh-CN"/>
    </w:rPr>
  </w:style>
  <w:style w:type="character" w:customStyle="1" w:styleId="235">
    <w:name w:val="样式 标题 3 + 黑体 小四 Char Char"/>
    <w:link w:val="236"/>
    <w:autoRedefine/>
    <w:qFormat/>
    <w:uiPriority w:val="0"/>
    <w:rPr>
      <w:rFonts w:ascii="黑体" w:hAnsi="Arial" w:eastAsia="黑体"/>
      <w:bCs/>
      <w:sz w:val="24"/>
      <w:szCs w:val="24"/>
    </w:rPr>
  </w:style>
  <w:style w:type="paragraph" w:customStyle="1" w:styleId="236">
    <w:name w:val="样式 标题 3 + 黑体 小四"/>
    <w:basedOn w:val="5"/>
    <w:link w:val="235"/>
    <w:autoRedefine/>
    <w:qFormat/>
    <w:uiPriority w:val="0"/>
    <w:pPr>
      <w:spacing w:line="413" w:lineRule="auto"/>
    </w:pPr>
    <w:rPr>
      <w:rFonts w:ascii="黑体" w:hAnsi="Arial" w:eastAsia="黑体"/>
      <w:b w:val="0"/>
      <w:kern w:val="0"/>
      <w:sz w:val="24"/>
      <w:szCs w:val="24"/>
    </w:rPr>
  </w:style>
  <w:style w:type="character" w:customStyle="1" w:styleId="237">
    <w:name w:val="style21"/>
    <w:autoRedefine/>
    <w:qFormat/>
    <w:uiPriority w:val="0"/>
    <w:rPr>
      <w:rFonts w:ascii="仿宋_GB2312" w:eastAsia="仿宋_GB2312"/>
      <w:b/>
      <w:sz w:val="15"/>
      <w:szCs w:val="15"/>
    </w:rPr>
  </w:style>
  <w:style w:type="character" w:customStyle="1" w:styleId="238">
    <w:name w:val="标题 5 Char"/>
    <w:link w:val="7"/>
    <w:autoRedefine/>
    <w:qFormat/>
    <w:uiPriority w:val="0"/>
    <w:rPr>
      <w:rFonts w:ascii="仿宋_GB2312" w:hAnsi="Tahoma"/>
      <w:b/>
      <w:bCs/>
      <w:kern w:val="2"/>
      <w:sz w:val="28"/>
      <w:szCs w:val="28"/>
    </w:rPr>
  </w:style>
  <w:style w:type="character" w:customStyle="1" w:styleId="239">
    <w:name w:val="正文文本缩进 Char"/>
    <w:link w:val="24"/>
    <w:autoRedefine/>
    <w:qFormat/>
    <w:uiPriority w:val="0"/>
    <w:rPr>
      <w:rFonts w:ascii="宋体" w:hAnsi="宋体"/>
      <w:kern w:val="2"/>
      <w:sz w:val="24"/>
    </w:rPr>
  </w:style>
  <w:style w:type="character" w:customStyle="1" w:styleId="240">
    <w:name w:val="Heading 2 Hidden Char1 Char"/>
    <w:autoRedefine/>
    <w:qFormat/>
    <w:uiPriority w:val="0"/>
    <w:rPr>
      <w:rFonts w:ascii="宋体" w:hAnsi="Times New Roman" w:eastAsia="宋体" w:cs="Times New Roman"/>
      <w:kern w:val="0"/>
      <w:sz w:val="24"/>
      <w:szCs w:val="24"/>
    </w:rPr>
  </w:style>
  <w:style w:type="character" w:customStyle="1" w:styleId="241">
    <w:name w:val="Footer-Even Char2"/>
    <w:autoRedefine/>
    <w:qFormat/>
    <w:uiPriority w:val="0"/>
    <w:rPr>
      <w:rFonts w:ascii="仿宋_GB2312" w:eastAsia="仿宋_GB2312"/>
      <w:b/>
      <w:kern w:val="2"/>
      <w:sz w:val="18"/>
      <w:szCs w:val="18"/>
    </w:rPr>
  </w:style>
  <w:style w:type="character" w:customStyle="1" w:styleId="242">
    <w:name w:val="upload"/>
    <w:basedOn w:val="56"/>
    <w:autoRedefine/>
    <w:qFormat/>
    <w:uiPriority w:val="0"/>
  </w:style>
  <w:style w:type="character" w:customStyle="1" w:styleId="243">
    <w:name w:val="update"/>
    <w:basedOn w:val="56"/>
    <w:autoRedefine/>
    <w:qFormat/>
    <w:uiPriority w:val="0"/>
  </w:style>
  <w:style w:type="character" w:customStyle="1" w:styleId="244">
    <w:name w:val="legend"/>
    <w:autoRedefine/>
    <w:qFormat/>
    <w:uiPriority w:val="0"/>
    <w:rPr>
      <w:rFonts w:ascii="Arial" w:hAnsi="Arial" w:cs="Arial"/>
      <w:b/>
      <w:color w:val="73B304"/>
      <w:sz w:val="16"/>
      <w:szCs w:val="16"/>
      <w:shd w:val="clear" w:color="auto" w:fill="FFFFFF"/>
    </w:rPr>
  </w:style>
  <w:style w:type="character" w:customStyle="1" w:styleId="245">
    <w:name w:val="hover30"/>
    <w:basedOn w:val="56"/>
    <w:autoRedefine/>
    <w:qFormat/>
    <w:uiPriority w:val="0"/>
  </w:style>
  <w:style w:type="character" w:customStyle="1" w:styleId="246">
    <w:name w:val="Style4"/>
    <w:autoRedefine/>
    <w:qFormat/>
    <w:uiPriority w:val="0"/>
    <w:rPr>
      <w:rFonts w:ascii="Calibri" w:hAnsi="宋体" w:eastAsia="宋体" w:cs="Times New Roman"/>
      <w:szCs w:val="22"/>
      <w:lang w:eastAsia="zh-CN"/>
    </w:rPr>
  </w:style>
  <w:style w:type="character" w:customStyle="1" w:styleId="247">
    <w:name w:val="blue1"/>
    <w:autoRedefine/>
    <w:qFormat/>
    <w:uiPriority w:val="0"/>
    <w:rPr>
      <w:rFonts w:ascii="仿宋_GB2312" w:hAnsi="Tahoma" w:eastAsia="仿宋_GB2312"/>
      <w:b/>
      <w:sz w:val="32"/>
      <w:szCs w:val="32"/>
    </w:rPr>
  </w:style>
  <w:style w:type="character" w:customStyle="1" w:styleId="248">
    <w:name w:val="样式 宋体"/>
    <w:autoRedefine/>
    <w:qFormat/>
    <w:uiPriority w:val="0"/>
    <w:rPr>
      <w:rFonts w:ascii="宋体" w:hAnsi="宋体" w:eastAsia="宋体"/>
      <w:b/>
      <w:sz w:val="24"/>
      <w:szCs w:val="24"/>
    </w:rPr>
  </w:style>
  <w:style w:type="paragraph" w:customStyle="1" w:styleId="249">
    <w:name w:val="p0"/>
    <w:basedOn w:val="1"/>
    <w:autoRedefine/>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50">
    <w:name w:val="样式 标题 1 + 黑体 三号 非加粗 居中 段前: 6 磅 段后: 6 磅 行距: 固定值 20 磅"/>
    <w:basedOn w:val="4"/>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51">
    <w:name w:val="Pa3"/>
    <w:basedOn w:val="1"/>
    <w:next w:val="1"/>
    <w:autoRedefine/>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252">
    <w:name w:val="TOC 标题1"/>
    <w:basedOn w:val="4"/>
    <w:next w:val="1"/>
    <w:autoRedefine/>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253">
    <w:name w:val="Table Paragraph"/>
    <w:basedOn w:val="1"/>
    <w:autoRedefine/>
    <w:qFormat/>
    <w:uiPriority w:val="1"/>
    <w:pPr>
      <w:autoSpaceDE w:val="0"/>
      <w:autoSpaceDN w:val="0"/>
      <w:adjustRightInd w:val="0"/>
      <w:jc w:val="left"/>
    </w:pPr>
    <w:rPr>
      <w:kern w:val="0"/>
      <w:sz w:val="24"/>
    </w:rPr>
  </w:style>
  <w:style w:type="paragraph" w:customStyle="1" w:styleId="254">
    <w:name w:val="三级条标题"/>
    <w:basedOn w:val="255"/>
    <w:next w:val="1"/>
    <w:autoRedefine/>
    <w:qFormat/>
    <w:uiPriority w:val="0"/>
    <w:pPr>
      <w:numPr>
        <w:ilvl w:val="4"/>
      </w:numPr>
      <w:tabs>
        <w:tab w:val="left" w:pos="360"/>
      </w:tabs>
      <w:outlineLvl w:val="4"/>
    </w:pPr>
  </w:style>
  <w:style w:type="paragraph" w:customStyle="1" w:styleId="255">
    <w:name w:val="二级条标题"/>
    <w:basedOn w:val="256"/>
    <w:next w:val="1"/>
    <w:autoRedefine/>
    <w:qFormat/>
    <w:uiPriority w:val="0"/>
    <w:pPr>
      <w:numPr>
        <w:ilvl w:val="3"/>
      </w:numPr>
      <w:tabs>
        <w:tab w:val="left" w:pos="360"/>
      </w:tabs>
      <w:outlineLvl w:val="3"/>
    </w:pPr>
  </w:style>
  <w:style w:type="paragraph" w:customStyle="1" w:styleId="256">
    <w:name w:val="一级条标题"/>
    <w:next w:val="1"/>
    <w:autoRedefine/>
    <w:qFormat/>
    <w:uiPriority w:val="0"/>
    <w:pPr>
      <w:numPr>
        <w:ilvl w:val="2"/>
        <w:numId w:val="2"/>
      </w:numPr>
      <w:outlineLvl w:val="2"/>
    </w:pPr>
    <w:rPr>
      <w:rFonts w:ascii="Calibri" w:hAnsi="Calibri" w:eastAsia="黑体" w:cs="Times New Roman"/>
      <w:sz w:val="21"/>
      <w:lang w:val="en-US" w:eastAsia="zh-CN" w:bidi="ar-SA"/>
    </w:rPr>
  </w:style>
  <w:style w:type="paragraph" w:customStyle="1" w:styleId="25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8">
    <w:name w:val="正文 首行缩进:  2 字符 Char"/>
    <w:basedOn w:val="1"/>
    <w:autoRedefine/>
    <w:qFormat/>
    <w:uiPriority w:val="0"/>
    <w:pPr>
      <w:spacing w:line="360" w:lineRule="auto"/>
      <w:ind w:firstLine="480"/>
    </w:pPr>
    <w:rPr>
      <w:rFonts w:cs="宋体"/>
      <w:sz w:val="24"/>
      <w:szCs w:val="20"/>
    </w:rPr>
  </w:style>
  <w:style w:type="paragraph" w:customStyle="1" w:styleId="259">
    <w:name w:val="Test2"/>
    <w:basedOn w:val="2"/>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0">
    <w:name w:val="样式 标题 2 + 居中"/>
    <w:basedOn w:val="2"/>
    <w:autoRedefine/>
    <w:qFormat/>
    <w:uiPriority w:val="0"/>
    <w:pPr>
      <w:spacing w:beforeLines="50" w:beforeAutospacing="1" w:afterLines="50" w:afterAutospacing="1" w:line="360" w:lineRule="auto"/>
      <w:jc w:val="center"/>
    </w:pPr>
    <w:rPr>
      <w:rFonts w:cs="宋体"/>
      <w:szCs w:val="20"/>
    </w:rPr>
  </w:style>
  <w:style w:type="paragraph" w:customStyle="1" w:styleId="261">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62">
    <w:name w:val="Blockquote"/>
    <w:basedOn w:val="1"/>
    <w:autoRedefine/>
    <w:qFormat/>
    <w:uiPriority w:val="0"/>
    <w:pPr>
      <w:autoSpaceDE w:val="0"/>
      <w:autoSpaceDN w:val="0"/>
      <w:spacing w:before="100" w:after="100"/>
      <w:ind w:left="360" w:right="360"/>
      <w:jc w:val="left"/>
    </w:pPr>
    <w:rPr>
      <w:szCs w:val="20"/>
    </w:rPr>
  </w:style>
  <w:style w:type="paragraph" w:customStyle="1" w:styleId="26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64">
    <w:name w:val="_Style 25"/>
    <w:basedOn w:val="1"/>
    <w:autoRedefine/>
    <w:qFormat/>
    <w:uiPriority w:val="0"/>
  </w:style>
  <w:style w:type="paragraph" w:customStyle="1" w:styleId="265">
    <w:name w:val="前言、引言标题"/>
    <w:next w:val="1"/>
    <w:autoRedefine/>
    <w:qFormat/>
    <w:uiPriority w:val="0"/>
    <w:pPr>
      <w:numPr>
        <w:ilvl w:val="0"/>
        <w:numId w:val="2"/>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66">
    <w:name w:val="样式1"/>
    <w:basedOn w:val="1"/>
    <w:next w:val="6"/>
    <w:autoRedefine/>
    <w:qFormat/>
    <w:uiPriority w:val="0"/>
    <w:pPr>
      <w:spacing w:line="360" w:lineRule="auto"/>
      <w:ind w:firstLine="420" w:firstLineChars="200"/>
    </w:pPr>
    <w:rPr>
      <w:rFonts w:ascii="宋体" w:hAnsi="宋体"/>
      <w:szCs w:val="21"/>
    </w:rPr>
  </w:style>
  <w:style w:type="paragraph" w:customStyle="1" w:styleId="267">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9">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270">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71">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72">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3">
    <w:name w:val="保留正文"/>
    <w:basedOn w:val="21"/>
    <w:autoRedefine/>
    <w:qFormat/>
    <w:uiPriority w:val="0"/>
    <w:pPr>
      <w:keepNext/>
      <w:spacing w:after="160"/>
    </w:pPr>
    <w:rPr>
      <w:rFonts w:ascii="仿宋_GB2312"/>
      <w:b/>
    </w:rPr>
  </w:style>
  <w:style w:type="paragraph" w:customStyle="1" w:styleId="274">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正文（首行缩进）"/>
    <w:basedOn w:val="24"/>
    <w:autoRedefine/>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77">
    <w:name w:val="修订1"/>
    <w:autoRedefine/>
    <w:qFormat/>
    <w:uiPriority w:val="0"/>
    <w:rPr>
      <w:rFonts w:ascii="Calibri" w:hAnsi="Calibri" w:eastAsia="宋体" w:cs="Times New Roman"/>
      <w:kern w:val="2"/>
      <w:sz w:val="21"/>
      <w:szCs w:val="24"/>
      <w:lang w:val="en-US" w:eastAsia="zh-CN" w:bidi="ar-SA"/>
    </w:rPr>
  </w:style>
  <w:style w:type="paragraph" w:customStyle="1" w:styleId="278">
    <w:name w:val="Char Char12"/>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79">
    <w:name w:val="样式 标题 3 + (中文) 黑体 小四 非加粗 段前: 7.8 磅 段后: 0 磅 行距: 固定值 20 磅"/>
    <w:basedOn w:val="5"/>
    <w:autoRedefine/>
    <w:qFormat/>
    <w:uiPriority w:val="0"/>
    <w:pPr>
      <w:spacing w:before="0" w:after="0" w:line="400" w:lineRule="exact"/>
    </w:pPr>
    <w:rPr>
      <w:rFonts w:ascii="仿宋_GB2312" w:eastAsia="黑体" w:cs="宋体"/>
      <w:b w:val="0"/>
      <w:bCs w:val="0"/>
      <w:sz w:val="24"/>
      <w:szCs w:val="20"/>
    </w:rPr>
  </w:style>
  <w:style w:type="paragraph" w:customStyle="1" w:styleId="28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81">
    <w:name w:val="Char Char Char Char Char Char Char Char Char Char Char Char Char"/>
    <w:basedOn w:val="1"/>
    <w:autoRedefine/>
    <w:qFormat/>
    <w:uiPriority w:val="0"/>
    <w:rPr>
      <w:rFonts w:ascii="Tahoma" w:hAnsi="Tahoma"/>
      <w:sz w:val="24"/>
      <w:szCs w:val="20"/>
    </w:rPr>
  </w:style>
  <w:style w:type="paragraph" w:customStyle="1" w:styleId="282">
    <w:name w:val="Char Char Char Char Char Char Char"/>
    <w:basedOn w:val="1"/>
    <w:next w:val="1"/>
    <w:autoRedefine/>
    <w:qFormat/>
    <w:uiPriority w:val="0"/>
    <w:pPr>
      <w:tabs>
        <w:tab w:val="left" w:pos="425"/>
      </w:tabs>
      <w:spacing w:beforeLines="50" w:afterLines="100" w:line="360" w:lineRule="auto"/>
      <w:ind w:left="1105" w:hanging="748"/>
      <w:jc w:val="center"/>
    </w:pPr>
    <w:rPr>
      <w:szCs w:val="20"/>
    </w:rPr>
  </w:style>
  <w:style w:type="paragraph" w:customStyle="1" w:styleId="28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4">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85">
    <w:name w:val="Char1 Char Char Char Char"/>
    <w:basedOn w:val="17"/>
    <w:autoRedefine/>
    <w:qFormat/>
    <w:uiPriority w:val="0"/>
    <w:rPr>
      <w:rFonts w:ascii="Tahoma" w:hAnsi="Tahoma" w:cs="Tahoma"/>
      <w:kern w:val="0"/>
      <w:sz w:val="18"/>
    </w:rPr>
  </w:style>
  <w:style w:type="paragraph" w:customStyle="1" w:styleId="286">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87">
    <w:name w:val="正文缩进1"/>
    <w:basedOn w:val="1"/>
    <w:autoRedefine/>
    <w:qFormat/>
    <w:uiPriority w:val="0"/>
    <w:pPr>
      <w:ind w:firstLine="420"/>
    </w:pPr>
    <w:rPr>
      <w:szCs w:val="20"/>
    </w:rPr>
  </w:style>
  <w:style w:type="paragraph" w:customStyle="1" w:styleId="288">
    <w:name w:val="Pa8"/>
    <w:basedOn w:val="1"/>
    <w:next w:val="1"/>
    <w:autoRedefine/>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289">
    <w:name w:val="Char Char Char"/>
    <w:basedOn w:val="1"/>
    <w:next w:val="1"/>
    <w:autoRedefine/>
    <w:qFormat/>
    <w:uiPriority w:val="0"/>
    <w:pPr>
      <w:shd w:val="clear" w:color="auto" w:fill="000080"/>
    </w:pPr>
    <w:rPr>
      <w:rFonts w:ascii="Tahoma" w:hAnsi="Tahoma"/>
      <w:sz w:val="24"/>
    </w:rPr>
  </w:style>
  <w:style w:type="paragraph" w:customStyle="1" w:styleId="290">
    <w:name w:val="正文缩进1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9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标书正文格式"/>
    <w:autoRedefine/>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93">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94">
    <w:name w:val="Char1 Char Char Char"/>
    <w:basedOn w:val="1"/>
    <w:autoRedefine/>
    <w:qFormat/>
    <w:uiPriority w:val="0"/>
    <w:rPr>
      <w:szCs w:val="20"/>
    </w:rPr>
  </w:style>
  <w:style w:type="paragraph" w:customStyle="1" w:styleId="29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9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7">
    <w:name w:val="列出段落1"/>
    <w:basedOn w:val="1"/>
    <w:autoRedefine/>
    <w:qFormat/>
    <w:uiPriority w:val="99"/>
    <w:pPr>
      <w:ind w:firstLine="420" w:firstLineChars="200"/>
    </w:pPr>
    <w:rPr>
      <w:szCs w:val="20"/>
    </w:rPr>
  </w:style>
  <w:style w:type="paragraph" w:customStyle="1" w:styleId="29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99">
    <w:name w:val="Char"/>
    <w:basedOn w:val="1"/>
    <w:autoRedefine/>
    <w:qFormat/>
    <w:uiPriority w:val="0"/>
    <w:pPr>
      <w:widowControl/>
      <w:spacing w:line="400" w:lineRule="exact"/>
      <w:jc w:val="center"/>
    </w:pPr>
    <w:rPr>
      <w:rFonts w:ascii="Verdana" w:hAnsi="Verdana"/>
      <w:kern w:val="0"/>
      <w:szCs w:val="20"/>
      <w:lang w:eastAsia="en-US"/>
    </w:rPr>
  </w:style>
  <w:style w:type="paragraph" w:customStyle="1" w:styleId="300">
    <w:name w:val="Char Char Char Char Char Char Char1"/>
    <w:basedOn w:val="1"/>
    <w:autoRedefine/>
    <w:qFormat/>
    <w:uiPriority w:val="0"/>
    <w:pPr>
      <w:widowControl/>
      <w:spacing w:after="160" w:line="240" w:lineRule="exact"/>
      <w:jc w:val="left"/>
    </w:pPr>
    <w:rPr>
      <w:szCs w:val="20"/>
    </w:rPr>
  </w:style>
  <w:style w:type="paragraph" w:customStyle="1" w:styleId="301">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02">
    <w:name w:val="Char1 Char Char Char1"/>
    <w:basedOn w:val="1"/>
    <w:autoRedefine/>
    <w:qFormat/>
    <w:uiPriority w:val="0"/>
    <w:pPr>
      <w:widowControl/>
      <w:spacing w:after="120"/>
      <w:jc w:val="left"/>
    </w:pPr>
    <w:rPr>
      <w:rFonts w:ascii="Verdana" w:hAnsi="Verdana" w:eastAsia="仿宋_GB2312"/>
      <w:szCs w:val="20"/>
      <w:lang w:eastAsia="en-US"/>
    </w:rPr>
  </w:style>
  <w:style w:type="paragraph" w:customStyle="1" w:styleId="30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304">
    <w:name w:val="样式5"/>
    <w:basedOn w:val="14"/>
    <w:autoRedefine/>
    <w:qFormat/>
    <w:uiPriority w:val="0"/>
    <w:pPr>
      <w:adjustRightInd/>
      <w:spacing w:line="360" w:lineRule="auto"/>
      <w:ind w:firstLine="200" w:firstLineChars="200"/>
      <w:textAlignment w:val="auto"/>
    </w:pPr>
    <w:rPr>
      <w:rFonts w:ascii="仿宋_GB2312"/>
      <w:b/>
      <w:kern w:val="2"/>
      <w:sz w:val="28"/>
      <w:szCs w:val="21"/>
    </w:rPr>
  </w:style>
  <w:style w:type="paragraph" w:customStyle="1" w:styleId="305">
    <w:name w:val="Char1 Char Char Char Char1"/>
    <w:basedOn w:val="17"/>
    <w:autoRedefine/>
    <w:qFormat/>
    <w:uiPriority w:val="0"/>
    <w:rPr>
      <w:rFonts w:ascii="Tahoma" w:hAnsi="Tahoma" w:cs="Tahoma"/>
      <w:kern w:val="0"/>
      <w:sz w:val="18"/>
    </w:rPr>
  </w:style>
  <w:style w:type="paragraph" w:customStyle="1" w:styleId="306">
    <w:name w:val="四级条标题"/>
    <w:basedOn w:val="254"/>
    <w:next w:val="1"/>
    <w:autoRedefine/>
    <w:qFormat/>
    <w:uiPriority w:val="0"/>
    <w:pPr>
      <w:numPr>
        <w:ilvl w:val="5"/>
      </w:numPr>
      <w:outlineLvl w:val="5"/>
    </w:pPr>
  </w:style>
  <w:style w:type="paragraph" w:customStyle="1" w:styleId="307">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8">
    <w:name w:val="Char Char Char Char Char Char Char Char Char Char Char Char Char1"/>
    <w:basedOn w:val="1"/>
    <w:autoRedefine/>
    <w:qFormat/>
    <w:uiPriority w:val="0"/>
  </w:style>
  <w:style w:type="paragraph" w:customStyle="1" w:styleId="309">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310">
    <w:name w:val="Char Char1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11">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2">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13">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4">
    <w:name w:val="简单回函地址"/>
    <w:basedOn w:val="1"/>
    <w:autoRedefine/>
    <w:qFormat/>
    <w:uiPriority w:val="0"/>
  </w:style>
  <w:style w:type="paragraph" w:customStyle="1" w:styleId="315">
    <w:name w:val="Char Char Char Char1"/>
    <w:basedOn w:val="1"/>
    <w:autoRedefine/>
    <w:qFormat/>
    <w:uiPriority w:val="0"/>
    <w:rPr>
      <w:rFonts w:ascii="Tahoma" w:hAnsi="Tahoma"/>
      <w:sz w:val="24"/>
      <w:szCs w:val="20"/>
    </w:rPr>
  </w:style>
  <w:style w:type="paragraph" w:styleId="316">
    <w:name w:val="List Paragraph"/>
    <w:basedOn w:val="1"/>
    <w:link w:val="399"/>
    <w:autoRedefine/>
    <w:qFormat/>
    <w:uiPriority w:val="0"/>
    <w:pPr>
      <w:ind w:firstLine="420" w:firstLineChars="200"/>
    </w:pPr>
  </w:style>
  <w:style w:type="paragraph" w:customStyle="1" w:styleId="317">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18">
    <w:name w:val="章标题"/>
    <w:next w:val="1"/>
    <w:autoRedefine/>
    <w:qFormat/>
    <w:uiPriority w:val="0"/>
    <w:pPr>
      <w:numPr>
        <w:ilvl w:val="1"/>
        <w:numId w:val="2"/>
      </w:numPr>
      <w:spacing w:beforeLines="50" w:afterLines="50"/>
      <w:jc w:val="both"/>
      <w:outlineLvl w:val="1"/>
    </w:pPr>
    <w:rPr>
      <w:rFonts w:ascii="黑体" w:hAnsi="Calibri" w:eastAsia="黑体" w:cs="Times New Roman"/>
      <w:sz w:val="21"/>
      <w:lang w:val="en-US" w:eastAsia="zh-CN" w:bidi="ar-SA"/>
    </w:rPr>
  </w:style>
  <w:style w:type="paragraph" w:customStyle="1" w:styleId="319">
    <w:name w:val="样式 标题 3h33rd level3Heading 3 - old + 居中 左侧:  9.8 毫米 首行缩进: ...1"/>
    <w:basedOn w:val="5"/>
    <w:autoRedefine/>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1">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22">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23">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24">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325">
    <w:name w:val="内文正文"/>
    <w:basedOn w:val="30"/>
    <w:autoRedefine/>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2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7">
    <w:name w:val="内文"/>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28">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29">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30">
    <w:name w:val="CM106"/>
    <w:basedOn w:val="331"/>
    <w:next w:val="331"/>
    <w:autoRedefine/>
    <w:qFormat/>
    <w:uiPriority w:val="0"/>
    <w:rPr>
      <w:rFonts w:cs="Times New Roman"/>
      <w:color w:val="auto"/>
    </w:rPr>
  </w:style>
  <w:style w:type="paragraph" w:customStyle="1" w:styleId="3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2">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33">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4">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335">
    <w:name w:val="Char Char Char Char Char Char Char Char Char Char Char Char Char Char"/>
    <w:basedOn w:val="1"/>
    <w:autoRedefine/>
    <w:qFormat/>
    <w:uiPriority w:val="0"/>
    <w:pPr>
      <w:widowControl/>
      <w:spacing w:after="160" w:line="240" w:lineRule="exact"/>
      <w:jc w:val="left"/>
    </w:pPr>
    <w:rPr>
      <w:bCs/>
    </w:rPr>
  </w:style>
  <w:style w:type="paragraph" w:customStyle="1" w:styleId="336">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37">
    <w:name w:val="_Style 33"/>
    <w:basedOn w:val="1"/>
    <w:autoRedefine/>
    <w:qFormat/>
    <w:uiPriority w:val="0"/>
  </w:style>
  <w:style w:type="paragraph" w:customStyle="1" w:styleId="338">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40">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2">
    <w:name w:val="样式 四号 首行缩进:  1 厘米"/>
    <w:basedOn w:val="1"/>
    <w:autoRedefine/>
    <w:qFormat/>
    <w:uiPriority w:val="0"/>
    <w:pPr>
      <w:spacing w:line="440" w:lineRule="exact"/>
      <w:ind w:firstLine="567"/>
    </w:pPr>
    <w:rPr>
      <w:rFonts w:cs="宋体"/>
      <w:sz w:val="28"/>
      <w:szCs w:val="20"/>
    </w:rPr>
  </w:style>
  <w:style w:type="paragraph" w:customStyle="1" w:styleId="343">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修订11"/>
    <w:autoRedefine/>
    <w:qFormat/>
    <w:uiPriority w:val="0"/>
    <w:rPr>
      <w:rFonts w:ascii="Calibri" w:hAnsi="Calibri" w:eastAsia="宋体" w:cs="Times New Roman"/>
      <w:kern w:val="2"/>
      <w:sz w:val="21"/>
      <w:szCs w:val="24"/>
      <w:lang w:val="en-US" w:eastAsia="zh-CN" w:bidi="ar-SA"/>
    </w:rPr>
  </w:style>
  <w:style w:type="paragraph" w:customStyle="1" w:styleId="345">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4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8">
    <w:name w:val="纯文本1"/>
    <w:basedOn w:val="1"/>
    <w:autoRedefine/>
    <w:qFormat/>
    <w:uiPriority w:val="0"/>
    <w:pPr>
      <w:adjustRightInd w:val="0"/>
      <w:snapToGrid w:val="0"/>
      <w:spacing w:line="288" w:lineRule="auto"/>
      <w:ind w:firstLine="200" w:firstLineChars="200"/>
    </w:pPr>
    <w:rPr>
      <w:rFonts w:ascii="宋体" w:hAnsi="Courier New"/>
    </w:rPr>
  </w:style>
  <w:style w:type="paragraph" w:customStyle="1" w:styleId="34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50">
    <w:name w:val="Table Heading"/>
    <w:autoRedefine/>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351">
    <w:name w:val="Char3"/>
    <w:basedOn w:val="1"/>
    <w:autoRedefine/>
    <w:qFormat/>
    <w:uiPriority w:val="0"/>
    <w:rPr>
      <w:rFonts w:ascii="Tahoma" w:hAnsi="Tahoma"/>
      <w:sz w:val="24"/>
      <w:szCs w:val="20"/>
    </w:rPr>
  </w:style>
  <w:style w:type="paragraph" w:customStyle="1" w:styleId="352">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5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55">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56">
    <w:name w:val="1Text"/>
    <w:basedOn w:val="1"/>
    <w:autoRedefine/>
    <w:qFormat/>
    <w:uiPriority w:val="0"/>
    <w:pPr>
      <w:spacing w:beforeLines="50" w:afterLines="50" w:line="360" w:lineRule="auto"/>
      <w:ind w:firstLine="480" w:firstLineChars="200"/>
      <w:jc w:val="left"/>
    </w:pPr>
    <w:rPr>
      <w:kern w:val="0"/>
      <w:sz w:val="24"/>
    </w:rPr>
  </w:style>
  <w:style w:type="paragraph" w:customStyle="1" w:styleId="357">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58">
    <w:name w:val="样式 标题 3 + 黑体 小四 非加粗"/>
    <w:basedOn w:val="5"/>
    <w:autoRedefine/>
    <w:qFormat/>
    <w:uiPriority w:val="0"/>
    <w:pPr>
      <w:spacing w:line="413" w:lineRule="auto"/>
    </w:pPr>
    <w:rPr>
      <w:rFonts w:ascii="黑体" w:hAnsi="黑体" w:eastAsia="黑体"/>
      <w:b w:val="0"/>
      <w:bCs w:val="0"/>
      <w:kern w:val="0"/>
      <w:sz w:val="24"/>
    </w:rPr>
  </w:style>
  <w:style w:type="paragraph" w:customStyle="1" w:styleId="359">
    <w:name w:val="Item List in Table"/>
    <w:autoRedefin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60">
    <w:name w:val="默认段落字体 Para Char Char Char Char Char Char Char"/>
    <w:basedOn w:val="1"/>
    <w:autoRedefine/>
    <w:qFormat/>
    <w:uiPriority w:val="0"/>
    <w:pPr>
      <w:adjustRightInd w:val="0"/>
      <w:spacing w:line="360" w:lineRule="auto"/>
    </w:pPr>
    <w:rPr>
      <w:rFonts w:ascii="Tahoma" w:hAnsi="Tahoma"/>
      <w:kern w:val="0"/>
      <w:sz w:val="24"/>
      <w:szCs w:val="20"/>
    </w:rPr>
  </w:style>
  <w:style w:type="paragraph" w:customStyle="1" w:styleId="361">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362">
    <w:name w:val="正文段"/>
    <w:basedOn w:val="1"/>
    <w:autoRedefine/>
    <w:qFormat/>
    <w:uiPriority w:val="0"/>
    <w:pPr>
      <w:widowControl/>
      <w:snapToGrid w:val="0"/>
      <w:spacing w:afterLines="50"/>
      <w:ind w:firstLine="200" w:firstLineChars="200"/>
    </w:pPr>
    <w:rPr>
      <w:kern w:val="0"/>
      <w:sz w:val="24"/>
      <w:szCs w:val="20"/>
    </w:rPr>
  </w:style>
  <w:style w:type="paragraph" w:customStyle="1" w:styleId="363">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4">
    <w:name w:val="1 Char"/>
    <w:basedOn w:val="14"/>
    <w:autoRedefine/>
    <w:qFormat/>
    <w:uiPriority w:val="0"/>
    <w:pPr>
      <w:adjustRightInd/>
      <w:spacing w:line="360" w:lineRule="auto"/>
      <w:ind w:firstLine="200" w:firstLineChars="200"/>
      <w:textAlignment w:val="auto"/>
    </w:pPr>
    <w:rPr>
      <w:rFonts w:ascii="仿宋_GB2312"/>
      <w:b/>
      <w:kern w:val="2"/>
      <w:szCs w:val="32"/>
    </w:rPr>
  </w:style>
  <w:style w:type="paragraph" w:customStyle="1" w:styleId="365">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6">
    <w:name w:val="1"/>
    <w:basedOn w:val="1"/>
    <w:autoRedefine/>
    <w:qFormat/>
    <w:uiPriority w:val="0"/>
  </w:style>
  <w:style w:type="paragraph" w:customStyle="1" w:styleId="367">
    <w:name w:val="Pa5"/>
    <w:basedOn w:val="331"/>
    <w:next w:val="331"/>
    <w:autoRedefine/>
    <w:qFormat/>
    <w:uiPriority w:val="0"/>
    <w:pPr>
      <w:spacing w:after="60" w:line="161" w:lineRule="atLeast"/>
    </w:pPr>
    <w:rPr>
      <w:rFonts w:ascii="Univers LT Std 57 Cn" w:hAnsi="Univers LT Std 57 Cn" w:cs="Times New Roman"/>
      <w:color w:val="auto"/>
    </w:rPr>
  </w:style>
  <w:style w:type="paragraph" w:customStyle="1" w:styleId="36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6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0">
    <w:name w:val="招标文件－标准正文"/>
    <w:basedOn w:val="30"/>
    <w:autoRedefine/>
    <w:qFormat/>
    <w:uiPriority w:val="0"/>
    <w:pPr>
      <w:spacing w:line="360" w:lineRule="auto"/>
    </w:pPr>
    <w:rPr>
      <w:rFonts w:ascii="Times New Roman" w:hAnsi="Times New Roman" w:cs="宋体"/>
      <w:color w:val="000000"/>
      <w:sz w:val="24"/>
    </w:rPr>
  </w:style>
  <w:style w:type="paragraph" w:customStyle="1" w:styleId="37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72">
    <w:name w:val="样式 标题 3 + 黑色 段前: 5 磅 段后: 5 磅 行距: 1.5 倍行距"/>
    <w:basedOn w:val="1"/>
    <w:autoRedefine/>
    <w:qFormat/>
    <w:uiPriority w:val="0"/>
    <w:pPr>
      <w:ind w:left="855" w:hanging="855"/>
    </w:pPr>
    <w:rPr>
      <w:sz w:val="24"/>
      <w:szCs w:val="20"/>
    </w:rPr>
  </w:style>
  <w:style w:type="paragraph" w:customStyle="1" w:styleId="373">
    <w:name w:val="正文字缩2字"/>
    <w:basedOn w:val="1"/>
    <w:autoRedefine/>
    <w:qFormat/>
    <w:uiPriority w:val="0"/>
    <w:pPr>
      <w:spacing w:before="60" w:after="60" w:line="360" w:lineRule="auto"/>
      <w:ind w:left="200" w:leftChars="200" w:firstLine="200" w:firstLineChars="200"/>
    </w:pPr>
    <w:rPr>
      <w:sz w:val="24"/>
    </w:rPr>
  </w:style>
  <w:style w:type="paragraph" w:customStyle="1" w:styleId="37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Char Char Char Char11"/>
    <w:basedOn w:val="1"/>
    <w:autoRedefine/>
    <w:qFormat/>
    <w:uiPriority w:val="0"/>
    <w:rPr>
      <w:szCs w:val="20"/>
    </w:rPr>
  </w:style>
  <w:style w:type="paragraph" w:customStyle="1" w:styleId="37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77">
    <w:name w:val="Char Char Char Char Char Char"/>
    <w:basedOn w:val="1"/>
    <w:autoRedefine/>
    <w:qFormat/>
    <w:uiPriority w:val="0"/>
    <w:rPr>
      <w:rFonts w:ascii="Tahoma" w:hAnsi="Tahoma"/>
      <w:sz w:val="24"/>
      <w:szCs w:val="20"/>
    </w:rPr>
  </w:style>
  <w:style w:type="paragraph" w:customStyle="1" w:styleId="37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9">
    <w:name w:val="列项——（一级）"/>
    <w:autoRedefine/>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38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2">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4">
    <w:name w:val="blockquote"/>
    <w:basedOn w:val="1"/>
    <w:autoRedefine/>
    <w:qFormat/>
    <w:uiPriority w:val="0"/>
    <w:pPr>
      <w:widowControl/>
      <w:spacing w:before="100" w:beforeAutospacing="1" w:after="100" w:afterAutospacing="1"/>
      <w:jc w:val="left"/>
    </w:pPr>
    <w:rPr>
      <w:rFonts w:ascii="宋体" w:hAnsi="宋体"/>
    </w:rPr>
  </w:style>
  <w:style w:type="paragraph" w:customStyle="1" w:styleId="385">
    <w:name w:val="五级条标题"/>
    <w:basedOn w:val="306"/>
    <w:next w:val="1"/>
    <w:autoRedefine/>
    <w:qFormat/>
    <w:uiPriority w:val="0"/>
    <w:pPr>
      <w:numPr>
        <w:ilvl w:val="6"/>
      </w:numPr>
      <w:outlineLvl w:val="6"/>
    </w:pPr>
  </w:style>
  <w:style w:type="paragraph" w:customStyle="1" w:styleId="386">
    <w:name w:val="Char Char3"/>
    <w:basedOn w:val="1"/>
    <w:autoRedefine/>
    <w:qFormat/>
    <w:uiPriority w:val="0"/>
    <w:rPr>
      <w:rFonts w:ascii="仿宋_GB2312" w:eastAsia="仿宋_GB2312"/>
      <w:b/>
      <w:sz w:val="32"/>
      <w:szCs w:val="32"/>
    </w:rPr>
  </w:style>
  <w:style w:type="paragraph" w:customStyle="1" w:styleId="38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8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89">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390">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91">
    <w:name w:val="普通 (Web)"/>
    <w:basedOn w:val="1"/>
    <w:autoRedefine/>
    <w:qFormat/>
    <w:uiPriority w:val="0"/>
    <w:pPr>
      <w:widowControl/>
      <w:spacing w:before="100" w:after="100"/>
      <w:jc w:val="left"/>
    </w:pPr>
    <w:rPr>
      <w:rFonts w:ascii="宋体" w:hAnsi="宋体"/>
      <w:kern w:val="0"/>
      <w:sz w:val="24"/>
    </w:rPr>
  </w:style>
  <w:style w:type="paragraph" w:customStyle="1" w:styleId="392">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93">
    <w:name w:val="正文－恩普"/>
    <w:basedOn w:val="14"/>
    <w:autoRedefine/>
    <w:qFormat/>
    <w:uiPriority w:val="0"/>
    <w:pPr>
      <w:adjustRightInd/>
      <w:spacing w:line="360" w:lineRule="auto"/>
      <w:ind w:firstLine="200" w:firstLineChars="200"/>
      <w:textAlignment w:val="auto"/>
    </w:pPr>
    <w:rPr>
      <w:rFonts w:ascii="仿宋_GB2312"/>
      <w:b/>
      <w:kern w:val="2"/>
      <w:sz w:val="24"/>
      <w:szCs w:val="24"/>
    </w:rPr>
  </w:style>
  <w:style w:type="paragraph" w:customStyle="1" w:styleId="39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6">
    <w:name w:val="Char Char Char Char Char Char Char Char Char1 Char"/>
    <w:basedOn w:val="1"/>
    <w:autoRedefine/>
    <w:qFormat/>
    <w:uiPriority w:val="0"/>
  </w:style>
  <w:style w:type="paragraph" w:customStyle="1" w:styleId="397">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398">
    <w:name w:val="列出段落2"/>
    <w:basedOn w:val="1"/>
    <w:autoRedefine/>
    <w:qFormat/>
    <w:uiPriority w:val="34"/>
    <w:pPr>
      <w:ind w:firstLine="420" w:firstLineChars="200"/>
    </w:pPr>
  </w:style>
  <w:style w:type="character" w:customStyle="1" w:styleId="399">
    <w:name w:val="列出段落 Char"/>
    <w:link w:val="316"/>
    <w:autoRedefine/>
    <w:qFormat/>
    <w:uiPriority w:val="0"/>
    <w:rPr>
      <w:rFonts w:ascii="Calibri" w:hAnsi="Calibri"/>
      <w:kern w:val="2"/>
      <w:sz w:val="21"/>
      <w:szCs w:val="24"/>
    </w:rPr>
  </w:style>
  <w:style w:type="paragraph" w:customStyle="1" w:styleId="400">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401">
    <w:name w:val="怡1"/>
    <w:basedOn w:val="4"/>
    <w:autoRedefine/>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402">
    <w:name w:val="*正文"/>
    <w:basedOn w:val="1"/>
    <w:autoRedefine/>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403">
    <w:name w:val="怡2"/>
    <w:basedOn w:val="2"/>
    <w:next w:val="5"/>
    <w:autoRedefine/>
    <w:qFormat/>
    <w:uiPriority w:val="0"/>
    <w:pPr>
      <w:numPr>
        <w:ilvl w:val="1"/>
        <w:numId w:val="3"/>
      </w:numPr>
      <w:spacing w:before="360" w:after="360" w:line="480" w:lineRule="auto"/>
      <w:jc w:val="left"/>
    </w:pPr>
    <w:rPr>
      <w:rFonts w:ascii="Cambria" w:hAnsi="Cambria" w:eastAsia="宋体"/>
      <w:kern w:val="0"/>
      <w:sz w:val="36"/>
    </w:rPr>
  </w:style>
  <w:style w:type="paragraph" w:customStyle="1" w:styleId="404">
    <w:name w:val="怡3"/>
    <w:basedOn w:val="5"/>
    <w:autoRedefine/>
    <w:qFormat/>
    <w:uiPriority w:val="0"/>
    <w:pPr>
      <w:numPr>
        <w:ilvl w:val="2"/>
        <w:numId w:val="3"/>
      </w:numPr>
      <w:tabs>
        <w:tab w:val="left" w:pos="857"/>
      </w:tabs>
      <w:spacing w:before="240" w:after="240" w:line="480" w:lineRule="auto"/>
      <w:jc w:val="left"/>
    </w:pPr>
    <w:rPr>
      <w:rFonts w:ascii="宋体" w:hAnsi="宋体"/>
    </w:rPr>
  </w:style>
  <w:style w:type="paragraph" w:customStyle="1" w:styleId="405">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6">
    <w:name w:val="纯文本2"/>
    <w:basedOn w:val="405"/>
    <w:autoRedefine/>
    <w:qFormat/>
    <w:uiPriority w:val="0"/>
    <w:pPr>
      <w:adjustRightInd w:val="0"/>
      <w:snapToGrid w:val="0"/>
      <w:spacing w:line="288" w:lineRule="auto"/>
      <w:ind w:firstLine="200" w:firstLineChars="200"/>
    </w:pPr>
    <w:rPr>
      <w:rFonts w:ascii="宋体" w:hAnsi="Courier New"/>
    </w:rPr>
  </w:style>
  <w:style w:type="paragraph" w:customStyle="1" w:styleId="407">
    <w:name w:val="列出段落3"/>
    <w:basedOn w:val="1"/>
    <w:autoRedefine/>
    <w:qFormat/>
    <w:uiPriority w:val="99"/>
    <w:pPr>
      <w:widowControl/>
      <w:ind w:firstLine="420" w:firstLineChars="200"/>
      <w:jc w:val="left"/>
    </w:pPr>
    <w:rPr>
      <w:rFonts w:ascii="宋体" w:hAnsi="宋体" w:cs="宋体"/>
      <w:kern w:val="0"/>
      <w:sz w:val="24"/>
    </w:rPr>
  </w:style>
  <w:style w:type="paragraph" w:customStyle="1" w:styleId="408">
    <w:name w:val="List Paragraph1"/>
    <w:basedOn w:val="1"/>
    <w:autoRedefine/>
    <w:qFormat/>
    <w:uiPriority w:val="34"/>
    <w:pPr>
      <w:ind w:firstLine="420" w:firstLineChars="200"/>
    </w:pPr>
    <w:rPr>
      <w:rFonts w:ascii="等线" w:hAnsi="等线"/>
    </w:rPr>
  </w:style>
  <w:style w:type="character" w:customStyle="1" w:styleId="409">
    <w:name w:val="副标题 Char4"/>
    <w:autoRedefine/>
    <w:qFormat/>
    <w:uiPriority w:val="0"/>
    <w:rPr>
      <w:rFonts w:ascii="Cambria" w:hAnsi="Cambria"/>
      <w:b/>
      <w:bCs/>
      <w:kern w:val="28"/>
      <w:sz w:val="32"/>
      <w:szCs w:val="32"/>
    </w:rPr>
  </w:style>
  <w:style w:type="character" w:customStyle="1" w:styleId="410">
    <w:name w:val="正文首行缩进 Char4"/>
    <w:autoRedefine/>
    <w:qFormat/>
    <w:uiPriority w:val="0"/>
    <w:rPr>
      <w:rFonts w:ascii="仿宋_GB2312"/>
      <w:b/>
      <w:sz w:val="32"/>
      <w:szCs w:val="32"/>
    </w:rPr>
  </w:style>
  <w:style w:type="character" w:customStyle="1" w:styleId="411">
    <w:name w:val="正文文本 Char2"/>
    <w:autoRedefine/>
    <w:qFormat/>
    <w:uiPriority w:val="0"/>
    <w:rPr>
      <w:rFonts w:ascii="Tahoma" w:hAnsi="Tahoma"/>
      <w:kern w:val="2"/>
      <w:sz w:val="21"/>
      <w:szCs w:val="24"/>
    </w:rPr>
  </w:style>
  <w:style w:type="character" w:customStyle="1" w:styleId="412">
    <w:name w:val="普通(网站) Char"/>
    <w:link w:val="49"/>
    <w:autoRedefine/>
    <w:qFormat/>
    <w:uiPriority w:val="99"/>
    <w:rPr>
      <w:rFonts w:ascii="宋体" w:hAnsi="宋体"/>
      <w:color w:val="000000"/>
      <w:sz w:val="24"/>
      <w:szCs w:val="24"/>
    </w:rPr>
  </w:style>
  <w:style w:type="paragraph" w:customStyle="1" w:styleId="413">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414">
    <w:name w:val="纯文本 Char3"/>
    <w:autoRedefine/>
    <w:qFormat/>
    <w:uiPriority w:val="0"/>
    <w:rPr>
      <w:rFonts w:ascii="宋体" w:hAnsi="Courier New" w:eastAsia="宋体"/>
      <w:kern w:val="2"/>
      <w:sz w:val="21"/>
      <w:lang w:val="en-US" w:eastAsia="zh-CN" w:bidi="ar-SA"/>
    </w:rPr>
  </w:style>
  <w:style w:type="character" w:customStyle="1" w:styleId="415">
    <w:name w:val="标题 1 Char2"/>
    <w:autoRedefine/>
    <w:qFormat/>
    <w:uiPriority w:val="0"/>
    <w:rPr>
      <w:rFonts w:ascii="楷体_GB2312" w:hAnsi="Tahoma" w:eastAsia="楷体_GB2312"/>
      <w:b/>
      <w:bCs/>
      <w:kern w:val="2"/>
      <w:sz w:val="21"/>
      <w:szCs w:val="24"/>
    </w:rPr>
  </w:style>
  <w:style w:type="paragraph" w:customStyle="1" w:styleId="416">
    <w:name w:val="正文 A"/>
    <w:autoRedefine/>
    <w:qFormat/>
    <w:uiPriority w:val="0"/>
    <w:pPr>
      <w:widowControl w:val="0"/>
      <w:jc w:val="both"/>
    </w:pPr>
    <w:rPr>
      <w:rFonts w:hint="eastAsia" w:ascii="Arial Unicode MS" w:hAnsi="Arial Unicode MS" w:cs="Arial Unicode MS" w:eastAsiaTheme="minorEastAsia"/>
      <w:color w:val="000000"/>
      <w:sz w:val="21"/>
      <w:szCs w:val="21"/>
      <w:u w:color="000000"/>
      <w:lang w:val="en-US" w:eastAsia="zh-CN" w:bidi="ar-SA"/>
    </w:rPr>
  </w:style>
  <w:style w:type="table" w:customStyle="1" w:styleId="417">
    <w:name w:val="Table Normal"/>
    <w:autoRedefine/>
    <w:qFormat/>
    <w:uiPriority w:val="0"/>
    <w:tblPr>
      <w:tblCellMar>
        <w:top w:w="0" w:type="dxa"/>
        <w:left w:w="0" w:type="dxa"/>
        <w:bottom w:w="0" w:type="dxa"/>
        <w:right w:w="0" w:type="dxa"/>
      </w:tblCellMar>
    </w:tblPr>
  </w:style>
  <w:style w:type="character" w:customStyle="1" w:styleId="418">
    <w:name w:val="无"/>
    <w:autoRedefine/>
    <w:qFormat/>
    <w:uiPriority w:val="0"/>
  </w:style>
  <w:style w:type="paragraph" w:customStyle="1" w:styleId="419">
    <w:name w:val="Plain Text"/>
    <w:basedOn w:val="1"/>
    <w:autoRedefine/>
    <w:qFormat/>
    <w:uiPriority w:val="0"/>
    <w:pPr>
      <w:adjustRightInd w:val="0"/>
      <w:snapToGrid w:val="0"/>
      <w:spacing w:line="288" w:lineRule="auto"/>
      <w:ind w:firstLine="200" w:firstLineChars="200"/>
    </w:pPr>
    <w:rPr>
      <w:rFonts w:ascii="宋体" w:hAnsi="Courier New"/>
    </w:rPr>
  </w:style>
  <w:style w:type="paragraph" w:customStyle="1" w:styleId="420">
    <w:name w:val="表内文字"/>
    <w:basedOn w:val="1"/>
    <w:autoRedefine/>
    <w:qFormat/>
    <w:uiPriority w:val="0"/>
    <w:pPr>
      <w:spacing w:line="500" w:lineRule="atLeast"/>
      <w:jc w:val="center"/>
    </w:pPr>
    <w:rPr>
      <w:rFonts w:ascii="Arial" w:hAnsi="Arial" w:eastAsia="楷体_GB2312"/>
      <w:sz w:val="28"/>
    </w:rPr>
  </w:style>
  <w:style w:type="paragraph" w:customStyle="1" w:styleId="421">
    <w:name w:val="xl55"/>
    <w:basedOn w:val="1"/>
    <w:autoRedefine/>
    <w:qFormat/>
    <w:uiPriority w:val="0"/>
    <w:pPr>
      <w:widowControl/>
      <w:spacing w:before="100" w:beforeAutospacing="1" w:after="100" w:afterAutospacing="1"/>
      <w:jc w:val="center"/>
      <w:textAlignment w:val="center"/>
    </w:pPr>
    <w:rPr>
      <w:rFonts w:ascii="Arial Unicode MS" w:hAnsi="Arial Unicode MS" w:eastAsia="宋体"/>
      <w:color w:val="auto"/>
      <w:sz w:val="24"/>
      <w:szCs w:val="24"/>
    </w:rPr>
  </w:style>
  <w:style w:type="paragraph" w:customStyle="1" w:styleId="422">
    <w:name w:val="_Style 1"/>
    <w:basedOn w:val="1"/>
    <w:autoRedefine/>
    <w:qFormat/>
    <w:uiPriority w:val="34"/>
    <w:pPr>
      <w:ind w:firstLine="420" w:firstLineChars="200"/>
    </w:pPr>
    <w:rPr>
      <w:rFonts w:ascii="Calibri" w:hAnsi="Calibri" w:eastAsia="宋体"/>
      <w:color w:val="auto"/>
      <w:kern w:val="2"/>
      <w:szCs w:val="22"/>
    </w:rPr>
  </w:style>
  <w:style w:type="character" w:customStyle="1" w:styleId="423">
    <w:name w:val="NormalCharacter"/>
    <w:autoRedefine/>
    <w:qFormat/>
    <w:uiPriority w:val="0"/>
  </w:style>
  <w:style w:type="paragraph" w:customStyle="1" w:styleId="424">
    <w:name w:val="正文空2字"/>
    <w:basedOn w:val="4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2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418</Words>
  <Characters>449</Characters>
  <Lines>342</Lines>
  <Paragraphs>96</Paragraphs>
  <TotalTime>5</TotalTime>
  <ScaleCrop>false</ScaleCrop>
  <LinksUpToDate>false</LinksUpToDate>
  <CharactersWithSpaces>534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2021-02-10T05:47:00Z</dcterms:created>
  <dc:creator>can</dc:creator>
  <cp:lastModifiedBy>1</cp:lastModifiedBy>
  <cp:lastPrinted>2023-04-04T06:05:00Z</cp:lastPrinted>
  <dcterms:modified xsi:type="dcterms:W3CDTF">2025-01-10T00:59:22Z</dcterms:modified>
  <dc:title>温州市政府集中采购</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C347091E71514A46A4A87C9677E268BD_13</vt:lpwstr>
  </property>
  <property fmtid="{D5CDD505-2E9C-101B-9397-08002B2CF9AE}" pid="4" name="KSOTemplateDocerSaveRecord">
    <vt:lpwstr>eyJoZGlkIjoiYmRjZGE3N2RmNWU2NWI2M2E4YTk4YWQ5NjY3MDNhZTEiLCJ1c2VySWQiOiIxMzkwNjk0NTQ3In0=</vt:lpwstr>
  </property>
</Properties>
</file>