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9827" w:type="dxa"/>
            <w:noWrap w:val="0"/>
            <w:vAlign w:val="top"/>
          </w:tcPr>
          <w:p>
            <w:pPr>
              <w:spacing w:line="460" w:lineRule="atLeast"/>
              <w:jc w:val="center"/>
              <w:rPr>
                <w:rFonts w:hint="default" w:ascii="宋体" w:hAnsi="宋体" w:eastAsia="宋体"/>
                <w:b/>
                <w:color w:val="auto"/>
                <w:sz w:val="36"/>
                <w:highlight w:val="none"/>
                <w:lang w:val="en-US" w:eastAsia="zh-CN"/>
              </w:rPr>
            </w:pPr>
            <w:r>
              <w:rPr>
                <w:rFonts w:hint="eastAsia" w:ascii="宋体" w:hAnsi="宋体"/>
                <w:b/>
                <w:color w:val="auto"/>
                <w:sz w:val="36"/>
                <w:highlight w:val="none"/>
                <w:lang w:val="en-US" w:eastAsia="zh-CN"/>
              </w:rPr>
              <w:t xml:space="preserve">                                                                                                                                                                                                                                                                                                                                                                                                                                                                                                                                                                                                                                                                                                                                                                                                                                                                                                                                                                                                                                                              </w:t>
            </w:r>
          </w:p>
          <w:p>
            <w:pPr>
              <w:spacing w:line="460" w:lineRule="atLeast"/>
              <w:jc w:val="center"/>
              <w:rPr>
                <w:rFonts w:hint="eastAsia" w:ascii="宋体" w:hAnsi="宋体"/>
                <w:b/>
                <w:color w:val="auto"/>
                <w:sz w:val="72"/>
                <w:highlight w:val="none"/>
              </w:rPr>
            </w:pPr>
            <w:r>
              <w:rPr>
                <w:rFonts w:hint="eastAsia" w:ascii="宋体" w:hAnsi="宋体"/>
                <w:b/>
                <w:color w:val="auto"/>
                <w:sz w:val="72"/>
                <w:highlight w:val="none"/>
              </w:rPr>
              <w:t>平阳县政府采购</w:t>
            </w:r>
          </w:p>
          <w:p>
            <w:pPr>
              <w:spacing w:line="460" w:lineRule="atLeast"/>
              <w:jc w:val="center"/>
              <w:rPr>
                <w:rFonts w:hint="eastAsia" w:ascii="宋体" w:hAnsi="宋体"/>
                <w:color w:val="auto"/>
                <w:sz w:val="72"/>
                <w:highlight w:val="none"/>
              </w:rPr>
            </w:pPr>
            <w:r>
              <w:rPr>
                <w:rFonts w:hint="eastAsia" w:ascii="宋体" w:hAnsi="宋体"/>
                <w:b/>
                <w:color w:val="auto"/>
                <w:sz w:val="72"/>
                <w:highlight w:val="none"/>
                <w:lang w:val="en-US" w:eastAsia="zh-CN"/>
              </w:rPr>
              <w:t>竞争性磋商采购</w:t>
            </w:r>
            <w:r>
              <w:rPr>
                <w:rFonts w:hint="eastAsia" w:ascii="宋体" w:hAnsi="宋体"/>
                <w:b/>
                <w:color w:val="auto"/>
                <w:sz w:val="72"/>
                <w:highlight w:val="none"/>
              </w:rPr>
              <w:t>文件</w:t>
            </w:r>
          </w:p>
          <w:p>
            <w:pPr>
              <w:spacing w:line="440" w:lineRule="exact"/>
              <w:ind w:left="1148"/>
              <w:jc w:val="center"/>
              <w:rPr>
                <w:rFonts w:hint="eastAsia"/>
                <w:bCs/>
                <w:color w:val="auto"/>
                <w:sz w:val="28"/>
                <w:highlight w:val="none"/>
              </w:rPr>
            </w:pPr>
            <w:r>
              <w:rPr>
                <w:rFonts w:hint="eastAsia"/>
                <w:b/>
                <w:color w:val="auto"/>
                <w:sz w:val="30"/>
                <w:highlight w:val="none"/>
              </w:rPr>
              <w:t>（线上电子招投标）</w:t>
            </w:r>
          </w:p>
          <w:p>
            <w:pPr>
              <w:spacing w:line="460" w:lineRule="atLeast"/>
              <w:jc w:val="center"/>
              <w:rPr>
                <w:rFonts w:hint="eastAsia" w:ascii="宋体" w:hAnsi="宋体"/>
                <w:b/>
                <w:bCs/>
                <w:color w:val="auto"/>
                <w:sz w:val="28"/>
                <w:highlight w:val="none"/>
              </w:rPr>
            </w:pPr>
          </w:p>
          <w:p>
            <w:pPr>
              <w:spacing w:line="460" w:lineRule="atLeast"/>
              <w:jc w:val="center"/>
              <w:rPr>
                <w:rFonts w:hint="eastAsia" w:ascii="宋体" w:hAnsi="宋体"/>
                <w:b/>
                <w:bCs/>
                <w:color w:val="auto"/>
                <w:sz w:val="28"/>
                <w:highlight w:val="none"/>
              </w:rPr>
            </w:pPr>
          </w:p>
          <w:p>
            <w:pPr>
              <w:widowControl/>
              <w:snapToGrid w:val="0"/>
              <w:spacing w:line="360" w:lineRule="auto"/>
              <w:ind w:left="3593" w:leftChars="994" w:hanging="1506" w:hangingChars="500"/>
              <w:jc w:val="both"/>
              <w:rPr>
                <w:rFonts w:hint="eastAsia"/>
                <w:b/>
                <w:color w:val="auto"/>
                <w:sz w:val="30"/>
                <w:highlight w:val="none"/>
                <w:lang w:eastAsia="zh-CN"/>
              </w:rPr>
            </w:pPr>
            <w:r>
              <w:rPr>
                <w:rFonts w:hint="eastAsia"/>
                <w:b/>
                <w:color w:val="auto"/>
                <w:sz w:val="30"/>
                <w:highlight w:val="none"/>
              </w:rPr>
              <w:t>项目名称：</w:t>
            </w:r>
            <w:r>
              <w:rPr>
                <w:rFonts w:hint="eastAsia"/>
                <w:b/>
                <w:color w:val="auto"/>
                <w:sz w:val="30"/>
                <w:highlight w:val="none"/>
                <w:lang w:val="en-US" w:eastAsia="zh-CN"/>
              </w:rPr>
              <w:t>2024 年平阳县水头镇高标准农田改造提升示范项目（绿色农田建设项目）-土壤改良培肥</w:t>
            </w:r>
          </w:p>
          <w:p>
            <w:pPr>
              <w:widowControl/>
              <w:snapToGrid w:val="0"/>
              <w:spacing w:line="360" w:lineRule="auto"/>
              <w:ind w:left="1260" w:firstLine="904"/>
              <w:jc w:val="left"/>
              <w:rPr>
                <w:rFonts w:hint="eastAsia" w:eastAsia="宋体"/>
                <w:b/>
                <w:color w:val="auto"/>
                <w:sz w:val="30"/>
                <w:highlight w:val="none"/>
                <w:lang w:eastAsia="zh-CN"/>
              </w:rPr>
            </w:pPr>
            <w:r>
              <w:rPr>
                <w:rFonts w:hint="eastAsia"/>
                <w:b/>
                <w:color w:val="auto"/>
                <w:sz w:val="30"/>
                <w:highlight w:val="none"/>
                <w:lang w:eastAsia="zh-CN"/>
              </w:rPr>
              <w:t>项目编号</w:t>
            </w:r>
            <w:r>
              <w:rPr>
                <w:rFonts w:hint="eastAsia"/>
                <w:b/>
                <w:color w:val="auto"/>
                <w:sz w:val="30"/>
                <w:highlight w:val="none"/>
              </w:rPr>
              <w:t>：</w:t>
            </w:r>
            <w:r>
              <w:rPr>
                <w:rFonts w:hint="eastAsia"/>
                <w:b/>
                <w:color w:val="auto"/>
                <w:sz w:val="30"/>
                <w:highlight w:val="none"/>
                <w:lang w:eastAsia="zh-CN"/>
              </w:rPr>
              <w:t xml:space="preserve">WZZDPYCG-2024061401  </w:t>
            </w:r>
            <w:r>
              <w:rPr>
                <w:rFonts w:hint="eastAsia"/>
                <w:b/>
                <w:color w:val="auto"/>
                <w:sz w:val="30"/>
                <w:highlight w:val="none"/>
                <w:lang w:val="en-US" w:eastAsia="zh-CN"/>
              </w:rPr>
              <w:t xml:space="preserve"> </w:t>
            </w:r>
          </w:p>
          <w:p>
            <w:pPr>
              <w:pStyle w:val="20"/>
              <w:ind w:firstLine="240"/>
              <w:rPr>
                <w:rFonts w:hint="eastAsia" w:ascii="Arial" w:hAnsi="Arial"/>
                <w:color w:val="auto"/>
                <w:sz w:val="24"/>
                <w:highlight w:val="none"/>
                <w:lang w:val="en-US" w:eastAsia="zh-CN"/>
              </w:rPr>
            </w:pPr>
          </w:p>
          <w:p>
            <w:pPr>
              <w:pStyle w:val="20"/>
              <w:ind w:firstLine="240"/>
              <w:rPr>
                <w:rFonts w:hint="eastAsia" w:ascii="Arial" w:hAnsi="Arial"/>
                <w:color w:val="auto"/>
                <w:sz w:val="24"/>
                <w:highlight w:val="none"/>
                <w:lang w:val="en-US" w:eastAsia="zh-CN"/>
              </w:rPr>
            </w:pPr>
          </w:p>
          <w:p>
            <w:pPr>
              <w:keepNext w:val="0"/>
              <w:keepLines w:val="0"/>
              <w:pageBreakBefore w:val="0"/>
              <w:kinsoku/>
              <w:wordWrap/>
              <w:overflowPunct/>
              <w:topLinePunct w:val="0"/>
              <w:autoSpaceDE/>
              <w:autoSpaceDN/>
              <w:bidi w:val="0"/>
              <w:adjustRightInd/>
              <w:spacing w:line="360" w:lineRule="auto"/>
              <w:ind w:left="1260" w:leftChars="600" w:firstLine="904" w:firstLineChars="300"/>
              <w:textAlignment w:val="auto"/>
              <w:rPr>
                <w:rFonts w:hint="eastAsia" w:ascii="宋体" w:hAnsi="宋体" w:eastAsia="宋体"/>
                <w:b/>
                <w:bCs w:val="0"/>
                <w:color w:val="auto"/>
                <w:sz w:val="30"/>
                <w:szCs w:val="30"/>
                <w:highlight w:val="none"/>
                <w:lang w:eastAsia="zh-CN"/>
              </w:rPr>
            </w:pPr>
            <w:r>
              <w:rPr>
                <w:rFonts w:hint="eastAsia" w:ascii="宋体" w:hAnsi="宋体"/>
                <w:b/>
                <w:color w:val="auto"/>
                <w:sz w:val="30"/>
                <w:szCs w:val="30"/>
                <w:highlight w:val="none"/>
              </w:rPr>
              <w:t>采购</w:t>
            </w:r>
            <w:r>
              <w:rPr>
                <w:rFonts w:hint="eastAsia" w:ascii="宋体" w:hAnsi="宋体"/>
                <w:b/>
                <w:bCs w:val="0"/>
                <w:color w:val="auto"/>
                <w:sz w:val="30"/>
                <w:szCs w:val="30"/>
                <w:highlight w:val="none"/>
              </w:rPr>
              <w:t>单位：</w:t>
            </w:r>
            <w:r>
              <w:rPr>
                <w:rFonts w:hint="eastAsia"/>
                <w:b/>
                <w:bCs w:val="0"/>
                <w:color w:val="auto"/>
                <w:sz w:val="30"/>
                <w:highlight w:val="none"/>
                <w:lang w:eastAsia="zh-CN"/>
              </w:rPr>
              <w:t>平阳县水头镇人民政府</w:t>
            </w:r>
          </w:p>
          <w:p>
            <w:pPr>
              <w:keepNext w:val="0"/>
              <w:keepLines w:val="0"/>
              <w:pageBreakBefore w:val="0"/>
              <w:kinsoku/>
              <w:wordWrap/>
              <w:overflowPunct/>
              <w:topLinePunct w:val="0"/>
              <w:autoSpaceDE/>
              <w:autoSpaceDN/>
              <w:bidi w:val="0"/>
              <w:adjustRightInd/>
              <w:spacing w:line="360" w:lineRule="auto"/>
              <w:ind w:left="1260" w:leftChars="600" w:firstLine="964" w:firstLineChars="300"/>
              <w:textAlignment w:val="auto"/>
              <w:rPr>
                <w:rFonts w:hint="default" w:ascii="宋体" w:hAnsi="宋体" w:eastAsia="宋体" w:cs="宋体"/>
                <w:b/>
                <w:bCs w:val="0"/>
                <w:color w:val="auto"/>
                <w:sz w:val="32"/>
                <w:szCs w:val="32"/>
                <w:highlight w:val="none"/>
                <w:lang w:val="en-US" w:eastAsia="zh-CN"/>
              </w:rPr>
            </w:pPr>
            <w:r>
              <w:rPr>
                <w:rFonts w:hint="eastAsia" w:ascii="宋体" w:hAnsi="宋体"/>
                <w:b/>
                <w:bCs w:val="0"/>
                <w:color w:val="auto"/>
                <w:sz w:val="32"/>
                <w:szCs w:val="32"/>
                <w:highlight w:val="none"/>
              </w:rPr>
              <w:t>联 系 人：</w:t>
            </w:r>
            <w:r>
              <w:rPr>
                <w:rFonts w:hint="eastAsia" w:ascii="宋体" w:hAnsi="宋体"/>
                <w:b/>
                <w:bCs w:val="0"/>
                <w:color w:val="auto"/>
                <w:sz w:val="32"/>
                <w:szCs w:val="32"/>
                <w:highlight w:val="none"/>
                <w:lang w:val="en-US" w:eastAsia="zh-CN"/>
              </w:rPr>
              <w:t>范先生</w:t>
            </w:r>
            <w:r>
              <w:rPr>
                <w:rFonts w:hint="eastAsia" w:ascii="宋体" w:hAnsi="宋体" w:cs="宋体"/>
                <w:b/>
                <w:bCs w:val="0"/>
                <w:color w:val="auto"/>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1260" w:firstLine="904"/>
              <w:jc w:val="left"/>
              <w:textAlignment w:val="auto"/>
              <w:rPr>
                <w:rFonts w:hint="default"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联系电话：</w:t>
            </w:r>
            <w:r>
              <w:rPr>
                <w:rFonts w:hint="eastAsia" w:ascii="宋体" w:hAnsi="宋体" w:cs="宋体"/>
                <w:b/>
                <w:bCs w:val="0"/>
                <w:color w:val="auto"/>
                <w:sz w:val="32"/>
                <w:szCs w:val="32"/>
                <w:highlight w:val="none"/>
                <w:lang w:eastAsia="zh-CN"/>
              </w:rPr>
              <w:t>0577-63851104</w:t>
            </w:r>
          </w:p>
          <w:p>
            <w:pPr>
              <w:widowControl/>
              <w:snapToGrid w:val="0"/>
              <w:spacing w:line="360" w:lineRule="auto"/>
              <w:ind w:left="1260" w:firstLine="904"/>
              <w:jc w:val="left"/>
              <w:rPr>
                <w:rFonts w:hint="eastAsia" w:eastAsia="宋体"/>
                <w:b/>
                <w:color w:val="auto"/>
                <w:sz w:val="30"/>
                <w:highlight w:val="none"/>
                <w:lang w:eastAsia="zh-CN"/>
              </w:rPr>
            </w:pPr>
          </w:p>
          <w:p>
            <w:pPr>
              <w:pStyle w:val="21"/>
              <w:rPr>
                <w:color w:val="auto"/>
                <w:highlight w:val="none"/>
              </w:rPr>
            </w:pPr>
          </w:p>
          <w:p>
            <w:pPr>
              <w:rPr>
                <w:color w:val="auto"/>
                <w:highlight w:val="none"/>
              </w:rPr>
            </w:pPr>
          </w:p>
          <w:p>
            <w:pPr>
              <w:widowControl/>
              <w:snapToGrid w:val="0"/>
              <w:spacing w:line="360" w:lineRule="auto"/>
              <w:ind w:firstLine="2117"/>
              <w:jc w:val="left"/>
              <w:rPr>
                <w:rFonts w:hint="eastAsia" w:ascii="宋体" w:hAnsi="宋体" w:cs="宋体"/>
                <w:b/>
                <w:color w:val="auto"/>
                <w:sz w:val="30"/>
                <w:highlight w:val="none"/>
              </w:rPr>
            </w:pPr>
            <w:r>
              <w:rPr>
                <w:rFonts w:hint="eastAsia" w:ascii="宋体" w:hAnsi="宋体" w:cs="宋体"/>
                <w:b/>
                <w:color w:val="auto"/>
                <w:sz w:val="30"/>
                <w:highlight w:val="none"/>
              </w:rPr>
              <w:t>代理机构：温州正大工程项目管理有限公司</w:t>
            </w:r>
          </w:p>
          <w:p>
            <w:pPr>
              <w:widowControl/>
              <w:snapToGrid w:val="0"/>
              <w:spacing w:line="360" w:lineRule="auto"/>
              <w:ind w:firstLine="2117"/>
              <w:jc w:val="left"/>
              <w:rPr>
                <w:rFonts w:hint="eastAsia" w:ascii="宋体" w:hAnsi="宋体" w:eastAsia="宋体" w:cs="宋体"/>
                <w:b/>
                <w:color w:val="auto"/>
                <w:sz w:val="30"/>
                <w:highlight w:val="none"/>
                <w:lang w:eastAsia="zh-CN"/>
              </w:rPr>
            </w:pPr>
            <w:r>
              <w:rPr>
                <w:rFonts w:hint="eastAsia" w:ascii="宋体" w:hAnsi="宋体" w:cs="宋体"/>
                <w:b/>
                <w:color w:val="auto"/>
                <w:sz w:val="30"/>
                <w:highlight w:val="none"/>
              </w:rPr>
              <w:t>联 系 人：</w:t>
            </w:r>
            <w:r>
              <w:rPr>
                <w:rFonts w:hint="eastAsia" w:ascii="宋体" w:hAnsi="宋体" w:cs="宋体"/>
                <w:b/>
                <w:color w:val="auto"/>
                <w:sz w:val="30"/>
                <w:highlight w:val="none"/>
                <w:lang w:eastAsia="zh-CN"/>
              </w:rPr>
              <w:t>林女士</w:t>
            </w:r>
          </w:p>
          <w:p>
            <w:pPr>
              <w:widowControl/>
              <w:snapToGrid w:val="0"/>
              <w:spacing w:line="360" w:lineRule="auto"/>
              <w:ind w:firstLine="2117"/>
              <w:jc w:val="left"/>
              <w:rPr>
                <w:rFonts w:hint="eastAsia" w:ascii="宋体" w:hAnsi="宋体" w:cs="宋体"/>
                <w:b/>
                <w:color w:val="auto"/>
                <w:sz w:val="30"/>
                <w:highlight w:val="none"/>
              </w:rPr>
            </w:pPr>
            <w:r>
              <w:rPr>
                <w:rFonts w:hint="eastAsia" w:ascii="宋体" w:hAnsi="宋体" w:cs="宋体"/>
                <w:b/>
                <w:color w:val="auto"/>
                <w:sz w:val="30"/>
                <w:highlight w:val="none"/>
              </w:rPr>
              <w:t>联系电话：0577-55001949</w:t>
            </w:r>
          </w:p>
          <w:p>
            <w:pPr>
              <w:pStyle w:val="24"/>
              <w:ind w:left="0" w:leftChars="0"/>
              <w:jc w:val="center"/>
              <w:rPr>
                <w:rFonts w:hint="eastAsia" w:ascii="宋体" w:hAnsi="宋体"/>
                <w:b/>
                <w:color w:val="auto"/>
                <w:sz w:val="30"/>
                <w:szCs w:val="30"/>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460" w:lineRule="atLeast"/>
              <w:jc w:val="center"/>
              <w:rPr>
                <w:rFonts w:hint="eastAsia" w:ascii="宋体" w:hAnsi="宋体"/>
                <w:b/>
                <w:color w:val="auto"/>
                <w:sz w:val="84"/>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六</w:t>
            </w:r>
            <w:r>
              <w:rPr>
                <w:rFonts w:hint="eastAsia" w:ascii="宋体" w:hAnsi="宋体"/>
                <w:b/>
                <w:color w:val="auto"/>
                <w:sz w:val="30"/>
                <w:szCs w:val="30"/>
                <w:highlight w:val="none"/>
              </w:rPr>
              <w:t>月</w:t>
            </w:r>
          </w:p>
        </w:tc>
      </w:tr>
    </w:tbl>
    <w:p>
      <w:pPr>
        <w:snapToGrid w:val="0"/>
        <w:spacing w:line="460" w:lineRule="exact"/>
        <w:jc w:val="center"/>
        <w:rPr>
          <w:rFonts w:hint="eastAsia" w:ascii="宋体" w:hAnsi="宋体" w:cs="宋体"/>
          <w:b/>
          <w:bCs/>
          <w:color w:val="auto"/>
          <w:kern w:val="0"/>
          <w:sz w:val="28"/>
          <w:szCs w:val="28"/>
          <w:highlight w:val="none"/>
        </w:rPr>
        <w:sectPr>
          <w:pgSz w:w="11907" w:h="16840"/>
          <w:pgMar w:top="1440" w:right="1117" w:bottom="1440" w:left="1157" w:header="720" w:footer="720" w:gutter="0"/>
          <w:cols w:space="720" w:num="1"/>
          <w:titlePg/>
          <w:docGrid w:linePitch="286" w:charSpace="0"/>
        </w:sectPr>
      </w:pPr>
    </w:p>
    <w:p>
      <w:pPr>
        <w:snapToGrid w:val="0"/>
        <w:spacing w:line="460" w:lineRule="exact"/>
        <w:jc w:val="center"/>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val="en-US" w:eastAsia="zh-CN"/>
        </w:rPr>
        <w:t>温州正大工程项目管理有限公司</w:t>
      </w:r>
      <w:r>
        <w:rPr>
          <w:rFonts w:hint="eastAsia" w:ascii="宋体" w:hAnsi="宋体" w:cs="宋体"/>
          <w:b/>
          <w:bCs/>
          <w:color w:val="auto"/>
          <w:kern w:val="0"/>
          <w:sz w:val="28"/>
          <w:szCs w:val="28"/>
          <w:highlight w:val="none"/>
        </w:rPr>
        <w:t>关于</w:t>
      </w:r>
      <w:r>
        <w:rPr>
          <w:rFonts w:hint="eastAsia" w:ascii="宋体" w:hAnsi="宋体" w:cs="宋体"/>
          <w:b/>
          <w:bCs/>
          <w:color w:val="auto"/>
          <w:kern w:val="0"/>
          <w:sz w:val="28"/>
          <w:szCs w:val="28"/>
          <w:highlight w:val="none"/>
          <w:lang w:val="en-US" w:eastAsia="zh-CN"/>
        </w:rPr>
        <w:t>2024 年平阳县水头镇高标准农田改造提升示范项目（绿色农田建设项目）-土壤改良培肥竞争性磋商采购</w:t>
      </w:r>
      <w:r>
        <w:rPr>
          <w:rFonts w:hint="eastAsia" w:ascii="宋体" w:hAnsi="宋体" w:eastAsia="宋体" w:cs="宋体"/>
          <w:b/>
          <w:bCs/>
          <w:color w:val="auto"/>
          <w:kern w:val="0"/>
          <w:sz w:val="28"/>
          <w:szCs w:val="28"/>
          <w:highlight w:val="none"/>
          <w:lang w:eastAsia="zh-CN"/>
        </w:rPr>
        <w:t>公告</w:t>
      </w:r>
    </w:p>
    <w:p>
      <w:pPr>
        <w:widowControl/>
        <w:snapToGrid w:val="0"/>
        <w:spacing w:line="460" w:lineRule="exact"/>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公告日期：</w:t>
      </w:r>
      <w:r>
        <w:rPr>
          <w:rFonts w:ascii="宋体" w:hAnsi="宋体" w:cs="宋体"/>
          <w:b/>
          <w:bCs/>
          <w:color w:val="auto"/>
          <w:kern w:val="0"/>
          <w:sz w:val="28"/>
          <w:szCs w:val="28"/>
          <w:highlight w:val="none"/>
        </w:rPr>
        <w:t>20</w:t>
      </w:r>
      <w:r>
        <w:rPr>
          <w:rFonts w:hint="eastAsia" w:ascii="宋体" w:hAnsi="宋体" w:cs="宋体"/>
          <w:b/>
          <w:bCs/>
          <w:color w:val="auto"/>
          <w:kern w:val="0"/>
          <w:sz w:val="28"/>
          <w:szCs w:val="28"/>
          <w:highlight w:val="none"/>
          <w:lang w:val="en-US" w:eastAsia="zh-CN"/>
        </w:rPr>
        <w:t>24</w:t>
      </w:r>
      <w:r>
        <w:rPr>
          <w:rFonts w:ascii="宋体" w:hAnsi="宋体" w:cs="宋体"/>
          <w:b/>
          <w:bCs/>
          <w:color w:val="auto"/>
          <w:kern w:val="0"/>
          <w:sz w:val="28"/>
          <w:szCs w:val="28"/>
          <w:highlight w:val="none"/>
        </w:rPr>
        <w:t>年</w:t>
      </w:r>
      <w:r>
        <w:rPr>
          <w:rFonts w:hint="eastAsia" w:ascii="宋体" w:hAnsi="宋体" w:cs="宋体"/>
          <w:b/>
          <w:bCs/>
          <w:color w:val="auto"/>
          <w:kern w:val="0"/>
          <w:sz w:val="28"/>
          <w:szCs w:val="28"/>
          <w:highlight w:val="none"/>
          <w:lang w:val="en-US" w:eastAsia="zh-CN"/>
        </w:rPr>
        <w:t>06</w:t>
      </w:r>
      <w:r>
        <w:rPr>
          <w:rFonts w:hint="eastAsia" w:ascii="宋体" w:hAnsi="宋体" w:cs="宋体"/>
          <w:b/>
          <w:bCs/>
          <w:color w:val="auto"/>
          <w:kern w:val="0"/>
          <w:sz w:val="28"/>
          <w:szCs w:val="28"/>
          <w:highlight w:val="none"/>
        </w:rPr>
        <w:t>月</w:t>
      </w:r>
      <w:r>
        <w:rPr>
          <w:rFonts w:hint="eastAsia" w:ascii="宋体" w:hAnsi="宋体" w:cs="宋体"/>
          <w:b/>
          <w:bCs/>
          <w:color w:val="auto"/>
          <w:kern w:val="0"/>
          <w:sz w:val="28"/>
          <w:szCs w:val="28"/>
          <w:highlight w:val="none"/>
          <w:lang w:val="en-US" w:eastAsia="zh-CN"/>
        </w:rPr>
        <w:t>14</w:t>
      </w:r>
      <w:r>
        <w:rPr>
          <w:rFonts w:hint="eastAsia" w:ascii="宋体" w:hAnsi="宋体" w:cs="宋体"/>
          <w:b/>
          <w:bCs/>
          <w:color w:val="auto"/>
          <w:kern w:val="0"/>
          <w:sz w:val="28"/>
          <w:szCs w:val="28"/>
          <w:highlight w:val="none"/>
        </w:rPr>
        <w:t>日</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项目概况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cs="宋体"/>
          <w:i w:val="0"/>
          <w:iCs w:val="0"/>
          <w:caps w:val="0"/>
          <w:color w:val="auto"/>
          <w:spacing w:val="0"/>
          <w:sz w:val="21"/>
          <w:szCs w:val="21"/>
          <w:highlight w:val="none"/>
          <w:lang w:eastAsia="zh-CN"/>
        </w:rPr>
        <w:t>2024 年平阳县水头镇高标准农田改造提升示范项目（绿色农田建设项目）-土壤改良培肥</w:t>
      </w:r>
      <w:r>
        <w:rPr>
          <w:rFonts w:hint="eastAsia" w:ascii="宋体" w:hAnsi="宋体" w:eastAsia="宋体" w:cs="宋体"/>
          <w:i w:val="0"/>
          <w:iCs w:val="0"/>
          <w:caps w:val="0"/>
          <w:color w:val="auto"/>
          <w:spacing w:val="0"/>
          <w:sz w:val="21"/>
          <w:szCs w:val="21"/>
          <w:highlight w:val="none"/>
        </w:rPr>
        <w:t>采购项目的潜在供应商应在政采云平台线上获取获取（下载）采购文件，并于</w:t>
      </w:r>
      <w:r>
        <w:rPr>
          <w:rFonts w:hint="eastAsia" w:cs="宋体"/>
          <w:i w:val="0"/>
          <w:iCs w:val="0"/>
          <w:caps w:val="0"/>
          <w:color w:val="auto"/>
          <w:spacing w:val="0"/>
          <w:sz w:val="21"/>
          <w:szCs w:val="21"/>
          <w:highlight w:val="none"/>
          <w:lang w:eastAsia="zh-CN"/>
        </w:rPr>
        <w:t xml:space="preserve">2024年06月26日 </w:t>
      </w:r>
      <w:r>
        <w:rPr>
          <w:rFonts w:hint="eastAsia" w:ascii="宋体" w:hAnsi="宋体" w:eastAsia="宋体" w:cs="宋体"/>
          <w:i w:val="0"/>
          <w:iCs w:val="0"/>
          <w:caps w:val="0"/>
          <w:color w:val="auto"/>
          <w:spacing w:val="0"/>
          <w:sz w:val="21"/>
          <w:szCs w:val="21"/>
          <w:highlight w:val="none"/>
        </w:rPr>
        <w:t xml:space="preserve">14:30（北京时间）前提交（上传）响应文件。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一、项目基本情况</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项目编号：</w:t>
      </w:r>
      <w:r>
        <w:rPr>
          <w:rFonts w:hint="eastAsia" w:cs="宋体"/>
          <w:i w:val="0"/>
          <w:iCs w:val="0"/>
          <w:caps w:val="0"/>
          <w:color w:val="auto"/>
          <w:spacing w:val="0"/>
          <w:sz w:val="21"/>
          <w:szCs w:val="21"/>
          <w:highlight w:val="none"/>
          <w:lang w:eastAsia="zh-CN"/>
        </w:rPr>
        <w:t xml:space="preserve">WZZDPYCG-2024061401   </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项目名称：</w:t>
      </w:r>
      <w:r>
        <w:rPr>
          <w:rFonts w:hint="eastAsia" w:cs="宋体"/>
          <w:i w:val="0"/>
          <w:iCs w:val="0"/>
          <w:caps w:val="0"/>
          <w:color w:val="auto"/>
          <w:spacing w:val="0"/>
          <w:sz w:val="21"/>
          <w:szCs w:val="21"/>
          <w:highlight w:val="none"/>
          <w:lang w:eastAsia="zh-CN"/>
        </w:rPr>
        <w:t>2024 年平阳县水头镇高标准农田改造提升示范项目（绿色农田建设项目）-土壤改良培肥</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采购方式：竞争性磋商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预算金额（元）：</w:t>
      </w:r>
      <w:r>
        <w:rPr>
          <w:rFonts w:hint="eastAsia" w:cs="宋体"/>
          <w:i w:val="0"/>
          <w:iCs w:val="0"/>
          <w:caps w:val="0"/>
          <w:color w:val="auto"/>
          <w:spacing w:val="0"/>
          <w:sz w:val="21"/>
          <w:szCs w:val="21"/>
          <w:highlight w:val="none"/>
          <w:lang w:eastAsia="zh-CN"/>
        </w:rPr>
        <w:t>1284200</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最高限价（元）：</w:t>
      </w:r>
      <w:r>
        <w:rPr>
          <w:rFonts w:hint="eastAsia" w:cs="宋体"/>
          <w:i w:val="0"/>
          <w:iCs w:val="0"/>
          <w:caps w:val="0"/>
          <w:color w:val="auto"/>
          <w:spacing w:val="0"/>
          <w:sz w:val="21"/>
          <w:szCs w:val="21"/>
          <w:highlight w:val="none"/>
          <w:lang w:eastAsia="zh-CN"/>
        </w:rPr>
        <w:t>1284200</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采购需求：</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数量：不限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预算金额（元）：</w:t>
      </w:r>
      <w:r>
        <w:rPr>
          <w:rFonts w:hint="eastAsia" w:cs="宋体"/>
          <w:i w:val="0"/>
          <w:iCs w:val="0"/>
          <w:caps w:val="0"/>
          <w:color w:val="auto"/>
          <w:spacing w:val="0"/>
          <w:sz w:val="21"/>
          <w:szCs w:val="21"/>
          <w:highlight w:val="none"/>
          <w:lang w:eastAsia="zh-CN"/>
        </w:rPr>
        <w:t>1284200</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单位：</w:t>
      </w:r>
      <w:r>
        <w:rPr>
          <w:rFonts w:hint="eastAsia" w:cs="宋体"/>
          <w:i w:val="0"/>
          <w:iCs w:val="0"/>
          <w:caps w:val="0"/>
          <w:color w:val="auto"/>
          <w:spacing w:val="0"/>
          <w:sz w:val="21"/>
          <w:szCs w:val="21"/>
          <w:highlight w:val="none"/>
          <w:lang w:val="en-US" w:eastAsia="zh-CN"/>
        </w:rPr>
        <w:t>项</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firstLine="0" w:firstLineChars="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简要规格描述：</w:t>
      </w:r>
      <w:r>
        <w:rPr>
          <w:rFonts w:hint="eastAsia" w:cs="宋体"/>
          <w:i w:val="0"/>
          <w:iCs w:val="0"/>
          <w:caps w:val="0"/>
          <w:color w:val="auto"/>
          <w:spacing w:val="0"/>
          <w:sz w:val="21"/>
          <w:szCs w:val="21"/>
          <w:highlight w:val="none"/>
          <w:lang w:eastAsia="zh-CN"/>
        </w:rPr>
        <w:t>2024 年平阳县水头镇高标准农田改造提升示范项目（绿色农田建设项目）-土壤改良培肥</w:t>
      </w:r>
      <w:r>
        <w:rPr>
          <w:rFonts w:hint="eastAsia" w:ascii="宋体" w:hAnsi="宋体" w:eastAsia="宋体" w:cs="宋体"/>
          <w:i w:val="0"/>
          <w:iCs w:val="0"/>
          <w:caps w:val="0"/>
          <w:color w:val="auto"/>
          <w:spacing w:val="0"/>
          <w:sz w:val="21"/>
          <w:szCs w:val="21"/>
          <w:highlight w:val="none"/>
        </w:rPr>
        <w:t>，详见采购文件</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备注：本项目实行单价统一折扣率报价方式，总价不折扣，按实结算。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合同履约期限：标项 1，</w:t>
      </w:r>
      <w:r>
        <w:rPr>
          <w:rFonts w:hint="eastAsia" w:ascii="宋体" w:hAnsi="宋体" w:eastAsia="宋体" w:cs="宋体"/>
          <w:i w:val="0"/>
          <w:caps w:val="0"/>
          <w:color w:val="auto"/>
          <w:spacing w:val="0"/>
          <w:sz w:val="22"/>
          <w:szCs w:val="22"/>
          <w:highlight w:val="none"/>
        </w:rPr>
        <w:t>至合同结束（以</w:t>
      </w:r>
      <w:r>
        <w:rPr>
          <w:rFonts w:hint="eastAsia" w:ascii="宋体" w:hAnsi="宋体" w:eastAsia="宋体" w:cs="宋体"/>
          <w:i w:val="0"/>
          <w:caps w:val="0"/>
          <w:color w:val="auto"/>
          <w:spacing w:val="0"/>
          <w:sz w:val="22"/>
          <w:szCs w:val="22"/>
          <w:highlight w:val="none"/>
          <w:lang w:val="en-US" w:eastAsia="zh-CN"/>
        </w:rPr>
        <w:t>合同</w:t>
      </w:r>
      <w:r>
        <w:rPr>
          <w:rFonts w:hint="eastAsia" w:ascii="宋体" w:hAnsi="宋体" w:eastAsia="宋体" w:cs="宋体"/>
          <w:i w:val="0"/>
          <w:caps w:val="0"/>
          <w:color w:val="auto"/>
          <w:spacing w:val="0"/>
          <w:sz w:val="22"/>
          <w:szCs w:val="22"/>
          <w:highlight w:val="none"/>
        </w:rPr>
        <w:t>为准）</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420" w:leftChars="0" w:right="0" w:hanging="420" w:hanging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本项目（否）接受联合体投标。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二、申请人的资格要求：</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xml:space="preserve">    2.落实政府采购政策需满足的资格要求：标项1</w:t>
      </w:r>
      <w:r>
        <w:rPr>
          <w:rFonts w:hint="eastAsia" w:cs="宋体"/>
          <w:i w:val="0"/>
          <w:iCs w:val="0"/>
          <w:caps w:val="0"/>
          <w:color w:val="auto"/>
          <w:spacing w:val="0"/>
          <w:sz w:val="21"/>
          <w:szCs w:val="21"/>
          <w:highlight w:val="none"/>
          <w:lang w:eastAsia="zh-CN"/>
        </w:rPr>
        <w:t>，</w:t>
      </w:r>
      <w:r>
        <w:rPr>
          <w:rFonts w:hint="eastAsia" w:ascii="宋体" w:hAnsi="宋体" w:eastAsia="宋体" w:cs="宋体"/>
          <w:b w:val="0"/>
          <w:bCs/>
          <w:color w:val="auto"/>
          <w:sz w:val="22"/>
          <w:szCs w:val="22"/>
          <w:highlight w:val="none"/>
        </w:rPr>
        <w:t>本项目整体专门面向小微企业采购，投标供应商应为小微企业。小微企业是指满足《政府采购促进中小企业发展管理办法》（财库〔2020〕46号）第二条规定的企业。监狱企业、残疾人福利性单位视同小型、微型企业。</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i w:val="0"/>
          <w:iCs w:val="0"/>
          <w:caps w:val="0"/>
          <w:color w:val="auto"/>
          <w:spacing w:val="0"/>
          <w:sz w:val="21"/>
          <w:szCs w:val="21"/>
          <w:highlight w:val="none"/>
        </w:rPr>
        <w:t xml:space="preserve">    3.本项目的特定资格要求：</w:t>
      </w:r>
      <w:r>
        <w:rPr>
          <w:rFonts w:hint="eastAsia" w:ascii="宋体" w:hAnsi="宋体" w:cs="宋体"/>
          <w:i w:val="0"/>
          <w:iCs w:val="0"/>
          <w:caps w:val="0"/>
          <w:color w:val="auto"/>
          <w:spacing w:val="0"/>
          <w:sz w:val="21"/>
          <w:szCs w:val="21"/>
          <w:highlight w:val="none"/>
          <w:lang w:val="en-US" w:eastAsia="zh-CN"/>
        </w:rPr>
        <w:t>无。</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tabs>
          <w:tab w:val="left" w:pos="2940"/>
        </w:tabs>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三、获取（下载）采购文件</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时间：/至</w:t>
      </w:r>
      <w:r>
        <w:rPr>
          <w:rFonts w:hint="eastAsia" w:cs="宋体"/>
          <w:i w:val="0"/>
          <w:iCs w:val="0"/>
          <w:caps w:val="0"/>
          <w:color w:val="auto"/>
          <w:spacing w:val="0"/>
          <w:sz w:val="21"/>
          <w:szCs w:val="21"/>
          <w:highlight w:val="none"/>
          <w:lang w:eastAsia="zh-CN"/>
        </w:rPr>
        <w:t>2024年06月26日</w:t>
      </w:r>
      <w:r>
        <w:rPr>
          <w:rFonts w:hint="eastAsia" w:ascii="宋体" w:hAnsi="宋体" w:eastAsia="宋体" w:cs="宋体"/>
          <w:i w:val="0"/>
          <w:iCs w:val="0"/>
          <w:caps w:val="0"/>
          <w:color w:val="auto"/>
          <w:spacing w:val="0"/>
          <w:sz w:val="21"/>
          <w:szCs w:val="21"/>
          <w:highlight w:val="none"/>
        </w:rPr>
        <w:t>，每天上午00:00至12:00，下午12:00至23:59（北京时间，线上获取法定节假日均可，线下获取文件法定节假日除外）</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地点（网址）：政采云平台线上获取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方式：供应商登录政采云平台https://www.zcygov.cn/在线申请获取采购文件（进入“项目采购”应用，在获取采购文件菜单中选择项目，申请获取采购文件）。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售价（元）：0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四、响应文件提交（上传）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截止时间：</w:t>
      </w:r>
      <w:r>
        <w:rPr>
          <w:rFonts w:hint="eastAsia" w:cs="宋体"/>
          <w:i w:val="0"/>
          <w:iCs w:val="0"/>
          <w:caps w:val="0"/>
          <w:color w:val="auto"/>
          <w:spacing w:val="0"/>
          <w:sz w:val="21"/>
          <w:szCs w:val="21"/>
          <w:highlight w:val="none"/>
          <w:lang w:eastAsia="zh-CN"/>
        </w:rPr>
        <w:t xml:space="preserve">2024年06月26日 </w:t>
      </w:r>
      <w:r>
        <w:rPr>
          <w:rFonts w:hint="eastAsia" w:ascii="宋体" w:hAnsi="宋体" w:eastAsia="宋体" w:cs="宋体"/>
          <w:i w:val="0"/>
          <w:iCs w:val="0"/>
          <w:caps w:val="0"/>
          <w:color w:val="auto"/>
          <w:spacing w:val="0"/>
          <w:sz w:val="21"/>
          <w:szCs w:val="21"/>
          <w:highlight w:val="none"/>
        </w:rPr>
        <w:t>14:30（北京时间）</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地点（网址）：请登录政采云投标客户端投标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五、响应文件开启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开启时间：</w:t>
      </w:r>
      <w:r>
        <w:rPr>
          <w:rFonts w:hint="eastAsia" w:cs="宋体"/>
          <w:i w:val="0"/>
          <w:iCs w:val="0"/>
          <w:caps w:val="0"/>
          <w:color w:val="auto"/>
          <w:spacing w:val="0"/>
          <w:sz w:val="21"/>
          <w:szCs w:val="21"/>
          <w:highlight w:val="none"/>
          <w:lang w:eastAsia="zh-CN"/>
        </w:rPr>
        <w:t xml:space="preserve">2024年06月26日 </w:t>
      </w:r>
      <w:r>
        <w:rPr>
          <w:rFonts w:hint="eastAsia" w:ascii="宋体" w:hAnsi="宋体" w:eastAsia="宋体" w:cs="宋体"/>
          <w:i w:val="0"/>
          <w:iCs w:val="0"/>
          <w:caps w:val="0"/>
          <w:color w:val="auto"/>
          <w:spacing w:val="0"/>
          <w:sz w:val="21"/>
          <w:szCs w:val="21"/>
          <w:highlight w:val="none"/>
        </w:rPr>
        <w:t>14:30 （北京时间）</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地点（网址）：政府采购云平台在线投标，投标供应商无须前往评审现场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六、公告期限</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自本公告发布之日起3个工作日。</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七、其他补充事宜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w:t>
      </w:r>
      <w:r>
        <w:rPr>
          <w:rFonts w:hint="eastAsia" w:ascii="宋体" w:hAnsi="宋体" w:eastAsia="宋体" w:cs="宋体"/>
          <w:i w:val="0"/>
          <w:iCs w:val="0"/>
          <w:caps w:val="0"/>
          <w:color w:val="auto"/>
          <w:spacing w:val="0"/>
          <w:sz w:val="21"/>
          <w:szCs w:val="21"/>
          <w:highlight w:val="none"/>
          <w:lang w:eastAsia="zh-CN"/>
        </w:rPr>
        <w:t>95763</w:t>
      </w:r>
      <w:r>
        <w:rPr>
          <w:rFonts w:hint="eastAsia" w:ascii="宋体" w:hAnsi="宋体" w:eastAsia="宋体" w:cs="宋体"/>
          <w:i w:val="0"/>
          <w:iCs w:val="0"/>
          <w:caps w:val="0"/>
          <w:color w:val="auto"/>
          <w:spacing w:val="0"/>
          <w:sz w:val="21"/>
          <w:szCs w:val="21"/>
          <w:highlight w:val="none"/>
        </w:rPr>
        <w:t>。</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3）投标供应商应当在投标截止时间前，将生成的“电子加密投标文件”上传递交至“政府采购云平台”。投标截止时间以后上传递交的投标文件将被“政府采购云平台”拒收。</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6）供应商在法定质疑期内一次性提出针对同一采购程序环节的质疑。</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八、凡对本次招标提出询问、质疑、投诉，请按以下方式联系</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1.采购人信息</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名    称：</w:t>
      </w:r>
      <w:r>
        <w:rPr>
          <w:rFonts w:hint="eastAsia" w:cs="宋体"/>
          <w:i w:val="0"/>
          <w:iCs w:val="0"/>
          <w:caps w:val="0"/>
          <w:color w:val="auto"/>
          <w:spacing w:val="0"/>
          <w:sz w:val="21"/>
          <w:szCs w:val="21"/>
          <w:highlight w:val="none"/>
          <w:lang w:eastAsia="zh-CN"/>
        </w:rPr>
        <w:t>平阳县水头镇人民政府</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    址：</w:t>
      </w:r>
      <w:r>
        <w:rPr>
          <w:rFonts w:hint="eastAsia" w:cs="宋体"/>
          <w:i w:val="0"/>
          <w:iCs w:val="0"/>
          <w:caps w:val="0"/>
          <w:color w:val="auto"/>
          <w:spacing w:val="0"/>
          <w:sz w:val="21"/>
          <w:szCs w:val="21"/>
          <w:highlight w:val="none"/>
          <w:lang w:val="en-US" w:eastAsia="zh-CN"/>
        </w:rPr>
        <w:t>平阳县</w:t>
      </w:r>
      <w:r>
        <w:rPr>
          <w:rFonts w:hint="eastAsia" w:cs="宋体"/>
          <w:i w:val="0"/>
          <w:iCs w:val="0"/>
          <w:caps w:val="0"/>
          <w:color w:val="auto"/>
          <w:spacing w:val="0"/>
          <w:sz w:val="21"/>
          <w:szCs w:val="21"/>
          <w:highlight w:val="none"/>
          <w:lang w:eastAsia="zh-CN"/>
        </w:rPr>
        <w:t>水头镇凤起大道59号</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传    真：/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项目联系人（询问）：</w:t>
      </w:r>
      <w:r>
        <w:rPr>
          <w:rFonts w:hint="eastAsia" w:cs="宋体"/>
          <w:i w:val="0"/>
          <w:iCs w:val="0"/>
          <w:caps w:val="0"/>
          <w:color w:val="auto"/>
          <w:spacing w:val="0"/>
          <w:sz w:val="21"/>
          <w:szCs w:val="21"/>
          <w:highlight w:val="none"/>
          <w:lang w:val="en-US" w:eastAsia="zh-CN"/>
        </w:rPr>
        <w:t>范先生</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项目联系方式（询问）：</w:t>
      </w:r>
      <w:r>
        <w:rPr>
          <w:rFonts w:hint="eastAsia" w:cs="宋体"/>
          <w:i w:val="0"/>
          <w:iCs w:val="0"/>
          <w:caps w:val="0"/>
          <w:color w:val="auto"/>
          <w:spacing w:val="0"/>
          <w:sz w:val="21"/>
          <w:szCs w:val="21"/>
          <w:highlight w:val="none"/>
          <w:lang w:eastAsia="zh-CN"/>
        </w:rPr>
        <w:t>0577-63851104</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质疑联系人：</w:t>
      </w:r>
      <w:r>
        <w:rPr>
          <w:rFonts w:hint="eastAsia" w:cs="宋体"/>
          <w:i w:val="0"/>
          <w:iCs w:val="0"/>
          <w:caps w:val="0"/>
          <w:color w:val="auto"/>
          <w:spacing w:val="0"/>
          <w:sz w:val="21"/>
          <w:szCs w:val="21"/>
          <w:highlight w:val="none"/>
          <w:lang w:val="en-US" w:eastAsia="zh-CN"/>
        </w:rPr>
        <w:t>范先生</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质疑联系方式：</w:t>
      </w:r>
      <w:r>
        <w:rPr>
          <w:rFonts w:hint="eastAsia" w:cs="宋体"/>
          <w:i w:val="0"/>
          <w:iCs w:val="0"/>
          <w:caps w:val="0"/>
          <w:color w:val="auto"/>
          <w:spacing w:val="0"/>
          <w:sz w:val="21"/>
          <w:szCs w:val="21"/>
          <w:highlight w:val="none"/>
          <w:lang w:eastAsia="zh-CN"/>
        </w:rPr>
        <w:t>0577-63851104</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2.采购代理机构信息</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名    称：温州正大工程项目管理有限公司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    址：温州市平阳县水头镇环城北路416-446号后门一单元201室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传    真：/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项目联系人（询问）：</w:t>
      </w:r>
      <w:r>
        <w:rPr>
          <w:rFonts w:hint="eastAsia" w:cs="宋体"/>
          <w:i w:val="0"/>
          <w:iCs w:val="0"/>
          <w:caps w:val="0"/>
          <w:color w:val="auto"/>
          <w:spacing w:val="0"/>
          <w:sz w:val="21"/>
          <w:szCs w:val="21"/>
          <w:highlight w:val="none"/>
          <w:lang w:eastAsia="zh-CN"/>
        </w:rPr>
        <w:t>林女士</w:t>
      </w: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项目联系方式（询问）：0577-55001949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质疑联系人：欧茂川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质疑联系方式：18368779383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3.同级政府采购监督管理部门</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名    称：平阳县财政局政府采购监督管理科</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    址：平阳县昆阳镇人民路373号</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传    真：/</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xml:space="preserve">    联 系 人：</w:t>
      </w:r>
      <w:r>
        <w:rPr>
          <w:rFonts w:hint="eastAsia" w:cs="宋体"/>
          <w:i w:val="0"/>
          <w:iCs w:val="0"/>
          <w:caps w:val="0"/>
          <w:color w:val="auto"/>
          <w:spacing w:val="0"/>
          <w:sz w:val="21"/>
          <w:szCs w:val="21"/>
          <w:highlight w:val="none"/>
          <w:lang w:eastAsia="zh-CN"/>
        </w:rPr>
        <w:t>周女士</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xml:space="preserve">    监督投诉电话：</w:t>
      </w:r>
      <w:r>
        <w:rPr>
          <w:rFonts w:hint="eastAsia" w:cs="宋体"/>
          <w:i w:val="0"/>
          <w:iCs w:val="0"/>
          <w:caps w:val="0"/>
          <w:color w:val="auto"/>
          <w:spacing w:val="0"/>
          <w:sz w:val="21"/>
          <w:szCs w:val="21"/>
          <w:highlight w:val="none"/>
          <w:lang w:eastAsia="zh-CN"/>
        </w:rPr>
        <w:t>0577-63889763</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若对项目采购电子交易系统操作有疑问，可登录政采云（https://www.zcygov.cn/），点击右侧咨询小采，获取采小蜜智能服务管家帮助，或拨打政采云服务热线95763获取热线服务帮助。        </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CA问题联系电话（人工）：汇信CA 400-888-4636；天谷CA 400-087-8198。</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1"/>
          <w:szCs w:val="21"/>
          <w:highlight w:val="none"/>
        </w:rPr>
        <w:t xml:space="preserve"> </w:t>
      </w:r>
    </w:p>
    <w:p>
      <w:pPr>
        <w:spacing w:line="460" w:lineRule="exact"/>
        <w:jc w:val="center"/>
        <w:rPr>
          <w:rFonts w:hint="eastAsia" w:ascii="宋体" w:hAnsi="宋体"/>
          <w:b/>
          <w:bCs/>
          <w:color w:val="auto"/>
          <w:sz w:val="32"/>
          <w:szCs w:val="32"/>
          <w:highlight w:val="none"/>
          <w:lang w:val="en-US" w:eastAsia="zh-CN"/>
        </w:rPr>
        <w:sectPr>
          <w:footerReference r:id="rId4" w:type="first"/>
          <w:footerReference r:id="rId3" w:type="default"/>
          <w:pgSz w:w="11907" w:h="16840"/>
          <w:pgMar w:top="1440" w:right="1117" w:bottom="1440" w:left="1157" w:header="720" w:footer="720" w:gutter="0"/>
          <w:pgNumType w:start="1"/>
          <w:cols w:space="720" w:num="1"/>
          <w:titlePg/>
          <w:docGrid w:linePitch="286" w:charSpace="0"/>
        </w:sectPr>
      </w:pPr>
    </w:p>
    <w:p>
      <w:pPr>
        <w:spacing w:line="4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磋 商</w:t>
      </w:r>
      <w:r>
        <w:rPr>
          <w:rFonts w:hint="eastAsia" w:ascii="宋体" w:hAnsi="宋体"/>
          <w:b/>
          <w:bCs/>
          <w:color w:val="auto"/>
          <w:sz w:val="32"/>
          <w:szCs w:val="32"/>
          <w:highlight w:val="none"/>
        </w:rPr>
        <w:t xml:space="preserve"> 通 知（邀 请）书</w:t>
      </w:r>
    </w:p>
    <w:p>
      <w:pPr>
        <w:adjustRightInd w:val="0"/>
        <w:snapToGrid w:val="0"/>
        <w:spacing w:line="360" w:lineRule="atLeast"/>
        <w:ind w:firstLine="440" w:firstLineChars="200"/>
        <w:rPr>
          <w:rFonts w:hint="eastAsia"/>
          <w:color w:val="auto"/>
          <w:sz w:val="22"/>
          <w:szCs w:val="22"/>
          <w:highlight w:val="none"/>
        </w:rPr>
      </w:pPr>
      <w:r>
        <w:rPr>
          <w:rFonts w:hint="eastAsia" w:ascii="宋体" w:hAnsi="宋体" w:cs="宋体"/>
          <w:color w:val="auto"/>
          <w:kern w:val="0"/>
          <w:sz w:val="22"/>
          <w:szCs w:val="22"/>
          <w:highlight w:val="none"/>
          <w:lang w:val="en-US" w:eastAsia="zh-CN"/>
        </w:rPr>
        <w:t>温州正大工程项目管理有限公司</w:t>
      </w:r>
      <w:r>
        <w:rPr>
          <w:rFonts w:hint="eastAsia" w:ascii="宋体" w:hAnsi="宋体"/>
          <w:color w:val="auto"/>
          <w:sz w:val="22"/>
          <w:szCs w:val="22"/>
          <w:highlight w:val="none"/>
        </w:rPr>
        <w:t>对</w:t>
      </w:r>
      <w:r>
        <w:rPr>
          <w:rFonts w:hint="eastAsia" w:ascii="宋体" w:hAnsi="宋体" w:cs="宋体"/>
          <w:color w:val="auto"/>
          <w:kern w:val="0"/>
          <w:sz w:val="22"/>
          <w:szCs w:val="22"/>
          <w:highlight w:val="none"/>
          <w:lang w:val="en-US" w:eastAsia="zh-CN"/>
        </w:rPr>
        <w:t>2024 年平阳县水头镇高标准农田改造提升示范项目（绿色农田建设项目）-土壤改良培肥</w:t>
      </w:r>
      <w:r>
        <w:rPr>
          <w:rFonts w:hint="eastAsia" w:ascii="宋体" w:hAnsi="宋体" w:cs="宋体"/>
          <w:color w:val="auto"/>
          <w:kern w:val="0"/>
          <w:sz w:val="22"/>
          <w:szCs w:val="22"/>
          <w:highlight w:val="none"/>
        </w:rPr>
        <w:t>进行</w:t>
      </w:r>
      <w:r>
        <w:rPr>
          <w:color w:val="auto"/>
          <w:sz w:val="22"/>
          <w:highlight w:val="none"/>
        </w:rPr>
        <w:t>竞争性磋商采购</w:t>
      </w:r>
      <w:r>
        <w:rPr>
          <w:rFonts w:hint="eastAsia" w:ascii="宋体" w:hAnsi="宋体" w:cs="宋体"/>
          <w:color w:val="auto"/>
          <w:kern w:val="0"/>
          <w:sz w:val="22"/>
          <w:szCs w:val="22"/>
          <w:highlight w:val="none"/>
        </w:rPr>
        <w:t>，</w:t>
      </w:r>
      <w:r>
        <w:rPr>
          <w:rFonts w:hint="eastAsia"/>
          <w:color w:val="auto"/>
          <w:sz w:val="22"/>
          <w:szCs w:val="22"/>
          <w:highlight w:val="none"/>
        </w:rPr>
        <w:t>特通知贵公司（企业）前来投标。并请按</w:t>
      </w:r>
      <w:r>
        <w:rPr>
          <w:color w:val="auto"/>
          <w:sz w:val="22"/>
          <w:highlight w:val="none"/>
        </w:rPr>
        <w:t>竞争性磋商文件</w:t>
      </w:r>
      <w:r>
        <w:rPr>
          <w:rFonts w:hint="eastAsia"/>
          <w:color w:val="auto"/>
          <w:sz w:val="22"/>
          <w:szCs w:val="22"/>
          <w:highlight w:val="none"/>
        </w:rPr>
        <w:t>的要求认真准备好</w:t>
      </w:r>
      <w:r>
        <w:rPr>
          <w:rFonts w:hint="eastAsia"/>
          <w:color w:val="auto"/>
          <w:sz w:val="22"/>
          <w:szCs w:val="22"/>
          <w:highlight w:val="none"/>
          <w:lang w:val="en-US" w:eastAsia="zh-CN"/>
        </w:rPr>
        <w:t>响应</w:t>
      </w:r>
      <w:r>
        <w:rPr>
          <w:rFonts w:hint="eastAsia"/>
          <w:color w:val="auto"/>
          <w:sz w:val="22"/>
          <w:szCs w:val="22"/>
          <w:highlight w:val="none"/>
        </w:rPr>
        <w:t>文件，按时前来投标。</w:t>
      </w:r>
    </w:p>
    <w:tbl>
      <w:tblPr>
        <w:tblStyle w:val="39"/>
        <w:tblW w:w="0" w:type="auto"/>
        <w:jc w:val="center"/>
        <w:tblLayout w:type="fixed"/>
        <w:tblCellMar>
          <w:top w:w="0" w:type="dxa"/>
          <w:left w:w="0" w:type="dxa"/>
          <w:bottom w:w="0" w:type="dxa"/>
          <w:right w:w="0" w:type="dxa"/>
        </w:tblCellMar>
      </w:tblPr>
      <w:tblGrid>
        <w:gridCol w:w="2086"/>
        <w:gridCol w:w="7749"/>
      </w:tblGrid>
      <w:tr>
        <w:tblPrEx>
          <w:tblCellMar>
            <w:top w:w="0" w:type="dxa"/>
            <w:left w:w="0" w:type="dxa"/>
            <w:bottom w:w="0" w:type="dxa"/>
            <w:right w:w="0" w:type="dxa"/>
          </w:tblCellMar>
        </w:tblPrEx>
        <w:trPr>
          <w:trHeight w:val="140" w:hRule="atLeast"/>
          <w:jc w:val="center"/>
        </w:trPr>
        <w:tc>
          <w:tcPr>
            <w:tcW w:w="2086" w:type="dxa"/>
            <w:tcBorders>
              <w:top w:val="doub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项目编号</w:t>
            </w:r>
          </w:p>
        </w:tc>
        <w:tc>
          <w:tcPr>
            <w:tcW w:w="7749" w:type="dxa"/>
            <w:tcBorders>
              <w:top w:val="doub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 xml:space="preserve">WZZDPYCG-2024061401    </w:t>
            </w:r>
          </w:p>
        </w:tc>
      </w:tr>
      <w:tr>
        <w:tblPrEx>
          <w:tblCellMar>
            <w:top w:w="0" w:type="dxa"/>
            <w:left w:w="0" w:type="dxa"/>
            <w:bottom w:w="0" w:type="dxa"/>
            <w:right w:w="0" w:type="dxa"/>
          </w:tblCellMar>
        </w:tblPrEx>
        <w:trPr>
          <w:trHeight w:val="171"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2024 年平阳县水头镇高标准农田改造提升示范项目（绿色农田建设项目）-土壤改良培肥</w:t>
            </w:r>
          </w:p>
        </w:tc>
      </w:tr>
      <w:tr>
        <w:tblPrEx>
          <w:tblCellMar>
            <w:top w:w="0" w:type="dxa"/>
            <w:left w:w="0" w:type="dxa"/>
            <w:bottom w:w="0" w:type="dxa"/>
            <w:right w:w="0" w:type="dxa"/>
          </w:tblCellMar>
        </w:tblPrEx>
        <w:trPr>
          <w:trHeight w:val="126"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财政性资金</w:t>
            </w:r>
          </w:p>
        </w:tc>
      </w:tr>
      <w:tr>
        <w:tblPrEx>
          <w:tblCellMar>
            <w:top w:w="0" w:type="dxa"/>
            <w:left w:w="0" w:type="dxa"/>
            <w:bottom w:w="0" w:type="dxa"/>
            <w:right w:w="0" w:type="dxa"/>
          </w:tblCellMar>
        </w:tblPrEx>
        <w:trPr>
          <w:trHeight w:val="160"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竞争性磋商采购</w:t>
            </w:r>
          </w:p>
        </w:tc>
      </w:tr>
      <w:tr>
        <w:tblPrEx>
          <w:tblCellMar>
            <w:top w:w="0" w:type="dxa"/>
            <w:left w:w="0" w:type="dxa"/>
            <w:bottom w:w="0" w:type="dxa"/>
            <w:right w:w="0" w:type="dxa"/>
          </w:tblCellMar>
        </w:tblPrEx>
        <w:trPr>
          <w:trHeight w:val="187"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按采购公告要求</w:t>
            </w:r>
          </w:p>
        </w:tc>
      </w:tr>
      <w:tr>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报价有效期</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90日历天（自递交磋商响应文件截止日起计算）</w:t>
            </w:r>
          </w:p>
        </w:tc>
      </w:tr>
      <w:tr>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投标文件的签章</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pPr>
              <w:widowControl/>
              <w:snapToGrid w:val="0"/>
              <w:spacing w:line="300" w:lineRule="exact"/>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磋商响应文件须按采购文件格式要求，由供应商加盖单位公章和法定代表人或其授权代表印章（或签字）。</w:t>
            </w:r>
          </w:p>
        </w:tc>
      </w:tr>
      <w:tr>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响应文件的组成</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完整的《响应文件》由“资格文件”、“商务技术文件”和“报价文件”三个部分组成。</w:t>
            </w:r>
          </w:p>
        </w:tc>
      </w:tr>
      <w:tr>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响应文件的编制</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供应商应先安装“政采云电子交易客户端”，并按照本采购文件和“政府采购云平台”的要求，通过“政采云电子交易客户端”编制并加密响应文件。</w:t>
            </w:r>
          </w:p>
        </w:tc>
      </w:tr>
      <w:tr>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响应文件的签章</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电子签章，按《供应商须知》和《响应文件格式》标注的要求进行盖章、签署（电子签章）。</w:t>
            </w:r>
          </w:p>
        </w:tc>
      </w:tr>
      <w:tr>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响应文件的形式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电子响应文件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即</w:t>
            </w:r>
            <w:r>
              <w:rPr>
                <w:rFonts w:hint="eastAsia" w:ascii="宋体" w:hAnsi="宋体" w:eastAsia="宋体" w:cs="宋体"/>
                <w:b/>
                <w:color w:val="auto"/>
                <w:sz w:val="22"/>
                <w:szCs w:val="22"/>
                <w:highlight w:val="none"/>
                <w:u w:val="single"/>
              </w:rPr>
              <w:t>“电子加密响应文件”</w:t>
            </w:r>
            <w:r>
              <w:rPr>
                <w:rFonts w:hint="eastAsia" w:ascii="宋体" w:hAnsi="宋体" w:eastAsia="宋体" w:cs="宋体"/>
                <w:color w:val="auto"/>
                <w:sz w:val="22"/>
                <w:szCs w:val="22"/>
                <w:highlight w:val="none"/>
                <w:u w:val="single"/>
              </w:rPr>
              <w:t>[文件格式.jmbs]</w:t>
            </w:r>
            <w:r>
              <w:rPr>
                <w:rFonts w:hint="eastAsia" w:ascii="宋体" w:hAnsi="宋体" w:eastAsia="宋体" w:cs="宋体"/>
                <w:color w:val="auto"/>
                <w:sz w:val="22"/>
                <w:szCs w:val="22"/>
                <w:highlight w:val="none"/>
              </w:rPr>
              <w:t>）；</w:t>
            </w:r>
          </w:p>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注：“电子加密响应文件”是指通过“政采云电子交易客户端”完成响应文件编制后生成并加密的数据电文形式的响应文件。</w:t>
            </w:r>
          </w:p>
        </w:tc>
      </w:tr>
      <w:tr>
        <w:tblPrEx>
          <w:tblCellMar>
            <w:top w:w="0" w:type="dxa"/>
            <w:left w:w="0" w:type="dxa"/>
            <w:bottom w:w="0" w:type="dxa"/>
            <w:right w:w="0" w:type="dxa"/>
          </w:tblCellMar>
        </w:tblPrEx>
        <w:trPr>
          <w:trHeight w:val="169"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磋商响应文件份数</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（1）“电子加密投标文件”：在线上传递交、一份。（2）“备份投标文件”：密封包装后（邮寄形式投标截止时间前递交、一份（邮寄地址：</w:t>
            </w:r>
            <w:r>
              <w:rPr>
                <w:rFonts w:hint="eastAsia" w:ascii="宋体" w:hAnsi="宋体" w:eastAsia="宋体" w:cs="宋体"/>
                <w:color w:val="auto"/>
                <w:sz w:val="22"/>
                <w:szCs w:val="22"/>
                <w:highlight w:val="none"/>
                <w:lang w:eastAsia="zh-CN"/>
              </w:rPr>
              <w:t>平阳县水头镇环城北路416-446号后门一单元201室</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温州正大工程项目管理有限公司</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林女士</w:t>
            </w:r>
            <w:r>
              <w:rPr>
                <w:rFonts w:hint="eastAsia" w:ascii="宋体" w:hAnsi="宋体" w:eastAsia="宋体" w:cs="宋体"/>
                <w:color w:val="auto"/>
                <w:sz w:val="22"/>
                <w:szCs w:val="22"/>
                <w:highlight w:val="none"/>
              </w:rPr>
              <w:t>收 联系电话：</w:t>
            </w:r>
            <w:r>
              <w:rPr>
                <w:rFonts w:hint="eastAsia" w:ascii="宋体" w:hAnsi="宋体" w:eastAsia="宋体" w:cs="宋体"/>
                <w:color w:val="auto"/>
                <w:sz w:val="22"/>
                <w:szCs w:val="22"/>
                <w:highlight w:val="none"/>
                <w:lang w:eastAsia="zh-CN"/>
              </w:rPr>
              <w:t>0577-55001949</w:t>
            </w:r>
            <w:r>
              <w:rPr>
                <w:rFonts w:hint="eastAsia" w:ascii="宋体" w:hAnsi="宋体" w:eastAsia="宋体" w:cs="宋体"/>
                <w:color w:val="auto"/>
                <w:sz w:val="22"/>
                <w:szCs w:val="22"/>
                <w:highlight w:val="none"/>
              </w:rPr>
              <w:t>）。）。</w:t>
            </w:r>
          </w:p>
        </w:tc>
      </w:tr>
      <w:tr>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kern w:val="0"/>
                <w:sz w:val="22"/>
                <w:szCs w:val="22"/>
                <w:highlight w:val="none"/>
                <w:lang w:eastAsia="zh-CN"/>
              </w:rPr>
              <w:t>温州正大工程项目管理有限公司</w:t>
            </w:r>
          </w:p>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机构地点：</w:t>
            </w:r>
            <w:r>
              <w:rPr>
                <w:rFonts w:hint="eastAsia" w:ascii="宋体" w:hAnsi="宋体" w:eastAsia="宋体" w:cs="宋体"/>
                <w:color w:val="auto"/>
                <w:sz w:val="22"/>
                <w:szCs w:val="22"/>
                <w:highlight w:val="none"/>
                <w:lang w:eastAsia="zh-CN"/>
              </w:rPr>
              <w:t>平阳县水头镇环城北路416-446号后门一单元201室</w:t>
            </w:r>
          </w:p>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欧茂川</w:t>
            </w:r>
          </w:p>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18368779383</w:t>
            </w:r>
          </w:p>
          <w:p>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联系传真：</w:t>
            </w:r>
            <w:r>
              <w:rPr>
                <w:rFonts w:hint="eastAsia" w:ascii="宋体" w:hAnsi="宋体" w:eastAsia="宋体" w:cs="宋体"/>
                <w:color w:val="auto"/>
                <w:sz w:val="22"/>
                <w:szCs w:val="22"/>
                <w:highlight w:val="none"/>
                <w:lang w:val="en-US" w:eastAsia="zh-CN"/>
              </w:rPr>
              <w:t>/</w:t>
            </w:r>
          </w:p>
        </w:tc>
      </w:tr>
      <w:tr>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spacing w:line="300" w:lineRule="exact"/>
              <w:jc w:val="center"/>
              <w:rPr>
                <w:rFonts w:hint="eastAsia" w:ascii="宋体" w:hAnsi="宋体" w:eastAsia="宋体" w:cs="宋体"/>
                <w:b/>
                <w:bCs/>
                <w:color w:val="auto"/>
                <w:sz w:val="22"/>
                <w:szCs w:val="22"/>
                <w:highlight w:val="none"/>
              </w:rPr>
            </w:pPr>
            <w:r>
              <w:rPr>
                <w:rFonts w:hint="eastAsia" w:ascii="宋体" w:hAnsi="宋体" w:eastAsia="宋体" w:cs="宋体"/>
                <w:bCs/>
                <w:color w:val="auto"/>
                <w:kern w:val="0"/>
                <w:sz w:val="22"/>
                <w:szCs w:val="22"/>
                <w:highlight w:val="none"/>
              </w:rPr>
              <w:t>本项目扶持中小企业（监狱企业、残疾人福利性单位）有关政策</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1、扶持中小企业（监狱企业、残疾人福利性单位）： </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（1）根据工信部等部委发布的《关于印发中小企业划型标准规定的通知》（工信部联企业〔2011〕300号），本项目</w:t>
            </w:r>
            <w:r>
              <w:rPr>
                <w:rFonts w:hint="eastAsia" w:ascii="宋体" w:hAnsi="宋体" w:eastAsia="宋体" w:cs="宋体"/>
                <w:color w:val="auto"/>
                <w:sz w:val="22"/>
                <w:szCs w:val="22"/>
                <w:highlight w:val="none"/>
                <w:lang w:eastAsia="zh-CN"/>
              </w:rPr>
              <w:t>行业类别属于</w:t>
            </w:r>
            <w:r>
              <w:rPr>
                <w:rFonts w:hint="eastAsia" w:ascii="宋体" w:hAnsi="宋体" w:eastAsia="宋体" w:cs="宋体"/>
                <w:b/>
                <w:bCs/>
                <w:i w:val="0"/>
                <w:iCs w:val="0"/>
                <w:color w:val="auto"/>
                <w:sz w:val="22"/>
                <w:szCs w:val="22"/>
                <w:highlight w:val="none"/>
                <w:u w:val="single"/>
              </w:rPr>
              <w:sym w:font="Wingdings" w:char="00FE"/>
            </w:r>
            <w:r>
              <w:rPr>
                <w:rFonts w:hint="eastAsia" w:ascii="宋体" w:hAnsi="宋体" w:eastAsia="宋体" w:cs="宋体"/>
                <w:b/>
                <w:bCs/>
                <w:i w:val="0"/>
                <w:iCs w:val="0"/>
                <w:color w:val="auto"/>
                <w:sz w:val="22"/>
                <w:szCs w:val="22"/>
                <w:highlight w:val="none"/>
                <w:u w:val="single"/>
              </w:rPr>
              <w:t>农、林、牧、渔业</w:t>
            </w:r>
            <w:r>
              <w:rPr>
                <w:rFonts w:hint="eastAsia" w:ascii="宋体" w:hAnsi="宋体" w:eastAsia="宋体" w:cs="宋体"/>
                <w:b/>
                <w:bCs/>
                <w:i w:val="0"/>
                <w:iCs w:val="0"/>
                <w:color w:val="auto"/>
                <w:sz w:val="22"/>
                <w:szCs w:val="22"/>
                <w:highlight w:val="none"/>
              </w:rPr>
              <w:t xml:space="preserve"> </w:t>
            </w:r>
            <w:r>
              <w:rPr>
                <w:rFonts w:hint="eastAsia" w:ascii="宋体" w:hAnsi="宋体" w:eastAsia="宋体" w:cs="宋体"/>
                <w:color w:val="auto"/>
                <w:sz w:val="22"/>
                <w:szCs w:val="22"/>
                <w:highlight w:val="none"/>
              </w:rPr>
              <w:t>行业。</w:t>
            </w:r>
          </w:p>
          <w:p>
            <w:pPr>
              <w:pStyle w:val="19"/>
              <w:rPr>
                <w:rFonts w:hint="eastAsia" w:ascii="宋体" w:hAnsi="宋体" w:eastAsia="宋体" w:cs="宋体"/>
                <w:b/>
                <w:bCs w:val="0"/>
                <w:color w:val="auto"/>
                <w:sz w:val="22"/>
                <w:szCs w:val="22"/>
                <w:highlight w:val="none"/>
              </w:rPr>
            </w:pPr>
            <w:r>
              <w:rPr>
                <w:rFonts w:hint="eastAsia" w:ascii="宋体" w:hAnsi="宋体" w:eastAsia="宋体" w:cs="宋体"/>
                <w:bCs/>
                <w:color w:val="auto"/>
                <w:kern w:val="28"/>
                <w:sz w:val="22"/>
                <w:szCs w:val="22"/>
                <w:highlight w:val="none"/>
                <w:lang w:val="en-US" w:eastAsia="zh-CN"/>
              </w:rPr>
              <w:t>按标准，此行业：</w:t>
            </w:r>
            <w:r>
              <w:rPr>
                <w:rFonts w:hint="eastAsia" w:ascii="宋体" w:hAnsi="宋体" w:eastAsia="宋体" w:cs="宋体"/>
                <w:b/>
                <w:bCs w:val="0"/>
                <w:color w:val="auto"/>
                <w:kern w:val="28"/>
                <w:sz w:val="22"/>
                <w:szCs w:val="22"/>
                <w:highlight w:val="none"/>
                <w:lang w:val="en-US" w:eastAsia="zh-CN"/>
              </w:rPr>
              <w:t>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b/>
                <w:bCs w:val="0"/>
                <w:i w:val="0"/>
                <w:iCs w:val="0"/>
                <w:caps w:val="0"/>
                <w:color w:val="auto"/>
                <w:spacing w:val="0"/>
                <w:sz w:val="22"/>
                <w:szCs w:val="22"/>
                <w:highlight w:val="none"/>
                <w:shd w:val="clear" w:fill="FFFFFF"/>
              </w:rPr>
              <w:t>。</w:t>
            </w:r>
          </w:p>
          <w:p>
            <w:pPr>
              <w:snapToGrid w:val="0"/>
              <w:spacing w:line="300" w:lineRule="exac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本采购文件所称</w:t>
            </w:r>
            <w:r>
              <w:rPr>
                <w:rFonts w:hint="eastAsia" w:ascii="宋体" w:hAnsi="宋体" w:cs="宋体"/>
                <w:b/>
                <w:bCs/>
                <w:color w:val="auto"/>
                <w:sz w:val="22"/>
                <w:szCs w:val="22"/>
                <w:highlight w:val="none"/>
                <w:u w:val="single"/>
                <w:lang w:val="en-US" w:eastAsia="zh-CN"/>
              </w:rPr>
              <w:t>小微</w:t>
            </w:r>
            <w:r>
              <w:rPr>
                <w:rFonts w:hint="eastAsia" w:ascii="宋体" w:hAnsi="宋体" w:eastAsia="宋体" w:cs="宋体"/>
                <w:b w:val="0"/>
                <w:bCs w:val="0"/>
                <w:color w:val="auto"/>
                <w:kern w:val="0"/>
                <w:sz w:val="22"/>
                <w:szCs w:val="22"/>
                <w:highlight w:val="none"/>
              </w:rPr>
              <w:t>企业，是指在中华人民共和国境内依法设立，依据国务院批准的中小企业划分标准确定的小型企业和微型企业，但与</w:t>
            </w:r>
            <w:r>
              <w:rPr>
                <w:rFonts w:hint="eastAsia" w:ascii="宋体" w:hAnsi="宋体" w:cs="宋体"/>
                <w:b w:val="0"/>
                <w:bCs w:val="0"/>
                <w:color w:val="auto"/>
                <w:kern w:val="0"/>
                <w:sz w:val="22"/>
                <w:szCs w:val="22"/>
                <w:highlight w:val="none"/>
                <w:lang w:val="en-US" w:eastAsia="zh-CN"/>
              </w:rPr>
              <w:t>中型、</w:t>
            </w:r>
            <w:r>
              <w:rPr>
                <w:rFonts w:hint="eastAsia" w:ascii="宋体" w:hAnsi="宋体" w:eastAsia="宋体" w:cs="宋体"/>
                <w:b w:val="0"/>
                <w:bCs w:val="0"/>
                <w:color w:val="auto"/>
                <w:kern w:val="0"/>
                <w:sz w:val="22"/>
                <w:szCs w:val="22"/>
                <w:highlight w:val="none"/>
              </w:rPr>
              <w:t>大企业的负责人为同一人，或者与大企业存在直接控股、管理关系的除外。</w:t>
            </w:r>
          </w:p>
          <w:p>
            <w:pPr>
              <w:snapToGrid w:val="0"/>
              <w:spacing w:line="3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2、根据财政部发布的《政府采购促进中小企业发展管理办法》财库（2020）46号的相关规定：</w:t>
            </w:r>
          </w:p>
          <w:p>
            <w:pPr>
              <w:snapToGrid w:val="0"/>
              <w:spacing w:line="30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eastAsia="zh-CN"/>
              </w:rPr>
              <w:sym w:font="Wingdings 2" w:char="0052"/>
            </w:r>
            <w:r>
              <w:rPr>
                <w:rFonts w:hint="eastAsia" w:ascii="宋体" w:hAnsi="宋体" w:eastAsia="宋体" w:cs="宋体"/>
                <w:b/>
                <w:bCs/>
                <w:color w:val="auto"/>
                <w:sz w:val="22"/>
                <w:szCs w:val="22"/>
                <w:highlight w:val="none"/>
                <w:u w:val="single"/>
              </w:rPr>
              <w:t>本项目为预留份额项目，专门面向</w:t>
            </w:r>
            <w:r>
              <w:rPr>
                <w:rFonts w:hint="eastAsia" w:ascii="宋体" w:hAnsi="宋体" w:cs="宋体"/>
                <w:b/>
                <w:bCs/>
                <w:color w:val="auto"/>
                <w:sz w:val="22"/>
                <w:szCs w:val="22"/>
                <w:highlight w:val="none"/>
                <w:u w:val="single"/>
                <w:lang w:val="en-US" w:eastAsia="zh-CN"/>
              </w:rPr>
              <w:t>小微</w:t>
            </w:r>
            <w:r>
              <w:rPr>
                <w:rFonts w:hint="eastAsia" w:ascii="宋体" w:hAnsi="宋体" w:eastAsia="宋体" w:cs="宋体"/>
                <w:b/>
                <w:bCs/>
                <w:color w:val="auto"/>
                <w:sz w:val="22"/>
                <w:szCs w:val="22"/>
                <w:highlight w:val="none"/>
                <w:u w:val="single"/>
              </w:rPr>
              <w:t>企业</w:t>
            </w:r>
            <w:r>
              <w:rPr>
                <w:rFonts w:hint="eastAsia" w:ascii="宋体" w:hAnsi="宋体" w:cs="宋体"/>
                <w:b/>
                <w:bCs/>
                <w:color w:val="auto"/>
                <w:sz w:val="22"/>
                <w:szCs w:val="22"/>
                <w:highlight w:val="none"/>
                <w:u w:val="single"/>
              </w:rPr>
              <w:t>（小型、微型）</w:t>
            </w:r>
            <w:r>
              <w:rPr>
                <w:rFonts w:hint="eastAsia" w:ascii="宋体" w:hAnsi="宋体" w:eastAsia="宋体" w:cs="宋体"/>
                <w:b/>
                <w:bCs/>
                <w:color w:val="auto"/>
                <w:sz w:val="22"/>
                <w:szCs w:val="22"/>
                <w:highlight w:val="none"/>
                <w:u w:val="single"/>
              </w:rPr>
              <w:t>采购。</w:t>
            </w:r>
            <w:r>
              <w:rPr>
                <w:rFonts w:hint="eastAsia" w:ascii="宋体" w:hAnsi="宋体" w:cs="宋体"/>
                <w:b/>
                <w:bCs w:val="0"/>
                <w:color w:val="auto"/>
                <w:sz w:val="22"/>
                <w:szCs w:val="22"/>
                <w:highlight w:val="none"/>
                <w:u w:val="single"/>
              </w:rPr>
              <w:t>资格文件中必须提供《中小企业声明函》（见附件）。</w:t>
            </w:r>
            <w:r>
              <w:rPr>
                <w:rFonts w:hint="eastAsia" w:ascii="宋体" w:hAnsi="宋体" w:eastAsia="宋体" w:cs="宋体"/>
                <w:b/>
                <w:bCs/>
                <w:color w:val="auto"/>
                <w:sz w:val="22"/>
                <w:szCs w:val="22"/>
                <w:highlight w:val="none"/>
                <w:u w:val="single"/>
              </w:rPr>
              <w:t>专门面向</w:t>
            </w:r>
            <w:r>
              <w:rPr>
                <w:rFonts w:hint="eastAsia" w:ascii="宋体" w:hAnsi="宋体" w:cs="宋体"/>
                <w:b/>
                <w:bCs/>
                <w:color w:val="auto"/>
                <w:sz w:val="22"/>
                <w:szCs w:val="22"/>
                <w:highlight w:val="none"/>
                <w:u w:val="single"/>
                <w:lang w:val="en-US" w:eastAsia="zh-CN"/>
              </w:rPr>
              <w:t>小微企业</w:t>
            </w:r>
            <w:r>
              <w:rPr>
                <w:rFonts w:hint="eastAsia" w:ascii="宋体" w:hAnsi="宋体" w:eastAsia="宋体" w:cs="宋体"/>
                <w:b/>
                <w:bCs/>
                <w:color w:val="auto"/>
                <w:sz w:val="22"/>
                <w:szCs w:val="22"/>
                <w:highlight w:val="none"/>
                <w:u w:val="single"/>
              </w:rPr>
              <w:t>采购的项目或者标项，不再执行价格评审优惠的扶持政策。</w:t>
            </w:r>
          </w:p>
          <w:p>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3、残疾人福利性单位视同小微企业。残疾人福利性单位参加政府采购活动时，应当提供《残疾人福利性单位声明函》。</w:t>
            </w:r>
          </w:p>
          <w:p>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val="0"/>
                <w:bCs/>
                <w:color w:val="auto"/>
                <w:sz w:val="22"/>
                <w:szCs w:val="22"/>
                <w:highlight w:val="none"/>
              </w:rPr>
              <w:t>4、监狱企业视同小微企业。监狱企业参加政府采购活动时，应当出具省级以上监狱管理局、戒毒管理局（含新疆生产建设兵团）提供的属于监狱企业的证明文件。</w:t>
            </w:r>
          </w:p>
        </w:tc>
      </w:tr>
      <w:tr>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
                <w:color w:val="auto"/>
                <w:sz w:val="22"/>
                <w:szCs w:val="22"/>
                <w:highlight w:val="none"/>
              </w:rPr>
              <w:t>节能产品、环境标志产品</w:t>
            </w:r>
            <w:r>
              <w:rPr>
                <w:rFonts w:hint="eastAsia" w:ascii="宋体" w:hAnsi="宋体" w:eastAsia="宋体" w:cs="宋体"/>
                <w:b/>
                <w:color w:val="auto"/>
                <w:sz w:val="22"/>
                <w:szCs w:val="22"/>
                <w:highlight w:val="none"/>
                <w:lang w:eastAsia="zh-CN"/>
              </w:rPr>
              <w:t>（货物采购项目适用）</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pStyle w:val="19"/>
              <w:spacing w:after="0" w:line="300" w:lineRule="exact"/>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2"/>
                <w:szCs w:val="22"/>
                <w:highlight w:val="none"/>
                <w:lang w:eastAsia="zh-CN"/>
              </w:rPr>
              <w:t>。</w:t>
            </w:r>
          </w:p>
        </w:tc>
      </w:tr>
      <w:tr>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根据</w:t>
            </w:r>
            <w:r>
              <w:rPr>
                <w:rFonts w:hint="eastAsia" w:ascii="宋体" w:hAnsi="宋体" w:eastAsia="宋体" w:cs="宋体"/>
                <w:color w:val="auto"/>
                <w:sz w:val="22"/>
                <w:szCs w:val="22"/>
                <w:highlight w:val="none"/>
              </w:rPr>
              <w:t>《政府采购质疑和投诉办法》的规定，</w:t>
            </w:r>
            <w:r>
              <w:rPr>
                <w:rFonts w:hint="eastAsia" w:ascii="宋体" w:hAnsi="宋体" w:eastAsia="宋体" w:cs="宋体"/>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平阳县财政局政府采购监督管理科</w:t>
            </w:r>
          </w:p>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eastAsia="zh-CN"/>
              </w:rPr>
              <w:t>周女士</w:t>
            </w:r>
          </w:p>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cs="宋体"/>
                <w:color w:val="auto"/>
                <w:sz w:val="22"/>
                <w:szCs w:val="22"/>
                <w:highlight w:val="none"/>
                <w:lang w:eastAsia="zh-CN"/>
              </w:rPr>
              <w:t>0577-63889763</w:t>
            </w:r>
          </w:p>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lang w:val="en-US" w:eastAsia="zh-CN"/>
              </w:rPr>
              <w:t>/</w:t>
            </w:r>
          </w:p>
          <w:p>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地址：平阳县昆阳镇人民路平阳县财政局</w:t>
            </w:r>
          </w:p>
        </w:tc>
      </w:tr>
      <w:tr>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响应文件的上传和递交</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a.投标供应商应在投标截止时间前将“电子加密投标文件”成功上传递交至“政府采购云平台”，否则投标无效。</w:t>
            </w:r>
          </w:p>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a.投标供应商在“政府采购云平台”完成“电子加密投标文件”的上传递交后，还可以（邮寄形式）在投标截止时间前递交以介质（U盘）存储的 “备份投标文件”（一份）；</w:t>
            </w:r>
          </w:p>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48"/>
              <w:keepNext w:val="0"/>
              <w:keepLines w:val="0"/>
              <w:pageBreakBefore w:val="0"/>
              <w:widowControl/>
              <w:kinsoku/>
              <w:wordWrap/>
              <w:overflowPunct/>
              <w:topLinePunct w:val="0"/>
              <w:autoSpaceDE/>
              <w:autoSpaceDN/>
              <w:bidi w:val="0"/>
              <w:adjustRightInd w:val="0"/>
              <w:snapToGrid/>
              <w:spacing w:line="360" w:lineRule="atLeas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val="en-US" w:eastAsia="zh-CN" w:bidi="ar"/>
              </w:rPr>
              <w:t>3</w:t>
            </w:r>
            <w:r>
              <w:rPr>
                <w:rFonts w:hint="eastAsia" w:ascii="宋体" w:hAnsi="宋体" w:eastAsia="宋体" w:cs="宋体"/>
                <w:color w:val="auto"/>
                <w:sz w:val="22"/>
                <w:szCs w:val="22"/>
                <w:highlight w:val="none"/>
                <w:lang w:eastAsia="zh-CN" w:bidi="ar"/>
              </w:rPr>
              <w:t>）</w:t>
            </w:r>
            <w:r>
              <w:rPr>
                <w:rFonts w:hint="eastAsia" w:ascii="宋体" w:hAnsi="宋体" w:eastAsia="宋体" w:cs="宋体"/>
                <w:b/>
                <w:bCs/>
                <w:color w:val="auto"/>
                <w:sz w:val="22"/>
                <w:szCs w:val="22"/>
                <w:highlight w:val="none"/>
                <w:lang w:eastAsia="zh-CN" w:bidi="ar"/>
              </w:rPr>
              <w:t>成交（</w:t>
            </w:r>
            <w:r>
              <w:rPr>
                <w:rFonts w:hint="eastAsia" w:ascii="宋体" w:hAnsi="宋体" w:eastAsia="宋体" w:cs="宋体"/>
                <w:b/>
                <w:bCs/>
                <w:color w:val="auto"/>
                <w:sz w:val="22"/>
                <w:szCs w:val="22"/>
                <w:highlight w:val="none"/>
                <w:lang w:val="zh-CN"/>
              </w:rPr>
              <w:t>中标）供应商</w:t>
            </w:r>
            <w:r>
              <w:rPr>
                <w:rFonts w:hint="eastAsia" w:ascii="宋体" w:hAnsi="宋体" w:eastAsia="宋体" w:cs="宋体"/>
                <w:b/>
                <w:bCs/>
                <w:color w:val="auto"/>
                <w:sz w:val="22"/>
                <w:szCs w:val="22"/>
                <w:highlight w:val="none"/>
              </w:rPr>
              <w:t>在领取</w:t>
            </w:r>
            <w:r>
              <w:rPr>
                <w:rFonts w:hint="eastAsia" w:ascii="宋体" w:hAnsi="宋体" w:eastAsia="宋体" w:cs="宋体"/>
                <w:b/>
                <w:bCs/>
                <w:color w:val="auto"/>
                <w:sz w:val="22"/>
                <w:szCs w:val="22"/>
                <w:highlight w:val="none"/>
                <w:lang w:eastAsia="zh-CN"/>
              </w:rPr>
              <w:t>成交（</w:t>
            </w:r>
            <w:r>
              <w:rPr>
                <w:rFonts w:hint="eastAsia" w:ascii="宋体" w:hAnsi="宋体" w:eastAsia="宋体" w:cs="宋体"/>
                <w:b/>
                <w:bCs/>
                <w:color w:val="auto"/>
                <w:sz w:val="22"/>
                <w:szCs w:val="22"/>
                <w:highlight w:val="none"/>
              </w:rPr>
              <w:t>中标</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通知书时提供全套纸质</w:t>
            </w:r>
            <w:r>
              <w:rPr>
                <w:rFonts w:hint="eastAsia" w:ascii="宋体" w:hAnsi="宋体" w:eastAsia="宋体" w:cs="宋体"/>
                <w:b/>
                <w:bCs/>
                <w:color w:val="auto"/>
                <w:sz w:val="22"/>
                <w:szCs w:val="22"/>
                <w:highlight w:val="none"/>
                <w:lang w:eastAsia="zh-CN"/>
              </w:rPr>
              <w:t>投标</w:t>
            </w:r>
            <w:r>
              <w:rPr>
                <w:rFonts w:hint="eastAsia" w:ascii="宋体" w:hAnsi="宋体" w:eastAsia="宋体" w:cs="宋体"/>
                <w:b/>
                <w:bCs/>
                <w:color w:val="auto"/>
                <w:sz w:val="22"/>
                <w:szCs w:val="22"/>
                <w:highlight w:val="none"/>
              </w:rPr>
              <w:t>文件一正</w:t>
            </w:r>
            <w:r>
              <w:rPr>
                <w:rFonts w:hint="eastAsia" w:ascii="宋体" w:hAnsi="宋体" w:eastAsia="宋体" w:cs="宋体"/>
                <w:b/>
                <w:bCs/>
                <w:color w:val="auto"/>
                <w:sz w:val="22"/>
                <w:szCs w:val="22"/>
                <w:highlight w:val="none"/>
                <w:lang w:eastAsia="zh-CN"/>
              </w:rPr>
              <w:t>二</w:t>
            </w:r>
            <w:r>
              <w:rPr>
                <w:rFonts w:hint="eastAsia" w:ascii="宋体" w:hAnsi="宋体" w:eastAsia="宋体" w:cs="宋体"/>
                <w:b/>
                <w:bCs/>
                <w:color w:val="auto"/>
                <w:sz w:val="22"/>
                <w:szCs w:val="22"/>
                <w:highlight w:val="none"/>
              </w:rPr>
              <w:t>副</w:t>
            </w:r>
            <w:r>
              <w:rPr>
                <w:rFonts w:hint="eastAsia" w:ascii="宋体" w:hAnsi="宋体" w:eastAsia="宋体" w:cs="宋体"/>
                <w:b/>
                <w:bCs/>
                <w:color w:val="auto"/>
                <w:sz w:val="22"/>
                <w:szCs w:val="22"/>
                <w:highlight w:val="none"/>
                <w:lang w:eastAsia="zh-CN"/>
              </w:rPr>
              <w:t>（含最终报价文件，</w:t>
            </w:r>
            <w:r>
              <w:rPr>
                <w:rFonts w:hint="eastAsia" w:ascii="宋体" w:hAnsi="宋体" w:eastAsia="宋体" w:cs="宋体"/>
                <w:b/>
                <w:bCs/>
                <w:color w:val="auto"/>
                <w:sz w:val="22"/>
                <w:szCs w:val="22"/>
                <w:highlight w:val="none"/>
                <w:lang w:val="en-US" w:eastAsia="zh-CN"/>
              </w:rPr>
              <w:t>加盖供应商公章</w:t>
            </w:r>
            <w:r>
              <w:rPr>
                <w:rFonts w:hint="eastAsia" w:ascii="宋体" w:hAnsi="宋体" w:eastAsia="宋体" w:cs="宋体"/>
                <w:b/>
                <w:bCs/>
                <w:color w:val="auto"/>
                <w:sz w:val="22"/>
                <w:szCs w:val="22"/>
                <w:highlight w:val="none"/>
                <w:lang w:eastAsia="zh-CN"/>
              </w:rPr>
              <w:t>）给采购人</w:t>
            </w:r>
            <w:r>
              <w:rPr>
                <w:rFonts w:hint="eastAsia" w:ascii="宋体" w:hAnsi="宋体" w:eastAsia="宋体" w:cs="宋体"/>
                <w:b/>
                <w:bCs/>
                <w:color w:val="auto"/>
                <w:sz w:val="22"/>
                <w:szCs w:val="22"/>
                <w:highlight w:val="none"/>
                <w:lang w:val="zh-CN"/>
              </w:rPr>
              <w:t>，</w:t>
            </w:r>
            <w:r>
              <w:rPr>
                <w:rFonts w:hint="eastAsia" w:ascii="宋体" w:hAnsi="宋体" w:eastAsia="宋体" w:cs="宋体"/>
                <w:color w:val="auto"/>
                <w:sz w:val="22"/>
                <w:szCs w:val="22"/>
                <w:highlight w:val="none"/>
                <w:lang w:val="zh-CN"/>
              </w:rPr>
              <w:t>装订成册，采用胶订或线订，不得采用活页夹等可随时拆换的方式装订（胶订或线订以外装订形式视为活页装订）</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纸质投标文件应与电子投标文件内容一致。</w:t>
            </w:r>
          </w:p>
        </w:tc>
      </w:tr>
      <w:tr>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电子加密响应文件的</w:t>
            </w:r>
          </w:p>
          <w:p>
            <w:pPr>
              <w:spacing w:line="3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解密和异常情况处理</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电子加密投标文件的解密和异常情况处理：</w:t>
            </w:r>
          </w:p>
          <w:p>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0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bidi="ar"/>
              </w:rPr>
              <w:t>（3）投标截止时间前，投标供应商仅递交了“备份投标文件”而未将电子加密投标文件上传至“政府采购云平台”的，投标无效。</w:t>
            </w:r>
          </w:p>
        </w:tc>
      </w:tr>
      <w:tr>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keepNext w:val="0"/>
              <w:keepLines w:val="0"/>
              <w:pageBreakBefore w:val="0"/>
              <w:tabs>
                <w:tab w:val="left" w:pos="5013"/>
              </w:tabs>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本项目无需提供</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rPr>
              <w:tab/>
            </w:r>
          </w:p>
        </w:tc>
      </w:tr>
      <w:tr>
        <w:tblPrEx>
          <w:tblCellMar>
            <w:top w:w="0" w:type="dxa"/>
            <w:left w:w="0" w:type="dxa"/>
            <w:bottom w:w="0" w:type="dxa"/>
            <w:right w:w="0" w:type="dxa"/>
          </w:tblCellMar>
        </w:tblPrEx>
        <w:trPr>
          <w:trHeight w:val="430"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递交磋商响应文件截止时间及开标解密开始时间</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2"/>
                <w:szCs w:val="22"/>
                <w:highlight w:val="none"/>
                <w:lang w:bidi="ar"/>
              </w:rPr>
            </w:pPr>
            <w:r>
              <w:rPr>
                <w:rFonts w:hint="eastAsia" w:ascii="宋体" w:hAnsi="宋体" w:cs="宋体"/>
                <w:color w:val="auto"/>
                <w:sz w:val="22"/>
                <w:szCs w:val="22"/>
                <w:highlight w:val="none"/>
                <w:lang w:eastAsia="zh-CN"/>
              </w:rPr>
              <w:t xml:space="preserve">2024年06月26日 </w:t>
            </w:r>
            <w:r>
              <w:rPr>
                <w:rFonts w:hint="eastAsia" w:ascii="宋体" w:hAnsi="宋体" w:eastAsia="宋体" w:cs="宋体"/>
                <w:color w:val="auto"/>
                <w:kern w:val="0"/>
                <w:sz w:val="22"/>
                <w:szCs w:val="22"/>
                <w:highlight w:val="none"/>
                <w:lang w:eastAsia="zh-CN"/>
              </w:rPr>
              <w:t>下午</w:t>
            </w:r>
            <w:r>
              <w:rPr>
                <w:rFonts w:hint="eastAsia" w:ascii="宋体" w:hAnsi="宋体" w:eastAsia="宋体" w:cs="宋体"/>
                <w:color w:val="auto"/>
                <w:kern w:val="0"/>
                <w:sz w:val="22"/>
                <w:szCs w:val="22"/>
                <w:highlight w:val="none"/>
                <w:lang w:val="en-US" w:eastAsia="zh-CN"/>
              </w:rPr>
              <w:t>14</w:t>
            </w:r>
            <w:r>
              <w:rPr>
                <w:rFonts w:hint="eastAsia" w:ascii="宋体" w:hAnsi="宋体" w:eastAsia="宋体" w:cs="宋体"/>
                <w:color w:val="auto"/>
                <w:kern w:val="0"/>
                <w:sz w:val="22"/>
                <w:szCs w:val="22"/>
                <w:highlight w:val="none"/>
              </w:rPr>
              <w:t>：30</w:t>
            </w:r>
          </w:p>
        </w:tc>
      </w:tr>
      <w:tr>
        <w:tblPrEx>
          <w:tblCellMar>
            <w:top w:w="0" w:type="dxa"/>
            <w:left w:w="0" w:type="dxa"/>
            <w:bottom w:w="0" w:type="dxa"/>
            <w:right w:w="0" w:type="dxa"/>
          </w:tblCellMar>
        </w:tblPrEx>
        <w:trPr>
          <w:trHeight w:val="195"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磋商地点（评审地点）</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keepNext w:val="0"/>
              <w:keepLines w:val="0"/>
              <w:pageBreakBefore w:val="0"/>
              <w:numPr>
                <w:ilvl w:val="0"/>
                <w:numId w:val="4"/>
              </w:numPr>
              <w:kinsoku/>
              <w:wordWrap/>
              <w:overflowPunct/>
              <w:topLinePunct w:val="0"/>
              <w:autoSpaceDE/>
              <w:autoSpaceDN/>
              <w:bidi w:val="0"/>
              <w:adjustRightInd w:val="0"/>
              <w:snapToGrid w:val="0"/>
              <w:spacing w:line="300" w:lineRule="exac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代理机构于</w:t>
            </w:r>
            <w:r>
              <w:rPr>
                <w:rFonts w:hint="eastAsia" w:ascii="宋体" w:hAnsi="宋体" w:eastAsia="宋体" w:cs="宋体"/>
                <w:bCs/>
                <w:color w:val="auto"/>
                <w:kern w:val="0"/>
                <w:sz w:val="22"/>
                <w:szCs w:val="22"/>
                <w:highlight w:val="none"/>
                <w:lang w:eastAsia="zh-CN"/>
              </w:rPr>
              <w:t>平阳县水头镇环城北路416-446号后门一单元201室</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eastAsia="zh-CN"/>
              </w:rPr>
              <w:t>温州正大工程项目管理有限公司</w:t>
            </w:r>
            <w:r>
              <w:rPr>
                <w:rFonts w:hint="eastAsia" w:ascii="宋体" w:hAnsi="宋体" w:eastAsia="宋体" w:cs="宋体"/>
                <w:bCs/>
                <w:color w:val="auto"/>
                <w:kern w:val="0"/>
                <w:sz w:val="22"/>
                <w:szCs w:val="22"/>
                <w:highlight w:val="none"/>
              </w:rPr>
              <w:t>）进行开评标活动；</w:t>
            </w:r>
          </w:p>
          <w:p>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2"/>
                <w:szCs w:val="22"/>
                <w:highlight w:val="none"/>
                <w:lang w:eastAsia="zh-CN" w:bidi="ar"/>
              </w:rPr>
            </w:pPr>
            <w:r>
              <w:rPr>
                <w:rFonts w:hint="eastAsia" w:ascii="宋体" w:hAnsi="宋体" w:eastAsia="宋体" w:cs="宋体"/>
                <w:bCs/>
                <w:color w:val="auto"/>
                <w:kern w:val="0"/>
                <w:sz w:val="22"/>
                <w:szCs w:val="22"/>
                <w:highlight w:val="none"/>
              </w:rPr>
              <w:t>2、供应商通过“政府采购云平台（www.zcygov.cn）”实行在线投标响应（在投标截止时间止，供应商须准时登录“政府采购云平台（www.zcygov.cn）”在线响应投标，不需要现场参与）；</w:t>
            </w:r>
          </w:p>
        </w:tc>
      </w:tr>
      <w:tr>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1、中标（成交）供应商须在中标（成交）通知书发出之日起30日内与采购人签订合同。</w:t>
            </w:r>
          </w:p>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2、中标（成交）供应商与采购人签订合同后，2日历天内将合同扫描件电子版发给代理公司：邮箱：</w:t>
            </w:r>
            <w:r>
              <w:rPr>
                <w:rStyle w:val="46"/>
                <w:rFonts w:hint="eastAsia" w:ascii="宋体" w:hAnsi="宋体" w:eastAsia="宋体" w:cs="宋体"/>
                <w:color w:val="auto"/>
                <w:sz w:val="22"/>
                <w:szCs w:val="22"/>
                <w:highlight w:val="none"/>
                <w:lang w:val="en-US" w:eastAsia="zh-CN"/>
              </w:rPr>
              <w:t>477535514@qq.com，</w:t>
            </w:r>
            <w:r>
              <w:rPr>
                <w:rStyle w:val="46"/>
                <w:rFonts w:hint="eastAsia" w:ascii="宋体" w:hAnsi="宋体" w:eastAsia="宋体" w:cs="宋体"/>
                <w:color w:val="auto"/>
                <w:sz w:val="22"/>
                <w:szCs w:val="22"/>
                <w:highlight w:val="none"/>
                <w:u w:val="none"/>
                <w:lang w:val="en-US" w:eastAsia="zh-CN"/>
              </w:rPr>
              <w:t>并提供一份合同原件给代理公司。</w:t>
            </w:r>
          </w:p>
          <w:p>
            <w:pPr>
              <w:spacing w:line="300" w:lineRule="exact"/>
              <w:jc w:val="both"/>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3、本项目政府采购合同按规定在浙江政府采购网（</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"http://www.zjzfcg.gov.cn"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w:t>
            </w:r>
            <w:r>
              <w:rPr>
                <w:rFonts w:hint="eastAsia" w:ascii="宋体" w:hAnsi="宋体" w:eastAsia="宋体" w:cs="宋体"/>
                <w:color w:val="auto"/>
                <w:sz w:val="22"/>
                <w:szCs w:val="22"/>
                <w:highlight w:val="none"/>
                <w:lang w:eastAsia="zh-CN"/>
              </w:rPr>
              <w:t>zfcg.czt.zj.gov.cn/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）予以公告。</w:t>
            </w:r>
          </w:p>
        </w:tc>
      </w:tr>
      <w:tr>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合同签订后，采购人依法加强对合同履约进行管理，并在中标（成交）供应商供货、项目验收等重要关节，如实填写《合同验收报告》（或考核资料），并及时向同级财政部门报告验收过程中遇到的问题。</w:t>
            </w:r>
          </w:p>
        </w:tc>
      </w:tr>
      <w:tr>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免则声明</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r>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doub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749" w:type="dxa"/>
            <w:tcBorders>
              <w:top w:val="single" w:color="000000" w:sz="4" w:space="0"/>
              <w:left w:val="single" w:color="000000" w:sz="4" w:space="0"/>
              <w:bottom w:val="double" w:color="000000" w:sz="4" w:space="0"/>
              <w:right w:val="double" w:color="000000" w:sz="4"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b/>
                <w:color w:val="auto"/>
                <w:sz w:val="22"/>
                <w:szCs w:val="22"/>
                <w:highlight w:val="none"/>
              </w:rPr>
              <w:t>▲中标（成交）供应商在合同签订前，采购人有权要求中标（成交）供应商提供其投标文件中的相关文件资料的原件进行审核；如无法提供原件或提供的原件与其投标文件中的不符，采购人有权取消其中标资格，并提交主管部门处理。</w:t>
            </w:r>
          </w:p>
        </w:tc>
      </w:tr>
    </w:tbl>
    <w:p>
      <w:pPr>
        <w:pStyle w:val="20"/>
        <w:rPr>
          <w:rFonts w:hint="eastAsia"/>
          <w:color w:val="auto"/>
          <w:sz w:val="22"/>
          <w:szCs w:val="22"/>
          <w:highlight w:val="none"/>
        </w:rPr>
      </w:pPr>
    </w:p>
    <w:p>
      <w:pPr>
        <w:pStyle w:val="21"/>
        <w:rPr>
          <w:rFonts w:hint="eastAsia"/>
          <w:color w:val="auto"/>
          <w:highlight w:val="none"/>
        </w:rPr>
      </w:pPr>
    </w:p>
    <w:p>
      <w:pPr>
        <w:autoSpaceDE w:val="0"/>
        <w:autoSpaceDN w:val="0"/>
        <w:spacing w:line="460" w:lineRule="atLeast"/>
        <w:jc w:val="center"/>
        <w:textAlignment w:val="bottom"/>
        <w:rPr>
          <w:rFonts w:hint="eastAsia" w:ascii="宋体" w:hAnsi="宋体"/>
          <w:color w:val="auto"/>
          <w:sz w:val="32"/>
          <w:szCs w:val="32"/>
          <w:highlight w:val="none"/>
        </w:rPr>
      </w:pPr>
    </w:p>
    <w:p>
      <w:pPr>
        <w:autoSpaceDE w:val="0"/>
        <w:autoSpaceDN w:val="0"/>
        <w:spacing w:line="460" w:lineRule="atLeast"/>
        <w:jc w:val="center"/>
        <w:textAlignment w:val="bottom"/>
        <w:rPr>
          <w:rFonts w:hint="eastAsia" w:ascii="宋体" w:hAnsi="宋体"/>
          <w:color w:val="auto"/>
          <w:sz w:val="32"/>
          <w:szCs w:val="32"/>
          <w:highlight w:val="none"/>
        </w:rPr>
        <w:sectPr>
          <w:pgSz w:w="11907" w:h="16840"/>
          <w:pgMar w:top="1440" w:right="1117" w:bottom="1440" w:left="1157" w:header="720" w:footer="720" w:gutter="0"/>
          <w:cols w:space="720" w:num="1"/>
          <w:titlePg/>
          <w:docGrid w:linePitch="286" w:charSpace="0"/>
        </w:sectPr>
      </w:pPr>
    </w:p>
    <w:p>
      <w:pPr>
        <w:autoSpaceDE w:val="0"/>
        <w:autoSpaceDN w:val="0"/>
        <w:spacing w:line="460" w:lineRule="atLeast"/>
        <w:jc w:val="center"/>
        <w:textAlignment w:val="bottom"/>
        <w:rPr>
          <w:rFonts w:hint="eastAsia" w:ascii="宋体" w:hAnsi="宋体"/>
          <w:color w:val="auto"/>
          <w:sz w:val="32"/>
          <w:szCs w:val="32"/>
          <w:highlight w:val="none"/>
        </w:rPr>
      </w:pPr>
      <w:r>
        <w:rPr>
          <w:rFonts w:hint="eastAsia" w:ascii="宋体" w:hAnsi="宋体"/>
          <w:color w:val="auto"/>
          <w:sz w:val="32"/>
          <w:szCs w:val="32"/>
          <w:highlight w:val="none"/>
        </w:rPr>
        <w:t>竞争性磋商文件目录</w:t>
      </w:r>
    </w:p>
    <w:p>
      <w:pPr>
        <w:autoSpaceDE w:val="0"/>
        <w:autoSpaceDN w:val="0"/>
        <w:snapToGrid w:val="0"/>
        <w:spacing w:line="460" w:lineRule="atLeast"/>
        <w:textAlignment w:val="bottom"/>
        <w:rPr>
          <w:rFonts w:hint="eastAsia" w:ascii="宋体" w:hAnsi="宋体"/>
          <w:color w:val="auto"/>
          <w:sz w:val="28"/>
          <w:highlight w:val="none"/>
        </w:rPr>
      </w:pPr>
      <w:r>
        <w:rPr>
          <w:rFonts w:hint="eastAsia" w:ascii="宋体" w:hAnsi="宋体"/>
          <w:color w:val="auto"/>
          <w:sz w:val="28"/>
          <w:highlight w:val="none"/>
        </w:rPr>
        <w:t xml:space="preserve">   </w:t>
      </w:r>
    </w:p>
    <w:p>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p>
    <w:p>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pPr>
        <w:autoSpaceDE w:val="0"/>
        <w:autoSpaceDN w:val="0"/>
        <w:snapToGrid w:val="0"/>
        <w:spacing w:line="460" w:lineRule="atLeas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   第二部分、采购内容及技术要求</w:t>
      </w:r>
    </w:p>
    <w:p>
      <w:pPr>
        <w:autoSpaceDE w:val="0"/>
        <w:autoSpaceDN w:val="0"/>
        <w:snapToGrid w:val="0"/>
        <w:spacing w:line="460" w:lineRule="atLeas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pPr>
        <w:autoSpaceDE w:val="0"/>
        <w:autoSpaceDN w:val="0"/>
        <w:snapToGrid w:val="0"/>
        <w:spacing w:line="440" w:lineRule="atLeas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pPr>
        <w:autoSpaceDE w:val="0"/>
        <w:autoSpaceDN w:val="0"/>
        <w:snapToGrid w:val="0"/>
        <w:spacing w:line="44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第五部分、合同格式          </w:t>
      </w:r>
    </w:p>
    <w:p>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第六部分、附件：投标文件格式</w:t>
      </w:r>
    </w:p>
    <w:p>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第七部分、确定成交供应商办法</w:t>
      </w:r>
    </w:p>
    <w:p>
      <w:pPr>
        <w:autoSpaceDE w:val="0"/>
        <w:autoSpaceDN w:val="0"/>
        <w:snapToGrid w:val="0"/>
        <w:spacing w:line="440" w:lineRule="atLeast"/>
        <w:ind w:firstLine="431" w:firstLineChars="196"/>
        <w:textAlignment w:val="bottom"/>
        <w:rPr>
          <w:rFonts w:hint="eastAsia"/>
          <w:color w:val="auto"/>
          <w:sz w:val="22"/>
          <w:szCs w:val="22"/>
          <w:highlight w:val="none"/>
        </w:rPr>
      </w:pPr>
      <w:r>
        <w:rPr>
          <w:rFonts w:hint="eastAsia"/>
          <w:color w:val="auto"/>
          <w:sz w:val="22"/>
          <w:szCs w:val="22"/>
          <w:highlight w:val="none"/>
        </w:rPr>
        <w:t>附：质疑函范本</w:t>
      </w:r>
    </w:p>
    <w:p>
      <w:pPr>
        <w:autoSpaceDE w:val="0"/>
        <w:autoSpaceDN w:val="0"/>
        <w:snapToGrid w:val="0"/>
        <w:spacing w:line="460" w:lineRule="atLeast"/>
        <w:ind w:firstLine="1665"/>
        <w:textAlignment w:val="bottom"/>
        <w:rPr>
          <w:rFonts w:hint="eastAsia" w:ascii="宋体" w:hAnsi="宋体"/>
          <w:color w:val="auto"/>
          <w:sz w:val="22"/>
          <w:szCs w:val="22"/>
          <w:highlight w:val="none"/>
        </w:rPr>
      </w:pPr>
    </w:p>
    <w:p>
      <w:pPr>
        <w:autoSpaceDE w:val="0"/>
        <w:autoSpaceDN w:val="0"/>
        <w:snapToGrid w:val="0"/>
        <w:spacing w:line="460" w:lineRule="atLeast"/>
        <w:ind w:firstLine="1665"/>
        <w:textAlignment w:val="bottom"/>
        <w:rPr>
          <w:rFonts w:hint="eastAsia" w:ascii="宋体" w:hAnsi="宋体"/>
          <w:color w:val="auto"/>
          <w:sz w:val="22"/>
          <w:szCs w:val="22"/>
          <w:highlight w:val="none"/>
        </w:rPr>
      </w:pPr>
    </w:p>
    <w:p>
      <w:pPr>
        <w:autoSpaceDE w:val="0"/>
        <w:autoSpaceDN w:val="0"/>
        <w:spacing w:before="120" w:line="460" w:lineRule="atLeast"/>
        <w:jc w:val="center"/>
        <w:textAlignment w:val="bottom"/>
        <w:rPr>
          <w:rFonts w:hint="eastAsia" w:ascii="宋体" w:hAnsi="宋体"/>
          <w:color w:val="auto"/>
          <w:sz w:val="22"/>
          <w:szCs w:val="22"/>
          <w:highlight w:val="none"/>
        </w:rPr>
      </w:pPr>
    </w:p>
    <w:p>
      <w:pPr>
        <w:autoSpaceDE w:val="0"/>
        <w:autoSpaceDN w:val="0"/>
        <w:spacing w:before="120" w:line="460" w:lineRule="atLeast"/>
        <w:jc w:val="center"/>
        <w:textAlignment w:val="bottom"/>
        <w:rPr>
          <w:rFonts w:hint="eastAsia" w:ascii="宋体" w:hAnsi="宋体"/>
          <w:color w:val="auto"/>
          <w:sz w:val="22"/>
          <w:szCs w:val="22"/>
          <w:highlight w:val="none"/>
        </w:rPr>
      </w:pPr>
    </w:p>
    <w:p>
      <w:pPr>
        <w:autoSpaceDE w:val="0"/>
        <w:autoSpaceDN w:val="0"/>
        <w:spacing w:before="120" w:line="460" w:lineRule="atLeast"/>
        <w:jc w:val="center"/>
        <w:textAlignment w:val="bottom"/>
        <w:rPr>
          <w:rFonts w:hint="eastAsia" w:ascii="宋体" w:hAnsi="宋体"/>
          <w:color w:val="auto"/>
          <w:sz w:val="22"/>
          <w:szCs w:val="22"/>
          <w:highlight w:val="none"/>
        </w:rPr>
      </w:pPr>
    </w:p>
    <w:p>
      <w:pPr>
        <w:autoSpaceDE w:val="0"/>
        <w:autoSpaceDN w:val="0"/>
        <w:spacing w:before="120" w:line="460" w:lineRule="atLeast"/>
        <w:jc w:val="center"/>
        <w:textAlignment w:val="bottom"/>
        <w:rPr>
          <w:rFonts w:hint="eastAsia" w:ascii="宋体" w:hAnsi="宋体"/>
          <w:color w:val="auto"/>
          <w:sz w:val="22"/>
          <w:szCs w:val="22"/>
          <w:highlight w:val="none"/>
        </w:rPr>
      </w:pPr>
    </w:p>
    <w:p>
      <w:pPr>
        <w:autoSpaceDE w:val="0"/>
        <w:autoSpaceDN w:val="0"/>
        <w:spacing w:before="120" w:line="460" w:lineRule="atLeast"/>
        <w:jc w:val="center"/>
        <w:textAlignment w:val="bottom"/>
        <w:rPr>
          <w:rFonts w:hint="eastAsia" w:ascii="宋体" w:hAnsi="宋体"/>
          <w:color w:val="auto"/>
          <w:sz w:val="22"/>
          <w:szCs w:val="22"/>
          <w:highlight w:val="none"/>
        </w:rPr>
      </w:pPr>
    </w:p>
    <w:p>
      <w:pPr>
        <w:autoSpaceDE w:val="0"/>
        <w:autoSpaceDN w:val="0"/>
        <w:spacing w:before="120" w:line="460" w:lineRule="atLeast"/>
        <w:jc w:val="center"/>
        <w:textAlignment w:val="bottom"/>
        <w:rPr>
          <w:rFonts w:hint="eastAsia" w:ascii="宋体" w:hAnsi="宋体" w:eastAsia="宋体"/>
          <w:color w:val="auto"/>
          <w:sz w:val="22"/>
          <w:szCs w:val="22"/>
          <w:highlight w:val="none"/>
          <w:lang w:eastAsia="zh-CN"/>
        </w:rPr>
      </w:pPr>
    </w:p>
    <w:p>
      <w:pPr>
        <w:pStyle w:val="48"/>
        <w:rPr>
          <w:rFonts w:hint="eastAsia"/>
          <w:color w:val="auto"/>
          <w:highlight w:val="none"/>
          <w:lang w:eastAsia="zh-CN"/>
        </w:rPr>
      </w:pPr>
    </w:p>
    <w:p>
      <w:pPr>
        <w:autoSpaceDE w:val="0"/>
        <w:autoSpaceDN w:val="0"/>
        <w:spacing w:before="120" w:line="460" w:lineRule="atLeast"/>
        <w:jc w:val="center"/>
        <w:textAlignment w:val="bottom"/>
        <w:rPr>
          <w:rFonts w:hint="eastAsia" w:ascii="宋体" w:hAnsi="宋体"/>
          <w:color w:val="auto"/>
          <w:sz w:val="22"/>
          <w:szCs w:val="22"/>
          <w:highlight w:val="none"/>
        </w:rPr>
      </w:pPr>
    </w:p>
    <w:p>
      <w:pPr>
        <w:autoSpaceDE w:val="0"/>
        <w:autoSpaceDN w:val="0"/>
        <w:spacing w:before="120" w:line="460" w:lineRule="atLeast"/>
        <w:jc w:val="center"/>
        <w:textAlignment w:val="bottom"/>
        <w:rPr>
          <w:rFonts w:hint="eastAsia" w:ascii="宋体" w:hAnsi="宋体"/>
          <w:b/>
          <w:color w:val="auto"/>
          <w:sz w:val="22"/>
          <w:szCs w:val="22"/>
          <w:highlight w:val="none"/>
        </w:rPr>
      </w:pPr>
    </w:p>
    <w:p>
      <w:pPr>
        <w:autoSpaceDE w:val="0"/>
        <w:autoSpaceDN w:val="0"/>
        <w:adjustRightInd w:val="0"/>
        <w:spacing w:line="460" w:lineRule="atLeast"/>
        <w:ind w:firstLine="590" w:firstLineChars="245"/>
        <w:rPr>
          <w:rFonts w:hint="eastAsia" w:ascii="宋体" w:hAnsi="宋体"/>
          <w:b/>
          <w:color w:val="auto"/>
          <w:sz w:val="24"/>
          <w:highlight w:val="none"/>
          <w:u w:val="thick"/>
        </w:rPr>
      </w:pPr>
      <w:r>
        <w:rPr>
          <w:rFonts w:hint="eastAsia" w:ascii="宋体" w:hAnsi="宋体"/>
          <w:b/>
          <w:color w:val="auto"/>
          <w:sz w:val="24"/>
          <w:highlight w:val="none"/>
          <w:u w:val="thick"/>
        </w:rPr>
        <w:t>★注：竞争性磋商文件中有的条款及要求以加粗、加下划线或符号</w:t>
      </w:r>
      <w:r>
        <w:rPr>
          <w:rFonts w:hint="eastAsia" w:ascii="宋体" w:hAnsi="宋体"/>
          <w:b/>
          <w:color w:val="auto"/>
          <w:sz w:val="30"/>
          <w:szCs w:val="30"/>
          <w:highlight w:val="none"/>
          <w:u w:val="thick"/>
        </w:rPr>
        <w:t>*</w:t>
      </w:r>
      <w:r>
        <w:rPr>
          <w:rFonts w:hint="eastAsia" w:ascii="宋体" w:hAnsi="宋体"/>
          <w:b/>
          <w:color w:val="auto"/>
          <w:sz w:val="24"/>
          <w:highlight w:val="none"/>
          <w:u w:val="thick"/>
        </w:rPr>
        <w:t>、▲、★、●的形式强调，这些特别强调的条款及内容有些是重要条款，供应商对重要条款的响应程度将作为评审工作的主要依据之一。</w:t>
      </w:r>
    </w:p>
    <w:p>
      <w:pPr>
        <w:autoSpaceDE w:val="0"/>
        <w:autoSpaceDN w:val="0"/>
        <w:adjustRightInd w:val="0"/>
        <w:spacing w:line="460" w:lineRule="atLeast"/>
        <w:ind w:firstLine="590" w:firstLineChars="245"/>
        <w:rPr>
          <w:rFonts w:hint="eastAsia" w:ascii="宋体" w:hAnsi="宋体"/>
          <w:b/>
          <w:color w:val="auto"/>
          <w:sz w:val="24"/>
          <w:highlight w:val="none"/>
          <w:u w:val="thick"/>
        </w:rPr>
        <w:sectPr>
          <w:pgSz w:w="11907" w:h="16840"/>
          <w:pgMar w:top="1440" w:right="1117" w:bottom="1440" w:left="1157" w:header="720" w:footer="720" w:gutter="0"/>
          <w:cols w:space="720" w:num="1"/>
          <w:titlePg/>
          <w:docGrid w:linePitch="286" w:charSpace="0"/>
        </w:sect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240" w:lineRule="auto"/>
        <w:jc w:val="center"/>
        <w:textAlignment w:val="bottom"/>
        <w:rPr>
          <w:rFonts w:hint="eastAsia" w:ascii="宋体" w:hAnsi="宋体"/>
          <w:b/>
          <w:color w:val="auto"/>
          <w:sz w:val="36"/>
          <w:highlight w:val="none"/>
        </w:rPr>
      </w:pPr>
      <w:r>
        <w:rPr>
          <w:rFonts w:hint="eastAsia" w:ascii="宋体" w:hAnsi="宋体" w:eastAsia="宋体" w:cs="Times New Roman"/>
          <w:b/>
          <w:color w:val="auto"/>
          <w:kern w:val="2"/>
          <w:sz w:val="36"/>
          <w:highlight w:val="none"/>
          <w:lang w:val="en-US" w:eastAsia="zh-CN" w:bidi="ar-SA"/>
        </w:rPr>
        <w:t>第一部</w:t>
      </w:r>
      <w:r>
        <w:rPr>
          <w:rFonts w:hint="eastAsia" w:ascii="宋体" w:hAnsi="宋体" w:cs="Times New Roman"/>
          <w:b/>
          <w:color w:val="auto"/>
          <w:kern w:val="2"/>
          <w:sz w:val="36"/>
          <w:highlight w:val="none"/>
          <w:lang w:val="en-US" w:eastAsia="zh-CN" w:bidi="ar-SA"/>
        </w:rPr>
        <w:t xml:space="preserve">分 </w:t>
      </w:r>
      <w:r>
        <w:rPr>
          <w:rFonts w:hint="eastAsia" w:ascii="宋体" w:hAnsi="宋体"/>
          <w:b/>
          <w:color w:val="auto"/>
          <w:sz w:val="36"/>
          <w:highlight w:val="none"/>
        </w:rPr>
        <w:t>项目简介</w:t>
      </w:r>
    </w:p>
    <w:p>
      <w:pPr>
        <w:pStyle w:val="32"/>
        <w:keepNext w:val="0"/>
        <w:keepLines w:val="0"/>
        <w:pageBreakBefore w:val="0"/>
        <w:kinsoku/>
        <w:wordWrap/>
        <w:overflowPunct/>
        <w:topLinePunct w:val="0"/>
        <w:bidi w:val="0"/>
        <w:adjustRightInd w:val="0"/>
        <w:snapToGrid w:val="0"/>
        <w:spacing w:line="36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一、项目简介</w:t>
      </w:r>
    </w:p>
    <w:p>
      <w:pPr>
        <w:keepNext w:val="0"/>
        <w:keepLines w:val="0"/>
        <w:pageBreakBefore w:val="0"/>
        <w:kinsoku/>
        <w:wordWrap/>
        <w:overflowPunct/>
        <w:topLinePunct w:val="0"/>
        <w:autoSpaceDE w:val="0"/>
        <w:autoSpaceDN w:val="0"/>
        <w:bidi w:val="0"/>
        <w:snapToGrid w:val="0"/>
        <w:spacing w:line="360" w:lineRule="exac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lang w:eastAsia="zh-CN"/>
        </w:rPr>
        <w:t>温州正大工程项目管理有限公司</w:t>
      </w:r>
      <w:r>
        <w:rPr>
          <w:rFonts w:hint="eastAsia" w:ascii="宋体" w:hAnsi="宋体"/>
          <w:color w:val="auto"/>
          <w:sz w:val="22"/>
          <w:szCs w:val="22"/>
          <w:highlight w:val="none"/>
        </w:rPr>
        <w:t>受</w:t>
      </w:r>
      <w:r>
        <w:rPr>
          <w:rFonts w:hint="eastAsia" w:ascii="宋体" w:hAnsi="宋体"/>
          <w:color w:val="auto"/>
          <w:sz w:val="22"/>
          <w:szCs w:val="22"/>
          <w:highlight w:val="none"/>
          <w:lang w:eastAsia="zh-CN"/>
        </w:rPr>
        <w:t>平阳县水头镇人民政府</w:t>
      </w:r>
      <w:r>
        <w:rPr>
          <w:rFonts w:hint="eastAsia" w:ascii="宋体" w:hAnsi="宋体"/>
          <w:color w:val="auto"/>
          <w:sz w:val="22"/>
          <w:szCs w:val="22"/>
          <w:highlight w:val="none"/>
        </w:rPr>
        <w:t>委托，</w:t>
      </w:r>
      <w:r>
        <w:rPr>
          <w:rFonts w:ascii="宋体" w:hAnsi="宋体"/>
          <w:color w:val="auto"/>
          <w:sz w:val="22"/>
          <w:szCs w:val="22"/>
          <w:highlight w:val="none"/>
        </w:rPr>
        <w:t>以</w:t>
      </w:r>
      <w:r>
        <w:rPr>
          <w:color w:val="auto"/>
          <w:sz w:val="22"/>
          <w:highlight w:val="none"/>
        </w:rPr>
        <w:t>竞争性磋商方式</w:t>
      </w:r>
      <w:r>
        <w:rPr>
          <w:rFonts w:ascii="宋体" w:hAnsi="宋体"/>
          <w:color w:val="auto"/>
          <w:sz w:val="22"/>
          <w:szCs w:val="22"/>
          <w:highlight w:val="none"/>
        </w:rPr>
        <w:t>采购</w:t>
      </w:r>
      <w:r>
        <w:rPr>
          <w:rFonts w:hint="eastAsia" w:ascii="宋体" w:hAnsi="宋体"/>
          <w:color w:val="auto"/>
          <w:sz w:val="22"/>
          <w:szCs w:val="22"/>
          <w:highlight w:val="none"/>
          <w:lang w:val="en-US" w:eastAsia="zh-CN"/>
        </w:rPr>
        <w:t>2024 年平阳县水头镇高标准农田改造提升示范项目（绿色农田建设项目）-土壤改良培肥</w:t>
      </w:r>
      <w:r>
        <w:rPr>
          <w:rFonts w:hint="eastAsia" w:ascii="宋体" w:hAnsi="宋体"/>
          <w:color w:val="auto"/>
          <w:sz w:val="22"/>
          <w:szCs w:val="22"/>
          <w:highlight w:val="none"/>
        </w:rPr>
        <w:t>，本项目资金已经落实。</w:t>
      </w:r>
    </w:p>
    <w:p>
      <w:pPr>
        <w:keepNext w:val="0"/>
        <w:keepLines w:val="0"/>
        <w:pageBreakBefore w:val="0"/>
        <w:kinsoku/>
        <w:wordWrap/>
        <w:overflowPunct/>
        <w:topLinePunct w:val="0"/>
        <w:autoSpaceDE w:val="0"/>
        <w:autoSpaceDN w:val="0"/>
        <w:bidi w:val="0"/>
        <w:snapToGrid w:val="0"/>
        <w:spacing w:line="360" w:lineRule="exac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我们热忱欢迎有关公司（企业）前来进行报价。</w:t>
      </w:r>
    </w:p>
    <w:p>
      <w:pPr>
        <w:pStyle w:val="11"/>
        <w:ind w:left="0" w:leftChars="0" w:firstLine="0" w:firstLineChars="0"/>
        <w:rPr>
          <w:rFonts w:hint="eastAsia" w:ascii="宋体" w:hAnsi="宋体"/>
          <w:color w:val="auto"/>
          <w:sz w:val="22"/>
          <w:szCs w:val="22"/>
          <w:highlight w:val="none"/>
        </w:rPr>
      </w:pPr>
    </w:p>
    <w:p>
      <w:pPr>
        <w:widowControl/>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二、在线投标响应（电子投标）说明</w:t>
      </w:r>
    </w:p>
    <w:p>
      <w:pPr>
        <w:spacing w:line="360" w:lineRule="auto"/>
        <w:ind w:firstLine="387" w:firstLineChars="176"/>
        <w:rPr>
          <w:rFonts w:hint="eastAsia" w:ascii="宋体" w:hAnsi="宋体" w:eastAsia="宋体" w:cs="宋体"/>
          <w:color w:val="auto"/>
          <w:sz w:val="22"/>
          <w:szCs w:val="22"/>
          <w:highlight w:val="none"/>
          <w:u w:val="single"/>
        </w:rPr>
      </w:pPr>
      <w:bookmarkStart w:id="0" w:name="B29_保证金"/>
      <w:bookmarkEnd w:id="0"/>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本项目通过“政府采购云平台（www.zcygov.cn）”实行在线投标响应（电子投标），供应商应先安装“政采云电子交易客户端”（下载网址：</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http://zfcg.czt.zj.gov.cn/bidClientTemplate/2019-05-27/12946.html），并按照本</w:t>
      </w:r>
      <w:r>
        <w:rPr>
          <w:rFonts w:hint="eastAsia" w:ascii="宋体" w:hAnsi="宋体" w:eastAsia="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和“政府采购云平台”的要求，通过“政采云电子交易客户端”编制并加密投标文件。供应商未按规定加密的投标文件，“政府采购云平台”将予以拒收</w:t>
      </w:r>
      <w:r>
        <w:rPr>
          <w:rFonts w:hint="eastAsia" w:ascii="宋体" w:hAnsi="宋体" w:eastAsia="宋体" w:cs="宋体"/>
          <w:color w:val="auto"/>
          <w:sz w:val="22"/>
          <w:szCs w:val="22"/>
          <w:highlight w:val="none"/>
        </w:rPr>
        <w:t>。</w:t>
      </w:r>
    </w:p>
    <w:p>
      <w:pPr>
        <w:spacing w:line="360" w:lineRule="auto"/>
        <w:ind w:firstLine="387" w:firstLineChars="176"/>
        <w:rPr>
          <w:rFonts w:hint="eastAsia" w:ascii="宋体" w:hAnsi="宋体" w:eastAsia="宋体" w:cs="宋体"/>
          <w:color w:val="auto"/>
          <w:sz w:val="22"/>
          <w:szCs w:val="22"/>
          <w:highlight w:val="none"/>
          <w:u w:val="single"/>
        </w:rPr>
      </w:pPr>
      <w:r>
        <w:rPr>
          <w:rFonts w:hint="eastAsia" w:ascii="宋体" w:hAnsi="宋体" w:eastAsia="宋体" w:cs="宋体"/>
          <w:bCs/>
          <w:color w:val="auto"/>
          <w:sz w:val="22"/>
          <w:szCs w:val="22"/>
          <w:highlight w:val="none"/>
        </w:rPr>
        <w:t>“政采云电子交易客户端”请自行前往“浙江政府采购网-下载专区-电子交易客户端”进行下载；电子投标具体操作流程详见《供应商项目采购-电子招投标操作指南》；</w:t>
      </w:r>
      <w:r>
        <w:rPr>
          <w:rFonts w:hint="eastAsia" w:ascii="宋体" w:hAnsi="宋体" w:eastAsia="宋体" w:cs="宋体"/>
          <w:color w:val="auto"/>
          <w:sz w:val="22"/>
          <w:szCs w:val="22"/>
          <w:highlight w:val="none"/>
        </w:rPr>
        <w:t>通过“政府采购云平台”参与在线投标时如遇平台技术问题详询400-881-7190。</w:t>
      </w:r>
    </w:p>
    <w:p>
      <w:pPr>
        <w:spacing w:line="360" w:lineRule="auto"/>
        <w:ind w:firstLine="387" w:firstLineChars="176"/>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使用“政采云电子交易客户端”需要提前申领CA数字证书，申领流程请自行前往“浙江政府采购网-下载专区-电子交易客户端-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"http://www.zjzfcg.gov.cn/bidClientTemplate/2019-05-27/12945.html" \t "_blank" \o "CA驱动和申领流程"</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CA驱动和申领流程</w:t>
      </w:r>
      <w:r>
        <w:rPr>
          <w:rFonts w:hint="eastAsia" w:ascii="宋体" w:hAnsi="宋体" w:eastAsia="宋体" w:cs="宋体"/>
          <w:color w:val="auto"/>
          <w:highlight w:val="none"/>
        </w:rPr>
        <w:fldChar w:fldCharType="end"/>
      </w:r>
      <w:r>
        <w:rPr>
          <w:rFonts w:hint="eastAsia" w:ascii="宋体" w:hAnsi="宋体" w:eastAsia="宋体" w:cs="宋体"/>
          <w:bCs/>
          <w:color w:val="auto"/>
          <w:sz w:val="22"/>
          <w:szCs w:val="22"/>
          <w:highlight w:val="none"/>
        </w:rPr>
        <w:t>”进行查阅；（供应商应在开标前完成CA数字证书办理（办理流程详见http://zfcg.czt.zj.gov.cn/bidClientTemplate/2019-05-27/12945.html）。完成CA数字证书办理预计1周左右，各供应商应充分考虑办理时间等因素。）</w:t>
      </w:r>
    </w:p>
    <w:p>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u w:val="single"/>
        </w:rPr>
        <w:t>投标供应商应当在投标截止时间前，将生成的“电子加密投标文件”上传递交至“政府采购云平台”。投标截止时间以后上传递交的投标文件将被“政府采购云平台”拒收。</w:t>
      </w:r>
    </w:p>
    <w:p>
      <w:pPr>
        <w:rPr>
          <w:rFonts w:hint="eastAsia"/>
          <w:color w:val="auto"/>
          <w:highlight w:val="none"/>
        </w:rPr>
      </w:pPr>
      <w:r>
        <w:rPr>
          <w:rFonts w:hint="eastAsia"/>
          <w:color w:val="auto"/>
          <w:highlight w:val="none"/>
        </w:rPr>
        <w:br w:type="page"/>
      </w:r>
    </w:p>
    <w:p>
      <w:pPr>
        <w:keepNext w:val="0"/>
        <w:keepLines w:val="0"/>
        <w:pageBreakBefore w:val="0"/>
        <w:widowControl/>
        <w:numPr>
          <w:ilvl w:val="0"/>
          <w:numId w:val="5"/>
        </w:numPr>
        <w:kinsoku/>
        <w:wordWrap/>
        <w:overflowPunct/>
        <w:topLinePunct w:val="0"/>
        <w:autoSpaceDE w:val="0"/>
        <w:autoSpaceDN w:val="0"/>
        <w:bidi w:val="0"/>
        <w:adjustRightInd w:val="0"/>
        <w:snapToGrid w:val="0"/>
        <w:spacing w:before="157" w:beforeLines="50" w:after="157" w:afterLines="50" w:line="240" w:lineRule="auto"/>
        <w:ind w:left="420"/>
        <w:jc w:val="center"/>
        <w:textAlignment w:val="bottom"/>
        <w:rPr>
          <w:rFonts w:hint="eastAsia" w:ascii="宋体" w:hAnsi="宋体"/>
          <w:b/>
          <w:color w:val="auto"/>
          <w:sz w:val="36"/>
          <w:szCs w:val="36"/>
          <w:highlight w:val="none"/>
        </w:rPr>
      </w:pPr>
      <w:r>
        <w:rPr>
          <w:rFonts w:hint="eastAsia" w:ascii="宋体" w:hAnsi="宋体"/>
          <w:b/>
          <w:color w:val="auto"/>
          <w:sz w:val="36"/>
          <w:szCs w:val="36"/>
          <w:highlight w:val="none"/>
        </w:rPr>
        <w:t>采购内容及技术要求</w:t>
      </w:r>
      <w:bookmarkStart w:id="1" w:name="_Toc142902564"/>
    </w:p>
    <w:bookmarkEnd w:id="1"/>
    <w:p>
      <w:pPr>
        <w:keepNext w:val="0"/>
        <w:keepLines w:val="0"/>
        <w:pageBreakBefore w:val="0"/>
        <w:kinsoku/>
        <w:wordWrap/>
        <w:topLinePunct w:val="0"/>
        <w:autoSpaceDE w:val="0"/>
        <w:autoSpaceDN w:val="0"/>
        <w:bidi w:val="0"/>
        <w:adjustRightInd w:val="0"/>
        <w:snapToGrid w:val="0"/>
        <w:spacing w:before="120" w:beforeLines="50" w:line="440" w:lineRule="exact"/>
        <w:ind w:firstLine="562" w:firstLineChars="200"/>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一、</w:t>
      </w:r>
      <w:r>
        <w:rPr>
          <w:rFonts w:hint="eastAsia" w:ascii="宋体" w:hAnsi="宋体" w:cs="宋体"/>
          <w:b/>
          <w:color w:val="auto"/>
          <w:sz w:val="28"/>
          <w:szCs w:val="28"/>
          <w:highlight w:val="none"/>
        </w:rPr>
        <w:t>总则</w:t>
      </w:r>
    </w:p>
    <w:p>
      <w:pPr>
        <w:keepNext w:val="0"/>
        <w:keepLines w:val="0"/>
        <w:pageBreakBefore w:val="0"/>
        <w:widowControl/>
        <w:kinsoku/>
        <w:wordWrap/>
        <w:overflowPunct/>
        <w:topLinePunct w:val="0"/>
        <w:autoSpaceDE w:val="0"/>
        <w:autoSpaceDN w:val="0"/>
        <w:bidi w:val="0"/>
        <w:adjustRightInd w:val="0"/>
        <w:spacing w:line="44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1.1、本技术规范要求提出的是最低限度的基本技术要求，并未对所有技术细节作出规定，供应商应提供符合本技术要求和国家标准、行业标准的优质产品。</w:t>
      </w:r>
    </w:p>
    <w:p>
      <w:pPr>
        <w:keepNext w:val="0"/>
        <w:keepLines w:val="0"/>
        <w:pageBreakBefore w:val="0"/>
        <w:widowControl/>
        <w:kinsoku/>
        <w:wordWrap/>
        <w:overflowPunct/>
        <w:topLinePunct w:val="0"/>
        <w:autoSpaceDE w:val="0"/>
        <w:autoSpaceDN w:val="0"/>
        <w:bidi w:val="0"/>
        <w:adjustRightInd w:val="0"/>
        <w:spacing w:line="44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keepNext w:val="0"/>
        <w:keepLines w:val="0"/>
        <w:pageBreakBefore w:val="0"/>
        <w:widowControl/>
        <w:kinsoku/>
        <w:wordWrap/>
        <w:overflowPunct/>
        <w:topLinePunct w:val="0"/>
        <w:autoSpaceDE w:val="0"/>
        <w:autoSpaceDN w:val="0"/>
        <w:bidi w:val="0"/>
        <w:adjustRightInd w:val="0"/>
        <w:spacing w:line="44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2、技术要求及标准的执行</w:t>
      </w:r>
    </w:p>
    <w:p>
      <w:pPr>
        <w:keepNext w:val="0"/>
        <w:keepLines w:val="0"/>
        <w:pageBreakBefore w:val="0"/>
        <w:widowControl/>
        <w:kinsoku/>
        <w:wordWrap/>
        <w:overflowPunct/>
        <w:topLinePunct w:val="0"/>
        <w:autoSpaceDE w:val="0"/>
        <w:autoSpaceDN w:val="0"/>
        <w:bidi w:val="0"/>
        <w:adjustRightInd w:val="0"/>
        <w:spacing w:line="44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供应商提供的产品投标明确所执行的质量标准，若同一标准已颁发新标准，则按最新标准执行。若同一产品同时有几个标准（国际标准、国家标准、行业标准、企业标准等），则按最高层次的标准执行。</w:t>
      </w:r>
    </w:p>
    <w:p>
      <w:pPr>
        <w:keepNext w:val="0"/>
        <w:keepLines w:val="0"/>
        <w:pageBreakBefore w:val="0"/>
        <w:kinsoku/>
        <w:wordWrap/>
        <w:overflowPunct/>
        <w:topLinePunct w:val="0"/>
        <w:bidi w:val="0"/>
        <w:snapToGrid w:val="0"/>
        <w:spacing w:line="440" w:lineRule="exact"/>
        <w:ind w:firstLine="440" w:firstLineChars="200"/>
        <w:rPr>
          <w:rFonts w:ascii="宋体"/>
          <w:color w:val="auto"/>
          <w:sz w:val="22"/>
          <w:szCs w:val="22"/>
          <w:highlight w:val="none"/>
          <w:u w:val="single"/>
        </w:rPr>
      </w:pPr>
      <w:r>
        <w:rPr>
          <w:rFonts w:hint="eastAsia" w:ascii="宋体"/>
          <w:color w:val="auto"/>
          <w:sz w:val="22"/>
          <w:szCs w:val="22"/>
          <w:highlight w:val="none"/>
          <w:lang w:val="en-US" w:eastAsia="zh-CN"/>
        </w:rPr>
        <w:t>3</w:t>
      </w:r>
      <w:r>
        <w:rPr>
          <w:rFonts w:hint="eastAsia" w:ascii="宋体"/>
          <w:color w:val="auto"/>
          <w:sz w:val="22"/>
          <w:szCs w:val="22"/>
          <w:highlight w:val="none"/>
        </w:rPr>
        <w:t>、本招标文件中涉及的金额均以人民币为单位计算。</w:t>
      </w:r>
    </w:p>
    <w:p>
      <w:pPr>
        <w:keepNext w:val="0"/>
        <w:keepLines w:val="0"/>
        <w:pageBreakBefore w:val="0"/>
        <w:widowControl w:val="0"/>
        <w:kinsoku/>
        <w:wordWrap/>
        <w:overflowPunct/>
        <w:topLinePunct w:val="0"/>
        <w:autoSpaceDE w:val="0"/>
        <w:autoSpaceDN w:val="0"/>
        <w:bidi w:val="0"/>
        <w:adjustRightInd w:val="0"/>
        <w:snapToGrid w:val="0"/>
        <w:spacing w:before="120" w:beforeLines="50" w:after="157" w:afterLines="50" w:line="440" w:lineRule="exact"/>
        <w:ind w:firstLine="562" w:firstLineChars="200"/>
        <w:textAlignment w:val="auto"/>
        <w:outlineLvl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eastAsia="zh-CN"/>
        </w:rPr>
        <w:t>、项目建设情况</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bookmarkStart w:id="2" w:name="_Hlk100236935"/>
      <w:bookmarkEnd w:id="2"/>
      <w:r>
        <w:rPr>
          <w:rFonts w:hint="eastAsia" w:ascii="宋体" w:hAnsi="宋体" w:eastAsia="宋体" w:cs="宋体"/>
          <w:color w:val="auto"/>
          <w:sz w:val="22"/>
          <w:szCs w:val="22"/>
          <w:highlight w:val="none"/>
        </w:rPr>
        <w:t>2024年平阳县水头镇高标准农田改造提升示范项目(绿色农田建设项目)位于平阳县水头镇南湖社区，项目涉及南湖村、宝溪村、同兴村、双莲村、塔院村、湖南村、普美村和增光井村8个村。项目区建设规模6234亩，土壤改良实施面积累计共7635亩。</w:t>
      </w:r>
    </w:p>
    <w:p>
      <w:pPr>
        <w:pStyle w:val="2"/>
        <w:keepNext w:val="0"/>
        <w:keepLines w:val="0"/>
        <w:pageBreakBefore w:val="0"/>
        <w:kinsoku/>
        <w:wordWrap/>
        <w:topLinePunct w:val="0"/>
        <w:bidi w:val="0"/>
        <w:spacing w:line="4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
          <w:color w:val="auto"/>
          <w:kern w:val="2"/>
          <w:sz w:val="28"/>
          <w:szCs w:val="28"/>
          <w:highlight w:val="none"/>
          <w:lang w:val="en-US" w:eastAsia="zh-CN" w:bidi="ar-SA"/>
        </w:rPr>
        <w:t xml:space="preserve">   </w:t>
      </w:r>
      <w:r>
        <w:rPr>
          <w:rFonts w:hint="eastAsia" w:hAnsi="宋体" w:cs="宋体"/>
          <w:b/>
          <w:color w:val="auto"/>
          <w:kern w:val="2"/>
          <w:sz w:val="28"/>
          <w:szCs w:val="28"/>
          <w:highlight w:val="none"/>
          <w:lang w:val="en-US" w:eastAsia="zh-CN" w:bidi="ar-SA"/>
        </w:rPr>
        <w:t>三</w:t>
      </w:r>
      <w:r>
        <w:rPr>
          <w:rFonts w:hint="eastAsia" w:ascii="宋体" w:hAnsi="宋体" w:eastAsia="宋体" w:cs="宋体"/>
          <w:b/>
          <w:color w:val="auto"/>
          <w:kern w:val="2"/>
          <w:sz w:val="28"/>
          <w:szCs w:val="28"/>
          <w:highlight w:val="none"/>
          <w:lang w:val="en-US" w:eastAsia="zh-CN" w:bidi="ar-SA"/>
        </w:rPr>
        <w:t>、耕地质量现状</w:t>
      </w:r>
    </w:p>
    <w:p>
      <w:pPr>
        <w:keepNext w:val="0"/>
        <w:keepLines w:val="0"/>
        <w:pageBreakBefore w:val="0"/>
        <w:widowControl w:val="0"/>
        <w:kinsoku/>
        <w:wordWrap/>
        <w:overflowPunct/>
        <w:topLinePunct w:val="0"/>
        <w:autoSpaceDE w:val="0"/>
        <w:autoSpaceDN w:val="0"/>
        <w:bidi w:val="0"/>
        <w:adjustRightInd w:val="0"/>
        <w:snapToGrid w:val="0"/>
        <w:spacing w:before="120" w:beforeLines="50" w:after="157" w:afterLines="50" w:line="440" w:lineRule="exact"/>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阳县水头镇属于长江中下游区中的浙闽丘陵山地林农区河流中下游平缓阶地。根据《浙江省标准农田地力调查与分等定级技术规范》和浙样施土壤属性数据，项目区平均地力等级3.464，我省标准农田地力具体分为三等六级，南湖社区地力属于二等田。土壤类型为粉砂壤土或粘壤土，剖面构型渗育水稻土（A-Ap-P-C）或淹育水稻土（A-Ap-C）。其中，塔院村、宝溪村、南湖村等西南部田块地下水位较深，灌溉条件较好，受季节性灌水、雨水的影响，土壤通透性良好，一些地区有渗育层（P）发育，厚度在20厘米以上。其他田块属初期发育地表水型水稻土，不受地下水的影响。</w:t>
      </w:r>
    </w:p>
    <w:p>
      <w:pPr>
        <w:keepNext w:val="0"/>
        <w:keepLines w:val="0"/>
        <w:pageBreakBefore w:val="0"/>
        <w:widowControl w:val="0"/>
        <w:kinsoku/>
        <w:wordWrap/>
        <w:overflowPunct/>
        <w:topLinePunct w:val="0"/>
        <w:autoSpaceDE w:val="0"/>
        <w:autoSpaceDN w:val="0"/>
        <w:bidi w:val="0"/>
        <w:adjustRightInd w:val="0"/>
        <w:snapToGrid w:val="0"/>
        <w:spacing w:before="120" w:beforeLines="50" w:after="157" w:afterLines="50" w:line="440" w:lineRule="exact"/>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浙样施土壤属性数据得出，南湖社区部分耕地肥力指标如下：耕作层PH平均值5.34，弱酸性。有效磷平均含量平均值6.3mg/kg，速效钾平均含量平均值73.03mg/kg，有机质含量5～10g/kg，均为中低等水平。因此，项目区耕地的障碍因子主要是有效磷、速效钾、和PH值。</w:t>
      </w:r>
    </w:p>
    <w:p>
      <w:pPr>
        <w:ind w:firstLine="562" w:firstLineChars="20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四、地力提升目标</w:t>
      </w:r>
    </w:p>
    <w:p>
      <w:pPr>
        <w:keepNext w:val="0"/>
        <w:keepLines w:val="0"/>
        <w:pageBreakBefore w:val="0"/>
        <w:widowControl w:val="0"/>
        <w:kinsoku/>
        <w:wordWrap/>
        <w:overflowPunct/>
        <w:topLinePunct w:val="0"/>
        <w:autoSpaceDE w:val="0"/>
        <w:autoSpaceDN w:val="0"/>
        <w:bidi w:val="0"/>
        <w:adjustRightInd w:val="0"/>
        <w:snapToGrid w:val="0"/>
        <w:spacing w:before="120" w:beforeLines="50" w:after="157" w:afterLines="50" w:line="440" w:lineRule="exact"/>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区实施后，计划通过施用适量的磷肥、钾肥提升土壤有效磷、速效钾含量，施用土壤调理剂改善土壤酸碱度，辅以施用高质量有机肥对重点实施区域内的耕地质量等别提升，施肥地块地力指标应达到南湖社区平均水平，保证区域规划范围内地力等级提高0.1等级以上，有效磷含量达到10mg/kg以上，速效钾含量达到80mg/kg以上，PH值达到5.5-6.5之间。实施前土壤检测费用计入工程施工费中。</w:t>
      </w:r>
    </w:p>
    <w:p>
      <w:pPr>
        <w:keepNext w:val="0"/>
        <w:keepLines w:val="0"/>
        <w:pageBreakBefore w:val="0"/>
        <w:widowControl w:val="0"/>
        <w:kinsoku/>
        <w:wordWrap/>
        <w:overflowPunct/>
        <w:topLinePunct w:val="0"/>
        <w:autoSpaceDE w:val="0"/>
        <w:autoSpaceDN w:val="0"/>
        <w:bidi w:val="0"/>
        <w:adjustRightInd w:val="0"/>
        <w:snapToGrid w:val="0"/>
        <w:spacing w:before="120" w:beforeLines="50" w:after="157" w:afterLines="50" w:line="440" w:lineRule="exact"/>
        <w:ind w:firstLine="562" w:firstLineChars="200"/>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五</w:t>
      </w:r>
      <w:r>
        <w:rPr>
          <w:rFonts w:hint="eastAsia" w:ascii="宋体" w:hAnsi="宋体" w:eastAsia="宋体" w:cs="宋体"/>
          <w:b/>
          <w:color w:val="auto"/>
          <w:sz w:val="28"/>
          <w:szCs w:val="28"/>
          <w:highlight w:val="none"/>
          <w:lang w:val="en-US" w:eastAsia="zh-CN"/>
        </w:rPr>
        <w:t>、项目任务清单与实施计划</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1、项目范围：在项目范围内（详见</w:t>
      </w:r>
      <w:r>
        <w:rPr>
          <w:rFonts w:hint="eastAsia" w:ascii="宋体" w:hAnsi="宋体" w:cs="宋体"/>
          <w:color w:val="auto"/>
          <w:sz w:val="22"/>
          <w:szCs w:val="22"/>
          <w:highlight w:val="none"/>
          <w:lang w:val="en-US" w:eastAsia="zh-CN"/>
        </w:rPr>
        <w:t>采购文件</w:t>
      </w:r>
      <w:r>
        <w:rPr>
          <w:rFonts w:hint="eastAsia" w:ascii="宋体" w:hAnsi="宋体" w:eastAsia="宋体" w:cs="宋体"/>
          <w:color w:val="auto"/>
          <w:sz w:val="22"/>
          <w:szCs w:val="22"/>
          <w:highlight w:val="none"/>
          <w:lang w:val="en-US" w:eastAsia="zh-CN"/>
        </w:rPr>
        <w:t>附件施肥范围图）的农田中</w:t>
      </w:r>
      <w:r>
        <w:rPr>
          <w:rFonts w:hint="eastAsia" w:ascii="宋体" w:hAnsi="宋体" w:cs="宋体"/>
          <w:color w:val="auto"/>
          <w:sz w:val="22"/>
          <w:szCs w:val="22"/>
          <w:highlight w:val="none"/>
          <w:lang w:val="en-US" w:eastAsia="zh-CN"/>
        </w:rPr>
        <w:t>按措施要求</w:t>
      </w:r>
      <w:r>
        <w:rPr>
          <w:rFonts w:hint="eastAsia" w:ascii="宋体" w:hAnsi="宋体" w:eastAsia="宋体" w:cs="宋体"/>
          <w:color w:val="auto"/>
          <w:sz w:val="22"/>
          <w:szCs w:val="22"/>
          <w:highlight w:val="none"/>
          <w:lang w:val="en-US" w:eastAsia="zh-CN"/>
        </w:rPr>
        <w:t>施肥，且要求肥料不撒于田埂上。</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中标供应商在实施前应详细考察施肥地块现状，做好实施前地块检测，根据地块实际情况及检测报告，编制合理的供货施肥计划。</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拟计划购买量：磷肥16.65吨（每亩15公斤/亩计）；钾肥2.75吨（每亩5公斤/亩计）；生石灰144.96吨（每亩60公斤/亩计）；有机肥182吨（每亩400公斤/亩计）；配方肥122.60吨（每亩50公斤/亩计）；绿肥1.63吨（每亩2.5公斤/亩计）。详见表1</w:t>
      </w:r>
      <w:r>
        <w:rPr>
          <w:rFonts w:hint="eastAsia" w:ascii="宋体" w:hAnsi="宋体" w:cs="宋体"/>
          <w:color w:val="auto"/>
          <w:sz w:val="22"/>
          <w:szCs w:val="22"/>
          <w:highlight w:val="none"/>
          <w:lang w:val="en-US" w:eastAsia="zh-CN"/>
        </w:rPr>
        <w:t xml:space="preserve"> 肥料实施预估任务量及价格（单价最高限价）表</w:t>
      </w:r>
      <w:r>
        <w:rPr>
          <w:rFonts w:hint="eastAsia" w:ascii="宋体" w:hAnsi="宋体" w:eastAsia="宋体" w:cs="宋体"/>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baseline"/>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4、报价说明</w:t>
      </w:r>
    </w:p>
    <w:p>
      <w:pPr>
        <w:keepNext w:val="0"/>
        <w:keepLines w:val="0"/>
        <w:pageBreakBefore w:val="0"/>
        <w:kinsoku/>
        <w:wordWrap/>
        <w:overflowPunct/>
        <w:topLinePunct w:val="0"/>
        <w:autoSpaceDE w:val="0"/>
        <w:autoSpaceDN w:val="0"/>
        <w:bidi w:val="0"/>
        <w:adjustRightInd w:val="0"/>
        <w:snapToGrid/>
        <w:spacing w:line="440" w:lineRule="exact"/>
        <w:ind w:firstLine="440"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4.1、</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本项目实行单价统一折扣率报价方式，所有单价按折扣率同比例下浮，项目合同金额</w:t>
      </w:r>
      <w:r>
        <w:rPr>
          <w:rFonts w:hint="eastAsia" w:ascii="宋体" w:hAnsi="宋体" w:cs="宋体"/>
          <w:b/>
          <w:bCs/>
          <w:color w:val="auto"/>
          <w:sz w:val="22"/>
          <w:szCs w:val="22"/>
          <w:highlight w:val="none"/>
          <w:lang w:val="en-US" w:eastAsia="zh-CN"/>
        </w:rPr>
        <w:t>128.42</w:t>
      </w:r>
      <w:r>
        <w:rPr>
          <w:rFonts w:hint="eastAsia" w:ascii="宋体" w:hAnsi="宋体" w:eastAsia="宋体" w:cs="宋体"/>
          <w:b/>
          <w:bCs/>
          <w:color w:val="auto"/>
          <w:sz w:val="22"/>
          <w:szCs w:val="22"/>
          <w:highlight w:val="none"/>
          <w:lang w:val="en-US" w:eastAsia="zh-CN"/>
        </w:rPr>
        <w:t>万元</w:t>
      </w:r>
      <w:r>
        <w:rPr>
          <w:rFonts w:hint="eastAsia" w:ascii="宋体" w:hAnsi="宋体" w:eastAsia="宋体" w:cs="宋体"/>
          <w:b/>
          <w:bCs/>
          <w:color w:val="auto"/>
          <w:sz w:val="22"/>
          <w:szCs w:val="22"/>
          <w:highlight w:val="none"/>
        </w:rPr>
        <w:t>不进行下浮。最终根据各项</w:t>
      </w:r>
      <w:r>
        <w:rPr>
          <w:rFonts w:hint="eastAsia" w:ascii="宋体" w:hAnsi="宋体" w:eastAsia="宋体" w:cs="宋体"/>
          <w:b/>
          <w:bCs/>
          <w:color w:val="auto"/>
          <w:sz w:val="22"/>
          <w:szCs w:val="22"/>
          <w:highlight w:val="none"/>
          <w:lang w:val="en-US" w:eastAsia="zh-CN"/>
        </w:rPr>
        <w:t>肥料实际实施</w:t>
      </w:r>
      <w:r>
        <w:rPr>
          <w:rFonts w:hint="eastAsia" w:ascii="宋体" w:hAnsi="宋体" w:eastAsia="宋体" w:cs="宋体"/>
          <w:b/>
          <w:bCs/>
          <w:color w:val="auto"/>
          <w:sz w:val="22"/>
          <w:szCs w:val="22"/>
          <w:highlight w:val="none"/>
        </w:rPr>
        <w:t>内容、</w:t>
      </w:r>
      <w:r>
        <w:rPr>
          <w:rFonts w:hint="eastAsia" w:ascii="宋体" w:hAnsi="宋体" w:eastAsia="宋体" w:cs="宋体"/>
          <w:b/>
          <w:bCs/>
          <w:color w:val="auto"/>
          <w:sz w:val="22"/>
          <w:szCs w:val="22"/>
          <w:highlight w:val="none"/>
          <w:lang w:val="en-US" w:eastAsia="zh-CN"/>
        </w:rPr>
        <w:t>实际完成</w:t>
      </w:r>
      <w:r>
        <w:rPr>
          <w:rFonts w:hint="eastAsia" w:ascii="宋体" w:hAnsi="宋体" w:eastAsia="宋体" w:cs="宋体"/>
          <w:b/>
          <w:bCs/>
          <w:color w:val="auto"/>
          <w:sz w:val="22"/>
          <w:szCs w:val="22"/>
          <w:highlight w:val="none"/>
        </w:rPr>
        <w:t>数量及其所对应的</w:t>
      </w:r>
      <w:r>
        <w:rPr>
          <w:rFonts w:hint="eastAsia" w:ascii="宋体" w:hAnsi="宋体" w:eastAsia="宋体" w:cs="宋体"/>
          <w:b/>
          <w:bCs/>
          <w:color w:val="auto"/>
          <w:sz w:val="22"/>
          <w:szCs w:val="22"/>
          <w:highlight w:val="none"/>
          <w:lang w:val="en-US" w:eastAsia="zh-CN"/>
        </w:rPr>
        <w:t>成交</w:t>
      </w:r>
      <w:r>
        <w:rPr>
          <w:rFonts w:hint="eastAsia" w:ascii="宋体" w:hAnsi="宋体" w:eastAsia="宋体" w:cs="宋体"/>
          <w:b/>
          <w:bCs/>
          <w:color w:val="auto"/>
          <w:sz w:val="22"/>
          <w:szCs w:val="22"/>
          <w:highlight w:val="none"/>
        </w:rPr>
        <w:t>折扣率下浮后的单价进行结算。</w:t>
      </w:r>
      <w:r>
        <w:rPr>
          <w:rFonts w:hint="eastAsia" w:ascii="宋体" w:hAnsi="宋体" w:eastAsia="宋体" w:cs="宋体"/>
          <w:b/>
          <w:color w:val="auto"/>
          <w:sz w:val="22"/>
          <w:szCs w:val="22"/>
          <w:highlight w:val="none"/>
        </w:rPr>
        <w:t>结算单价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合同成交单价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=单价最高限价*单价</w:t>
      </w:r>
      <w:r>
        <w:rPr>
          <w:rFonts w:hint="eastAsia" w:ascii="宋体" w:hAnsi="宋体" w:cs="宋体"/>
          <w:b/>
          <w:color w:val="auto"/>
          <w:sz w:val="22"/>
          <w:szCs w:val="22"/>
          <w:highlight w:val="none"/>
          <w:lang w:val="en-US" w:eastAsia="zh-CN"/>
        </w:rPr>
        <w:t>统一</w:t>
      </w:r>
      <w:r>
        <w:rPr>
          <w:rFonts w:hint="eastAsia" w:ascii="宋体" w:hAnsi="宋体" w:eastAsia="宋体" w:cs="宋体"/>
          <w:b/>
          <w:color w:val="auto"/>
          <w:sz w:val="22"/>
          <w:szCs w:val="22"/>
          <w:highlight w:val="none"/>
        </w:rPr>
        <w:t>折扣率。</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折扣率</w:t>
      </w:r>
      <w:r>
        <w:rPr>
          <w:rFonts w:hint="eastAsia" w:ascii="宋体" w:hAnsi="宋体" w:eastAsia="宋体" w:cs="宋体"/>
          <w:b/>
          <w:bCs/>
          <w:color w:val="auto"/>
          <w:sz w:val="22"/>
          <w:szCs w:val="22"/>
          <w:highlight w:val="none"/>
        </w:rPr>
        <w:t>小数点后最多保留两位，四舍五入）。</w:t>
      </w:r>
    </w:p>
    <w:p>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baseline"/>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lang w:val="en-US" w:eastAsia="zh-CN"/>
        </w:rPr>
        <w:t>4.2、</w:t>
      </w:r>
      <w:r>
        <w:rPr>
          <w:rFonts w:hint="eastAsia" w:ascii="宋体" w:hAnsi="宋体" w:eastAsia="宋体" w:cs="宋体"/>
          <w:color w:val="auto"/>
          <w:sz w:val="22"/>
          <w:szCs w:val="22"/>
          <w:highlight w:val="none"/>
          <w:u w:val="single"/>
          <w:lang w:eastAsia="zh-CN"/>
        </w:rPr>
        <w:t>以</w:t>
      </w:r>
      <w:r>
        <w:rPr>
          <w:rFonts w:hint="eastAsia" w:ascii="宋体" w:hAnsi="宋体" w:eastAsia="宋体" w:cs="宋体"/>
          <w:color w:val="auto"/>
          <w:sz w:val="22"/>
          <w:szCs w:val="22"/>
          <w:highlight w:val="none"/>
          <w:u w:val="single"/>
          <w:lang w:val="en-US" w:eastAsia="zh-CN"/>
        </w:rPr>
        <w:t>下表格</w:t>
      </w:r>
      <w:r>
        <w:rPr>
          <w:rFonts w:hint="eastAsia" w:ascii="宋体" w:hAnsi="宋体" w:eastAsia="宋体" w:cs="宋体"/>
          <w:color w:val="auto"/>
          <w:sz w:val="22"/>
          <w:szCs w:val="22"/>
          <w:highlight w:val="none"/>
          <w:u w:val="single"/>
        </w:rPr>
        <w:t>数量为预估数量，采购人不保证最低</w:t>
      </w:r>
      <w:r>
        <w:rPr>
          <w:rFonts w:hint="eastAsia" w:ascii="宋体" w:hAnsi="宋体" w:eastAsia="宋体" w:cs="宋体"/>
          <w:color w:val="auto"/>
          <w:sz w:val="22"/>
          <w:szCs w:val="22"/>
          <w:highlight w:val="none"/>
          <w:u w:val="single"/>
          <w:lang w:val="en-US" w:eastAsia="zh-CN"/>
        </w:rPr>
        <w:t>完成量</w:t>
      </w:r>
      <w:r>
        <w:rPr>
          <w:rFonts w:hint="eastAsia" w:ascii="宋体" w:hAnsi="宋体" w:eastAsia="宋体" w:cs="宋体"/>
          <w:color w:val="auto"/>
          <w:sz w:val="22"/>
          <w:szCs w:val="22"/>
          <w:highlight w:val="none"/>
          <w:u w:val="single"/>
        </w:rPr>
        <w:t>，按采购人要求</w:t>
      </w:r>
      <w:r>
        <w:rPr>
          <w:rFonts w:hint="eastAsia" w:ascii="宋体" w:hAnsi="宋体" w:eastAsia="宋体" w:cs="宋体"/>
          <w:color w:val="auto"/>
          <w:sz w:val="22"/>
          <w:szCs w:val="22"/>
          <w:highlight w:val="none"/>
          <w:u w:val="single"/>
          <w:lang w:val="en-US" w:eastAsia="zh-CN"/>
        </w:rPr>
        <w:t>实施</w:t>
      </w:r>
      <w:r>
        <w:rPr>
          <w:rFonts w:hint="eastAsia" w:ascii="宋体" w:hAnsi="宋体" w:eastAsia="宋体" w:cs="宋体"/>
          <w:color w:val="auto"/>
          <w:sz w:val="22"/>
          <w:szCs w:val="22"/>
          <w:highlight w:val="none"/>
          <w:u w:val="single"/>
        </w:rPr>
        <w:t>，实际</w:t>
      </w:r>
      <w:r>
        <w:rPr>
          <w:rFonts w:hint="eastAsia" w:ascii="宋体" w:hAnsi="宋体" w:eastAsia="宋体" w:cs="宋体"/>
          <w:color w:val="auto"/>
          <w:sz w:val="22"/>
          <w:szCs w:val="22"/>
          <w:highlight w:val="none"/>
          <w:u w:val="single"/>
          <w:lang w:val="en-US" w:eastAsia="zh-CN"/>
        </w:rPr>
        <w:t>完成</w:t>
      </w:r>
      <w:r>
        <w:rPr>
          <w:rFonts w:hint="eastAsia" w:ascii="宋体" w:hAnsi="宋体" w:eastAsia="宋体" w:cs="宋体"/>
          <w:color w:val="auto"/>
          <w:sz w:val="22"/>
          <w:szCs w:val="22"/>
          <w:highlight w:val="none"/>
          <w:u w:val="single"/>
        </w:rPr>
        <w:t>量按采购人需求进行采购，按成交单价进行结算</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以实际</w:t>
      </w:r>
      <w:r>
        <w:rPr>
          <w:rFonts w:hint="eastAsia" w:ascii="宋体" w:hAnsi="宋体" w:eastAsia="宋体" w:cs="宋体"/>
          <w:color w:val="auto"/>
          <w:sz w:val="22"/>
          <w:szCs w:val="22"/>
          <w:highlight w:val="none"/>
          <w:u w:val="single"/>
          <w:lang w:val="en-US" w:eastAsia="zh-CN"/>
        </w:rPr>
        <w:t>完成</w:t>
      </w:r>
      <w:r>
        <w:rPr>
          <w:rFonts w:hint="eastAsia" w:ascii="宋体" w:hAnsi="宋体" w:eastAsia="宋体" w:cs="宋体"/>
          <w:color w:val="auto"/>
          <w:sz w:val="22"/>
          <w:szCs w:val="22"/>
          <w:highlight w:val="none"/>
          <w:u w:val="single"/>
        </w:rPr>
        <w:t>量结算。</w:t>
      </w:r>
      <w:r>
        <w:rPr>
          <w:rFonts w:hint="eastAsia" w:ascii="宋体" w:hAnsi="宋体" w:eastAsia="宋体" w:cs="宋体"/>
          <w:color w:val="auto"/>
          <w:sz w:val="22"/>
          <w:szCs w:val="22"/>
          <w:highlight w:val="none"/>
          <w:u w:val="single"/>
          <w:lang w:eastAsia="zh-CN"/>
        </w:rPr>
        <w:t>结算金额不超过预算金额</w:t>
      </w:r>
      <w:r>
        <w:rPr>
          <w:rFonts w:hint="eastAsia" w:ascii="宋体" w:hAnsi="宋体" w:cs="宋体"/>
          <w:color w:val="auto"/>
          <w:sz w:val="22"/>
          <w:szCs w:val="22"/>
          <w:highlight w:val="none"/>
          <w:u w:val="single"/>
          <w:lang w:eastAsia="zh-CN"/>
        </w:rPr>
        <w:t>128.42</w:t>
      </w:r>
      <w:r>
        <w:rPr>
          <w:rFonts w:hint="eastAsia" w:ascii="宋体" w:hAnsi="宋体" w:eastAsia="宋体" w:cs="宋体"/>
          <w:color w:val="auto"/>
          <w:sz w:val="22"/>
          <w:szCs w:val="22"/>
          <w:highlight w:val="none"/>
          <w:u w:val="single"/>
          <w:lang w:eastAsia="zh-CN"/>
        </w:rPr>
        <w:t>万元。</w:t>
      </w:r>
    </w:p>
    <w:p>
      <w:pPr>
        <w:pStyle w:val="23"/>
        <w:keepNext w:val="0"/>
        <w:keepLines w:val="0"/>
        <w:pageBreakBefore w:val="0"/>
        <w:kinsoku/>
        <w:wordWrap/>
        <w:overflowPunct/>
        <w:topLinePunct w:val="0"/>
        <w:bidi w:val="0"/>
        <w:snapToGrid/>
        <w:spacing w:after="0" w:line="440" w:lineRule="exact"/>
        <w:ind w:left="0" w:leftChars="0" w:right="31" w:rightChars="15" w:firstLine="440" w:firstLineChars="20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4.3、各投标供应商在投标报价时应予以充分考虑，投标供应商如有需要自行组织现场踏勘，以充分了解项目实施位置、项目实施范围、周边情况及任何其他足以影响报价的情况，任何因忽视或误解现场情况而导致的索赔或经费申请将不予受理。</w:t>
      </w:r>
    </w:p>
    <w:p>
      <w:pPr>
        <w:pStyle w:val="49"/>
        <w:keepNext w:val="0"/>
        <w:keepLines w:val="0"/>
        <w:pageBreakBefore w:val="0"/>
        <w:kinsoku/>
        <w:wordWrap/>
        <w:topLinePunct w:val="0"/>
        <w:bidi w:val="0"/>
        <w:snapToGrid/>
        <w:spacing w:line="44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 xml:space="preserve">    4.4</w:t>
      </w:r>
      <w:r>
        <w:rPr>
          <w:rFonts w:hint="eastAsia" w:ascii="宋体" w:hAnsi="宋体" w:eastAsia="宋体" w:cs="宋体"/>
          <w:color w:val="auto"/>
          <w:kern w:val="2"/>
          <w:sz w:val="22"/>
          <w:szCs w:val="22"/>
          <w:highlight w:val="none"/>
          <w:lang w:val="en-US" w:eastAsia="zh-CN" w:bidi="ar-SA"/>
        </w:rPr>
        <w:t>、上级补助资金由采购人支付，到位后支付。</w:t>
      </w:r>
    </w:p>
    <w:p>
      <w:pPr>
        <w:pStyle w:val="49"/>
        <w:keepNext w:val="0"/>
        <w:keepLines w:val="0"/>
        <w:pageBreakBefore w:val="0"/>
        <w:kinsoku/>
        <w:wordWrap/>
        <w:topLinePunct w:val="0"/>
        <w:bidi w:val="0"/>
        <w:snapToGrid/>
        <w:spacing w:line="440" w:lineRule="exact"/>
        <w:ind w:firstLine="44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4.5、</w:t>
      </w:r>
      <w:r>
        <w:rPr>
          <w:rFonts w:hint="default" w:ascii="宋体" w:hAnsi="宋体" w:eastAsia="宋体" w:cs="宋体"/>
          <w:color w:val="auto"/>
          <w:kern w:val="2"/>
          <w:sz w:val="22"/>
          <w:szCs w:val="22"/>
          <w:highlight w:val="none"/>
          <w:lang w:val="en-US" w:eastAsia="zh-CN" w:bidi="ar-SA"/>
        </w:rPr>
        <w:t>供应商须自行考虑其中风险。本采购文件服务内容如有缺漏之处，以服务期间具体服务事项为准。</w:t>
      </w:r>
    </w:p>
    <w:p>
      <w:pPr>
        <w:pStyle w:val="49"/>
        <w:keepNext w:val="0"/>
        <w:keepLines w:val="0"/>
        <w:pageBreakBefore w:val="0"/>
        <w:kinsoku/>
        <w:wordWrap/>
        <w:topLinePunct w:val="0"/>
        <w:bidi w:val="0"/>
        <w:snapToGrid/>
        <w:spacing w:line="440" w:lineRule="exact"/>
        <w:ind w:firstLine="440"/>
        <w:rPr>
          <w:rFonts w:hint="default" w:ascii="宋体" w:hAnsi="宋体" w:eastAsia="宋体" w:cs="宋体"/>
          <w:b w:val="0"/>
          <w:bCs w:val="0"/>
          <w:color w:val="auto"/>
          <w:kern w:val="2"/>
          <w:sz w:val="22"/>
          <w:szCs w:val="22"/>
          <w:highlight w:val="none"/>
          <w:u w:val="single"/>
          <w:lang w:val="en-US" w:eastAsia="zh-CN" w:bidi="ar-SA"/>
        </w:rPr>
        <w:sectPr>
          <w:pgSz w:w="11906" w:h="16838"/>
          <w:pgMar w:top="1440" w:right="1417" w:bottom="1440" w:left="1417" w:header="851" w:footer="992" w:gutter="0"/>
          <w:cols w:space="0" w:num="1"/>
          <w:rtlGutter w:val="0"/>
          <w:docGrid w:type="lines" w:linePitch="312" w:charSpace="0"/>
        </w:sectPr>
      </w:pPr>
      <w:r>
        <w:rPr>
          <w:rFonts w:hint="eastAsia" w:ascii="宋体" w:hAnsi="宋体" w:cs="宋体"/>
          <w:b w:val="0"/>
          <w:bCs w:val="0"/>
          <w:color w:val="auto"/>
          <w:kern w:val="2"/>
          <w:sz w:val="22"/>
          <w:szCs w:val="22"/>
          <w:highlight w:val="none"/>
          <w:u w:val="single"/>
          <w:lang w:val="en-US" w:eastAsia="zh-CN" w:bidi="ar-SA"/>
        </w:rPr>
        <w:t>5、根据本项目采购文件的要求，编制项目实施方案，中标后负贵完善实施方案、各项技术措施的组织实施、建立工作台账、提交报账材料，并配合项目所在镇村、政府部门的监管工作。</w:t>
      </w:r>
    </w:p>
    <w:p>
      <w:pPr>
        <w:pStyle w:val="184"/>
        <w:spacing w:beforeLines="0" w:afterLines="0"/>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表1   肥料</w:t>
      </w:r>
      <w:r>
        <w:rPr>
          <w:rFonts w:hint="eastAsia" w:ascii="宋体" w:hAnsi="宋体" w:eastAsia="宋体" w:cs="宋体"/>
          <w:b/>
          <w:color w:val="auto"/>
          <w:sz w:val="22"/>
          <w:szCs w:val="22"/>
          <w:highlight w:val="none"/>
          <w:lang w:val="en-US" w:eastAsia="zh-CN"/>
        </w:rPr>
        <w:t>实施预</w:t>
      </w:r>
      <w:r>
        <w:rPr>
          <w:rFonts w:hint="eastAsia" w:ascii="宋体" w:hAnsi="宋体" w:eastAsia="宋体" w:cs="宋体"/>
          <w:b/>
          <w:bCs/>
          <w:color w:val="auto"/>
          <w:sz w:val="22"/>
          <w:szCs w:val="22"/>
          <w:highlight w:val="none"/>
          <w:lang w:val="en-US" w:eastAsia="zh-CN"/>
        </w:rPr>
        <w:t>估</w:t>
      </w:r>
      <w:r>
        <w:rPr>
          <w:rFonts w:hint="eastAsia" w:ascii="宋体" w:hAnsi="宋体" w:eastAsia="宋体" w:cs="宋体"/>
          <w:b/>
          <w:color w:val="auto"/>
          <w:sz w:val="22"/>
          <w:szCs w:val="22"/>
          <w:highlight w:val="none"/>
        </w:rPr>
        <w:t>任务量及价格</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单价最高限价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表</w:t>
      </w:r>
    </w:p>
    <w:tbl>
      <w:tblPr>
        <w:tblStyle w:val="39"/>
        <w:tblW w:w="13859" w:type="dxa"/>
        <w:jc w:val="center"/>
        <w:tblLayout w:type="autofit"/>
        <w:tblCellMar>
          <w:top w:w="0" w:type="dxa"/>
          <w:left w:w="108" w:type="dxa"/>
          <w:bottom w:w="0" w:type="dxa"/>
          <w:right w:w="108" w:type="dxa"/>
        </w:tblCellMar>
      </w:tblPr>
      <w:tblGrid>
        <w:gridCol w:w="890"/>
        <w:gridCol w:w="1516"/>
        <w:gridCol w:w="1417"/>
        <w:gridCol w:w="1730"/>
        <w:gridCol w:w="1335"/>
        <w:gridCol w:w="1120"/>
        <w:gridCol w:w="1121"/>
        <w:gridCol w:w="1120"/>
        <w:gridCol w:w="1120"/>
        <w:gridCol w:w="1122"/>
        <w:gridCol w:w="1368"/>
      </w:tblGrid>
      <w:tr>
        <w:tblPrEx>
          <w:tblCellMar>
            <w:top w:w="0" w:type="dxa"/>
            <w:left w:w="108" w:type="dxa"/>
            <w:bottom w:w="0" w:type="dxa"/>
            <w:right w:w="108" w:type="dxa"/>
          </w:tblCellMar>
        </w:tblPrEx>
        <w:trPr>
          <w:trHeight w:val="721" w:hRule="atLeast"/>
          <w:jc w:val="center"/>
        </w:trPr>
        <w:tc>
          <w:tcPr>
            <w:tcW w:w="89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序号</w:t>
            </w:r>
          </w:p>
        </w:tc>
        <w:tc>
          <w:tcPr>
            <w:tcW w:w="151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主要措施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实施面积（亩）</w:t>
            </w:r>
          </w:p>
        </w:tc>
        <w:tc>
          <w:tcPr>
            <w:tcW w:w="173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亩均施肥量</w:t>
            </w:r>
          </w:p>
        </w:tc>
        <w:tc>
          <w:tcPr>
            <w:tcW w:w="13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任务量（吨）</w:t>
            </w:r>
          </w:p>
        </w:tc>
        <w:tc>
          <w:tcPr>
            <w:tcW w:w="224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肥料费用</w:t>
            </w:r>
          </w:p>
        </w:tc>
        <w:tc>
          <w:tcPr>
            <w:tcW w:w="336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施肥措施费用</w:t>
            </w:r>
          </w:p>
        </w:tc>
        <w:tc>
          <w:tcPr>
            <w:tcW w:w="13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合价（万元）</w:t>
            </w:r>
          </w:p>
        </w:tc>
      </w:tr>
      <w:tr>
        <w:tblPrEx>
          <w:tblCellMar>
            <w:top w:w="0" w:type="dxa"/>
            <w:left w:w="108" w:type="dxa"/>
            <w:bottom w:w="0" w:type="dxa"/>
            <w:right w:w="108" w:type="dxa"/>
          </w:tblCellMar>
        </w:tblPrEx>
        <w:trPr>
          <w:trHeight w:val="1218" w:hRule="atLeast"/>
          <w:jc w:val="center"/>
        </w:trPr>
        <w:tc>
          <w:tcPr>
            <w:tcW w:w="89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b/>
                <w:bCs/>
                <w:color w:val="auto"/>
                <w:kern w:val="0"/>
                <w:sz w:val="24"/>
                <w:szCs w:val="24"/>
                <w:highlight w:val="none"/>
              </w:rPr>
            </w:pPr>
          </w:p>
        </w:tc>
        <w:tc>
          <w:tcPr>
            <w:tcW w:w="1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b/>
                <w:bCs/>
                <w:color w:val="auto"/>
                <w:kern w:val="0"/>
                <w:sz w:val="24"/>
                <w:szCs w:val="24"/>
                <w:highlight w:val="none"/>
              </w:rPr>
            </w:pP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b/>
                <w:bCs/>
                <w:color w:val="auto"/>
                <w:kern w:val="0"/>
                <w:sz w:val="24"/>
                <w:szCs w:val="24"/>
                <w:highlight w:val="none"/>
              </w:rPr>
            </w:pPr>
          </w:p>
        </w:tc>
        <w:tc>
          <w:tcPr>
            <w:tcW w:w="17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b/>
                <w:bCs/>
                <w:color w:val="auto"/>
                <w:kern w:val="0"/>
                <w:sz w:val="24"/>
                <w:szCs w:val="24"/>
                <w:highlight w:val="none"/>
              </w:rPr>
            </w:pPr>
          </w:p>
        </w:tc>
        <w:tc>
          <w:tcPr>
            <w:tcW w:w="13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b/>
                <w:bCs/>
                <w:color w:val="auto"/>
                <w:kern w:val="0"/>
                <w:sz w:val="24"/>
                <w:szCs w:val="24"/>
                <w:highlight w:val="none"/>
              </w:rPr>
            </w:pPr>
          </w:p>
        </w:tc>
        <w:tc>
          <w:tcPr>
            <w:tcW w:w="1120"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肥料单价（元/吨）</w:t>
            </w:r>
          </w:p>
        </w:tc>
        <w:tc>
          <w:tcPr>
            <w:tcW w:w="1120"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肥料小计（万元）</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人工单价（元/亩）</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机械单价（元/亩）</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措施费小计（万元）</w:t>
            </w:r>
          </w:p>
        </w:tc>
        <w:tc>
          <w:tcPr>
            <w:tcW w:w="136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 w:cs="Times New Roman"/>
                <w:b/>
                <w:bCs/>
                <w:color w:val="auto"/>
                <w:kern w:val="0"/>
                <w:sz w:val="24"/>
                <w:szCs w:val="24"/>
                <w:highlight w:val="none"/>
              </w:rPr>
            </w:pPr>
          </w:p>
        </w:tc>
      </w:tr>
      <w:tr>
        <w:tblPrEx>
          <w:tblCellMar>
            <w:top w:w="0" w:type="dxa"/>
            <w:left w:w="108" w:type="dxa"/>
            <w:bottom w:w="0" w:type="dxa"/>
            <w:right w:w="108" w:type="dxa"/>
          </w:tblCellMar>
        </w:tblPrEx>
        <w:trPr>
          <w:trHeight w:val="721" w:hRule="atLeast"/>
          <w:jc w:val="center"/>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1</w:t>
            </w:r>
          </w:p>
        </w:tc>
        <w:tc>
          <w:tcPr>
            <w:tcW w:w="1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施磷肥</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1110</w:t>
            </w:r>
          </w:p>
        </w:tc>
        <w:tc>
          <w:tcPr>
            <w:tcW w:w="1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15公斤/亩计</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16.65</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3500</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5.83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5.00</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10.82</w:t>
            </w:r>
          </w:p>
        </w:tc>
      </w:tr>
      <w:tr>
        <w:tblPrEx>
          <w:tblCellMar>
            <w:top w:w="0" w:type="dxa"/>
            <w:left w:w="108" w:type="dxa"/>
            <w:bottom w:w="0" w:type="dxa"/>
            <w:right w:w="108" w:type="dxa"/>
          </w:tblCellMar>
        </w:tblPrEx>
        <w:trPr>
          <w:trHeight w:val="721" w:hRule="atLeast"/>
          <w:jc w:val="center"/>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2</w:t>
            </w:r>
          </w:p>
        </w:tc>
        <w:tc>
          <w:tcPr>
            <w:tcW w:w="1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施钾肥</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549</w:t>
            </w:r>
          </w:p>
        </w:tc>
        <w:tc>
          <w:tcPr>
            <w:tcW w:w="1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5公斤/亩计</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2.75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4800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1.32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2.47</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3.79</w:t>
            </w:r>
          </w:p>
        </w:tc>
      </w:tr>
      <w:tr>
        <w:tblPrEx>
          <w:tblCellMar>
            <w:top w:w="0" w:type="dxa"/>
            <w:left w:w="108" w:type="dxa"/>
            <w:bottom w:w="0" w:type="dxa"/>
            <w:right w:w="108" w:type="dxa"/>
          </w:tblCellMar>
        </w:tblPrEx>
        <w:trPr>
          <w:trHeight w:val="721" w:hRule="atLeast"/>
          <w:jc w:val="center"/>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3</w:t>
            </w:r>
          </w:p>
        </w:tc>
        <w:tc>
          <w:tcPr>
            <w:tcW w:w="1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施生石灰</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2416</w:t>
            </w:r>
          </w:p>
        </w:tc>
        <w:tc>
          <w:tcPr>
            <w:tcW w:w="1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60公斤/亩计</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144.96</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800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11.60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10.87</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22.47</w:t>
            </w:r>
          </w:p>
        </w:tc>
      </w:tr>
      <w:tr>
        <w:tblPrEx>
          <w:tblCellMar>
            <w:top w:w="0" w:type="dxa"/>
            <w:left w:w="108" w:type="dxa"/>
            <w:bottom w:w="0" w:type="dxa"/>
            <w:right w:w="108" w:type="dxa"/>
          </w:tblCellMar>
        </w:tblPrEx>
        <w:trPr>
          <w:trHeight w:val="721" w:hRule="atLeast"/>
          <w:jc w:val="center"/>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w:t>
            </w:r>
          </w:p>
        </w:tc>
        <w:tc>
          <w:tcPr>
            <w:tcW w:w="1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施有机肥</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455</w:t>
            </w:r>
          </w:p>
        </w:tc>
        <w:tc>
          <w:tcPr>
            <w:tcW w:w="1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400公斤/亩计</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182.00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800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14.56</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150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6.83</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21.39</w:t>
            </w:r>
          </w:p>
        </w:tc>
      </w:tr>
      <w:tr>
        <w:tblPrEx>
          <w:tblCellMar>
            <w:top w:w="0" w:type="dxa"/>
            <w:left w:w="108" w:type="dxa"/>
            <w:bottom w:w="0" w:type="dxa"/>
            <w:right w:w="108" w:type="dxa"/>
          </w:tblCellMar>
        </w:tblPrEx>
        <w:trPr>
          <w:trHeight w:val="721" w:hRule="atLeast"/>
          <w:jc w:val="center"/>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5</w:t>
            </w:r>
          </w:p>
        </w:tc>
        <w:tc>
          <w:tcPr>
            <w:tcW w:w="1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施配方肥</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2452</w:t>
            </w:r>
          </w:p>
        </w:tc>
        <w:tc>
          <w:tcPr>
            <w:tcW w:w="1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50公斤/亩计</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122.60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4500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55.17</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25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6.13</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61.30</w:t>
            </w:r>
          </w:p>
        </w:tc>
      </w:tr>
      <w:tr>
        <w:tblPrEx>
          <w:tblCellMar>
            <w:top w:w="0" w:type="dxa"/>
            <w:left w:w="108" w:type="dxa"/>
            <w:bottom w:w="0" w:type="dxa"/>
            <w:right w:w="108" w:type="dxa"/>
          </w:tblCellMar>
        </w:tblPrEx>
        <w:trPr>
          <w:trHeight w:val="721" w:hRule="atLeast"/>
          <w:jc w:val="center"/>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6</w:t>
            </w:r>
          </w:p>
        </w:tc>
        <w:tc>
          <w:tcPr>
            <w:tcW w:w="1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种植绿肥</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653</w:t>
            </w:r>
          </w:p>
        </w:tc>
        <w:tc>
          <w:tcPr>
            <w:tcW w:w="1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2.5公斤/亩计</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1.63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35000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5.71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2.94</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8.65</w:t>
            </w:r>
          </w:p>
        </w:tc>
      </w:tr>
      <w:tr>
        <w:tblPrEx>
          <w:tblCellMar>
            <w:top w:w="0" w:type="dxa"/>
            <w:left w:w="108" w:type="dxa"/>
            <w:bottom w:w="0" w:type="dxa"/>
            <w:right w:w="108" w:type="dxa"/>
          </w:tblCellMar>
        </w:tblPrEx>
        <w:trPr>
          <w:trHeight w:val="569" w:hRule="atLeast"/>
          <w:jc w:val="center"/>
        </w:trPr>
        <w:tc>
          <w:tcPr>
            <w:tcW w:w="240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合计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7635</w:t>
            </w:r>
          </w:p>
        </w:tc>
        <w:tc>
          <w:tcPr>
            <w:tcW w:w="1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　</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470.59</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94.19</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34.23</w:t>
            </w:r>
          </w:p>
        </w:tc>
        <w:tc>
          <w:tcPr>
            <w:tcW w:w="13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4"/>
                <w:szCs w:val="24"/>
                <w:highlight w:val="none"/>
              </w:rPr>
            </w:pPr>
            <w:r>
              <w:rPr>
                <w:rFonts w:ascii="Times New Roman" w:hAnsi="Times New Roman" w:eastAsia="仿宋" w:cs="Times New Roman"/>
                <w:b/>
                <w:bCs/>
                <w:color w:val="auto"/>
                <w:kern w:val="0"/>
                <w:sz w:val="24"/>
                <w:szCs w:val="24"/>
                <w:highlight w:val="none"/>
              </w:rPr>
              <w:t>128.42</w:t>
            </w:r>
          </w:p>
        </w:tc>
      </w:tr>
    </w:tbl>
    <w:p>
      <w:pPr>
        <w:pStyle w:val="184"/>
        <w:spacing w:beforeLines="0" w:afterLines="0"/>
        <w:ind w:firstLine="0" w:firstLineChars="0"/>
        <w:jc w:val="both"/>
        <w:rPr>
          <w:rFonts w:hint="eastAsia" w:ascii="宋体" w:hAnsi="宋体" w:eastAsia="宋体" w:cs="宋体"/>
          <w:b/>
          <w:color w:val="auto"/>
          <w:sz w:val="22"/>
          <w:szCs w:val="22"/>
          <w:highlight w:val="none"/>
        </w:rPr>
      </w:pPr>
    </w:p>
    <w:p>
      <w:pPr>
        <w:ind w:firstLine="440" w:firstLineChars="200"/>
        <w:rPr>
          <w:rFonts w:hint="eastAsia" w:ascii="宋体" w:hAnsi="宋体" w:eastAsia="宋体" w:cs="宋体"/>
          <w:color w:val="auto"/>
          <w:sz w:val="22"/>
          <w:szCs w:val="22"/>
          <w:highlight w:val="none"/>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主要措施要求</w:t>
      </w:r>
    </w:p>
    <w:p>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重点推广施用商品有机肥、配方肥，并结合酸性土壤改良及土壤逐年深翻耕等措施提升土壤肥力，施用商品有机肥。</w:t>
      </w:r>
      <w:r>
        <w:rPr>
          <w:rFonts w:hint="eastAsia" w:ascii="宋体" w:hAnsi="宋体" w:eastAsia="宋体" w:cs="宋体"/>
          <w:color w:val="auto"/>
          <w:sz w:val="22"/>
          <w:szCs w:val="22"/>
          <w:highlight w:val="none"/>
          <w:lang w:val="en-US" w:eastAsia="zh-CN"/>
        </w:rPr>
        <w:t>对549亩缺钾地块（速效钾含量40-80mg/kg）施用钾肥，对1110亩缺磷地块（有效磷含量＜10mg/kg）适量的磷肥，全面提升土壤有效磷、速效钾；通过对2416亩酸性土壤（PH＜5.5）施入石灰调节土壤pH值，改良酸性土壤，最终提高土壤养分的有效性。对455亩抛荒地块整治施工后（抛荒整治为基础工程），施有机肥改善土壤。对2452亩耕地（早晚连稻和单季稻）施配方肥，实现实施区农药比普通区减少30%以上。种植653亩紫云英提高土壤肥力、改善土壤质量，采用“紫云英-早稻-晚稻”或“紫云英-单季稻”模式，达到项目区减肥、增效作用。</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4.1、缺磷地块：对于速效磷含量较低的土壤，全部用作基肥，按连作晚稻、单季稻15公斤/亩计，施用时间为11月中旬，单季稻和晚稻都收获后。施肥方法为人工撒播。（其中养殖小龙虾地块施肥时间在小龙虾收获之后的六月中旬到六月下旬）。</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4.2、缺钾地块：对于速效钾含量较低的土壤，全部用作基肥，按5公斤/亩计，施用时间为在6月上旬和中旬（油菜和小麦收割之后）和8月上旬（早稻收割之后）播种。施肥方法为人工撒播，在施肥过程中，应将钾肥均匀撒施在土壤表面，或与土壤混合均匀后再进行播种或移栽。同时，注意避免将钾肥直接接触种子或幼苗，以免烧伤植株。（其中养殖小龙虾地块施肥时间在小龙虾收获之后的六月中旬到六月下旬）。</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4.3、改良酸性土壤地块：酸性水田施用石灰作基肥，按60公斤/亩计，施用时间为11月中旬，单季稻和晚稻都收获后。施肥方法为人工撒播，在整地或浇水后时施入，施肥过程应结合耕地质量检测数据，通常以将土壤PH值调到适合水稻生长的5.5-6.5之间，切忌过量施用生石灰。</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4.4、施有机肥地块：对于抛荒整治地块施用有机肥，按400公斤/亩计，施用时间为11月，施肥方法为人工撒播，适合新开地块，可有效改良土壤有机质含量，培肥地力。</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4.5、配方肥施用：施肥种类直接购买高浓度配方肥（25-10-16），按50公斤/亩计，施用时间为6月上旬和中旬（油菜和小麦收割之后）和8月上旬（早稻收割之后）播种。施肥方法为租用无人机播撒，在播种前或在种植时作为基肥施用，撒施后耕翻。（其中养殖小龙虾地块施肥时间在小龙虾收获之后的六月中旬到六月下旬）。</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4.6、绿肥（紫云英）：一般在10月中旬播种，以利于水稻成熟和草子出苗、生长。播种以人工撒播为主，人工撒播要均匀。亩播种量为2.5公斤左右。压青由农户负责。</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宋体"/>
          <w:b/>
          <w:bCs/>
          <w:strike w:val="0"/>
          <w:dstrike w:val="0"/>
          <w:color w:val="auto"/>
          <w:sz w:val="22"/>
          <w:szCs w:val="22"/>
          <w:highlight w:val="none"/>
          <w:u w:val="single"/>
          <w:lang w:val="en-US" w:eastAsia="zh-CN"/>
        </w:rPr>
      </w:pPr>
      <w:r>
        <w:rPr>
          <w:rFonts w:hint="eastAsia" w:ascii="宋体" w:hAnsi="宋体" w:eastAsia="宋体" w:cs="宋体"/>
          <w:color w:val="auto"/>
          <w:sz w:val="22"/>
          <w:szCs w:val="22"/>
          <w:highlight w:val="none"/>
          <w:lang w:val="en-US" w:eastAsia="zh-CN"/>
        </w:rPr>
        <w:t>其中钙镁磷肥、氯化钾、有机肥、生石灰、种植绿肥（紫云英）：按照2024年平阳县水头镇高标准农田改造提升示范项目(绿色农田建设项目)初步设计方案及肥料使用技术要求定点定量施用到具体田块里（除配方肥外），并足量科学的施用到位（施用费用包括在本次报价内）。在施肥过程中，如遇到不适宜施肥的地块，需进行避让。</w:t>
      </w:r>
      <w:r>
        <w:rPr>
          <w:rFonts w:hint="eastAsia" w:ascii="宋体" w:hAnsi="宋体" w:eastAsia="宋体" w:cs="宋体"/>
          <w:b/>
          <w:bCs/>
          <w:strike w:val="0"/>
          <w:dstrike w:val="0"/>
          <w:color w:val="auto"/>
          <w:sz w:val="22"/>
          <w:szCs w:val="22"/>
          <w:highlight w:val="none"/>
          <w:u w:val="single"/>
          <w:lang w:val="en-US" w:eastAsia="zh-CN"/>
        </w:rPr>
        <w:t>上述主要措施要求中的各项培肥量与培肥措施，均由采购人监督管理</w:t>
      </w:r>
      <w:r>
        <w:rPr>
          <w:rFonts w:hint="eastAsia" w:ascii="宋体" w:hAnsi="宋体" w:cs="宋体"/>
          <w:b/>
          <w:bCs/>
          <w:strike w:val="0"/>
          <w:dstrike w:val="0"/>
          <w:color w:val="auto"/>
          <w:sz w:val="22"/>
          <w:szCs w:val="22"/>
          <w:highlight w:val="none"/>
          <w:u w:val="single"/>
          <w:lang w:val="en-US" w:eastAsia="zh-CN"/>
        </w:rPr>
        <w:t>（根据本项目需要，</w:t>
      </w:r>
      <w:r>
        <w:rPr>
          <w:rFonts w:hint="eastAsia" w:ascii="宋体" w:hAnsi="宋体" w:cs="宋体"/>
          <w:b/>
          <w:bCs/>
          <w:color w:val="auto"/>
          <w:sz w:val="22"/>
          <w:szCs w:val="22"/>
          <w:highlight w:val="none"/>
          <w:u w:val="single"/>
          <w:lang w:val="en-US" w:eastAsia="zh-CN"/>
        </w:rPr>
        <w:t>若涉及到各肥料产品储存、管理均由供应商自行负责）。</w:t>
      </w:r>
    </w:p>
    <w:p>
      <w:pPr>
        <w:keepNext w:val="0"/>
        <w:keepLines w:val="0"/>
        <w:pageBreakBefore w:val="0"/>
        <w:widowControl w:val="0"/>
        <w:kinsoku/>
        <w:wordWrap/>
        <w:overflowPunct/>
        <w:topLinePunct w:val="0"/>
        <w:autoSpaceDE w:val="0"/>
        <w:autoSpaceDN w:val="0"/>
        <w:bidi w:val="0"/>
        <w:adjustRightInd w:val="0"/>
        <w:snapToGrid w:val="0"/>
        <w:spacing w:before="120" w:beforeLines="50" w:after="157" w:afterLines="50" w:line="360" w:lineRule="auto"/>
        <w:ind w:firstLine="562" w:firstLineChars="200"/>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en-US" w:eastAsia="zh-CN"/>
        </w:rPr>
        <w:t>、肥料实施预估任务量与质量要求</w:t>
      </w:r>
    </w:p>
    <w:p>
      <w:pPr>
        <w:pStyle w:val="184"/>
        <w:keepNext w:val="0"/>
        <w:keepLines w:val="0"/>
        <w:pageBreakBefore w:val="0"/>
        <w:widowControl w:val="0"/>
        <w:kinsoku/>
        <w:wordWrap/>
        <w:overflowPunct/>
        <w:topLinePunct w:val="0"/>
        <w:autoSpaceDE w:val="0"/>
        <w:autoSpaceDN w:val="0"/>
        <w:bidi w:val="0"/>
        <w:adjustRightInd w:val="0"/>
        <w:snapToGrid/>
        <w:spacing w:beforeLines="0" w:afterLines="0" w:line="440" w:lineRule="exact"/>
        <w:ind w:firstLine="0" w:firstLine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表</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 xml:space="preserve">   土壤</w:t>
      </w:r>
      <w:r>
        <w:rPr>
          <w:rFonts w:hint="eastAsia" w:ascii="宋体" w:hAnsi="宋体" w:eastAsia="宋体" w:cs="宋体"/>
          <w:b/>
          <w:color w:val="auto"/>
          <w:sz w:val="22"/>
          <w:szCs w:val="22"/>
          <w:highlight w:val="none"/>
          <w:lang w:val="en-US" w:eastAsia="zh-CN"/>
        </w:rPr>
        <w:t>改良培</w:t>
      </w:r>
      <w:r>
        <w:rPr>
          <w:rFonts w:hint="eastAsia" w:ascii="宋体" w:hAnsi="宋体" w:eastAsia="宋体" w:cs="宋体"/>
          <w:b/>
          <w:color w:val="auto"/>
          <w:sz w:val="22"/>
          <w:szCs w:val="22"/>
          <w:highlight w:val="none"/>
        </w:rPr>
        <w:t>肥措施情况表</w:t>
      </w:r>
    </w:p>
    <w:tbl>
      <w:tblPr>
        <w:tblStyle w:val="39"/>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69"/>
        <w:gridCol w:w="915"/>
        <w:gridCol w:w="992"/>
        <w:gridCol w:w="992"/>
        <w:gridCol w:w="935"/>
        <w:gridCol w:w="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8" w:type="dxa"/>
            <w:shd w:val="clear" w:color="auto" w:fill="auto"/>
            <w:noWrap/>
            <w:vAlign w:val="center"/>
          </w:tcPr>
          <w:p>
            <w:pPr>
              <w:jc w:val="center"/>
              <w:rPr>
                <w:rFonts w:ascii="Times New Roman" w:hAnsi="Times New Roman" w:eastAsia="仿宋" w:cs="Times New Roman"/>
                <w:b/>
                <w:bCs/>
                <w:color w:val="auto"/>
                <w:szCs w:val="21"/>
                <w:highlight w:val="none"/>
              </w:rPr>
            </w:pPr>
            <w:r>
              <w:rPr>
                <w:rFonts w:ascii="Times New Roman" w:hAnsi="Times New Roman" w:eastAsia="仿宋" w:cs="Times New Roman"/>
                <w:b/>
                <w:bCs/>
                <w:color w:val="auto"/>
                <w:szCs w:val="21"/>
                <w:highlight w:val="none"/>
              </w:rPr>
              <w:t>序号</w:t>
            </w:r>
          </w:p>
        </w:tc>
        <w:tc>
          <w:tcPr>
            <w:tcW w:w="1069" w:type="dxa"/>
            <w:shd w:val="clear" w:color="auto" w:fill="auto"/>
            <w:noWrap/>
            <w:vAlign w:val="center"/>
          </w:tcPr>
          <w:p>
            <w:pPr>
              <w:jc w:val="center"/>
              <w:rPr>
                <w:rFonts w:ascii="Times New Roman" w:hAnsi="Times New Roman" w:eastAsia="仿宋" w:cs="Times New Roman"/>
                <w:b/>
                <w:bCs/>
                <w:color w:val="auto"/>
                <w:szCs w:val="21"/>
                <w:highlight w:val="none"/>
              </w:rPr>
            </w:pPr>
            <w:r>
              <w:rPr>
                <w:rFonts w:ascii="Times New Roman" w:hAnsi="Times New Roman" w:eastAsia="仿宋" w:cs="Times New Roman"/>
                <w:b/>
                <w:bCs/>
                <w:color w:val="auto"/>
                <w:szCs w:val="21"/>
                <w:highlight w:val="none"/>
              </w:rPr>
              <w:t>主要措施</w:t>
            </w:r>
          </w:p>
        </w:tc>
        <w:tc>
          <w:tcPr>
            <w:tcW w:w="915" w:type="dxa"/>
            <w:shd w:val="clear" w:color="auto" w:fill="auto"/>
            <w:noWrap/>
            <w:vAlign w:val="center"/>
          </w:tcPr>
          <w:p>
            <w:pPr>
              <w:jc w:val="center"/>
              <w:rPr>
                <w:rFonts w:ascii="Times New Roman" w:hAnsi="Times New Roman" w:eastAsia="仿宋" w:cs="Times New Roman"/>
                <w:b/>
                <w:bCs/>
                <w:color w:val="auto"/>
                <w:szCs w:val="21"/>
                <w:highlight w:val="none"/>
              </w:rPr>
            </w:pPr>
            <w:r>
              <w:rPr>
                <w:rFonts w:ascii="Times New Roman" w:hAnsi="Times New Roman" w:eastAsia="仿宋" w:cs="Times New Roman"/>
                <w:b/>
                <w:bCs/>
                <w:color w:val="auto"/>
                <w:szCs w:val="21"/>
                <w:highlight w:val="none"/>
              </w:rPr>
              <w:t>任务量（吨）</w:t>
            </w:r>
          </w:p>
        </w:tc>
        <w:tc>
          <w:tcPr>
            <w:tcW w:w="992" w:type="dxa"/>
            <w:vAlign w:val="center"/>
          </w:tcPr>
          <w:p>
            <w:pPr>
              <w:jc w:val="center"/>
              <w:rPr>
                <w:rFonts w:ascii="Times New Roman" w:hAnsi="Times New Roman" w:eastAsia="仿宋" w:cs="Times New Roman"/>
                <w:b/>
                <w:bCs/>
                <w:color w:val="auto"/>
                <w:szCs w:val="21"/>
                <w:highlight w:val="none"/>
              </w:rPr>
            </w:pPr>
            <w:r>
              <w:rPr>
                <w:rFonts w:ascii="Times New Roman" w:hAnsi="Times New Roman" w:eastAsia="仿宋" w:cs="Times New Roman"/>
                <w:b/>
                <w:bCs/>
                <w:color w:val="auto"/>
                <w:szCs w:val="21"/>
                <w:highlight w:val="none"/>
              </w:rPr>
              <w:t>实施面积（亩）</w:t>
            </w:r>
          </w:p>
        </w:tc>
        <w:tc>
          <w:tcPr>
            <w:tcW w:w="992" w:type="dxa"/>
            <w:shd w:val="clear" w:color="auto" w:fill="auto"/>
            <w:vAlign w:val="center"/>
          </w:tcPr>
          <w:p>
            <w:pPr>
              <w:jc w:val="center"/>
              <w:rPr>
                <w:rFonts w:ascii="Times New Roman" w:hAnsi="Times New Roman" w:eastAsia="仿宋" w:cs="Times New Roman"/>
                <w:b/>
                <w:bCs/>
                <w:color w:val="auto"/>
                <w:szCs w:val="21"/>
                <w:highlight w:val="none"/>
              </w:rPr>
            </w:pPr>
            <w:r>
              <w:rPr>
                <w:rFonts w:ascii="Times New Roman" w:hAnsi="Times New Roman" w:eastAsia="仿宋" w:cs="Times New Roman"/>
                <w:b/>
                <w:bCs/>
                <w:color w:val="auto"/>
                <w:szCs w:val="21"/>
                <w:highlight w:val="none"/>
              </w:rPr>
              <w:t>提升前指标</w:t>
            </w:r>
          </w:p>
        </w:tc>
        <w:tc>
          <w:tcPr>
            <w:tcW w:w="935" w:type="dxa"/>
            <w:shd w:val="clear" w:color="auto" w:fill="auto"/>
            <w:vAlign w:val="center"/>
          </w:tcPr>
          <w:p>
            <w:pPr>
              <w:jc w:val="center"/>
              <w:rPr>
                <w:rFonts w:ascii="Times New Roman" w:hAnsi="Times New Roman" w:eastAsia="仿宋" w:cs="Times New Roman"/>
                <w:b/>
                <w:bCs/>
                <w:color w:val="auto"/>
                <w:szCs w:val="21"/>
                <w:highlight w:val="none"/>
              </w:rPr>
            </w:pPr>
            <w:r>
              <w:rPr>
                <w:rFonts w:ascii="Times New Roman" w:hAnsi="Times New Roman" w:eastAsia="仿宋" w:cs="Times New Roman"/>
                <w:b/>
                <w:bCs/>
                <w:color w:val="auto"/>
                <w:szCs w:val="21"/>
                <w:highlight w:val="none"/>
              </w:rPr>
              <w:t>提升后指标</w:t>
            </w:r>
          </w:p>
        </w:tc>
        <w:tc>
          <w:tcPr>
            <w:tcW w:w="4310" w:type="dxa"/>
            <w:shd w:val="clear" w:color="auto" w:fill="auto"/>
            <w:vAlign w:val="center"/>
          </w:tcPr>
          <w:p>
            <w:pPr>
              <w:jc w:val="center"/>
              <w:rPr>
                <w:rFonts w:ascii="Times New Roman" w:hAnsi="Times New Roman" w:eastAsia="仿宋" w:cs="Times New Roman"/>
                <w:b/>
                <w:bCs/>
                <w:color w:val="auto"/>
                <w:szCs w:val="21"/>
                <w:highlight w:val="none"/>
              </w:rPr>
            </w:pPr>
            <w:r>
              <w:rPr>
                <w:rFonts w:ascii="Times New Roman" w:hAnsi="Times New Roman" w:eastAsia="仿宋" w:cs="Times New Roman"/>
                <w:b/>
                <w:bCs/>
                <w:color w:val="auto"/>
                <w:szCs w:val="21"/>
                <w:highlight w:val="none"/>
              </w:rPr>
              <w:t>技术参数及相关要求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8"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w:t>
            </w:r>
          </w:p>
        </w:tc>
        <w:tc>
          <w:tcPr>
            <w:tcW w:w="1069"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磷肥（钙镁磷肥）</w:t>
            </w:r>
          </w:p>
        </w:tc>
        <w:tc>
          <w:tcPr>
            <w:tcW w:w="915"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16.65</w:t>
            </w:r>
          </w:p>
        </w:tc>
        <w:tc>
          <w:tcPr>
            <w:tcW w:w="992" w:type="dxa"/>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1110</w:t>
            </w:r>
          </w:p>
        </w:tc>
        <w:tc>
          <w:tcPr>
            <w:tcW w:w="992" w:type="dxa"/>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有效磷含量低于10mg/kg</w:t>
            </w:r>
          </w:p>
        </w:tc>
        <w:tc>
          <w:tcPr>
            <w:tcW w:w="935" w:type="dxa"/>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有效磷含量达到达到10mg/kg以上</w:t>
            </w:r>
          </w:p>
        </w:tc>
        <w:tc>
          <w:tcPr>
            <w:tcW w:w="4310" w:type="dxa"/>
            <w:shd w:val="clear" w:color="auto" w:fill="auto"/>
            <w:vAlign w:val="center"/>
          </w:tcPr>
          <w:p>
            <w:pPr>
              <w:rPr>
                <w:rFonts w:ascii="Times New Roman" w:hAnsi="Times New Roman" w:eastAsia="仿宋" w:cs="Times New Roman"/>
                <w:bCs/>
                <w:color w:val="auto"/>
                <w:szCs w:val="21"/>
                <w:highlight w:val="none"/>
              </w:rPr>
            </w:pPr>
            <w:r>
              <w:rPr>
                <w:rFonts w:hint="eastAsia" w:ascii="Times New Roman" w:hAnsi="Times New Roman" w:eastAsia="仿宋" w:cs="Times New Roman"/>
                <w:bCs/>
                <w:color w:val="auto"/>
                <w:szCs w:val="21"/>
                <w:highlight w:val="none"/>
              </w:rPr>
              <w:t>符合</w:t>
            </w:r>
            <w:r>
              <w:rPr>
                <w:rFonts w:ascii="Times New Roman" w:hAnsi="Times New Roman" w:eastAsia="仿宋" w:cs="Times New Roman"/>
                <w:bCs/>
                <w:color w:val="auto"/>
                <w:szCs w:val="21"/>
                <w:highlight w:val="none"/>
              </w:rPr>
              <w:t>GB/T2041</w:t>
            </w:r>
            <w:r>
              <w:rPr>
                <w:rFonts w:hint="eastAsia" w:ascii="Times New Roman" w:hAnsi="Times New Roman" w:eastAsia="仿宋" w:cs="Times New Roman"/>
                <w:bCs/>
                <w:color w:val="auto"/>
                <w:szCs w:val="21"/>
                <w:highlight w:val="none"/>
              </w:rPr>
              <w:t>2</w:t>
            </w:r>
            <w:r>
              <w:rPr>
                <w:rFonts w:ascii="Times New Roman" w:hAnsi="Times New Roman" w:eastAsia="仿宋" w:cs="Times New Roman"/>
                <w:bCs/>
                <w:color w:val="auto"/>
                <w:szCs w:val="21"/>
                <w:highlight w:val="none"/>
              </w:rPr>
              <w:t>-20</w:t>
            </w:r>
            <w:r>
              <w:rPr>
                <w:rFonts w:hint="eastAsia" w:ascii="Times New Roman" w:hAnsi="Times New Roman" w:eastAsia="仿宋" w:cs="Times New Roman"/>
                <w:bCs/>
                <w:color w:val="auto"/>
                <w:szCs w:val="21"/>
                <w:highlight w:val="none"/>
              </w:rPr>
              <w:t>21标准，黑色粉状。</w:t>
            </w:r>
            <w:r>
              <w:rPr>
                <w:rFonts w:ascii="Times New Roman" w:hAnsi="Times New Roman" w:eastAsia="仿宋" w:cs="Times New Roman"/>
                <w:bCs/>
                <w:color w:val="auto"/>
                <w:szCs w:val="21"/>
                <w:highlight w:val="none"/>
              </w:rPr>
              <w:t>产品为编织袋包装，40kg/包。</w:t>
            </w:r>
          </w:p>
          <w:p>
            <w:pP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w:t>
            </w:r>
            <w:r>
              <w:rPr>
                <w:rFonts w:hint="eastAsia" w:ascii="Times New Roman" w:hAnsi="Times New Roman" w:eastAsia="仿宋" w:cs="Times New Roman"/>
                <w:bCs/>
                <w:color w:val="auto"/>
                <w:szCs w:val="21"/>
                <w:highlight w:val="none"/>
              </w:rPr>
              <w:t>P</w:t>
            </w:r>
            <w:r>
              <w:rPr>
                <w:rFonts w:hint="eastAsia" w:ascii="Times New Roman" w:hAnsi="Times New Roman" w:eastAsia="仿宋" w:cs="Times New Roman"/>
                <w:bCs/>
                <w:color w:val="auto"/>
                <w:szCs w:val="21"/>
                <w:highlight w:val="none"/>
                <w:vertAlign w:val="subscript"/>
              </w:rPr>
              <w:t>2</w:t>
            </w:r>
            <w:r>
              <w:rPr>
                <w:rFonts w:hint="eastAsia" w:ascii="Times New Roman" w:hAnsi="Times New Roman" w:eastAsia="仿宋" w:cs="Times New Roman"/>
                <w:bCs/>
                <w:color w:val="auto"/>
                <w:szCs w:val="21"/>
                <w:highlight w:val="none"/>
              </w:rPr>
              <w:t>O</w:t>
            </w:r>
            <w:r>
              <w:rPr>
                <w:rFonts w:hint="eastAsia" w:ascii="Times New Roman" w:hAnsi="Times New Roman" w:eastAsia="仿宋" w:cs="Times New Roman"/>
                <w:bCs/>
                <w:color w:val="auto"/>
                <w:szCs w:val="21"/>
                <w:highlight w:val="none"/>
                <w:vertAlign w:val="subscript"/>
              </w:rPr>
              <w:t>5</w:t>
            </w:r>
            <w:r>
              <w:rPr>
                <w:rFonts w:hint="eastAsia" w:ascii="Times New Roman" w:hAnsi="Times New Roman" w:eastAsia="仿宋" w:cs="Times New Roman"/>
                <w:bCs/>
                <w:color w:val="auto"/>
                <w:szCs w:val="21"/>
                <w:highlight w:val="none"/>
              </w:rPr>
              <w:t>（有效五氧化二磷）的质量分数≥12%；水分的质量分数≤0.5%；</w:t>
            </w:r>
          </w:p>
          <w:p>
            <w:pP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w:t>
            </w:r>
            <w:r>
              <w:rPr>
                <w:rFonts w:hint="eastAsia" w:ascii="Times New Roman" w:hAnsi="Times New Roman" w:eastAsia="仿宋" w:cs="Times New Roman"/>
                <w:bCs/>
                <w:color w:val="auto"/>
                <w:szCs w:val="21"/>
                <w:highlight w:val="none"/>
              </w:rPr>
              <w:t>有效钙≥20%；</w:t>
            </w:r>
          </w:p>
          <w:p>
            <w:pP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（3）</w:t>
            </w:r>
            <w:r>
              <w:rPr>
                <w:rFonts w:hint="eastAsia" w:ascii="Times New Roman" w:hAnsi="Times New Roman" w:eastAsia="仿宋" w:cs="Times New Roman"/>
                <w:bCs/>
                <w:color w:val="auto"/>
                <w:szCs w:val="21"/>
                <w:highlight w:val="none"/>
              </w:rPr>
              <w:t>可溶性硅的质量分数≥20%；</w:t>
            </w:r>
          </w:p>
          <w:p>
            <w:pP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（4）</w:t>
            </w:r>
            <w:r>
              <w:rPr>
                <w:rFonts w:hint="eastAsia" w:ascii="Times New Roman" w:hAnsi="Times New Roman" w:eastAsia="仿宋" w:cs="Times New Roman"/>
                <w:bCs/>
                <w:color w:val="auto"/>
                <w:szCs w:val="21"/>
                <w:highlight w:val="none"/>
              </w:rPr>
              <w:t>有效镁的质量分数≥4%；</w:t>
            </w:r>
          </w:p>
          <w:p>
            <w:pP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（5）</w:t>
            </w:r>
            <w:r>
              <w:rPr>
                <w:rFonts w:hint="eastAsia" w:ascii="Times New Roman" w:hAnsi="Times New Roman" w:eastAsia="仿宋" w:cs="Times New Roman"/>
                <w:bCs/>
                <w:color w:val="auto"/>
                <w:szCs w:val="21"/>
                <w:highlight w:val="none"/>
              </w:rPr>
              <w:t>0.25mm实验筛通过率≥80%；</w:t>
            </w:r>
          </w:p>
          <w:p>
            <w:pP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（6）</w:t>
            </w:r>
            <w:r>
              <w:rPr>
                <w:rFonts w:hint="eastAsia" w:ascii="Times New Roman" w:hAnsi="Times New Roman" w:eastAsia="仿宋" w:cs="Times New Roman"/>
                <w:bCs/>
                <w:color w:val="auto"/>
                <w:szCs w:val="21"/>
                <w:highlight w:val="none"/>
              </w:rPr>
              <w:t>总镉（以Cd计）, mg/kg, ≤ 3；</w:t>
            </w:r>
          </w:p>
          <w:p>
            <w:pP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（7）</w:t>
            </w:r>
            <w:r>
              <w:rPr>
                <w:rFonts w:hint="eastAsia" w:ascii="Times New Roman" w:hAnsi="Times New Roman" w:eastAsia="仿宋" w:cs="Times New Roman"/>
                <w:bCs/>
                <w:color w:val="auto"/>
                <w:szCs w:val="21"/>
                <w:highlight w:val="none"/>
              </w:rPr>
              <w:t>总汞（以Hg计）, mg/kg,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8"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w:t>
            </w:r>
          </w:p>
        </w:tc>
        <w:tc>
          <w:tcPr>
            <w:tcW w:w="1069"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钾肥（氯化钾）</w:t>
            </w:r>
          </w:p>
        </w:tc>
        <w:tc>
          <w:tcPr>
            <w:tcW w:w="915"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2.75</w:t>
            </w:r>
          </w:p>
        </w:tc>
        <w:tc>
          <w:tcPr>
            <w:tcW w:w="992" w:type="dxa"/>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549</w:t>
            </w:r>
          </w:p>
        </w:tc>
        <w:tc>
          <w:tcPr>
            <w:tcW w:w="992" w:type="dxa"/>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速效钾含量40-80mg/kg</w:t>
            </w:r>
          </w:p>
        </w:tc>
        <w:tc>
          <w:tcPr>
            <w:tcW w:w="935" w:type="dxa"/>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速效钾含量达到80mg/kg以上</w:t>
            </w:r>
          </w:p>
        </w:tc>
        <w:tc>
          <w:tcPr>
            <w:tcW w:w="4310" w:type="dxa"/>
            <w:shd w:val="clear" w:color="auto" w:fill="auto"/>
            <w:vAlign w:val="center"/>
          </w:tcPr>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符合GB6549-1996标准，总养分（K,O)</w:t>
            </w:r>
            <w:r>
              <w:rPr>
                <w:rFonts w:hint="eastAsia" w:ascii="Times New Roman" w:hAnsi="Times New Roman" w:eastAsia="仿宋" w:cs="Times New Roman"/>
                <w:bCs/>
                <w:color w:val="auto"/>
                <w:szCs w:val="21"/>
                <w:highlight w:val="none"/>
              </w:rPr>
              <w:t xml:space="preserve"> ≥</w:t>
            </w:r>
            <w:r>
              <w:rPr>
                <w:rFonts w:ascii="Times New Roman" w:hAnsi="Times New Roman" w:eastAsia="仿宋" w:cs="Times New Roman"/>
                <w:bCs/>
                <w:color w:val="auto"/>
                <w:szCs w:val="21"/>
                <w:highlight w:val="none"/>
              </w:rPr>
              <w:t>60%，白色粉状，产品为编织袋包装，50kg/包。</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（1）KO(氯化钾）的含量%</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60.00；</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（2）H2O(水分）的含量%</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2.00；</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（3）Ca、Mg(钙镁）的含量%</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0. 4；</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（4）氯化钙的含量%</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0.20；</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（5）水不溶物的含量%</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8"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3</w:t>
            </w:r>
          </w:p>
        </w:tc>
        <w:tc>
          <w:tcPr>
            <w:tcW w:w="1069"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改善PH值（生石灰）</w:t>
            </w:r>
          </w:p>
        </w:tc>
        <w:tc>
          <w:tcPr>
            <w:tcW w:w="915"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144.96</w:t>
            </w:r>
          </w:p>
        </w:tc>
        <w:tc>
          <w:tcPr>
            <w:tcW w:w="992" w:type="dxa"/>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2416</w:t>
            </w:r>
          </w:p>
        </w:tc>
        <w:tc>
          <w:tcPr>
            <w:tcW w:w="992" w:type="dxa"/>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酸性土壤（PH＜5.5）</w:t>
            </w:r>
          </w:p>
        </w:tc>
        <w:tc>
          <w:tcPr>
            <w:tcW w:w="935" w:type="dxa"/>
            <w:shd w:val="clear" w:color="auto" w:fill="auto"/>
            <w:vAlign w:val="center"/>
          </w:tcPr>
          <w:p>
            <w:pPr>
              <w:jc w:val="center"/>
              <w:rPr>
                <w:rFonts w:hint="eastAsia" w:ascii="Times New Roman" w:hAnsi="Times New Roman" w:eastAsia="仿宋" w:cs="Times New Roman"/>
                <w:bCs/>
                <w:color w:val="auto"/>
                <w:szCs w:val="21"/>
                <w:highlight w:val="none"/>
                <w:lang w:eastAsia="zh-CN"/>
              </w:rPr>
            </w:pPr>
            <w:r>
              <w:rPr>
                <w:rFonts w:ascii="Times New Roman" w:hAnsi="Times New Roman" w:eastAsia="仿宋" w:cs="Times New Roman"/>
                <w:bCs/>
                <w:color w:val="auto"/>
                <w:szCs w:val="21"/>
                <w:highlight w:val="none"/>
              </w:rPr>
              <w:t>PH值达到</w:t>
            </w:r>
            <w:r>
              <w:rPr>
                <w:rFonts w:hint="default" w:ascii="Times New Roman" w:hAnsi="Times New Roman" w:eastAsia="宋体" w:cs="Times New Roman"/>
                <w:color w:val="auto"/>
                <w:sz w:val="22"/>
                <w:szCs w:val="22"/>
                <w:highlight w:val="none"/>
                <w:lang w:val="en-US" w:eastAsia="zh-CN"/>
              </w:rPr>
              <w:t>5.5-6.5</w:t>
            </w:r>
          </w:p>
        </w:tc>
        <w:tc>
          <w:tcPr>
            <w:tcW w:w="4310" w:type="dxa"/>
            <w:shd w:val="clear" w:color="auto" w:fill="auto"/>
            <w:vAlign w:val="center"/>
          </w:tcPr>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（1）纯度：有效CaO</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85%；</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（2）颗粒度： 200 目过筛率</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95%；</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（3）消化速度：4分钟内温升</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55℃ (石灰：水=1:3)</w:t>
            </w:r>
            <w:r>
              <w:rPr>
                <w:rFonts w:hint="eastAsia" w:ascii="Times New Roman" w:hAnsi="Times New Roman" w:eastAsia="仿宋" w:cs="Times New Roman"/>
                <w:bCs/>
                <w:color w:val="auto"/>
                <w:szCs w:val="21"/>
                <w:highlight w:val="none"/>
              </w:rPr>
              <w:t>；</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（4）包装要求：25公斤/袋编织包装。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8"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4</w:t>
            </w:r>
          </w:p>
        </w:tc>
        <w:tc>
          <w:tcPr>
            <w:tcW w:w="1069"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有机肥</w:t>
            </w:r>
          </w:p>
        </w:tc>
        <w:tc>
          <w:tcPr>
            <w:tcW w:w="915"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182</w:t>
            </w:r>
          </w:p>
        </w:tc>
        <w:tc>
          <w:tcPr>
            <w:tcW w:w="992" w:type="dxa"/>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455</w:t>
            </w:r>
          </w:p>
        </w:tc>
        <w:tc>
          <w:tcPr>
            <w:tcW w:w="992" w:type="dxa"/>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化肥导致土壤肥力下降、结构破坏</w:t>
            </w:r>
          </w:p>
        </w:tc>
        <w:tc>
          <w:tcPr>
            <w:tcW w:w="935" w:type="dxa"/>
            <w:vMerge w:val="restart"/>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实现实施区农药比普通区减少30%以上</w:t>
            </w:r>
          </w:p>
        </w:tc>
        <w:tc>
          <w:tcPr>
            <w:tcW w:w="4310" w:type="dxa"/>
            <w:shd w:val="clear" w:color="auto" w:fill="auto"/>
            <w:vAlign w:val="center"/>
          </w:tcPr>
          <w:p>
            <w:pPr>
              <w:jc w:val="left"/>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1、所投</w:t>
            </w:r>
            <w:r>
              <w:rPr>
                <w:rFonts w:hint="eastAsia" w:ascii="宋体" w:hAnsi="宋体" w:cs="宋体"/>
                <w:bCs/>
                <w:color w:val="auto"/>
                <w:sz w:val="22"/>
                <w:szCs w:val="22"/>
                <w:highlight w:val="none"/>
                <w:lang w:val="en-US" w:eastAsia="zh-CN"/>
              </w:rPr>
              <w:t>有机肥</w:t>
            </w:r>
            <w:r>
              <w:rPr>
                <w:rFonts w:hint="eastAsia" w:ascii="宋体" w:hAnsi="宋体" w:eastAsia="宋体" w:cs="宋体"/>
                <w:bCs/>
                <w:color w:val="auto"/>
                <w:sz w:val="22"/>
                <w:szCs w:val="22"/>
                <w:highlight w:val="none"/>
              </w:rPr>
              <w:t>必须具有省级以上政府主管部门出具的肥料正式登记证</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在商务技术文件中提供登记证复印件加盖公章，否则做无效投标处理。</w:t>
            </w:r>
            <w:r>
              <w:rPr>
                <w:rFonts w:hint="eastAsia" w:ascii="宋体" w:hAnsi="宋体" w:eastAsia="宋体" w:cs="宋体"/>
                <w:bCs/>
                <w:color w:val="auto"/>
                <w:sz w:val="22"/>
                <w:szCs w:val="22"/>
                <w:highlight w:val="none"/>
                <w:lang w:val="en-US" w:eastAsia="zh-CN"/>
              </w:rPr>
              <w:t>▲</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2、利用猪粪、鸡鸭粪、牛粪等禽畜粪便为主要原（不得使用垃圾、污泥等为填充物），经发酵腐熟除臭后制成的有机肥料产品，氮磷钾总养分、有机质、重金属及水分含量和酸碱度指标达到《有机肥料》（NY/T 525-2021)农业行业标准。主要质量指标：</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（1）有机质含量</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45%；</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（2）氮、磷、钾（N+P205+K20)</w:t>
            </w:r>
            <w:r>
              <w:rPr>
                <w:rFonts w:hint="eastAsia" w:ascii="Times New Roman" w:hAnsi="Times New Roman" w:eastAsia="仿宋" w:cs="Times New Roman"/>
                <w:bCs/>
                <w:color w:val="auto"/>
                <w:szCs w:val="21"/>
                <w:highlight w:val="none"/>
              </w:rPr>
              <w:t xml:space="preserve"> ≥</w:t>
            </w:r>
            <w:r>
              <w:rPr>
                <w:rFonts w:ascii="Times New Roman" w:hAnsi="Times New Roman" w:eastAsia="仿宋" w:cs="Times New Roman"/>
                <w:bCs/>
                <w:color w:val="auto"/>
                <w:szCs w:val="21"/>
                <w:highlight w:val="none"/>
              </w:rPr>
              <w:t>5%；</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（3）含水量</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30%；</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（4）pH值在6.0-8.5之间；</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（5）蛔虫卵死亡率和粪大肠菌数指标应符合NY884的要求；</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（6）粉状；须要按袋封装（统一重量）、标识齐全。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8"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5</w:t>
            </w:r>
          </w:p>
        </w:tc>
        <w:tc>
          <w:tcPr>
            <w:tcW w:w="1069"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配方肥</w:t>
            </w:r>
          </w:p>
        </w:tc>
        <w:tc>
          <w:tcPr>
            <w:tcW w:w="915"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122.6</w:t>
            </w:r>
          </w:p>
        </w:tc>
        <w:tc>
          <w:tcPr>
            <w:tcW w:w="992" w:type="dxa"/>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2452</w:t>
            </w:r>
          </w:p>
        </w:tc>
        <w:tc>
          <w:tcPr>
            <w:tcW w:w="992" w:type="dxa"/>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w:t>
            </w:r>
          </w:p>
        </w:tc>
        <w:tc>
          <w:tcPr>
            <w:tcW w:w="935" w:type="dxa"/>
            <w:vMerge w:val="continue"/>
            <w:vAlign w:val="center"/>
          </w:tcPr>
          <w:p>
            <w:pPr>
              <w:jc w:val="center"/>
              <w:rPr>
                <w:rFonts w:ascii="Times New Roman" w:hAnsi="Times New Roman" w:eastAsia="仿宋" w:cs="Times New Roman"/>
                <w:bCs/>
                <w:color w:val="auto"/>
                <w:szCs w:val="21"/>
                <w:highlight w:val="none"/>
              </w:rPr>
            </w:pPr>
          </w:p>
        </w:tc>
        <w:tc>
          <w:tcPr>
            <w:tcW w:w="4310" w:type="dxa"/>
            <w:vAlign w:val="center"/>
          </w:tcPr>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高浓度配方肥（</w:t>
            </w:r>
            <w:r>
              <w:rPr>
                <w:rFonts w:hint="eastAsia" w:ascii="Times New Roman" w:hAnsi="Times New Roman" w:eastAsia="仿宋" w:cs="Times New Roman"/>
                <w:bCs/>
                <w:color w:val="auto"/>
                <w:szCs w:val="21"/>
                <w:highlight w:val="none"/>
              </w:rPr>
              <w:t>25-10-16</w:t>
            </w:r>
            <w:r>
              <w:rPr>
                <w:rFonts w:ascii="Times New Roman" w:hAnsi="Times New Roman" w:eastAsia="仿宋" w:cs="Times New Roman"/>
                <w:bCs/>
                <w:color w:val="auto"/>
                <w:szCs w:val="21"/>
                <w:highlight w:val="none"/>
              </w:rPr>
              <w:t>），执行标准《GB/</w:t>
            </w:r>
            <w:r>
              <w:rPr>
                <w:rFonts w:hint="eastAsia" w:ascii="Times New Roman" w:hAnsi="Times New Roman" w:eastAsia="仿宋" w:cs="Times New Roman"/>
                <w:bCs/>
                <w:color w:val="auto"/>
                <w:szCs w:val="21"/>
                <w:highlight w:val="none"/>
              </w:rPr>
              <w:t>T</w:t>
            </w:r>
            <w:r>
              <w:rPr>
                <w:rFonts w:ascii="Times New Roman" w:hAnsi="Times New Roman" w:eastAsia="仿宋" w:cs="Times New Roman"/>
                <w:bCs/>
                <w:color w:val="auto"/>
                <w:szCs w:val="21"/>
                <w:highlight w:val="none"/>
              </w:rPr>
              <w:t xml:space="preserve">18877-2020》。 </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（1）外观：颗粒状或条状产品，无机械杂质</w:t>
            </w:r>
            <w:r>
              <w:rPr>
                <w:rFonts w:hint="eastAsia" w:ascii="Times New Roman" w:hAnsi="Times New Roman" w:eastAsia="仿宋" w:cs="Times New Roman"/>
                <w:bCs/>
                <w:color w:val="auto"/>
                <w:szCs w:val="21"/>
                <w:highlight w:val="none"/>
              </w:rPr>
              <w:t>；</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（2）总养分（N+P2O5+K2O）含量≥33%，含氯型。蛔虫卵死亡率、大肠菌群数指标和重金属限量等指标符合国家行业标准得到要求</w:t>
            </w:r>
            <w:r>
              <w:rPr>
                <w:rFonts w:hint="eastAsia" w:ascii="Times New Roman" w:hAnsi="Times New Roman" w:eastAsia="仿宋" w:cs="Times New Roman"/>
                <w:bCs/>
                <w:color w:val="auto"/>
                <w:szCs w:val="21"/>
                <w:highlight w:val="none"/>
              </w:rPr>
              <w:t>；</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w:t>
            </w:r>
            <w:r>
              <w:rPr>
                <w:rFonts w:hint="eastAsia" w:ascii="Times New Roman" w:hAnsi="Times New Roman" w:eastAsia="仿宋" w:cs="Times New Roman"/>
                <w:bCs/>
                <w:color w:val="auto"/>
                <w:szCs w:val="21"/>
                <w:highlight w:val="none"/>
              </w:rPr>
              <w:t>3</w:t>
            </w:r>
            <w:r>
              <w:rPr>
                <w:rFonts w:ascii="Times New Roman" w:hAnsi="Times New Roman" w:eastAsia="仿宋" w:cs="Times New Roman"/>
                <w:bCs/>
                <w:color w:val="auto"/>
                <w:szCs w:val="21"/>
                <w:highlight w:val="none"/>
              </w:rPr>
              <w:t>）包装要求：40公斤/袋编织包装。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8"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6</w:t>
            </w:r>
          </w:p>
        </w:tc>
        <w:tc>
          <w:tcPr>
            <w:tcW w:w="1069"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种植绿肥（紫云英）</w:t>
            </w:r>
          </w:p>
        </w:tc>
        <w:tc>
          <w:tcPr>
            <w:tcW w:w="915" w:type="dxa"/>
            <w:shd w:val="clear" w:color="auto" w:fill="auto"/>
            <w:noWrap/>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1.63</w:t>
            </w:r>
          </w:p>
        </w:tc>
        <w:tc>
          <w:tcPr>
            <w:tcW w:w="992" w:type="dxa"/>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653</w:t>
            </w:r>
          </w:p>
        </w:tc>
        <w:tc>
          <w:tcPr>
            <w:tcW w:w="992" w:type="dxa"/>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w:t>
            </w:r>
          </w:p>
        </w:tc>
        <w:tc>
          <w:tcPr>
            <w:tcW w:w="935" w:type="dxa"/>
            <w:shd w:val="clear" w:color="auto" w:fill="auto"/>
            <w:vAlign w:val="center"/>
          </w:tcPr>
          <w:p>
            <w:pPr>
              <w:jc w:val="center"/>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培养地力、改良土壤</w:t>
            </w:r>
          </w:p>
        </w:tc>
        <w:tc>
          <w:tcPr>
            <w:tcW w:w="4310" w:type="dxa"/>
            <w:shd w:val="clear" w:color="auto" w:fill="auto"/>
            <w:vAlign w:val="center"/>
          </w:tcPr>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纯度</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95%</w:t>
            </w:r>
            <w:r>
              <w:rPr>
                <w:rFonts w:hint="eastAsia" w:ascii="Times New Roman" w:hAnsi="Times New Roman" w:eastAsia="仿宋" w:cs="Times New Roman"/>
                <w:bCs/>
                <w:color w:val="auto"/>
                <w:szCs w:val="21"/>
                <w:highlight w:val="none"/>
              </w:rPr>
              <w:t>；</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净度</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95%</w:t>
            </w:r>
            <w:r>
              <w:rPr>
                <w:rFonts w:hint="eastAsia" w:ascii="Times New Roman" w:hAnsi="Times New Roman" w:eastAsia="仿宋" w:cs="Times New Roman"/>
                <w:bCs/>
                <w:color w:val="auto"/>
                <w:szCs w:val="21"/>
                <w:highlight w:val="none"/>
              </w:rPr>
              <w:t>；</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出芽率</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80%</w:t>
            </w:r>
            <w:r>
              <w:rPr>
                <w:rFonts w:hint="eastAsia" w:ascii="Times New Roman" w:hAnsi="Times New Roman" w:eastAsia="仿宋" w:cs="Times New Roman"/>
                <w:bCs/>
                <w:color w:val="auto"/>
                <w:szCs w:val="21"/>
                <w:highlight w:val="none"/>
              </w:rPr>
              <w:t>；</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水份</w:t>
            </w:r>
            <w:r>
              <w:rPr>
                <w:rFonts w:hint="eastAsia" w:ascii="Times New Roman" w:hAnsi="Times New Roman" w:eastAsia="仿宋" w:cs="Times New Roman"/>
                <w:bCs/>
                <w:color w:val="auto"/>
                <w:szCs w:val="21"/>
                <w:highlight w:val="none"/>
              </w:rPr>
              <w:t>≤</w:t>
            </w:r>
            <w:r>
              <w:rPr>
                <w:rFonts w:ascii="Times New Roman" w:hAnsi="Times New Roman" w:eastAsia="仿宋" w:cs="Times New Roman"/>
                <w:bCs/>
                <w:color w:val="auto"/>
                <w:szCs w:val="21"/>
                <w:highlight w:val="none"/>
              </w:rPr>
              <w:t>10%。</w:t>
            </w:r>
          </w:p>
          <w:p>
            <w:pPr>
              <w:jc w:val="left"/>
              <w:rPr>
                <w:rFonts w:ascii="Times New Roman" w:hAnsi="Times New Roman" w:eastAsia="仿宋" w:cs="Times New Roman"/>
                <w:bCs/>
                <w:color w:val="auto"/>
                <w:szCs w:val="21"/>
                <w:highlight w:val="none"/>
              </w:rPr>
            </w:pPr>
            <w:r>
              <w:rPr>
                <w:rFonts w:ascii="Times New Roman" w:hAnsi="Times New Roman" w:eastAsia="仿宋" w:cs="Times New Roman"/>
                <w:bCs/>
                <w:color w:val="auto"/>
                <w:szCs w:val="21"/>
                <w:highlight w:val="none"/>
              </w:rPr>
              <w:t>要求提供的绿肥种子必须是非包衣种子。</w:t>
            </w:r>
          </w:p>
          <w:p>
            <w:pPr>
              <w:jc w:val="left"/>
              <w:rPr>
                <w:rFonts w:ascii="Times New Roman" w:hAnsi="Times New Roman" w:eastAsia="仿宋" w:cs="Times New Roman"/>
                <w:bCs/>
                <w:color w:val="auto"/>
                <w:szCs w:val="21"/>
                <w:highlight w:val="none"/>
              </w:rPr>
            </w:pPr>
            <w:r>
              <w:rPr>
                <w:rFonts w:hint="eastAsia" w:ascii="Times New Roman" w:hAnsi="Times New Roman" w:eastAsia="仿宋" w:cs="Times New Roman"/>
                <w:bCs/>
                <w:color w:val="auto"/>
                <w:szCs w:val="21"/>
                <w:highlight w:val="none"/>
              </w:rPr>
              <w:t>建议选用产地为湖南、湖北、浙江、安徽等省份。</w:t>
            </w:r>
          </w:p>
        </w:tc>
      </w:tr>
    </w:tbl>
    <w:p>
      <w:pPr>
        <w:pStyle w:val="184"/>
        <w:keepNext w:val="0"/>
        <w:keepLines w:val="0"/>
        <w:pageBreakBefore w:val="0"/>
        <w:widowControl w:val="0"/>
        <w:kinsoku/>
        <w:wordWrap/>
        <w:overflowPunct/>
        <w:topLinePunct w:val="0"/>
        <w:autoSpaceDE w:val="0"/>
        <w:autoSpaceDN w:val="0"/>
        <w:bidi w:val="0"/>
        <w:adjustRightInd w:val="0"/>
        <w:snapToGrid/>
        <w:spacing w:beforeLines="0" w:afterLines="0" w:line="440" w:lineRule="exact"/>
        <w:ind w:firstLine="0" w:firstLineChars="0"/>
        <w:jc w:val="left"/>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注：肥料的供应和实施具体时间安排由采购人通知。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440" w:lineRule="exact"/>
        <w:ind w:firstLine="562" w:firstLineChars="200"/>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七、</w:t>
      </w:r>
      <w:r>
        <w:rPr>
          <w:rFonts w:hint="eastAsia" w:ascii="宋体" w:hAnsi="宋体" w:eastAsia="宋体" w:cs="宋体"/>
          <w:b/>
          <w:color w:val="auto"/>
          <w:sz w:val="28"/>
          <w:szCs w:val="28"/>
          <w:highlight w:val="none"/>
          <w:lang w:val="en-US" w:eastAsia="zh-CN"/>
        </w:rPr>
        <w:t>服务期</w:t>
      </w:r>
    </w:p>
    <w:p>
      <w:pPr>
        <w:pStyle w:val="2"/>
        <w:keepNext w:val="0"/>
        <w:keepLines w:val="0"/>
        <w:pageBreakBefore w:val="0"/>
        <w:widowControl w:val="0"/>
        <w:numPr>
          <w:ilvl w:val="0"/>
          <w:numId w:val="0"/>
        </w:numPr>
        <w:kinsoku/>
        <w:wordWrap/>
        <w:overflowPunct/>
        <w:topLinePunct w:val="0"/>
        <w:bidi w:val="0"/>
        <w:spacing w:line="440" w:lineRule="exact"/>
        <w:ind w:firstLine="430"/>
        <w:textAlignment w:val="auto"/>
        <w:rPr>
          <w:rFonts w:hint="eastAsia" w:ascii="宋体" w:hAnsi="宋体" w:eastAsia="宋体" w:cs="宋体"/>
          <w:bCs/>
          <w:color w:val="auto"/>
          <w:kern w:val="2"/>
          <w:sz w:val="22"/>
          <w:szCs w:val="22"/>
          <w:highlight w:val="none"/>
          <w:lang w:val="en-US" w:eastAsia="zh-CN" w:bidi="ar-SA"/>
        </w:rPr>
      </w:pPr>
      <w:r>
        <w:rPr>
          <w:rFonts w:hint="eastAsia" w:hAnsi="宋体" w:cs="宋体"/>
          <w:bCs/>
          <w:color w:val="auto"/>
          <w:kern w:val="2"/>
          <w:sz w:val="22"/>
          <w:szCs w:val="22"/>
          <w:highlight w:val="none"/>
          <w:lang w:val="en-US" w:eastAsia="zh-CN" w:bidi="ar-SA"/>
        </w:rPr>
        <w:t>1、服务期：</w:t>
      </w:r>
      <w:r>
        <w:rPr>
          <w:rFonts w:hint="eastAsia" w:ascii="宋体" w:hAnsi="宋体" w:eastAsia="宋体" w:cs="宋体"/>
          <w:bCs/>
          <w:color w:val="auto"/>
          <w:kern w:val="2"/>
          <w:sz w:val="22"/>
          <w:szCs w:val="22"/>
          <w:highlight w:val="none"/>
          <w:lang w:val="en-US" w:eastAsia="zh-CN" w:bidi="ar-SA"/>
        </w:rPr>
        <w:t>合同签订之日起一年，具体实施时间按上述“4、主要措施要求”规定的时间节点内完成各项土壤改良</w:t>
      </w:r>
      <w:r>
        <w:rPr>
          <w:rFonts w:hint="eastAsia" w:hAnsi="宋体" w:cs="宋体"/>
          <w:bCs/>
          <w:color w:val="auto"/>
          <w:kern w:val="2"/>
          <w:sz w:val="22"/>
          <w:szCs w:val="22"/>
          <w:highlight w:val="none"/>
          <w:lang w:val="en-US" w:eastAsia="zh-CN" w:bidi="ar-SA"/>
        </w:rPr>
        <w:t>培肥</w:t>
      </w:r>
      <w:r>
        <w:rPr>
          <w:rFonts w:hint="eastAsia" w:ascii="宋体" w:hAnsi="宋体" w:eastAsia="宋体" w:cs="宋体"/>
          <w:bCs/>
          <w:color w:val="auto"/>
          <w:kern w:val="2"/>
          <w:sz w:val="22"/>
          <w:szCs w:val="22"/>
          <w:highlight w:val="none"/>
          <w:lang w:val="en-US" w:eastAsia="zh-CN" w:bidi="ar-SA"/>
        </w:rPr>
        <w:t>措施，合同期限截止或结算金额接近预算金额</w:t>
      </w:r>
      <w:r>
        <w:rPr>
          <w:rFonts w:hint="eastAsia" w:hAnsi="宋体" w:cs="宋体"/>
          <w:bCs/>
          <w:color w:val="auto"/>
          <w:kern w:val="2"/>
          <w:sz w:val="22"/>
          <w:szCs w:val="22"/>
          <w:highlight w:val="none"/>
          <w:lang w:val="en-US" w:eastAsia="zh-CN" w:bidi="ar-SA"/>
        </w:rPr>
        <w:t>1284200</w:t>
      </w:r>
      <w:r>
        <w:rPr>
          <w:rFonts w:hint="eastAsia" w:ascii="宋体" w:hAnsi="宋体" w:eastAsia="宋体" w:cs="宋体"/>
          <w:bCs/>
          <w:color w:val="auto"/>
          <w:kern w:val="2"/>
          <w:sz w:val="22"/>
          <w:szCs w:val="22"/>
          <w:highlight w:val="none"/>
          <w:lang w:val="en-US" w:eastAsia="zh-CN" w:bidi="ar-SA"/>
        </w:rPr>
        <w:t>元时则合同期限履约结束。</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440" w:lineRule="exact"/>
        <w:ind w:firstLine="562" w:firstLineChars="200"/>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验收标准</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中标（成交）供应商</w:t>
      </w:r>
      <w:r>
        <w:rPr>
          <w:rFonts w:hint="eastAsia" w:ascii="宋体" w:hAnsi="宋体" w:eastAsia="宋体" w:cs="宋体"/>
          <w:color w:val="auto"/>
          <w:sz w:val="22"/>
          <w:szCs w:val="22"/>
          <w:highlight w:val="none"/>
          <w:lang w:val="en-US" w:eastAsia="zh-CN"/>
        </w:rPr>
        <w:t>应提供</w:t>
      </w:r>
      <w:r>
        <w:rPr>
          <w:rFonts w:hint="eastAsia" w:ascii="宋体" w:hAnsi="宋体" w:cs="宋体"/>
          <w:color w:val="auto"/>
          <w:sz w:val="22"/>
          <w:szCs w:val="22"/>
          <w:highlight w:val="none"/>
          <w:lang w:val="en-US" w:eastAsia="zh-CN"/>
        </w:rPr>
        <w:t>各项</w:t>
      </w:r>
      <w:r>
        <w:rPr>
          <w:rFonts w:hint="eastAsia" w:ascii="宋体" w:hAnsi="宋体" w:eastAsia="宋体" w:cs="宋体"/>
          <w:color w:val="auto"/>
          <w:sz w:val="22"/>
          <w:szCs w:val="22"/>
          <w:highlight w:val="none"/>
          <w:lang w:val="en-US" w:eastAsia="zh-CN"/>
        </w:rPr>
        <w:t>供货产品的有效合格证，经采购方确认，与合同性能指标一起作为产品验收标准。</w:t>
      </w:r>
      <w:r>
        <w:rPr>
          <w:rFonts w:hint="eastAsia" w:ascii="宋体" w:hAnsi="宋体" w:eastAsia="宋体" w:cs="宋体"/>
          <w:color w:val="auto"/>
          <w:sz w:val="22"/>
          <w:szCs w:val="22"/>
          <w:highlight w:val="none"/>
          <w:u w:val="single"/>
          <w:lang w:val="en-US" w:eastAsia="zh-CN"/>
        </w:rPr>
        <w:t>在到货后，采购人可以委托第三方检测机构对</w:t>
      </w:r>
      <w:r>
        <w:rPr>
          <w:rFonts w:hint="eastAsia" w:ascii="宋体" w:hAnsi="宋体" w:cs="宋体"/>
          <w:color w:val="auto"/>
          <w:sz w:val="22"/>
          <w:szCs w:val="22"/>
          <w:highlight w:val="none"/>
          <w:u w:val="single"/>
          <w:lang w:val="en-US" w:eastAsia="zh-CN"/>
        </w:rPr>
        <w:t>各项</w:t>
      </w:r>
      <w:r>
        <w:rPr>
          <w:rFonts w:hint="eastAsia" w:ascii="宋体" w:hAnsi="宋体" w:eastAsia="宋体" w:cs="宋体"/>
          <w:color w:val="auto"/>
          <w:sz w:val="22"/>
          <w:szCs w:val="22"/>
          <w:highlight w:val="none"/>
          <w:u w:val="single"/>
          <w:lang w:val="en-US" w:eastAsia="zh-CN"/>
        </w:rPr>
        <w:t>供货方产品进行抽样检测。</w:t>
      </w:r>
      <w:r>
        <w:rPr>
          <w:rFonts w:hint="eastAsia" w:ascii="宋体" w:hAnsi="宋体" w:eastAsia="宋体" w:cs="宋体"/>
          <w:color w:val="auto"/>
          <w:sz w:val="22"/>
          <w:szCs w:val="22"/>
          <w:highlight w:val="none"/>
          <w:lang w:val="en-US" w:eastAsia="zh-CN"/>
        </w:rPr>
        <w:t>验收中发现产品不符合验收标准或合同规定的性能指标，必须及时调整、更换直至符合为止，同时供货方应承担期间产生的相关损失（验收及样本检测费用由产品</w:t>
      </w:r>
      <w:r>
        <w:rPr>
          <w:rFonts w:hint="eastAsia" w:ascii="宋体" w:hAnsi="宋体" w:cs="宋体"/>
          <w:color w:val="auto"/>
          <w:sz w:val="22"/>
          <w:szCs w:val="22"/>
          <w:highlight w:val="none"/>
          <w:lang w:val="en-US" w:eastAsia="zh-CN"/>
        </w:rPr>
        <w:t>中标（成交）供应商</w:t>
      </w:r>
      <w:r>
        <w:rPr>
          <w:rFonts w:hint="eastAsia" w:ascii="宋体" w:hAnsi="宋体" w:eastAsia="宋体" w:cs="宋体"/>
          <w:color w:val="auto"/>
          <w:sz w:val="22"/>
          <w:szCs w:val="22"/>
          <w:highlight w:val="none"/>
          <w:lang w:val="en-US" w:eastAsia="zh-CN"/>
        </w:rPr>
        <w:t>承担）。</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本项目应结合土壤检测结果科学合理地施肥，减少养分浪费，避免土壤肥力过高或过低，提高农作物的产量和品质。验收时将组织专家</w:t>
      </w:r>
      <w:r>
        <w:rPr>
          <w:rFonts w:hint="eastAsia" w:ascii="宋体" w:hAnsi="宋体" w:cs="宋体"/>
          <w:color w:val="auto"/>
          <w:sz w:val="22"/>
          <w:szCs w:val="22"/>
          <w:highlight w:val="none"/>
          <w:lang w:val="en-US" w:eastAsia="zh-CN"/>
        </w:rPr>
        <w:t>对改良培肥后的土壤</w:t>
      </w:r>
      <w:r>
        <w:rPr>
          <w:rFonts w:hint="eastAsia" w:ascii="宋体" w:hAnsi="宋体" w:eastAsia="宋体" w:cs="宋体"/>
          <w:color w:val="auto"/>
          <w:sz w:val="22"/>
          <w:szCs w:val="22"/>
          <w:highlight w:val="none"/>
          <w:lang w:val="en-US" w:eastAsia="zh-CN"/>
        </w:rPr>
        <w:t>进行现场采样并送至第三方检测机构检测</w:t>
      </w:r>
      <w:r>
        <w:rPr>
          <w:rFonts w:hint="eastAsia" w:ascii="宋体" w:hAnsi="宋体" w:eastAsia="宋体" w:cs="宋体"/>
          <w:color w:val="auto"/>
          <w:sz w:val="22"/>
          <w:szCs w:val="22"/>
          <w:highlight w:val="none"/>
          <w:u w:val="single"/>
          <w:lang w:val="en-US" w:eastAsia="zh-CN"/>
        </w:rPr>
        <w:t>(土壤检测费用计入投标报价中，由中标（成交）供应商承担</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lang w:val="en-US" w:eastAsia="zh-CN"/>
        </w:rPr>
        <w:t>根据《耕地质量等级》(GB/T33469-2016)相关要求，检测其数值型指标，</w:t>
      </w:r>
      <w:r>
        <w:rPr>
          <w:rFonts w:hint="eastAsia" w:ascii="宋体" w:hAnsi="宋体" w:eastAsia="宋体" w:cs="宋体"/>
          <w:b/>
          <w:bCs/>
          <w:color w:val="auto"/>
          <w:sz w:val="22"/>
          <w:szCs w:val="22"/>
          <w:highlight w:val="none"/>
          <w:u w:val="single"/>
          <w:lang w:val="en-US" w:eastAsia="zh-CN"/>
        </w:rPr>
        <w:t>实施后相应地块土壤各项指标应达到拟提升标准：有效磷含量达到10mg/kg以上；速效钾含量达到80mg/kg以上；PH值达到5.5-6.5之间；农药比普通区减少30%以上；项目区地力等级应比建设前提升0.1等级以上，达到培养地力、改良土壤的预期效果。</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440" w:lineRule="exact"/>
        <w:ind w:firstLine="562" w:firstLineChars="200"/>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val="en-US" w:eastAsia="zh-CN"/>
        </w:rPr>
        <w:t>履约保证金及付款</w:t>
      </w:r>
    </w:p>
    <w:p>
      <w:pPr>
        <w:keepNext w:val="0"/>
        <w:keepLines w:val="0"/>
        <w:pageBreakBefore w:val="0"/>
        <w:widowControl w:val="0"/>
        <w:shd w:val="clear"/>
        <w:kinsoku/>
        <w:wordWrap/>
        <w:overflowPunct/>
        <w:topLinePunct w:val="0"/>
        <w:bidi w:val="0"/>
        <w:spacing w:line="440" w:lineRule="exact"/>
        <w:ind w:right="136" w:firstLine="454"/>
        <w:textAlignment w:val="auto"/>
        <w:rPr>
          <w:rFonts w:hint="eastAsia"/>
          <w:b/>
          <w:bCs/>
          <w:color w:val="auto"/>
          <w:sz w:val="22"/>
          <w:szCs w:val="22"/>
          <w:highlight w:val="none"/>
          <w:lang w:val="en-US" w:eastAsia="zh-CN"/>
        </w:rPr>
      </w:pPr>
      <w:r>
        <w:rPr>
          <w:rFonts w:hint="eastAsia"/>
          <w:b/>
          <w:bCs/>
          <w:color w:val="auto"/>
          <w:sz w:val="22"/>
          <w:szCs w:val="22"/>
          <w:highlight w:val="none"/>
          <w:lang w:val="en-US" w:eastAsia="zh-CN"/>
        </w:rPr>
        <w:t>1、履约保证金：</w:t>
      </w:r>
    </w:p>
    <w:p>
      <w:pPr>
        <w:keepNext w:val="0"/>
        <w:keepLines w:val="0"/>
        <w:pageBreakBefore w:val="0"/>
        <w:widowControl w:val="0"/>
        <w:shd w:val="clear"/>
        <w:kinsoku/>
        <w:wordWrap/>
        <w:overflowPunct/>
        <w:topLinePunct w:val="0"/>
        <w:bidi w:val="0"/>
        <w:spacing w:line="440" w:lineRule="exact"/>
        <w:ind w:right="136" w:firstLine="454"/>
        <w:textAlignment w:val="auto"/>
        <w:rPr>
          <w:rFonts w:hint="eastAsia"/>
          <w:color w:val="auto"/>
          <w:sz w:val="22"/>
          <w:szCs w:val="22"/>
          <w:highlight w:val="none"/>
        </w:rPr>
      </w:pPr>
      <w:r>
        <w:rPr>
          <w:rFonts w:hint="eastAsia"/>
          <w:color w:val="auto"/>
          <w:sz w:val="22"/>
          <w:szCs w:val="22"/>
          <w:highlight w:val="none"/>
          <w:lang w:val="en-US" w:eastAsia="zh-CN"/>
        </w:rPr>
        <w:t>1.1、</w:t>
      </w:r>
      <w:r>
        <w:rPr>
          <w:rFonts w:hint="eastAsia" w:ascii="宋体" w:hAnsi="宋体" w:eastAsia="宋体" w:cs="宋体"/>
          <w:b w:val="0"/>
          <w:bCs/>
          <w:color w:val="auto"/>
          <w:sz w:val="22"/>
          <w:szCs w:val="22"/>
          <w:highlight w:val="none"/>
          <w:u w:val="none"/>
        </w:rPr>
        <w:t>履约保证金的收取：</w:t>
      </w:r>
      <w:r>
        <w:rPr>
          <w:rFonts w:hint="eastAsia"/>
          <w:color w:val="auto"/>
          <w:sz w:val="22"/>
          <w:szCs w:val="22"/>
          <w:highlight w:val="none"/>
        </w:rPr>
        <w:t>合同签订后7个工作日内，中标供应商提供合同价的1%金额作为履约保证金</w:t>
      </w:r>
      <w:r>
        <w:rPr>
          <w:rFonts w:hint="eastAsia" w:ascii="宋体" w:hAnsi="宋体" w:eastAsia="宋体" w:cs="宋体"/>
          <w:b w:val="0"/>
          <w:bCs/>
          <w:color w:val="auto"/>
          <w:highlight w:val="none"/>
          <w:lang w:eastAsia="zh-CN"/>
        </w:rPr>
        <w:t>（履约保证金形式：以支票、汇票、本票或者金融机构、担保机构出具的保函等非现金形式提交。</w:t>
      </w:r>
      <w:r>
        <w:rPr>
          <w:rFonts w:hint="eastAsia" w:ascii="宋体" w:hAnsi="宋体" w:eastAsia="宋体" w:cs="宋体"/>
          <w:b w:val="0"/>
          <w:bCs w:val="0"/>
          <w:color w:val="auto"/>
          <w:sz w:val="22"/>
          <w:szCs w:val="22"/>
          <w:highlight w:val="none"/>
          <w:lang w:val="en-US" w:eastAsia="zh-CN"/>
        </w:rPr>
        <w:t>中标（成交）供应商不能按期保质保量完成本项目服务，除承担相关责任外，甲方可相应没收履约保证金。（保函应满足以下几个条件：1）为无条件保函：即在乙方没有实施合同或者未履行合同义务时，招标人不需要出具任何证明和理由，只要看到乙方违约，就可对保函进行收兑；2）保函期限：自合同生效之日起至合同履约完毕之日止；3）如果由于银行、保险公司要求分期出具保函的，则在前一份保函有效期满之日2个月前必须重新出具相同内容的保函。）</w:t>
      </w:r>
      <w:r>
        <w:rPr>
          <w:rFonts w:hint="eastAsia"/>
          <w:color w:val="auto"/>
          <w:sz w:val="22"/>
          <w:szCs w:val="22"/>
          <w:highlight w:val="none"/>
        </w:rPr>
        <w:t>如中标供应商未在规定的时间内提交履约保证金则采购人有权终止合同。</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color w:val="auto"/>
          <w:sz w:val="22"/>
          <w:szCs w:val="22"/>
          <w:highlight w:val="none"/>
        </w:rPr>
      </w:pPr>
      <w:r>
        <w:rPr>
          <w:rFonts w:hint="eastAsia"/>
          <w:color w:val="auto"/>
          <w:sz w:val="22"/>
          <w:szCs w:val="22"/>
          <w:highlight w:val="none"/>
          <w:lang w:val="en-US" w:eastAsia="zh-CN"/>
        </w:rPr>
        <w:t>1.2、</w:t>
      </w:r>
      <w:r>
        <w:rPr>
          <w:rFonts w:hint="eastAsia" w:ascii="宋体" w:hAnsi="宋体" w:eastAsia="宋体" w:cs="宋体"/>
          <w:b w:val="0"/>
          <w:bCs/>
          <w:color w:val="auto"/>
          <w:sz w:val="22"/>
          <w:szCs w:val="22"/>
          <w:highlight w:val="none"/>
          <w:u w:val="none"/>
        </w:rPr>
        <w:t>履约保证金的退取：</w:t>
      </w:r>
      <w:r>
        <w:rPr>
          <w:rFonts w:hint="eastAsia"/>
          <w:color w:val="auto"/>
          <w:sz w:val="22"/>
          <w:szCs w:val="22"/>
          <w:highlight w:val="none"/>
        </w:rPr>
        <w:t>在合同履约到期且无异议情况下30日内无息退还。如成交供应商原因造成合同中止，履约担保金不返还；如成交供应商不能按磋商承诺和合同要求履约，采购人将有权扣除相应甚至全部履约保证金。</w:t>
      </w:r>
    </w:p>
    <w:p>
      <w:pPr>
        <w:keepNext w:val="0"/>
        <w:keepLines w:val="0"/>
        <w:pageBreakBefore w:val="0"/>
        <w:widowControl w:val="0"/>
        <w:shd w:val="clear"/>
        <w:kinsoku/>
        <w:wordWrap/>
        <w:overflowPunct/>
        <w:topLinePunct w:val="0"/>
        <w:autoSpaceDE/>
        <w:autoSpaceDN/>
        <w:bidi w:val="0"/>
        <w:adjustRightInd/>
        <w:spacing w:line="440" w:lineRule="exact"/>
        <w:ind w:right="136" w:firstLine="454"/>
        <w:textAlignment w:val="auto"/>
        <w:rPr>
          <w:b w:val="0"/>
          <w:bCs/>
          <w:color w:val="auto"/>
          <w:sz w:val="24"/>
          <w:szCs w:val="21"/>
          <w:highlight w:val="none"/>
        </w:rPr>
      </w:pPr>
      <w:r>
        <w:rPr>
          <w:rFonts w:hint="eastAsia"/>
          <w:b/>
          <w:bCs w:val="0"/>
          <w:color w:val="auto"/>
          <w:sz w:val="22"/>
          <w:highlight w:val="none"/>
        </w:rPr>
        <w:t>2、</w:t>
      </w:r>
      <w:r>
        <w:rPr>
          <w:b/>
          <w:bCs w:val="0"/>
          <w:color w:val="auto"/>
          <w:sz w:val="22"/>
          <w:highlight w:val="none"/>
        </w:rPr>
        <w:t>付款方式</w:t>
      </w:r>
      <w:r>
        <w:rPr>
          <w:rFonts w:hint="eastAsia" w:ascii="宋体" w:hAnsi="宋体" w:eastAsia="宋体" w:cs="宋体"/>
          <w:b w:val="0"/>
          <w:bCs/>
          <w:color w:val="auto"/>
          <w:sz w:val="22"/>
          <w:szCs w:val="22"/>
          <w:highlight w:val="none"/>
        </w:rPr>
        <w:t>（须符合浙江省财政厅关于进一步发挥政府采购政策功能全力推动经济稳进提质的通知(浙财采监〔2022〕3号)相关规定）</w:t>
      </w:r>
      <w:r>
        <w:rPr>
          <w:b w:val="0"/>
          <w:bCs/>
          <w:color w:val="auto"/>
          <w:sz w:val="24"/>
          <w:szCs w:val="21"/>
          <w:highlight w:val="none"/>
        </w:rPr>
        <w:t>：</w:t>
      </w:r>
    </w:p>
    <w:p>
      <w:pPr>
        <w:keepNext w:val="0"/>
        <w:keepLines w:val="0"/>
        <w:pageBreakBefore w:val="0"/>
        <w:widowControl w:val="0"/>
        <w:shd w:val="clear"/>
        <w:kinsoku/>
        <w:wordWrap/>
        <w:overflowPunct/>
        <w:topLinePunct w:val="0"/>
        <w:autoSpaceDE/>
        <w:autoSpaceDN/>
        <w:bidi w:val="0"/>
        <w:adjustRightInd/>
        <w:spacing w:line="440" w:lineRule="exact"/>
        <w:ind w:right="136" w:firstLine="454"/>
        <w:textAlignment w:val="auto"/>
        <w:rPr>
          <w:rFonts w:hint="eastAsia" w:ascii="宋体" w:hAnsi="宋体" w:eastAsia="宋体" w:cs="宋体"/>
          <w:b w:val="0"/>
          <w:bCs w:val="0"/>
          <w:color w:val="auto"/>
          <w:sz w:val="22"/>
          <w:szCs w:val="22"/>
          <w:highlight w:val="none"/>
          <w:u w:val="single"/>
          <w:lang w:val="en-US" w:eastAsia="zh-CN"/>
        </w:rPr>
      </w:pPr>
      <w:r>
        <w:rPr>
          <w:rFonts w:hint="eastAsia"/>
          <w:color w:val="auto"/>
          <w:sz w:val="22"/>
          <w:szCs w:val="22"/>
          <w:highlight w:val="none"/>
          <w:lang w:val="en-US" w:eastAsia="zh-CN"/>
        </w:rPr>
        <w:t>2.1、</w:t>
      </w:r>
      <w:r>
        <w:rPr>
          <w:rFonts w:hint="eastAsia"/>
          <w:color w:val="auto"/>
          <w:sz w:val="22"/>
          <w:szCs w:val="22"/>
          <w:highlight w:val="none"/>
        </w:rPr>
        <w:t>预付款：</w:t>
      </w:r>
      <w:r>
        <w:rPr>
          <w:rFonts w:hint="eastAsia" w:ascii="宋体" w:hAnsi="宋体" w:cs="宋体"/>
          <w:b w:val="0"/>
          <w:bCs w:val="0"/>
          <w:color w:val="auto"/>
          <w:sz w:val="22"/>
          <w:szCs w:val="22"/>
          <w:highlight w:val="none"/>
        </w:rPr>
        <w:t>合同签订、</w:t>
      </w:r>
      <w:r>
        <w:rPr>
          <w:rFonts w:hint="eastAsia" w:ascii="宋体" w:hAnsi="宋体" w:cs="宋体"/>
          <w:b w:val="0"/>
          <w:bCs w:val="0"/>
          <w:color w:val="auto"/>
          <w:sz w:val="22"/>
          <w:szCs w:val="22"/>
          <w:highlight w:val="none"/>
          <w:lang w:eastAsia="zh-CN"/>
        </w:rPr>
        <w:t>中标（成交）供应商</w:t>
      </w:r>
      <w:r>
        <w:rPr>
          <w:rFonts w:hint="eastAsia" w:ascii="宋体" w:hAnsi="宋体" w:cs="宋体"/>
          <w:b w:val="0"/>
          <w:bCs w:val="0"/>
          <w:color w:val="auto"/>
          <w:sz w:val="22"/>
          <w:szCs w:val="22"/>
          <w:highlight w:val="none"/>
        </w:rPr>
        <w:t>递交履约保证金后7个工作日内，且中标单位进场且具备实施条件后采购人向中标单位支付预付款，预付款为合同价的40%。</w:t>
      </w:r>
      <w:r>
        <w:rPr>
          <w:rFonts w:hint="eastAsia" w:ascii="宋体" w:hAnsi="宋体" w:cs="宋体"/>
          <w:b w:val="0"/>
          <w:bCs w:val="0"/>
          <w:color w:val="auto"/>
          <w:sz w:val="22"/>
          <w:szCs w:val="22"/>
          <w:highlight w:val="none"/>
          <w:u w:val="single"/>
        </w:rPr>
        <w:t>（根据浙财采监[2022]3号文件，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lang w:val="en-US" w:eastAsia="zh-CN"/>
        </w:rPr>
        <w:t>2.2、当完成本次采购项目所有内容（若有减少数量则按实际采购需求数量）并通过采购人和主管部门验收合格再付合同价40%（即付至合同价的80%），经第三方机构结算审核后付至结算金额的100%，</w:t>
      </w:r>
      <w:r>
        <w:rPr>
          <w:rFonts w:hint="eastAsia"/>
          <w:color w:val="auto"/>
          <w:sz w:val="22"/>
          <w:szCs w:val="22"/>
          <w:highlight w:val="none"/>
        </w:rPr>
        <w:t>并且无息退还履约保证金</w:t>
      </w:r>
      <w:r>
        <w:rPr>
          <w:rFonts w:hint="eastAsia"/>
          <w:color w:val="auto"/>
          <w:sz w:val="22"/>
          <w:szCs w:val="22"/>
          <w:highlight w:val="none"/>
          <w:lang w:eastAsia="zh-CN"/>
        </w:rPr>
        <w:t>。</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rPr>
        <w:t>每阶段付款前，中标供应商需向采购人提供收款金额等额的发票。</w:t>
      </w:r>
    </w:p>
    <w:p>
      <w:pPr>
        <w:pStyle w:val="19"/>
        <w:numPr>
          <w:ilvl w:val="0"/>
          <w:numId w:val="0"/>
        </w:numPr>
        <w:ind w:leftChars="200"/>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3、其他要求</w:t>
      </w:r>
    </w:p>
    <w:p>
      <w:pPr>
        <w:spacing w:line="360" w:lineRule="auto"/>
        <w:ind w:firstLine="440" w:firstLineChars="200"/>
        <w:rPr>
          <w:rFonts w:ascii="宋体"/>
          <w:bCs/>
          <w:color w:val="auto"/>
          <w:sz w:val="22"/>
          <w:szCs w:val="22"/>
          <w:highlight w:val="none"/>
        </w:rPr>
      </w:pPr>
      <w:r>
        <w:rPr>
          <w:rFonts w:hint="eastAsia" w:ascii="宋体" w:hAnsi="宋体"/>
          <w:bCs/>
          <w:color w:val="auto"/>
          <w:sz w:val="22"/>
          <w:szCs w:val="22"/>
          <w:highlight w:val="none"/>
          <w:lang w:val="en-US" w:eastAsia="zh-CN"/>
        </w:rPr>
        <w:t xml:space="preserve">3.1 </w:t>
      </w:r>
      <w:r>
        <w:rPr>
          <w:rFonts w:hint="eastAsia" w:ascii="宋体" w:hAnsi="宋体"/>
          <w:bCs/>
          <w:color w:val="auto"/>
          <w:sz w:val="22"/>
          <w:szCs w:val="22"/>
          <w:highlight w:val="none"/>
          <w:lang w:eastAsia="zh-CN"/>
        </w:rPr>
        <w:t>中标（成交）供应商</w:t>
      </w:r>
      <w:r>
        <w:rPr>
          <w:rFonts w:hint="eastAsia" w:ascii="宋体" w:hAnsi="宋体"/>
          <w:bCs/>
          <w:color w:val="auto"/>
          <w:sz w:val="22"/>
          <w:szCs w:val="22"/>
          <w:highlight w:val="none"/>
        </w:rPr>
        <w:t>提供的</w:t>
      </w:r>
      <w:r>
        <w:rPr>
          <w:rFonts w:hint="eastAsia" w:ascii="宋体" w:hAnsi="宋体"/>
          <w:bCs/>
          <w:color w:val="auto"/>
          <w:sz w:val="22"/>
          <w:szCs w:val="22"/>
          <w:highlight w:val="none"/>
          <w:lang w:val="en-US" w:eastAsia="zh-CN"/>
        </w:rPr>
        <w:t>各项供货产品</w:t>
      </w:r>
      <w:r>
        <w:rPr>
          <w:rFonts w:hint="eastAsia" w:ascii="宋体" w:hAnsi="宋体"/>
          <w:bCs/>
          <w:color w:val="auto"/>
          <w:sz w:val="22"/>
          <w:szCs w:val="22"/>
          <w:highlight w:val="none"/>
        </w:rPr>
        <w:t>必须具有可靠的质量保证、安全措施。</w:t>
      </w:r>
    </w:p>
    <w:p>
      <w:pPr>
        <w:spacing w:line="360" w:lineRule="auto"/>
        <w:ind w:firstLine="440" w:firstLineChars="200"/>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 xml:space="preserve">3.2 </w:t>
      </w:r>
      <w:r>
        <w:rPr>
          <w:rFonts w:hint="eastAsia" w:ascii="宋体" w:hAnsi="宋体"/>
          <w:bCs/>
          <w:color w:val="auto"/>
          <w:sz w:val="22"/>
          <w:szCs w:val="22"/>
          <w:highlight w:val="none"/>
          <w:lang w:eastAsia="zh-CN"/>
        </w:rPr>
        <w:t>因各项供货产品供货、保存、施用等方面原因引起的安全生产事故；影响工作人员人身健康的；均由中标(成交)供应商承担一切责任。</w:t>
      </w:r>
    </w:p>
    <w:p>
      <w:pPr>
        <w:spacing w:line="360" w:lineRule="auto"/>
        <w:ind w:firstLine="440" w:firstLineChars="200"/>
        <w:rPr>
          <w:rFonts w:hint="eastAsia" w:ascii="宋体" w:hAnsi="宋体"/>
          <w:bCs/>
          <w:color w:val="auto"/>
          <w:sz w:val="22"/>
          <w:szCs w:val="22"/>
          <w:highlight w:val="none"/>
          <w:lang w:eastAsia="zh-CN"/>
        </w:rPr>
      </w:pPr>
      <w:r>
        <w:rPr>
          <w:rFonts w:hint="eastAsia" w:ascii="宋体" w:hAnsi="宋体"/>
          <w:bCs/>
          <w:color w:val="auto"/>
          <w:sz w:val="22"/>
          <w:szCs w:val="22"/>
          <w:highlight w:val="none"/>
          <w:lang w:val="en-US" w:eastAsia="zh-CN"/>
        </w:rPr>
        <w:t xml:space="preserve">3.3 </w:t>
      </w:r>
      <w:r>
        <w:rPr>
          <w:rFonts w:hint="eastAsia" w:ascii="宋体" w:hAnsi="宋体"/>
          <w:bCs/>
          <w:color w:val="auto"/>
          <w:sz w:val="22"/>
          <w:szCs w:val="22"/>
          <w:highlight w:val="none"/>
          <w:lang w:eastAsia="zh-CN"/>
        </w:rPr>
        <w:t>如在土壤改良培肥过程中发生质量问题，中标（成交）供应商在接到采购人通知后 24 小时内到达现场。</w:t>
      </w:r>
    </w:p>
    <w:p>
      <w:pPr>
        <w:spacing w:line="360" w:lineRule="auto"/>
        <w:ind w:firstLine="440" w:firstLineChars="200"/>
        <w:rPr>
          <w:color w:val="auto"/>
          <w:sz w:val="22"/>
          <w:szCs w:val="22"/>
          <w:highlight w:val="none"/>
        </w:rPr>
      </w:pPr>
      <w:r>
        <w:rPr>
          <w:rFonts w:hint="eastAsia" w:ascii="宋体" w:hAnsi="宋体"/>
          <w:bCs/>
          <w:color w:val="auto"/>
          <w:sz w:val="22"/>
          <w:szCs w:val="22"/>
          <w:highlight w:val="none"/>
          <w:lang w:val="en-US" w:eastAsia="zh-CN"/>
        </w:rPr>
        <w:t xml:space="preserve">3.4 </w:t>
      </w:r>
      <w:r>
        <w:rPr>
          <w:rFonts w:hint="eastAsia" w:ascii="宋体" w:hAnsi="宋体"/>
          <w:bCs/>
          <w:color w:val="auto"/>
          <w:sz w:val="22"/>
          <w:szCs w:val="22"/>
          <w:highlight w:val="none"/>
        </w:rPr>
        <w:t>中标之后，如发现投标文件内容有不一致，应以有利于采购人原则为准。</w:t>
      </w:r>
    </w:p>
    <w:p>
      <w:pPr>
        <w:spacing w:line="360" w:lineRule="auto"/>
        <w:outlineLvl w:val="0"/>
        <w:rPr>
          <w:b/>
          <w:color w:val="auto"/>
          <w:sz w:val="22"/>
          <w:highlight w:val="none"/>
        </w:rPr>
      </w:pP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en-US" w:eastAsia="zh-CN"/>
        </w:rPr>
        <w:t xml:space="preserve"> </w:t>
      </w:r>
      <w:r>
        <w:rPr>
          <w:rFonts w:hint="eastAsia"/>
          <w:b/>
          <w:color w:val="auto"/>
          <w:sz w:val="22"/>
          <w:highlight w:val="none"/>
          <w:lang w:val="en-US" w:eastAsia="zh-CN"/>
        </w:rPr>
        <w:t xml:space="preserve"> 4、</w:t>
      </w:r>
      <w:r>
        <w:rPr>
          <w:rFonts w:hint="eastAsia"/>
          <w:b/>
          <w:color w:val="auto"/>
          <w:sz w:val="22"/>
          <w:highlight w:val="none"/>
        </w:rPr>
        <w:t>本项目有下列情形的，采购人有权终止合同：</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lang w:val="en-US" w:eastAsia="zh-CN"/>
        </w:rPr>
        <w:t xml:space="preserve">4.1 </w:t>
      </w:r>
      <w:r>
        <w:rPr>
          <w:rFonts w:hint="eastAsia"/>
          <w:color w:val="auto"/>
          <w:sz w:val="22"/>
          <w:szCs w:val="22"/>
          <w:highlight w:val="none"/>
        </w:rPr>
        <w:t>合同生效：本合同自</w:t>
      </w:r>
      <w:r>
        <w:rPr>
          <w:rFonts w:hint="eastAsia"/>
          <w:color w:val="auto"/>
          <w:sz w:val="22"/>
          <w:szCs w:val="22"/>
          <w:highlight w:val="none"/>
          <w:lang w:eastAsia="zh-CN"/>
        </w:rPr>
        <w:t>采购人和中标供应商</w:t>
      </w:r>
      <w:r>
        <w:rPr>
          <w:rFonts w:hint="eastAsia"/>
          <w:color w:val="auto"/>
          <w:sz w:val="22"/>
          <w:szCs w:val="22"/>
          <w:highlight w:val="none"/>
        </w:rPr>
        <w:t>双方法定代表人签字、盖章之日起生效。</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lang w:val="en-US" w:eastAsia="zh-CN"/>
        </w:rPr>
        <w:t xml:space="preserve">4.2 </w:t>
      </w:r>
      <w:r>
        <w:rPr>
          <w:rFonts w:hint="eastAsia"/>
          <w:color w:val="auto"/>
          <w:sz w:val="22"/>
          <w:szCs w:val="22"/>
          <w:highlight w:val="none"/>
        </w:rPr>
        <w:t>合同终止：本项目有下列情形的，采购人有权终止合同：</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color w:val="auto"/>
          <w:sz w:val="22"/>
          <w:szCs w:val="22"/>
          <w:highlight w:val="none"/>
        </w:rPr>
        <w:t>1</w:t>
      </w:r>
      <w:r>
        <w:rPr>
          <w:rFonts w:hint="eastAsia"/>
          <w:color w:val="auto"/>
          <w:sz w:val="22"/>
          <w:szCs w:val="22"/>
          <w:highlight w:val="none"/>
        </w:rPr>
        <w:t>）本项目遇不可抗力影响或法律、法规、国家政策重大调整影响合同无法执行的；</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rPr>
        <w:t>2）中标</w:t>
      </w:r>
      <w:r>
        <w:rPr>
          <w:rFonts w:hint="eastAsia"/>
          <w:color w:val="auto"/>
          <w:sz w:val="22"/>
          <w:szCs w:val="22"/>
          <w:highlight w:val="none"/>
          <w:lang w:eastAsia="zh-CN"/>
        </w:rPr>
        <w:t>（</w:t>
      </w:r>
      <w:r>
        <w:rPr>
          <w:rFonts w:hint="eastAsia"/>
          <w:color w:val="auto"/>
          <w:sz w:val="22"/>
          <w:szCs w:val="22"/>
          <w:highlight w:val="none"/>
          <w:lang w:val="en-US" w:eastAsia="zh-CN"/>
        </w:rPr>
        <w:t>成交</w:t>
      </w:r>
      <w:r>
        <w:rPr>
          <w:rFonts w:hint="eastAsia"/>
          <w:color w:val="auto"/>
          <w:sz w:val="22"/>
          <w:szCs w:val="22"/>
          <w:highlight w:val="none"/>
          <w:lang w:eastAsia="zh-CN"/>
        </w:rPr>
        <w:t>）</w:t>
      </w:r>
      <w:r>
        <w:rPr>
          <w:rFonts w:hint="eastAsia"/>
          <w:color w:val="auto"/>
          <w:sz w:val="22"/>
          <w:szCs w:val="22"/>
          <w:highlight w:val="none"/>
        </w:rPr>
        <w:t>供应商对监管人员，考核成员有行贿或其它利益输送行为的。</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rPr>
        <w:t>3）按相关法律、法规、招标文件规定及考核办法，有下列情形之一的，采购人有权终止合同：</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rPr>
        <w:t>（1）</w:t>
      </w:r>
      <w:r>
        <w:rPr>
          <w:rFonts w:hint="eastAsia" w:ascii="宋体" w:hAnsi="宋体" w:cs="宋体"/>
          <w:color w:val="auto"/>
          <w:sz w:val="22"/>
          <w:szCs w:val="22"/>
          <w:highlight w:val="none"/>
          <w:lang w:eastAsia="zh-CN"/>
        </w:rPr>
        <w:t>合同期内</w:t>
      </w:r>
      <w:r>
        <w:rPr>
          <w:rFonts w:hint="eastAsia"/>
          <w:color w:val="auto"/>
          <w:sz w:val="22"/>
          <w:szCs w:val="22"/>
          <w:highlight w:val="none"/>
        </w:rPr>
        <w:t>有两次被严重警告或三次被警告（含一次严重警告，两次警告）的承包单位，采购人有权无责任终止采购合同；</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w:t>
      </w:r>
      <w:r>
        <w:rPr>
          <w:rFonts w:hint="eastAsia"/>
          <w:color w:val="auto"/>
          <w:sz w:val="22"/>
          <w:szCs w:val="22"/>
          <w:highlight w:val="none"/>
          <w:lang w:eastAsia="zh-CN"/>
        </w:rPr>
        <w:t>累计</w:t>
      </w:r>
      <w:r>
        <w:rPr>
          <w:rFonts w:hint="eastAsia"/>
          <w:color w:val="auto"/>
          <w:sz w:val="22"/>
          <w:szCs w:val="22"/>
          <w:highlight w:val="none"/>
        </w:rPr>
        <w:t>二次平均考核得分率低于75%（不含）的，采购人有权无责任终止采购合同；</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rPr>
        <w:t>（3）经有关部门认定严重违反劳动法，造成恶劣影响的；或其它</w:t>
      </w:r>
      <w:r>
        <w:rPr>
          <w:color w:val="auto"/>
          <w:sz w:val="22"/>
          <w:szCs w:val="22"/>
          <w:highlight w:val="none"/>
        </w:rPr>
        <w:t>因违法经营受到刑事处罚或者责令停产停业、吊销许可证或者执照、较大数额罚款等行政处罚</w:t>
      </w:r>
      <w:r>
        <w:rPr>
          <w:rFonts w:hint="eastAsia"/>
          <w:color w:val="auto"/>
          <w:sz w:val="22"/>
          <w:szCs w:val="22"/>
          <w:highlight w:val="none"/>
        </w:rPr>
        <w:t>的；</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rPr>
        <w:t>（4）其它弄虚作假及其他不正当行为；</w:t>
      </w:r>
      <w:r>
        <w:rPr>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color w:val="auto"/>
          <w:sz w:val="22"/>
          <w:szCs w:val="22"/>
          <w:highlight w:val="none"/>
        </w:rPr>
      </w:pPr>
      <w:r>
        <w:rPr>
          <w:rFonts w:hint="eastAsia"/>
          <w:color w:val="auto"/>
          <w:sz w:val="22"/>
          <w:szCs w:val="22"/>
          <w:highlight w:val="none"/>
        </w:rPr>
        <w:t>（5）合同履约期间，中标供应商法人组织破产，或重组变更法人主体的；</w:t>
      </w:r>
    </w:p>
    <w:p>
      <w:pPr>
        <w:snapToGrid w:val="0"/>
        <w:spacing w:line="360" w:lineRule="auto"/>
        <w:ind w:firstLine="440" w:firstLineChars="200"/>
        <w:rPr>
          <w:color w:val="auto"/>
          <w:sz w:val="22"/>
          <w:szCs w:val="22"/>
          <w:highlight w:val="none"/>
        </w:rPr>
      </w:pPr>
      <w:r>
        <w:rPr>
          <w:rFonts w:hint="eastAsia"/>
          <w:color w:val="auto"/>
          <w:sz w:val="22"/>
          <w:szCs w:val="22"/>
          <w:highlight w:val="none"/>
        </w:rPr>
        <w:t>（6）根据</w:t>
      </w:r>
      <w:r>
        <w:rPr>
          <w:rFonts w:hint="eastAsia"/>
          <w:color w:val="auto"/>
          <w:sz w:val="22"/>
          <w:szCs w:val="22"/>
          <w:highlight w:val="none"/>
          <w:lang w:val="en-US" w:eastAsia="zh-CN"/>
        </w:rPr>
        <w:t>采购</w:t>
      </w:r>
      <w:r>
        <w:rPr>
          <w:rFonts w:hint="eastAsia"/>
          <w:color w:val="auto"/>
          <w:sz w:val="22"/>
          <w:szCs w:val="22"/>
          <w:highlight w:val="none"/>
        </w:rPr>
        <w:t>文件及合同约定，其它终止合同的规定，其它法律规定的终止情形；</w:t>
      </w:r>
    </w:p>
    <w:p>
      <w:pPr>
        <w:snapToGrid w:val="0"/>
        <w:spacing w:line="360" w:lineRule="auto"/>
        <w:ind w:firstLine="440" w:firstLineChars="200"/>
        <w:rPr>
          <w:b/>
          <w:color w:val="auto"/>
          <w:sz w:val="22"/>
          <w:szCs w:val="22"/>
          <w:highlight w:val="none"/>
        </w:rPr>
      </w:pPr>
      <w:r>
        <w:rPr>
          <w:rFonts w:hint="eastAsia"/>
          <w:color w:val="auto"/>
          <w:sz w:val="22"/>
          <w:szCs w:val="22"/>
          <w:highlight w:val="none"/>
        </w:rPr>
        <w:t>（7）</w:t>
      </w:r>
      <w:r>
        <w:rPr>
          <w:rFonts w:hint="eastAsia"/>
          <w:b/>
          <w:color w:val="auto"/>
          <w:sz w:val="22"/>
          <w:szCs w:val="22"/>
          <w:highlight w:val="none"/>
        </w:rPr>
        <w:t>由于中标供应商原因造成采购人经济损失的，所造成的损失由中标供应商承担；同时采购人有权终止合同。</w:t>
      </w:r>
    </w:p>
    <w:p>
      <w:pPr>
        <w:snapToGrid w:val="0"/>
        <w:spacing w:line="360" w:lineRule="auto"/>
        <w:ind w:firstLine="442" w:firstLineChars="200"/>
        <w:jc w:val="center"/>
        <w:rPr>
          <w:b/>
          <w:color w:val="auto"/>
          <w:sz w:val="22"/>
          <w:szCs w:val="22"/>
          <w:highlight w:val="none"/>
        </w:rPr>
      </w:pPr>
      <w:r>
        <w:rPr>
          <w:rFonts w:hint="eastAsia"/>
          <w:b/>
          <w:color w:val="auto"/>
          <w:sz w:val="22"/>
          <w:szCs w:val="22"/>
          <w:highlight w:val="none"/>
        </w:rPr>
        <w:t>附件：《考核评分细则》（采购人可根据项目实际进行调整）</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1371"/>
        <w:gridCol w:w="131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pPr>
              <w:spacing w:line="360" w:lineRule="exact"/>
              <w:outlineLvl w:val="0"/>
              <w:rPr>
                <w:rFonts w:hint="eastAsia"/>
                <w:color w:val="auto"/>
                <w:sz w:val="22"/>
                <w:szCs w:val="22"/>
                <w:highlight w:val="none"/>
              </w:rPr>
            </w:pPr>
            <w:r>
              <w:rPr>
                <w:rFonts w:hint="eastAsia"/>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pPr>
              <w:spacing w:line="360" w:lineRule="exact"/>
              <w:outlineLvl w:val="0"/>
              <w:rPr>
                <w:rFonts w:hint="eastAsia"/>
                <w:color w:val="auto"/>
                <w:sz w:val="22"/>
                <w:szCs w:val="22"/>
                <w:highlight w:val="none"/>
              </w:rPr>
            </w:pPr>
            <w:r>
              <w:rPr>
                <w:rFonts w:hint="eastAsia"/>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noWrap w:val="0"/>
            <w:vAlign w:val="top"/>
          </w:tcPr>
          <w:p>
            <w:pPr>
              <w:spacing w:line="360" w:lineRule="exact"/>
              <w:outlineLvl w:val="0"/>
              <w:rPr>
                <w:rFonts w:hint="eastAsia"/>
                <w:color w:val="auto"/>
                <w:sz w:val="22"/>
                <w:szCs w:val="22"/>
                <w:highlight w:val="none"/>
              </w:rPr>
            </w:pPr>
            <w:r>
              <w:rPr>
                <w:rFonts w:hint="eastAsia"/>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考核内容</w:t>
            </w:r>
          </w:p>
        </w:tc>
        <w:tc>
          <w:tcPr>
            <w:tcW w:w="738"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分值</w:t>
            </w:r>
          </w:p>
        </w:tc>
        <w:tc>
          <w:tcPr>
            <w:tcW w:w="708"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扣分原因</w:t>
            </w:r>
          </w:p>
        </w:tc>
        <w:tc>
          <w:tcPr>
            <w:tcW w:w="679"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outlineLvl w:val="0"/>
              <w:rPr>
                <w:rFonts w:hint="eastAsia"/>
                <w:color w:val="auto"/>
                <w:sz w:val="22"/>
                <w:szCs w:val="22"/>
                <w:highlight w:val="none"/>
              </w:rPr>
            </w:pPr>
            <w:r>
              <w:rPr>
                <w:rFonts w:hint="eastAsia"/>
                <w:color w:val="auto"/>
                <w:sz w:val="22"/>
                <w:szCs w:val="22"/>
                <w:highlight w:val="none"/>
              </w:rPr>
              <w:t>1、是否在约定的时间内完成采购人指派的任务</w:t>
            </w:r>
          </w:p>
        </w:tc>
        <w:tc>
          <w:tcPr>
            <w:tcW w:w="738"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20</w:t>
            </w:r>
          </w:p>
        </w:tc>
        <w:tc>
          <w:tcPr>
            <w:tcW w:w="708" w:type="pct"/>
            <w:noWrap w:val="0"/>
            <w:vAlign w:val="top"/>
          </w:tcPr>
          <w:p>
            <w:pPr>
              <w:spacing w:line="360" w:lineRule="exact"/>
              <w:outlineLvl w:val="0"/>
              <w:rPr>
                <w:rFonts w:hint="eastAsia"/>
                <w:color w:val="auto"/>
                <w:sz w:val="22"/>
                <w:szCs w:val="22"/>
                <w:highlight w:val="none"/>
              </w:rPr>
            </w:pPr>
          </w:p>
        </w:tc>
        <w:tc>
          <w:tcPr>
            <w:tcW w:w="679" w:type="pct"/>
            <w:noWrap w:val="0"/>
            <w:vAlign w:val="top"/>
          </w:tcPr>
          <w:p>
            <w:pPr>
              <w:spacing w:line="360" w:lineRule="exact"/>
              <w:outlineLvl w:val="0"/>
              <w:rPr>
                <w:rFonts w:hint="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outlineLvl w:val="0"/>
              <w:rPr>
                <w:rFonts w:hint="eastAsia"/>
                <w:color w:val="auto"/>
                <w:sz w:val="22"/>
                <w:szCs w:val="22"/>
                <w:highlight w:val="none"/>
              </w:rPr>
            </w:pPr>
            <w:r>
              <w:rPr>
                <w:rFonts w:hint="eastAsia"/>
                <w:color w:val="auto"/>
                <w:sz w:val="22"/>
                <w:szCs w:val="22"/>
                <w:highlight w:val="none"/>
              </w:rPr>
              <w:t>2、是否有固定人员负责对接</w:t>
            </w:r>
            <w:r>
              <w:rPr>
                <w:rFonts w:hint="eastAsia"/>
                <w:color w:val="auto"/>
                <w:sz w:val="22"/>
                <w:szCs w:val="22"/>
                <w:highlight w:val="none"/>
                <w:lang w:val="en-US" w:eastAsia="zh-CN"/>
              </w:rPr>
              <w:t>土壤改良培肥措施</w:t>
            </w:r>
            <w:r>
              <w:rPr>
                <w:rFonts w:hint="eastAsia"/>
                <w:color w:val="auto"/>
                <w:sz w:val="22"/>
                <w:szCs w:val="22"/>
                <w:highlight w:val="none"/>
              </w:rPr>
              <w:t>任务</w:t>
            </w:r>
          </w:p>
        </w:tc>
        <w:tc>
          <w:tcPr>
            <w:tcW w:w="738"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top"/>
          </w:tcPr>
          <w:p>
            <w:pPr>
              <w:spacing w:line="360" w:lineRule="exact"/>
              <w:outlineLvl w:val="0"/>
              <w:rPr>
                <w:rFonts w:hint="eastAsia"/>
                <w:color w:val="auto"/>
                <w:sz w:val="22"/>
                <w:szCs w:val="22"/>
                <w:highlight w:val="none"/>
              </w:rPr>
            </w:pPr>
          </w:p>
        </w:tc>
        <w:tc>
          <w:tcPr>
            <w:tcW w:w="679" w:type="pct"/>
            <w:noWrap w:val="0"/>
            <w:vAlign w:val="top"/>
          </w:tcPr>
          <w:p>
            <w:pPr>
              <w:spacing w:line="360" w:lineRule="exact"/>
              <w:outlineLvl w:val="0"/>
              <w:rPr>
                <w:rFonts w:hint="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outlineLvl w:val="0"/>
              <w:rPr>
                <w:rFonts w:hint="eastAsia"/>
                <w:color w:val="auto"/>
                <w:sz w:val="22"/>
                <w:szCs w:val="22"/>
                <w:highlight w:val="none"/>
              </w:rPr>
            </w:pPr>
            <w:r>
              <w:rPr>
                <w:rFonts w:hint="eastAsia"/>
                <w:color w:val="auto"/>
                <w:sz w:val="22"/>
                <w:szCs w:val="22"/>
                <w:highlight w:val="none"/>
              </w:rPr>
              <w:t>3、是否存在安全隐患</w:t>
            </w:r>
          </w:p>
        </w:tc>
        <w:tc>
          <w:tcPr>
            <w:tcW w:w="738"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15</w:t>
            </w:r>
          </w:p>
        </w:tc>
        <w:tc>
          <w:tcPr>
            <w:tcW w:w="708" w:type="pct"/>
            <w:noWrap w:val="0"/>
            <w:vAlign w:val="top"/>
          </w:tcPr>
          <w:p>
            <w:pPr>
              <w:spacing w:line="360" w:lineRule="exact"/>
              <w:outlineLvl w:val="0"/>
              <w:rPr>
                <w:rFonts w:hint="eastAsia"/>
                <w:color w:val="auto"/>
                <w:sz w:val="22"/>
                <w:szCs w:val="22"/>
                <w:highlight w:val="none"/>
              </w:rPr>
            </w:pPr>
          </w:p>
        </w:tc>
        <w:tc>
          <w:tcPr>
            <w:tcW w:w="679" w:type="pct"/>
            <w:noWrap w:val="0"/>
            <w:vAlign w:val="top"/>
          </w:tcPr>
          <w:p>
            <w:pPr>
              <w:spacing w:line="360" w:lineRule="exact"/>
              <w:outlineLvl w:val="0"/>
              <w:rPr>
                <w:rFonts w:hint="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outlineLvl w:val="0"/>
              <w:rPr>
                <w:rFonts w:hint="eastAsia"/>
                <w:color w:val="auto"/>
                <w:sz w:val="22"/>
                <w:szCs w:val="22"/>
                <w:highlight w:val="none"/>
              </w:rPr>
            </w:pPr>
            <w:r>
              <w:rPr>
                <w:rFonts w:hint="eastAsia"/>
                <w:color w:val="auto"/>
                <w:sz w:val="22"/>
                <w:szCs w:val="22"/>
                <w:highlight w:val="none"/>
              </w:rPr>
              <w:t>4、过程中发现重大问题是否及时进行沟通</w:t>
            </w:r>
          </w:p>
        </w:tc>
        <w:tc>
          <w:tcPr>
            <w:tcW w:w="738"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15</w:t>
            </w:r>
          </w:p>
        </w:tc>
        <w:tc>
          <w:tcPr>
            <w:tcW w:w="708" w:type="pct"/>
            <w:noWrap w:val="0"/>
            <w:vAlign w:val="top"/>
          </w:tcPr>
          <w:p>
            <w:pPr>
              <w:spacing w:line="360" w:lineRule="exact"/>
              <w:outlineLvl w:val="0"/>
              <w:rPr>
                <w:rFonts w:hint="eastAsia"/>
                <w:color w:val="auto"/>
                <w:sz w:val="22"/>
                <w:szCs w:val="22"/>
                <w:highlight w:val="none"/>
              </w:rPr>
            </w:pPr>
          </w:p>
        </w:tc>
        <w:tc>
          <w:tcPr>
            <w:tcW w:w="679" w:type="pct"/>
            <w:noWrap w:val="0"/>
            <w:vAlign w:val="top"/>
          </w:tcPr>
          <w:p>
            <w:pPr>
              <w:spacing w:line="360" w:lineRule="exact"/>
              <w:outlineLvl w:val="0"/>
              <w:rPr>
                <w:rFonts w:hint="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75" w:type="pct"/>
            <w:noWrap w:val="0"/>
            <w:vAlign w:val="top"/>
          </w:tcPr>
          <w:p>
            <w:pPr>
              <w:spacing w:line="360" w:lineRule="exact"/>
              <w:outlineLvl w:val="0"/>
              <w:rPr>
                <w:rFonts w:hint="eastAsia" w:eastAsia="宋体"/>
                <w:color w:val="auto"/>
                <w:sz w:val="22"/>
                <w:szCs w:val="22"/>
                <w:highlight w:val="none"/>
                <w:lang w:eastAsia="zh-CN"/>
              </w:rPr>
            </w:pPr>
            <w:r>
              <w:rPr>
                <w:rFonts w:hint="eastAsia"/>
                <w:color w:val="auto"/>
                <w:sz w:val="22"/>
                <w:szCs w:val="22"/>
                <w:highlight w:val="none"/>
              </w:rPr>
              <w:t>5、</w:t>
            </w:r>
            <w:r>
              <w:rPr>
                <w:rFonts w:hint="eastAsia"/>
                <w:color w:val="auto"/>
                <w:sz w:val="22"/>
                <w:szCs w:val="22"/>
                <w:highlight w:val="none"/>
                <w:lang w:val="en-US" w:eastAsia="zh-CN"/>
              </w:rPr>
              <w:t>验收后，相应地块土壤各项指标是否达到采购文件规定的应达到规定的提升标准</w:t>
            </w:r>
          </w:p>
        </w:tc>
        <w:tc>
          <w:tcPr>
            <w:tcW w:w="738"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center"/>
          </w:tcPr>
          <w:p>
            <w:pPr>
              <w:spacing w:line="360" w:lineRule="exact"/>
              <w:outlineLvl w:val="0"/>
              <w:rPr>
                <w:rFonts w:hint="eastAsia"/>
                <w:color w:val="auto"/>
                <w:sz w:val="22"/>
                <w:szCs w:val="22"/>
                <w:highlight w:val="none"/>
              </w:rPr>
            </w:pPr>
          </w:p>
        </w:tc>
        <w:tc>
          <w:tcPr>
            <w:tcW w:w="679" w:type="pct"/>
            <w:noWrap w:val="0"/>
            <w:vAlign w:val="center"/>
          </w:tcPr>
          <w:p>
            <w:pPr>
              <w:spacing w:line="360" w:lineRule="exact"/>
              <w:outlineLvl w:val="0"/>
              <w:rPr>
                <w:rFonts w:hint="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75" w:type="pct"/>
            <w:noWrap w:val="0"/>
            <w:vAlign w:val="top"/>
          </w:tcPr>
          <w:p>
            <w:pPr>
              <w:spacing w:line="360" w:lineRule="exact"/>
              <w:outlineLvl w:val="0"/>
              <w:rPr>
                <w:rFonts w:hint="eastAsia"/>
                <w:color w:val="auto"/>
                <w:sz w:val="22"/>
                <w:szCs w:val="22"/>
                <w:highlight w:val="none"/>
              </w:rPr>
            </w:pPr>
            <w:r>
              <w:rPr>
                <w:rFonts w:hint="eastAsia"/>
                <w:color w:val="auto"/>
                <w:sz w:val="22"/>
                <w:szCs w:val="22"/>
                <w:highlight w:val="none"/>
              </w:rPr>
              <w:t>6、是否按</w:t>
            </w:r>
            <w:r>
              <w:rPr>
                <w:rFonts w:hint="eastAsia"/>
                <w:color w:val="auto"/>
                <w:sz w:val="22"/>
                <w:szCs w:val="22"/>
                <w:highlight w:val="none"/>
                <w:lang w:val="en-US" w:eastAsia="zh-CN"/>
              </w:rPr>
              <w:t>采购文件</w:t>
            </w:r>
            <w:r>
              <w:rPr>
                <w:rFonts w:hint="eastAsia"/>
                <w:color w:val="auto"/>
                <w:sz w:val="22"/>
                <w:szCs w:val="22"/>
                <w:highlight w:val="none"/>
              </w:rPr>
              <w:t>有关规定执行</w:t>
            </w:r>
          </w:p>
        </w:tc>
        <w:tc>
          <w:tcPr>
            <w:tcW w:w="738"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top"/>
          </w:tcPr>
          <w:p>
            <w:pPr>
              <w:spacing w:line="360" w:lineRule="exact"/>
              <w:outlineLvl w:val="0"/>
              <w:rPr>
                <w:rFonts w:hint="eastAsia"/>
                <w:color w:val="auto"/>
                <w:sz w:val="22"/>
                <w:szCs w:val="22"/>
                <w:highlight w:val="none"/>
              </w:rPr>
            </w:pPr>
          </w:p>
        </w:tc>
        <w:tc>
          <w:tcPr>
            <w:tcW w:w="679" w:type="pct"/>
            <w:noWrap w:val="0"/>
            <w:vAlign w:val="top"/>
          </w:tcPr>
          <w:p>
            <w:pPr>
              <w:spacing w:line="360" w:lineRule="exact"/>
              <w:outlineLvl w:val="0"/>
              <w:rPr>
                <w:rFonts w:hint="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outlineLvl w:val="0"/>
              <w:rPr>
                <w:rFonts w:hint="eastAsia"/>
                <w:color w:val="auto"/>
                <w:sz w:val="22"/>
                <w:szCs w:val="22"/>
                <w:highlight w:val="none"/>
              </w:rPr>
            </w:pPr>
            <w:r>
              <w:rPr>
                <w:rFonts w:hint="eastAsia"/>
                <w:color w:val="auto"/>
                <w:sz w:val="22"/>
                <w:szCs w:val="22"/>
                <w:highlight w:val="none"/>
              </w:rPr>
              <w:t>7、响应文件中承诺的相关内容是否到位</w:t>
            </w:r>
          </w:p>
        </w:tc>
        <w:tc>
          <w:tcPr>
            <w:tcW w:w="738" w:type="pct"/>
            <w:noWrap w:val="0"/>
            <w:vAlign w:val="center"/>
          </w:tcPr>
          <w:p>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top"/>
          </w:tcPr>
          <w:p>
            <w:pPr>
              <w:spacing w:line="360" w:lineRule="exact"/>
              <w:outlineLvl w:val="0"/>
              <w:rPr>
                <w:rFonts w:hint="eastAsia"/>
                <w:color w:val="auto"/>
                <w:sz w:val="22"/>
                <w:szCs w:val="22"/>
                <w:highlight w:val="none"/>
              </w:rPr>
            </w:pPr>
          </w:p>
        </w:tc>
        <w:tc>
          <w:tcPr>
            <w:tcW w:w="679" w:type="pct"/>
            <w:noWrap w:val="0"/>
            <w:vAlign w:val="top"/>
          </w:tcPr>
          <w:p>
            <w:pPr>
              <w:spacing w:line="360" w:lineRule="exact"/>
              <w:outlineLvl w:val="0"/>
              <w:rPr>
                <w:rFonts w:hint="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outlineLvl w:val="0"/>
              <w:rPr>
                <w:rFonts w:hint="eastAsia" w:eastAsia="宋体"/>
                <w:strike w:val="0"/>
                <w:dstrike w:val="0"/>
                <w:color w:val="auto"/>
                <w:sz w:val="22"/>
                <w:szCs w:val="22"/>
                <w:highlight w:val="none"/>
                <w:lang w:eastAsia="zh-CN"/>
              </w:rPr>
            </w:pPr>
            <w:r>
              <w:rPr>
                <w:rFonts w:hint="eastAsia"/>
                <w:strike w:val="0"/>
                <w:dstrike w:val="0"/>
                <w:color w:val="auto"/>
                <w:sz w:val="22"/>
                <w:szCs w:val="22"/>
                <w:highlight w:val="none"/>
              </w:rPr>
              <w:t>8、</w:t>
            </w:r>
            <w:r>
              <w:rPr>
                <w:rFonts w:hint="eastAsia"/>
                <w:strike w:val="0"/>
                <w:dstrike w:val="0"/>
                <w:color w:val="auto"/>
                <w:sz w:val="22"/>
                <w:szCs w:val="22"/>
                <w:highlight w:val="none"/>
                <w:lang w:eastAsia="zh-CN"/>
              </w:rPr>
              <w:t>是否配合相关部门管理、监督、举证</w:t>
            </w:r>
          </w:p>
        </w:tc>
        <w:tc>
          <w:tcPr>
            <w:tcW w:w="738" w:type="pct"/>
            <w:noWrap w:val="0"/>
            <w:vAlign w:val="center"/>
          </w:tcPr>
          <w:p>
            <w:pPr>
              <w:spacing w:line="360" w:lineRule="exact"/>
              <w:jc w:val="center"/>
              <w:outlineLvl w:val="0"/>
              <w:rPr>
                <w:rFonts w:hint="eastAsia"/>
                <w:strike w:val="0"/>
                <w:dstrike w:val="0"/>
                <w:color w:val="auto"/>
                <w:sz w:val="22"/>
                <w:szCs w:val="22"/>
                <w:highlight w:val="none"/>
              </w:rPr>
            </w:pPr>
            <w:r>
              <w:rPr>
                <w:rFonts w:hint="eastAsia"/>
                <w:strike w:val="0"/>
                <w:dstrike w:val="0"/>
                <w:color w:val="auto"/>
                <w:sz w:val="22"/>
                <w:szCs w:val="22"/>
                <w:highlight w:val="none"/>
              </w:rPr>
              <w:t>10</w:t>
            </w:r>
          </w:p>
        </w:tc>
        <w:tc>
          <w:tcPr>
            <w:tcW w:w="708" w:type="pct"/>
            <w:noWrap w:val="0"/>
            <w:vAlign w:val="top"/>
          </w:tcPr>
          <w:p>
            <w:pPr>
              <w:spacing w:line="360" w:lineRule="exact"/>
              <w:outlineLvl w:val="0"/>
              <w:rPr>
                <w:rFonts w:hint="eastAsia"/>
                <w:color w:val="auto"/>
                <w:sz w:val="22"/>
                <w:szCs w:val="22"/>
                <w:highlight w:val="none"/>
              </w:rPr>
            </w:pPr>
          </w:p>
        </w:tc>
        <w:tc>
          <w:tcPr>
            <w:tcW w:w="679" w:type="pct"/>
            <w:noWrap w:val="0"/>
            <w:vAlign w:val="top"/>
          </w:tcPr>
          <w:p>
            <w:pPr>
              <w:spacing w:line="360" w:lineRule="exact"/>
              <w:outlineLvl w:val="0"/>
              <w:rPr>
                <w:rFonts w:hint="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jc w:val="center"/>
              <w:outlineLvl w:val="0"/>
              <w:rPr>
                <w:rFonts w:hint="eastAsia"/>
                <w:color w:val="auto"/>
                <w:sz w:val="22"/>
                <w:szCs w:val="22"/>
                <w:highlight w:val="none"/>
              </w:rPr>
            </w:pPr>
            <w:r>
              <w:rPr>
                <w:rFonts w:hint="eastAsia"/>
                <w:color w:val="auto"/>
                <w:sz w:val="22"/>
                <w:szCs w:val="22"/>
                <w:highlight w:val="none"/>
              </w:rPr>
              <w:t>总得分</w:t>
            </w:r>
          </w:p>
        </w:tc>
        <w:tc>
          <w:tcPr>
            <w:tcW w:w="738" w:type="pct"/>
            <w:noWrap w:val="0"/>
            <w:vAlign w:val="top"/>
          </w:tcPr>
          <w:p>
            <w:pPr>
              <w:spacing w:line="360" w:lineRule="exact"/>
              <w:jc w:val="center"/>
              <w:outlineLvl w:val="0"/>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=SUM(ABOVE) </w:instrText>
            </w:r>
            <w:r>
              <w:rPr>
                <w:rFonts w:hint="eastAsia"/>
                <w:color w:val="auto"/>
                <w:sz w:val="22"/>
                <w:szCs w:val="22"/>
                <w:highlight w:val="none"/>
              </w:rPr>
              <w:fldChar w:fldCharType="separate"/>
            </w:r>
            <w:r>
              <w:rPr>
                <w:rFonts w:hint="eastAsia"/>
                <w:color w:val="auto"/>
                <w:sz w:val="22"/>
                <w:szCs w:val="22"/>
                <w:highlight w:val="none"/>
              </w:rPr>
              <w:t>100</w:t>
            </w:r>
            <w:r>
              <w:rPr>
                <w:rFonts w:hint="eastAsia"/>
                <w:color w:val="auto"/>
                <w:sz w:val="22"/>
                <w:szCs w:val="22"/>
                <w:highlight w:val="none"/>
              </w:rPr>
              <w:fldChar w:fldCharType="end"/>
            </w:r>
          </w:p>
        </w:tc>
        <w:tc>
          <w:tcPr>
            <w:tcW w:w="1387" w:type="pct"/>
            <w:gridSpan w:val="2"/>
            <w:noWrap w:val="0"/>
            <w:vAlign w:val="top"/>
          </w:tcPr>
          <w:p>
            <w:pPr>
              <w:spacing w:line="360" w:lineRule="exact"/>
              <w:outlineLvl w:val="0"/>
              <w:rPr>
                <w:rFonts w:hint="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5000" w:type="pct"/>
            <w:gridSpan w:val="4"/>
            <w:noWrap w:val="0"/>
            <w:vAlign w:val="top"/>
          </w:tcPr>
          <w:p>
            <w:pPr>
              <w:spacing w:line="360" w:lineRule="auto"/>
              <w:outlineLvl w:val="0"/>
              <w:rPr>
                <w:rFonts w:hint="eastAsia"/>
                <w:color w:val="auto"/>
                <w:sz w:val="22"/>
                <w:szCs w:val="22"/>
                <w:highlight w:val="none"/>
              </w:rPr>
            </w:pPr>
            <w:r>
              <w:rPr>
                <w:rFonts w:hint="eastAsia"/>
                <w:color w:val="auto"/>
                <w:sz w:val="22"/>
                <w:szCs w:val="22"/>
                <w:highlight w:val="none"/>
              </w:rPr>
              <w:t>考核实施办法：</w:t>
            </w:r>
          </w:p>
          <w:p>
            <w:pPr>
              <w:spacing w:line="360" w:lineRule="auto"/>
              <w:ind w:firstLine="440" w:firstLineChars="200"/>
              <w:outlineLvl w:val="0"/>
              <w:rPr>
                <w:rFonts w:hint="eastAsia"/>
                <w:color w:val="auto"/>
                <w:sz w:val="22"/>
                <w:szCs w:val="22"/>
                <w:highlight w:val="none"/>
              </w:rPr>
            </w:pPr>
            <w:r>
              <w:rPr>
                <w:rFonts w:hint="eastAsia"/>
                <w:color w:val="auto"/>
                <w:sz w:val="22"/>
                <w:szCs w:val="22"/>
                <w:highlight w:val="none"/>
              </w:rPr>
              <w:t>1.每季度考核一次，考核满分100分。考核总得分≥80分，视为当次考核合格。考核总得分＜80分，每分扣200元，在款项支付中扣除；考核总得分＜75分，视为当次考核不合格。</w:t>
            </w:r>
          </w:p>
          <w:p>
            <w:pPr>
              <w:spacing w:line="360" w:lineRule="auto"/>
              <w:ind w:firstLine="440" w:firstLineChars="200"/>
              <w:outlineLvl w:val="0"/>
              <w:rPr>
                <w:rFonts w:hint="eastAsia"/>
                <w:color w:val="auto"/>
                <w:sz w:val="22"/>
                <w:szCs w:val="22"/>
                <w:highlight w:val="none"/>
              </w:rPr>
            </w:pPr>
            <w:r>
              <w:rPr>
                <w:rFonts w:hint="eastAsia"/>
                <w:color w:val="auto"/>
                <w:sz w:val="22"/>
                <w:szCs w:val="22"/>
                <w:highlight w:val="none"/>
              </w:rPr>
              <w:t>2.若在合同期内发生累计二次未按采购人要求及时完成，采购人有权单方面解除合同，不再支付剩余合同价款并没收其履约保证金。累计二次平均考核得分率低于75%（不含）的，采购人有权无责任终止采购合同，并不予退还履约保证金。</w:t>
            </w:r>
          </w:p>
          <w:p>
            <w:pPr>
              <w:spacing w:line="360" w:lineRule="auto"/>
              <w:ind w:firstLine="440" w:firstLineChars="200"/>
              <w:outlineLvl w:val="0"/>
              <w:rPr>
                <w:rFonts w:hint="eastAsia"/>
                <w:color w:val="auto"/>
                <w:sz w:val="22"/>
                <w:szCs w:val="22"/>
                <w:highlight w:val="none"/>
              </w:rPr>
            </w:pPr>
            <w:r>
              <w:rPr>
                <w:rFonts w:hint="eastAsia"/>
                <w:color w:val="auto"/>
                <w:sz w:val="22"/>
                <w:szCs w:val="22"/>
                <w:highlight w:val="none"/>
              </w:rPr>
              <w:t>3.因成交供应商原因（包括但不限于质量、安全、延误等原因），造成采购人损失的，由成交供应商承担相关责任，成交供应商违规罚款可达合同总金额的20%。</w:t>
            </w:r>
          </w:p>
        </w:tc>
      </w:tr>
    </w:tbl>
    <w:p>
      <w:pPr>
        <w:pStyle w:val="36"/>
        <w:rPr>
          <w:rFonts w:hint="eastAsia"/>
          <w:color w:val="auto"/>
          <w:highlight w:val="none"/>
          <w:lang w:val="zh-CN" w:eastAsia="zh-CN"/>
        </w:rPr>
        <w:sectPr>
          <w:headerReference r:id="rId5" w:type="default"/>
          <w:footerReference r:id="rId6" w:type="default"/>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linePitch="312" w:charSpace="0"/>
        </w:sectPr>
      </w:pPr>
    </w:p>
    <w:p>
      <w:pPr>
        <w:adjustRightInd w:val="0"/>
        <w:snapToGrid w:val="0"/>
        <w:spacing w:line="420" w:lineRule="exact"/>
        <w:jc w:val="center"/>
        <w:rPr>
          <w:rFonts w:hint="eastAsia" w:ascii="宋体" w:hAnsi="宋体"/>
          <w:color w:val="auto"/>
          <w:sz w:val="36"/>
          <w:highlight w:val="none"/>
        </w:rPr>
      </w:pPr>
      <w:r>
        <w:rPr>
          <w:rFonts w:hint="eastAsia" w:ascii="宋体" w:hAnsi="宋体"/>
          <w:color w:val="auto"/>
          <w:sz w:val="36"/>
          <w:highlight w:val="none"/>
        </w:rPr>
        <w:t>第三部分 供应商须知</w:t>
      </w:r>
    </w:p>
    <w:p>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一、说明</w:t>
      </w:r>
    </w:p>
    <w:p>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ascii="宋体" w:hAnsi="宋体"/>
          <w:color w:val="auto"/>
          <w:sz w:val="22"/>
          <w:szCs w:val="22"/>
          <w:highlight w:val="none"/>
        </w:rPr>
      </w:pPr>
      <w:r>
        <w:rPr>
          <w:rFonts w:hint="eastAsia" w:ascii="宋体" w:hAnsi="宋体"/>
          <w:color w:val="auto"/>
          <w:sz w:val="22"/>
          <w:szCs w:val="22"/>
          <w:highlight w:val="none"/>
        </w:rPr>
        <w:t>1、本次采购工作是按照《中华人民共和国政府采购法》及相关法律规章组织和实施。</w:t>
      </w:r>
    </w:p>
    <w:p>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ascii="宋体" w:hAnsi="宋体"/>
          <w:color w:val="auto"/>
          <w:sz w:val="22"/>
          <w:szCs w:val="22"/>
          <w:highlight w:val="none"/>
        </w:rPr>
      </w:pPr>
      <w:r>
        <w:rPr>
          <w:rFonts w:hint="eastAsia" w:ascii="宋体" w:hAnsi="宋体"/>
          <w:color w:val="auto"/>
          <w:sz w:val="22"/>
          <w:szCs w:val="22"/>
          <w:highlight w:val="none"/>
        </w:rPr>
        <w:t>2、供应商必须对全部内容进行报价，只对部分内容进行报价的供应商将按无效报价处理。</w:t>
      </w:r>
    </w:p>
    <w:p>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ascii="宋体" w:hAnsi="宋体"/>
          <w:color w:val="auto"/>
          <w:sz w:val="22"/>
          <w:szCs w:val="22"/>
          <w:highlight w:val="none"/>
        </w:rPr>
      </w:pPr>
      <w:r>
        <w:rPr>
          <w:rFonts w:hint="eastAsia" w:ascii="宋体" w:hAnsi="宋体"/>
          <w:color w:val="auto"/>
          <w:sz w:val="22"/>
          <w:szCs w:val="22"/>
          <w:highlight w:val="none"/>
        </w:rPr>
        <w:t>3、无论采购过程中的作法和结果如何，供应商自行承担采购活动中所发生的全部费用。</w:t>
      </w:r>
    </w:p>
    <w:p>
      <w:pPr>
        <w:keepNext w:val="0"/>
        <w:keepLines w:val="0"/>
        <w:pageBreakBefore w:val="0"/>
        <w:widowControl/>
        <w:kinsoku/>
        <w:wordWrap/>
        <w:overflowPunct/>
        <w:topLinePunct w:val="0"/>
        <w:autoSpaceDE w:val="0"/>
        <w:autoSpaceDN w:val="0"/>
        <w:bidi w:val="0"/>
        <w:snapToGrid w:val="0"/>
        <w:spacing w:line="360" w:lineRule="auto"/>
        <w:ind w:firstLine="433"/>
        <w:jc w:val="left"/>
        <w:rPr>
          <w:b/>
          <w:color w:val="auto"/>
          <w:sz w:val="22"/>
          <w:highlight w:val="none"/>
          <w:u w:val="single"/>
        </w:rPr>
      </w:pPr>
      <w:r>
        <w:rPr>
          <w:rFonts w:hint="eastAsia" w:ascii="宋体"/>
          <w:b/>
          <w:color w:val="auto"/>
          <w:sz w:val="22"/>
          <w:szCs w:val="22"/>
          <w:highlight w:val="none"/>
          <w:u w:val="single"/>
        </w:rPr>
        <w:t>4、</w:t>
      </w:r>
      <w:r>
        <w:rPr>
          <w:b/>
          <w:color w:val="auto"/>
          <w:sz w:val="22"/>
          <w:highlight w:val="none"/>
          <w:u w:val="single"/>
        </w:rPr>
        <w:t>本项目</w:t>
      </w:r>
      <w:r>
        <w:rPr>
          <w:rFonts w:hint="eastAsia"/>
          <w:b/>
          <w:color w:val="auto"/>
          <w:sz w:val="22"/>
          <w:highlight w:val="none"/>
          <w:u w:val="single"/>
          <w:lang w:val="en-US" w:eastAsia="zh-CN"/>
        </w:rPr>
        <w:t>单价</w:t>
      </w:r>
      <w:r>
        <w:rPr>
          <w:b/>
          <w:color w:val="auto"/>
          <w:sz w:val="22"/>
          <w:highlight w:val="none"/>
          <w:u w:val="single"/>
        </w:rPr>
        <w:t>包干</w:t>
      </w:r>
      <w:r>
        <w:rPr>
          <w:rFonts w:hint="eastAsia"/>
          <w:b/>
          <w:color w:val="auto"/>
          <w:sz w:val="22"/>
          <w:highlight w:val="none"/>
          <w:u w:val="single"/>
        </w:rPr>
        <w:t>。</w:t>
      </w:r>
      <w:r>
        <w:rPr>
          <w:b/>
          <w:color w:val="auto"/>
          <w:sz w:val="22"/>
          <w:highlight w:val="none"/>
          <w:u w:val="single"/>
        </w:rPr>
        <w:t>供应商须自费到采购人处现场踏勘，以了解采购人需求，取得准确的报价依据。供应商须自行考虑投标报价的风险。▲</w:t>
      </w:r>
    </w:p>
    <w:p>
      <w:pPr>
        <w:keepNext w:val="0"/>
        <w:keepLines w:val="0"/>
        <w:pageBreakBefore w:val="0"/>
        <w:kinsoku/>
        <w:wordWrap/>
        <w:overflowPunct/>
        <w:topLinePunct w:val="0"/>
        <w:autoSpaceDE w:val="0"/>
        <w:autoSpaceDN w:val="0"/>
        <w:bidi w:val="0"/>
        <w:adjustRightInd w:val="0"/>
        <w:snapToGrid w:val="0"/>
        <w:spacing w:line="360" w:lineRule="auto"/>
        <w:ind w:firstLine="433" w:firstLineChars="196"/>
        <w:textAlignment w:val="bottom"/>
        <w:rPr>
          <w:rFonts w:hint="eastAsia" w:ascii="宋体" w:hAnsi="宋体"/>
          <w:b/>
          <w:color w:val="auto"/>
          <w:sz w:val="22"/>
          <w:szCs w:val="22"/>
          <w:highlight w:val="none"/>
        </w:rPr>
      </w:pPr>
      <w:r>
        <w:rPr>
          <w:rFonts w:hint="eastAsia" w:ascii="宋体" w:hAnsi="宋体"/>
          <w:b/>
          <w:color w:val="auto"/>
          <w:sz w:val="22"/>
          <w:szCs w:val="22"/>
          <w:highlight w:val="none"/>
        </w:rPr>
        <w:t>5、本次采购预算（最高预算）为</w:t>
      </w:r>
      <w:r>
        <w:rPr>
          <w:rFonts w:hint="eastAsia" w:ascii="宋体" w:hAnsi="宋体"/>
          <w:b/>
          <w:color w:val="auto"/>
          <w:sz w:val="22"/>
          <w:szCs w:val="22"/>
          <w:highlight w:val="none"/>
          <w:u w:val="single"/>
          <w:lang w:val="en-US" w:eastAsia="zh-CN"/>
        </w:rPr>
        <w:t>1284200</w:t>
      </w:r>
      <w:r>
        <w:rPr>
          <w:rFonts w:hint="eastAsia" w:ascii="宋体" w:hAnsi="宋体"/>
          <w:b/>
          <w:color w:val="auto"/>
          <w:sz w:val="22"/>
          <w:szCs w:val="22"/>
          <w:highlight w:val="none"/>
        </w:rPr>
        <w:t>元人民币，投标报价为</w:t>
      </w:r>
      <w:r>
        <w:rPr>
          <w:rFonts w:hint="eastAsia" w:ascii="宋体" w:hAnsi="宋体"/>
          <w:b/>
          <w:color w:val="auto"/>
          <w:sz w:val="22"/>
          <w:szCs w:val="22"/>
          <w:highlight w:val="none"/>
          <w:lang w:eastAsia="zh-CN"/>
        </w:rPr>
        <w:t>统一单价</w:t>
      </w:r>
      <w:r>
        <w:rPr>
          <w:rFonts w:hint="eastAsia" w:ascii="宋体" w:hAnsi="宋体"/>
          <w:b/>
          <w:color w:val="auto"/>
          <w:sz w:val="22"/>
          <w:szCs w:val="22"/>
          <w:highlight w:val="none"/>
        </w:rPr>
        <w:t>折扣率</w:t>
      </w:r>
      <w:r>
        <w:rPr>
          <w:rFonts w:hint="eastAsia" w:ascii="宋体" w:hAnsi="宋体"/>
          <w:b/>
          <w:color w:val="auto"/>
          <w:sz w:val="22"/>
          <w:szCs w:val="22"/>
          <w:highlight w:val="none"/>
          <w:lang w:eastAsia="zh-CN"/>
        </w:rPr>
        <w:t>，</w:t>
      </w:r>
      <w:r>
        <w:rPr>
          <w:rFonts w:hint="eastAsia" w:ascii="宋体" w:hAnsi="宋体"/>
          <w:b/>
          <w:color w:val="auto"/>
          <w:sz w:val="22"/>
          <w:szCs w:val="22"/>
          <w:highlight w:val="none"/>
        </w:rPr>
        <w:t>总价不折扣，按实结算。如果仅仅某个（些）供应商的报价超出采购最高限价（单价）（或折扣率范围）的，则拒绝接受其报价，按无效报价处理。▲</w:t>
      </w:r>
    </w:p>
    <w:p>
      <w:pPr>
        <w:widowControl/>
        <w:autoSpaceDE w:val="0"/>
        <w:autoSpaceDN w:val="0"/>
        <w:snapToGrid w:val="0"/>
        <w:spacing w:line="420" w:lineRule="exact"/>
        <w:ind w:firstLine="433"/>
        <w:jc w:val="left"/>
        <w:rPr>
          <w:b/>
          <w:color w:val="auto"/>
          <w:sz w:val="22"/>
          <w:highlight w:val="none"/>
        </w:rPr>
      </w:pPr>
      <w:r>
        <w:rPr>
          <w:b/>
          <w:color w:val="auto"/>
          <w:sz w:val="22"/>
          <w:highlight w:val="none"/>
        </w:rPr>
        <w:t>6、</w:t>
      </w:r>
      <w:r>
        <w:rPr>
          <w:b/>
          <w:color w:val="auto"/>
          <w:sz w:val="22"/>
          <w:szCs w:val="22"/>
          <w:highlight w:val="none"/>
          <w:u w:val="single"/>
        </w:rPr>
        <w:t>供应商企业不是独立法人的，按浙财采监[2013]24号文件执行。</w:t>
      </w:r>
    </w:p>
    <w:p>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lang w:val="en-US" w:eastAsia="zh-CN"/>
        </w:rPr>
        <w:t>7、</w:t>
      </w:r>
      <w:r>
        <w:rPr>
          <w:b/>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spacing w:line="420" w:lineRule="atLeast"/>
        <w:ind w:firstLine="442" w:firstLineChars="200"/>
        <w:rPr>
          <w:rFonts w:hint="eastAsia" w:ascii="宋体"/>
          <w:b/>
          <w:color w:val="auto"/>
          <w:sz w:val="22"/>
          <w:szCs w:val="22"/>
          <w:highlight w:val="none"/>
        </w:rPr>
      </w:pPr>
      <w:r>
        <w:rPr>
          <w:rFonts w:hint="eastAsia"/>
          <w:b/>
          <w:color w:val="auto"/>
          <w:sz w:val="22"/>
          <w:highlight w:val="none"/>
          <w:lang w:val="en-US" w:eastAsia="zh-CN"/>
        </w:rPr>
        <w:t>8</w:t>
      </w:r>
      <w:r>
        <w:rPr>
          <w:b/>
          <w:color w:val="auto"/>
          <w:sz w:val="22"/>
          <w:highlight w:val="none"/>
        </w:rPr>
        <w:t>、</w:t>
      </w:r>
      <w:r>
        <w:rPr>
          <w:rFonts w:hint="eastAsia" w:ascii="宋体"/>
          <w:b/>
          <w:color w:val="auto"/>
          <w:sz w:val="22"/>
          <w:szCs w:val="22"/>
          <w:highlight w:val="none"/>
        </w:rPr>
        <w:t>根据《工业和信息化部、国家统计局、国家发展和改革委员会、财政部关于印发中小企业划型标准规定的通知》（工信部联企业[2011]300号），本项目所属行业为</w:t>
      </w:r>
      <w:r>
        <w:rPr>
          <w:rFonts w:hint="eastAsia" w:ascii="宋体" w:hAnsi="宋体" w:cs="宋体"/>
          <w:b/>
          <w:bCs/>
          <w:color w:val="auto"/>
          <w:sz w:val="22"/>
          <w:szCs w:val="22"/>
          <w:highlight w:val="none"/>
          <w:u w:val="single"/>
        </w:rPr>
        <w:t>农、林、牧、渔业</w:t>
      </w:r>
      <w:r>
        <w:rPr>
          <w:rFonts w:hint="eastAsia" w:ascii="宋体"/>
          <w:b/>
          <w:color w:val="auto"/>
          <w:sz w:val="22"/>
          <w:szCs w:val="22"/>
          <w:highlight w:val="none"/>
        </w:rPr>
        <w:t>，投标供应商属于招标文件中明确的行业所对应的小微企业。</w:t>
      </w:r>
    </w:p>
    <w:p>
      <w:pPr>
        <w:widowControl/>
        <w:snapToGrid w:val="0"/>
        <w:spacing w:line="400" w:lineRule="exact"/>
        <w:ind w:firstLine="442" w:firstLineChars="200"/>
        <w:jc w:val="left"/>
        <w:rPr>
          <w:rFonts w:hint="eastAsia"/>
          <w:b/>
          <w:bCs w:val="0"/>
          <w:color w:val="auto"/>
          <w:highlight w:val="none"/>
        </w:rPr>
      </w:pPr>
      <w:r>
        <w:rPr>
          <w:rFonts w:hint="eastAsia"/>
          <w:b/>
          <w:color w:val="auto"/>
          <w:sz w:val="22"/>
          <w:highlight w:val="none"/>
          <w:lang w:val="en-US" w:eastAsia="zh-CN"/>
        </w:rPr>
        <w:t>9</w:t>
      </w:r>
      <w:r>
        <w:rPr>
          <w:rFonts w:hint="eastAsia"/>
          <w:b/>
          <w:color w:val="auto"/>
          <w:sz w:val="22"/>
          <w:highlight w:val="none"/>
        </w:rPr>
        <w:t>、本项目投标报价采用单价统一折扣率，包含所有人工费、所需肥料、器材费、机械</w:t>
      </w:r>
      <w:r>
        <w:rPr>
          <w:rFonts w:hint="eastAsia"/>
          <w:b/>
          <w:color w:val="auto"/>
          <w:sz w:val="22"/>
          <w:highlight w:val="none"/>
          <w:lang w:val="en-US" w:eastAsia="zh-CN"/>
        </w:rPr>
        <w:t>费</w:t>
      </w:r>
      <w:r>
        <w:rPr>
          <w:rFonts w:hint="eastAsia"/>
          <w:b/>
          <w:color w:val="auto"/>
          <w:sz w:val="22"/>
          <w:highlight w:val="none"/>
          <w:lang w:eastAsia="zh-CN"/>
        </w:rPr>
        <w:t>、</w:t>
      </w:r>
      <w:r>
        <w:rPr>
          <w:rFonts w:hint="eastAsia"/>
          <w:b/>
          <w:color w:val="auto"/>
          <w:sz w:val="22"/>
          <w:highlight w:val="none"/>
        </w:rPr>
        <w:t>随机工具、随机附件、运输费、</w:t>
      </w:r>
      <w:r>
        <w:rPr>
          <w:rFonts w:hint="eastAsia"/>
          <w:b/>
          <w:color w:val="auto"/>
          <w:sz w:val="22"/>
          <w:highlight w:val="none"/>
          <w:lang w:val="en-US" w:eastAsia="zh-CN"/>
        </w:rPr>
        <w:t>存储费、履约</w:t>
      </w:r>
      <w:r>
        <w:rPr>
          <w:rFonts w:hint="eastAsia"/>
          <w:b/>
          <w:color w:val="auto"/>
          <w:sz w:val="22"/>
          <w:highlight w:val="none"/>
        </w:rPr>
        <w:t>验收费</w:t>
      </w:r>
      <w:r>
        <w:rPr>
          <w:rFonts w:hint="eastAsia"/>
          <w:b/>
          <w:bCs/>
          <w:color w:val="auto"/>
          <w:sz w:val="22"/>
          <w:highlight w:val="none"/>
          <w:lang w:val="en-US" w:eastAsia="zh-CN"/>
        </w:rPr>
        <w:t>、</w:t>
      </w:r>
      <w:r>
        <w:rPr>
          <w:rFonts w:ascii="新宋体" w:hAnsi="新宋体" w:eastAsia="新宋体"/>
          <w:b/>
          <w:color w:val="auto"/>
          <w:sz w:val="22"/>
          <w:highlight w:val="none"/>
        </w:rPr>
        <w:t>利润、税费、采购代理服务费等完成本项目所需的一切本身和不可或缺的所有工作开支、政策性文件规定及合同包含的所有风险、责任等各项全部费用</w:t>
      </w:r>
      <w:r>
        <w:rPr>
          <w:b/>
          <w:color w:val="auto"/>
          <w:sz w:val="22"/>
          <w:highlight w:val="none"/>
        </w:rPr>
        <w:t>。</w:t>
      </w:r>
      <w:r>
        <w:rPr>
          <w:rFonts w:hint="eastAsia"/>
          <w:b/>
          <w:color w:val="auto"/>
          <w:sz w:val="22"/>
          <w:highlight w:val="none"/>
        </w:rPr>
        <w:t>供应商在投标报价中应充分考虑所有可能发生的费用，否则采购人将视投标报价中已包括所有费用</w:t>
      </w:r>
      <w:r>
        <w:rPr>
          <w:rFonts w:hint="eastAsia"/>
          <w:b/>
          <w:color w:val="auto"/>
          <w:sz w:val="22"/>
          <w:highlight w:val="none"/>
          <w:lang w:eastAsia="zh-CN"/>
        </w:rPr>
        <w:t>，</w:t>
      </w:r>
      <w:r>
        <w:rPr>
          <w:rFonts w:hint="eastAsia"/>
          <w:b/>
          <w:bCs w:val="0"/>
          <w:color w:val="auto"/>
          <w:sz w:val="22"/>
          <w:szCs w:val="22"/>
          <w:highlight w:val="none"/>
        </w:rPr>
        <w:t>采购人不再另外支付其他费用</w:t>
      </w:r>
      <w:r>
        <w:rPr>
          <w:rFonts w:hint="eastAsia"/>
          <w:b/>
          <w:bCs w:val="0"/>
          <w:color w:val="auto"/>
          <w:sz w:val="22"/>
          <w:highlight w:val="none"/>
        </w:rPr>
        <w:t>。</w:t>
      </w:r>
      <w:r>
        <w:rPr>
          <w:b/>
          <w:bCs w:val="0"/>
          <w:color w:val="auto"/>
          <w:sz w:val="22"/>
          <w:highlight w:val="none"/>
        </w:rPr>
        <w:t>▲</w:t>
      </w:r>
    </w:p>
    <w:p>
      <w:pPr>
        <w:keepNext w:val="0"/>
        <w:keepLines w:val="0"/>
        <w:pageBreakBefore w:val="0"/>
        <w:widowControl/>
        <w:kinsoku/>
        <w:wordWrap/>
        <w:overflowPunct/>
        <w:topLinePunct w:val="0"/>
        <w:bidi w:val="0"/>
        <w:snapToGrid w:val="0"/>
        <w:spacing w:line="360" w:lineRule="auto"/>
        <w:ind w:firstLine="420" w:firstLineChars="190"/>
        <w:jc w:val="left"/>
        <w:rPr>
          <w:rFonts w:hint="eastAsia" w:ascii="宋体"/>
          <w:b/>
          <w:color w:val="auto"/>
          <w:sz w:val="22"/>
          <w:szCs w:val="22"/>
          <w:highlight w:val="none"/>
          <w:u w:val="none"/>
          <w:lang w:val="en-US" w:eastAsia="zh-CN"/>
        </w:rPr>
      </w:pPr>
      <w:r>
        <w:rPr>
          <w:rFonts w:hint="eastAsia" w:ascii="宋体"/>
          <w:b/>
          <w:color w:val="auto"/>
          <w:sz w:val="22"/>
          <w:szCs w:val="22"/>
          <w:highlight w:val="none"/>
          <w:u w:val="none"/>
          <w:lang w:val="en-US" w:eastAsia="zh-CN"/>
        </w:rPr>
        <w:t>10、▲中标供应商需在中标并签订合同后10日内，投标书中承诺的人员、设备、器械、工具等均应配备到位，并投入正常工作使用。否则视为中标供应商违约，采购人有权无条件解除合同，并没收中标供应商的履约保证金，且供应商须承担由此发生的一切损失和费用。</w:t>
      </w:r>
    </w:p>
    <w:p>
      <w:pPr>
        <w:keepNext w:val="0"/>
        <w:keepLines w:val="0"/>
        <w:pageBreakBefore w:val="0"/>
        <w:widowControl/>
        <w:kinsoku/>
        <w:wordWrap/>
        <w:overflowPunct/>
        <w:topLinePunct w:val="0"/>
        <w:bidi w:val="0"/>
        <w:snapToGrid w:val="0"/>
        <w:spacing w:line="360" w:lineRule="auto"/>
        <w:ind w:firstLine="420" w:firstLineChars="190"/>
        <w:jc w:val="left"/>
        <w:rPr>
          <w:rFonts w:hint="eastAsia" w:ascii="宋体"/>
          <w:b/>
          <w:color w:val="auto"/>
          <w:sz w:val="22"/>
          <w:highlight w:val="none"/>
          <w:lang w:val="zh-CN"/>
        </w:rPr>
      </w:pPr>
      <w:r>
        <w:rPr>
          <w:rFonts w:hint="eastAsia" w:ascii="宋体"/>
          <w:b/>
          <w:color w:val="auto"/>
          <w:sz w:val="22"/>
          <w:szCs w:val="22"/>
          <w:highlight w:val="none"/>
          <w:u w:val="none"/>
          <w:lang w:val="en-US" w:eastAsia="zh-CN"/>
        </w:rPr>
        <w:t>11、</w:t>
      </w:r>
      <w:r>
        <w:rPr>
          <w:rFonts w:hint="eastAsia" w:ascii="宋体"/>
          <w:b/>
          <w:color w:val="auto"/>
          <w:sz w:val="22"/>
          <w:highlight w:val="none"/>
          <w:lang w:val="zh-CN"/>
        </w:rPr>
        <w:t>供应商</w:t>
      </w:r>
      <w:r>
        <w:rPr>
          <w:rFonts w:ascii="宋体"/>
          <w:b/>
          <w:color w:val="auto"/>
          <w:sz w:val="22"/>
          <w:highlight w:val="none"/>
          <w:lang w:val="zh-CN"/>
        </w:rPr>
        <w:t>信用信息查询渠道及截止时点、信用信息查询记录和证据留存的具体方式、信用信息的使用规则等</w:t>
      </w:r>
      <w:r>
        <w:rPr>
          <w:rFonts w:hint="eastAsia" w:ascii="宋体"/>
          <w:b/>
          <w:color w:val="auto"/>
          <w:sz w:val="22"/>
          <w:highlight w:val="none"/>
          <w:lang w:val="zh-CN"/>
        </w:rPr>
        <w:t>：</w:t>
      </w:r>
    </w:p>
    <w:p>
      <w:pPr>
        <w:keepNext w:val="0"/>
        <w:keepLines w:val="0"/>
        <w:pageBreakBefore w:val="0"/>
        <w:widowControl/>
        <w:kinsoku/>
        <w:wordWrap/>
        <w:overflowPunct/>
        <w:topLinePunct w:val="0"/>
        <w:bidi w:val="0"/>
        <w:snapToGrid w:val="0"/>
        <w:spacing w:line="360" w:lineRule="auto"/>
        <w:ind w:firstLine="418" w:firstLineChars="190"/>
        <w:jc w:val="left"/>
        <w:rPr>
          <w:rFonts w:ascii="宋体"/>
          <w:color w:val="auto"/>
          <w:sz w:val="22"/>
          <w:highlight w:val="none"/>
          <w:lang w:val="zh-CN"/>
        </w:rPr>
      </w:pPr>
      <w:r>
        <w:rPr>
          <w:rFonts w:ascii="宋体"/>
          <w:color w:val="auto"/>
          <w:sz w:val="22"/>
          <w:highlight w:val="none"/>
          <w:lang w:val="zh-CN"/>
        </w:rPr>
        <w:t>1</w:t>
      </w:r>
      <w:r>
        <w:rPr>
          <w:rFonts w:hint="eastAsia" w:ascii="宋体"/>
          <w:color w:val="auto"/>
          <w:sz w:val="22"/>
          <w:highlight w:val="none"/>
          <w:lang w:val="zh-CN"/>
        </w:rPr>
        <w:t>）磋商供应商</w:t>
      </w:r>
      <w:r>
        <w:rPr>
          <w:rFonts w:ascii="宋体"/>
          <w:color w:val="auto"/>
          <w:sz w:val="22"/>
          <w:highlight w:val="none"/>
          <w:lang w:val="zh-CN"/>
        </w:rPr>
        <w:t>信用信息查询的查询渠道</w:t>
      </w:r>
      <w:r>
        <w:rPr>
          <w:rFonts w:hint="eastAsia" w:ascii="宋体"/>
          <w:color w:val="auto"/>
          <w:sz w:val="22"/>
          <w:highlight w:val="none"/>
          <w:lang w:val="zh-CN"/>
        </w:rPr>
        <w:t>：</w:t>
      </w:r>
      <w:r>
        <w:rPr>
          <w:rFonts w:ascii="宋体"/>
          <w:color w:val="auto"/>
          <w:sz w:val="22"/>
          <w:highlight w:val="none"/>
          <w:lang w:val="zh-CN"/>
        </w:rPr>
        <w:t>“信用中国”(</w:t>
      </w:r>
      <w:r>
        <w:rPr>
          <w:rFonts w:ascii="宋体"/>
          <w:color w:val="auto"/>
          <w:sz w:val="22"/>
          <w:highlight w:val="none"/>
          <w:lang w:val="zh-CN"/>
        </w:rPr>
        <w:fldChar w:fldCharType="begin"/>
      </w:r>
      <w:r>
        <w:rPr>
          <w:rFonts w:ascii="宋体"/>
          <w:color w:val="auto"/>
          <w:sz w:val="22"/>
          <w:highlight w:val="none"/>
          <w:lang w:val="zh-CN"/>
        </w:rPr>
        <w:instrText xml:space="preserve"> HYPERLINK "http://www.creditchina.gov.cn" </w:instrText>
      </w:r>
      <w:r>
        <w:rPr>
          <w:rFonts w:ascii="宋体"/>
          <w:color w:val="auto"/>
          <w:sz w:val="22"/>
          <w:highlight w:val="none"/>
          <w:lang w:val="zh-CN"/>
        </w:rPr>
        <w:fldChar w:fldCharType="separate"/>
      </w:r>
      <w:r>
        <w:rPr>
          <w:rFonts w:ascii="宋体"/>
          <w:color w:val="auto"/>
          <w:sz w:val="22"/>
          <w:highlight w:val="none"/>
          <w:lang w:val="zh-CN"/>
        </w:rPr>
        <w:t>www.creditchina.gov.cn</w:t>
      </w:r>
      <w:r>
        <w:rPr>
          <w:rFonts w:ascii="宋体"/>
          <w:color w:val="auto"/>
          <w:sz w:val="22"/>
          <w:highlight w:val="none"/>
          <w:lang w:val="zh-CN"/>
        </w:rPr>
        <w:fldChar w:fldCharType="end"/>
      </w:r>
      <w:r>
        <w:rPr>
          <w:rFonts w:ascii="宋体"/>
          <w:color w:val="auto"/>
          <w:sz w:val="22"/>
          <w:highlight w:val="none"/>
          <w:lang w:val="zh-CN"/>
        </w:rPr>
        <w:t>)</w:t>
      </w:r>
      <w:r>
        <w:rPr>
          <w:rFonts w:hint="eastAsia" w:ascii="宋体"/>
          <w:color w:val="auto"/>
          <w:sz w:val="22"/>
          <w:highlight w:val="none"/>
          <w:lang w:val="zh-CN"/>
        </w:rPr>
        <w:t>；“中国政府采购网”（</w:t>
      </w:r>
      <w:r>
        <w:rPr>
          <w:rFonts w:ascii="宋体"/>
          <w:color w:val="auto"/>
          <w:sz w:val="22"/>
          <w:highlight w:val="none"/>
          <w:lang w:val="zh-CN"/>
        </w:rPr>
        <w:t>http://www.ccgp.gov.cn/</w:t>
      </w:r>
      <w:r>
        <w:rPr>
          <w:rFonts w:hint="eastAsia" w:ascii="宋体"/>
          <w:color w:val="auto"/>
          <w:sz w:val="22"/>
          <w:highlight w:val="none"/>
          <w:lang w:val="zh-CN"/>
        </w:rPr>
        <w:t>）；</w:t>
      </w:r>
    </w:p>
    <w:p>
      <w:pPr>
        <w:keepNext w:val="0"/>
        <w:keepLines w:val="0"/>
        <w:pageBreakBefore w:val="0"/>
        <w:widowControl/>
        <w:kinsoku/>
        <w:wordWrap/>
        <w:overflowPunct/>
        <w:topLinePunct w:val="0"/>
        <w:bidi w:val="0"/>
        <w:snapToGrid w:val="0"/>
        <w:spacing w:line="360" w:lineRule="auto"/>
        <w:ind w:firstLine="418" w:firstLineChars="190"/>
        <w:jc w:val="left"/>
        <w:rPr>
          <w:rFonts w:ascii="宋体"/>
          <w:color w:val="auto"/>
          <w:sz w:val="22"/>
          <w:highlight w:val="none"/>
          <w:lang w:val="zh-CN"/>
        </w:rPr>
      </w:pPr>
      <w:r>
        <w:rPr>
          <w:rFonts w:hint="eastAsia" w:ascii="宋体"/>
          <w:color w:val="auto"/>
          <w:sz w:val="22"/>
          <w:highlight w:val="none"/>
          <w:lang w:val="zh-CN"/>
        </w:rPr>
        <w:t>2）磋商供应商信用信息查询</w:t>
      </w:r>
      <w:r>
        <w:rPr>
          <w:rFonts w:ascii="宋体"/>
          <w:color w:val="auto"/>
          <w:sz w:val="22"/>
          <w:highlight w:val="none"/>
          <w:lang w:val="zh-CN"/>
        </w:rPr>
        <w:t>截止时点</w:t>
      </w:r>
      <w:r>
        <w:rPr>
          <w:rFonts w:hint="eastAsia" w:ascii="宋体"/>
          <w:color w:val="auto"/>
          <w:sz w:val="22"/>
          <w:highlight w:val="none"/>
          <w:lang w:val="zh-CN"/>
        </w:rPr>
        <w:t>：本项目投标截止时间。</w:t>
      </w:r>
    </w:p>
    <w:p>
      <w:pPr>
        <w:keepNext w:val="0"/>
        <w:keepLines w:val="0"/>
        <w:pageBreakBefore w:val="0"/>
        <w:widowControl/>
        <w:kinsoku/>
        <w:wordWrap/>
        <w:overflowPunct/>
        <w:topLinePunct w:val="0"/>
        <w:bidi w:val="0"/>
        <w:snapToGrid w:val="0"/>
        <w:spacing w:line="360" w:lineRule="auto"/>
        <w:ind w:firstLine="418" w:firstLineChars="190"/>
        <w:jc w:val="left"/>
        <w:rPr>
          <w:rFonts w:ascii="宋体"/>
          <w:color w:val="auto"/>
          <w:sz w:val="22"/>
          <w:highlight w:val="none"/>
          <w:lang w:val="zh-CN"/>
        </w:rPr>
      </w:pPr>
      <w:r>
        <w:rPr>
          <w:rFonts w:hint="eastAsia" w:ascii="宋体"/>
          <w:color w:val="auto"/>
          <w:sz w:val="22"/>
          <w:highlight w:val="none"/>
          <w:lang w:val="zh-CN"/>
        </w:rPr>
        <w:t>3）磋商供应商</w:t>
      </w:r>
      <w:r>
        <w:rPr>
          <w:rFonts w:ascii="宋体"/>
          <w:color w:val="auto"/>
          <w:sz w:val="22"/>
          <w:highlight w:val="none"/>
          <w:lang w:val="zh-CN"/>
        </w:rPr>
        <w:t>信用信息查询记录和证据留存的具体方式</w:t>
      </w:r>
      <w:r>
        <w:rPr>
          <w:rFonts w:hint="eastAsia" w:ascii="宋体"/>
          <w:color w:val="auto"/>
          <w:sz w:val="22"/>
          <w:highlight w:val="none"/>
          <w:lang w:val="zh-CN"/>
        </w:rPr>
        <w:t>：网页截图打印；</w:t>
      </w:r>
    </w:p>
    <w:p>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color w:val="auto"/>
          <w:sz w:val="22"/>
          <w:highlight w:val="none"/>
        </w:rPr>
      </w:pPr>
      <w:r>
        <w:rPr>
          <w:rFonts w:hint="eastAsia" w:ascii="宋体"/>
          <w:color w:val="auto"/>
          <w:sz w:val="22"/>
          <w:highlight w:val="none"/>
          <w:lang w:val="zh-CN"/>
        </w:rPr>
        <w:t>4）</w:t>
      </w:r>
      <w:r>
        <w:rPr>
          <w:rFonts w:ascii="宋体"/>
          <w:color w:val="auto"/>
          <w:sz w:val="22"/>
          <w:highlight w:val="none"/>
          <w:lang w:val="zh-CN"/>
        </w:rPr>
        <w:t>信用信息的使用规则</w:t>
      </w:r>
      <w:r>
        <w:rPr>
          <w:rFonts w:hint="eastAsia" w:ascii="宋体"/>
          <w:color w:val="auto"/>
          <w:sz w:val="22"/>
          <w:highlight w:val="none"/>
          <w:lang w:val="zh-CN"/>
        </w:rPr>
        <w:t>：</w:t>
      </w:r>
      <w:r>
        <w:rPr>
          <w:color w:val="auto"/>
          <w:sz w:val="22"/>
          <w:highlight w:val="none"/>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keepNext w:val="0"/>
        <w:keepLines w:val="0"/>
        <w:pageBreakBefore w:val="0"/>
        <w:widowControl/>
        <w:kinsoku/>
        <w:wordWrap/>
        <w:overflowPunct/>
        <w:topLinePunct w:val="0"/>
        <w:autoSpaceDE w:val="0"/>
        <w:autoSpaceDN w:val="0"/>
        <w:bidi w:val="0"/>
        <w:snapToGrid w:val="0"/>
        <w:spacing w:line="360" w:lineRule="auto"/>
        <w:ind w:firstLine="433"/>
        <w:jc w:val="left"/>
        <w:rPr>
          <w:b/>
          <w:color w:val="auto"/>
          <w:sz w:val="22"/>
          <w:highlight w:val="none"/>
          <w:u w:val="single"/>
        </w:rPr>
      </w:pPr>
      <w:r>
        <w:rPr>
          <w:rFonts w:hint="eastAsia"/>
          <w:b/>
          <w:color w:val="auto"/>
          <w:sz w:val="22"/>
          <w:highlight w:val="none"/>
          <w:u w:val="single"/>
          <w:lang w:val="en-US" w:eastAsia="zh-CN"/>
        </w:rPr>
        <w:t>12</w:t>
      </w:r>
      <w:r>
        <w:rPr>
          <w:rFonts w:hint="eastAsia"/>
          <w:b/>
          <w:color w:val="auto"/>
          <w:sz w:val="22"/>
          <w:highlight w:val="none"/>
          <w:u w:val="single"/>
        </w:rPr>
        <w:t>、</w:t>
      </w:r>
      <w:r>
        <w:rPr>
          <w:b/>
          <w:color w:val="auto"/>
          <w:sz w:val="22"/>
          <w:highlight w:val="none"/>
          <w:u w:val="single"/>
        </w:rPr>
        <w:t>供应商进行电子</w:t>
      </w:r>
      <w:r>
        <w:rPr>
          <w:rFonts w:hint="eastAsia"/>
          <w:b/>
          <w:color w:val="auto"/>
          <w:sz w:val="22"/>
          <w:highlight w:val="none"/>
          <w:u w:val="single"/>
        </w:rPr>
        <w:t>响应</w:t>
      </w:r>
      <w:r>
        <w:rPr>
          <w:b/>
          <w:color w:val="auto"/>
          <w:sz w:val="22"/>
          <w:highlight w:val="none"/>
          <w:u w:val="single"/>
        </w:rPr>
        <w:t>应安装客户端软件，并按照采购文件和电子交易平台的要求编制并加密</w:t>
      </w:r>
      <w:r>
        <w:rPr>
          <w:rFonts w:hint="eastAsia"/>
          <w:b/>
          <w:color w:val="auto"/>
          <w:sz w:val="22"/>
          <w:highlight w:val="none"/>
          <w:u w:val="single"/>
          <w:lang w:eastAsia="zh-CN"/>
        </w:rPr>
        <w:t>响应文件</w:t>
      </w:r>
      <w:r>
        <w:rPr>
          <w:b/>
          <w:color w:val="auto"/>
          <w:sz w:val="22"/>
          <w:highlight w:val="none"/>
          <w:u w:val="single"/>
        </w:rPr>
        <w:t>。供应商未按规定加密的</w:t>
      </w:r>
      <w:r>
        <w:rPr>
          <w:rFonts w:hint="eastAsia"/>
          <w:b/>
          <w:color w:val="auto"/>
          <w:sz w:val="22"/>
          <w:highlight w:val="none"/>
          <w:u w:val="single"/>
          <w:lang w:eastAsia="zh-CN"/>
        </w:rPr>
        <w:t>响应文件</w:t>
      </w:r>
      <w:r>
        <w:rPr>
          <w:b/>
          <w:color w:val="auto"/>
          <w:sz w:val="22"/>
          <w:highlight w:val="none"/>
          <w:u w:val="single"/>
        </w:rPr>
        <w:t>，电子交易平台拒收并提示。</w:t>
      </w:r>
    </w:p>
    <w:p>
      <w:pPr>
        <w:pStyle w:val="20"/>
        <w:keepNext w:val="0"/>
        <w:keepLines w:val="0"/>
        <w:pageBreakBefore w:val="0"/>
        <w:kinsoku/>
        <w:wordWrap/>
        <w:overflowPunct/>
        <w:topLinePunct w:val="0"/>
        <w:bidi w:val="0"/>
        <w:spacing w:after="0" w:line="360" w:lineRule="auto"/>
        <w:ind w:firstLine="442" w:firstLineChars="200"/>
        <w:rPr>
          <w:rFonts w:hint="default" w:ascii="Times New Roman" w:hAnsi="Times New Roman"/>
          <w:b/>
          <w:bCs w:val="0"/>
          <w:color w:val="auto"/>
          <w:kern w:val="2"/>
          <w:sz w:val="22"/>
          <w:szCs w:val="24"/>
          <w:highlight w:val="none"/>
          <w:u w:val="single"/>
          <w:lang w:val="en-US" w:eastAsia="zh-CN" w:bidi="ar-SA"/>
        </w:rPr>
      </w:pPr>
      <w:r>
        <w:rPr>
          <w:rFonts w:hint="eastAsia" w:ascii="Times New Roman" w:hAnsi="Times New Roman"/>
          <w:b/>
          <w:bCs w:val="0"/>
          <w:color w:val="auto"/>
          <w:kern w:val="2"/>
          <w:sz w:val="22"/>
          <w:szCs w:val="24"/>
          <w:highlight w:val="none"/>
          <w:u w:val="single"/>
          <w:lang w:val="en-US" w:eastAsia="zh-CN" w:bidi="ar-SA"/>
        </w:rPr>
        <w:t>1</w:t>
      </w:r>
      <w:r>
        <w:rPr>
          <w:rFonts w:hint="eastAsia"/>
          <w:b/>
          <w:bCs w:val="0"/>
          <w:color w:val="auto"/>
          <w:kern w:val="2"/>
          <w:sz w:val="22"/>
          <w:szCs w:val="24"/>
          <w:highlight w:val="none"/>
          <w:u w:val="single"/>
          <w:lang w:val="en-US" w:eastAsia="zh-CN" w:bidi="ar-SA"/>
        </w:rPr>
        <w:t>3</w:t>
      </w:r>
      <w:r>
        <w:rPr>
          <w:rFonts w:hint="eastAsia" w:ascii="Times New Roman" w:hAnsi="Times New Roman"/>
          <w:b/>
          <w:bCs w:val="0"/>
          <w:color w:val="auto"/>
          <w:kern w:val="2"/>
          <w:sz w:val="22"/>
          <w:szCs w:val="24"/>
          <w:highlight w:val="none"/>
          <w:u w:val="single"/>
          <w:lang w:val="en-US" w:eastAsia="zh-CN" w:bidi="ar-SA"/>
        </w:rPr>
        <w:t>、本项目采用在线投标响应方式，执行《浙江省财政厅关于印发浙江省政府采购项目电子交易管理暂行办法的通知》（浙财采监〔2019〕10 号）等相关规定。</w:t>
      </w:r>
    </w:p>
    <w:p>
      <w:pPr>
        <w:keepNext w:val="0"/>
        <w:keepLines w:val="0"/>
        <w:pageBreakBefore w:val="0"/>
        <w:widowControl/>
        <w:kinsoku/>
        <w:wordWrap/>
        <w:overflowPunct/>
        <w:topLinePunct w:val="0"/>
        <w:autoSpaceDE w:val="0"/>
        <w:autoSpaceDN w:val="0"/>
        <w:bidi w:val="0"/>
        <w:snapToGrid w:val="0"/>
        <w:spacing w:line="360" w:lineRule="auto"/>
        <w:ind w:firstLine="433"/>
        <w:jc w:val="left"/>
        <w:rPr>
          <w:b/>
          <w:color w:val="auto"/>
          <w:sz w:val="22"/>
          <w:highlight w:val="none"/>
          <w:u w:val="single"/>
        </w:rPr>
      </w:pPr>
      <w:r>
        <w:rPr>
          <w:rFonts w:hint="eastAsia"/>
          <w:b/>
          <w:color w:val="auto"/>
          <w:sz w:val="22"/>
          <w:highlight w:val="none"/>
          <w:u w:val="single"/>
          <w:lang w:val="en-US" w:eastAsia="zh-CN"/>
        </w:rPr>
        <w:t>14</w:t>
      </w:r>
      <w:r>
        <w:rPr>
          <w:b/>
          <w:color w:val="auto"/>
          <w:sz w:val="22"/>
          <w:highlight w:val="none"/>
          <w:u w:val="single"/>
        </w:rPr>
        <w:t>、为保证供应商顺利投标，供应商须在投标截止前自行登录浙江省政府采购网站（http://</w:t>
      </w:r>
      <w:r>
        <w:rPr>
          <w:rFonts w:hint="eastAsia"/>
          <w:b/>
          <w:color w:val="auto"/>
          <w:sz w:val="22"/>
          <w:highlight w:val="none"/>
          <w:u w:val="single"/>
          <w:lang w:eastAsia="zh-CN"/>
        </w:rPr>
        <w:t>zfcg.czt.zj.gov.cn/</w:t>
      </w:r>
      <w:r>
        <w:rPr>
          <w:b/>
          <w:color w:val="auto"/>
          <w:sz w:val="22"/>
          <w:highlight w:val="none"/>
          <w:u w:val="single"/>
        </w:rPr>
        <w:t>），查看是否有补充更正公告文件。如供应商未按补充更正公告文件进行投标的，责任自负。</w:t>
      </w:r>
    </w:p>
    <w:p>
      <w:pPr>
        <w:keepNext w:val="0"/>
        <w:keepLines w:val="0"/>
        <w:pageBreakBefore w:val="0"/>
        <w:kinsoku/>
        <w:wordWrap/>
        <w:overflowPunct/>
        <w:topLinePunct w:val="0"/>
        <w:autoSpaceDE w:val="0"/>
        <w:autoSpaceDN w:val="0"/>
        <w:bidi w:val="0"/>
        <w:adjustRightInd w:val="0"/>
        <w:snapToGrid w:val="0"/>
        <w:spacing w:line="360" w:lineRule="auto"/>
        <w:ind w:firstLine="422" w:firstLineChars="191"/>
        <w:textAlignment w:val="bottom"/>
        <w:rPr>
          <w:rFonts w:hint="eastAsia" w:cs="黑体"/>
          <w:b/>
          <w:color w:val="auto"/>
          <w:sz w:val="22"/>
          <w:szCs w:val="22"/>
          <w:highlight w:val="none"/>
        </w:rPr>
      </w:pPr>
      <w:r>
        <w:rPr>
          <w:rFonts w:hint="eastAsia"/>
          <w:b/>
          <w:color w:val="auto"/>
          <w:sz w:val="22"/>
          <w:highlight w:val="none"/>
          <w:u w:val="none"/>
          <w:lang w:val="en-US" w:eastAsia="zh-CN"/>
        </w:rPr>
        <w:t>15、</w:t>
      </w:r>
      <w:r>
        <w:rPr>
          <w:rFonts w:cs="黑体"/>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2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二、供应商资格要求</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按采购公告要求</w:t>
      </w:r>
    </w:p>
    <w:p>
      <w:pPr>
        <w:autoSpaceDE w:val="0"/>
        <w:autoSpaceDN w:val="0"/>
        <w:adjustRightInd w:val="0"/>
        <w:snapToGrid w:val="0"/>
        <w:spacing w:line="42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三、采购文件</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1、采购文件</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1.1采购文件约束力</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供应商一旦获取了本采购文件并参加磋商报价，即被认为接受了本采购文件中所有条款和规定。</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1.2采购文件的组成</w:t>
      </w:r>
      <w:r>
        <w:rPr>
          <w:rFonts w:hint="eastAsia"/>
          <w:b/>
          <w:color w:val="auto"/>
          <w:sz w:val="22"/>
          <w:szCs w:val="22"/>
          <w:highlight w:val="none"/>
        </w:rPr>
        <w:t xml:space="preserve"> </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采购文件由采购文件总目录所列内容及补充资料等组成。</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2、采购文件的澄清</w:t>
      </w:r>
    </w:p>
    <w:p>
      <w:pPr>
        <w:adjustRightInd w:val="0"/>
        <w:spacing w:line="420" w:lineRule="exac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3、采购文件的修改</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3.1在报价截止时间前，采购人有权修改采购文件，并以更正公告形式通知供应商。补充文件作为采购文件的补充和组成部分，对所有供应商均有约束力。</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3.2为使供应商有足够的时间按采购文件要求修正磋商响应文件，采购人可酌情推迟递交磋商响应文件截止时间和磋商开始时间，并将此变更通知供应商。</w:t>
      </w:r>
    </w:p>
    <w:p>
      <w:pPr>
        <w:autoSpaceDE w:val="0"/>
        <w:autoSpaceDN w:val="0"/>
        <w:adjustRightInd w:val="0"/>
        <w:snapToGrid w:val="0"/>
        <w:spacing w:line="42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四、磋商响应文件</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1、磋商响应文件</w:t>
      </w:r>
    </w:p>
    <w:p>
      <w:pPr>
        <w:autoSpaceDE w:val="0"/>
        <w:autoSpaceDN w:val="0"/>
        <w:adjustRightInd w:val="0"/>
        <w:snapToGrid w:val="0"/>
        <w:spacing w:line="42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pPr>
        <w:autoSpaceDE w:val="0"/>
        <w:autoSpaceDN w:val="0"/>
        <w:adjustRightInd w:val="0"/>
        <w:snapToGrid w:val="0"/>
        <w:spacing w:line="42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1.2</w:t>
      </w:r>
      <w:r>
        <w:rPr>
          <w:rFonts w:hint="eastAsia" w:ascii="宋体" w:hAnsi="宋体" w:cs="宋体"/>
          <w:color w:val="auto"/>
          <w:sz w:val="22"/>
          <w:szCs w:val="22"/>
          <w:highlight w:val="none"/>
        </w:rPr>
        <w:t>供应商必须按采购文件的要求提供相关服务，并保证磋商响应文件的正确性和真实性。磋商响应文件全部内容应保持一致，否则可能导致不利于其报价的评定甚至被拒绝。技术和商务如有偏离均应填写偏离表。</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1.3供应商应仔细阅读采购文件中的所有内容，按照采购文件要求，详细编制磋商响应文件，所有文件资料必须是针对本次采购。不按采购文件的要求提供的磋商响应文件可能导致被拒绝。</w:t>
      </w:r>
    </w:p>
    <w:p>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bCs/>
          <w:color w:val="auto"/>
          <w:sz w:val="22"/>
          <w:highlight w:val="none"/>
          <w:u w:val="single"/>
        </w:rPr>
        <w:t>本项目通过“政府采购云平台（www.zcygov.cn）”实行在线投标响应（电子投标）。供应商应通过“政采云电子交易客户端”，并按照本采购文件和“政府采购云平台”的要求编制并加密磋商响应文件。</w:t>
      </w:r>
    </w:p>
    <w:p>
      <w:pPr>
        <w:widowControl/>
        <w:autoSpaceDE w:val="0"/>
        <w:autoSpaceDN w:val="0"/>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2.1 响应文件的组成</w:t>
      </w:r>
      <w:r>
        <w:rPr>
          <w:rFonts w:hint="eastAsia"/>
          <w:b/>
          <w:color w:val="auto"/>
          <w:sz w:val="22"/>
          <w:szCs w:val="22"/>
          <w:highlight w:val="none"/>
        </w:rPr>
        <w:t xml:space="preserve"> </w:t>
      </w:r>
    </w:p>
    <w:p>
      <w:pPr>
        <w:widowControl/>
        <w:autoSpaceDE w:val="0"/>
        <w:autoSpaceDN w:val="0"/>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2.1.1完整的响应文件由《资格文件》、《商务技术文件》和《报价文件》三个部分组成（以下统称“响应文件”）。</w:t>
      </w:r>
      <w:r>
        <w:rPr>
          <w:rFonts w:hint="eastAsia"/>
          <w:b/>
          <w:color w:val="auto"/>
          <w:sz w:val="22"/>
          <w:szCs w:val="22"/>
          <w:highlight w:val="none"/>
          <w:u w:val="single"/>
        </w:rPr>
        <w:t>资格文件、商务技术文件不得含报价，否则投标将被拒绝。</w:t>
      </w:r>
    </w:p>
    <w:p>
      <w:pPr>
        <w:widowControl/>
        <w:autoSpaceDE w:val="0"/>
        <w:autoSpaceDN w:val="0"/>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2.1.2响应文件内容组成表（磋商供应商应按以下清单提供相关资料，否则一切风险和责任由磋商供应商自行承担）：</w:t>
      </w:r>
    </w:p>
    <w:tbl>
      <w:tblPr>
        <w:tblStyle w:val="39"/>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646" w:type="dxa"/>
            <w:gridSpan w:val="2"/>
            <w:tcBorders>
              <w:bottom w:val="single" w:color="auto" w:sz="6" w:space="0"/>
            </w:tcBorders>
            <w:shd w:val="clear" w:color="auto" w:fill="DAEEF3"/>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710" w:type="dxa"/>
            <w:tcBorders>
              <w:bottom w:val="single" w:color="auto" w:sz="6" w:space="0"/>
            </w:tcBorders>
            <w:shd w:val="clear" w:color="auto" w:fill="DAEEF3"/>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投标</w:t>
            </w:r>
          </w:p>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noWrap w:val="0"/>
            <w:vAlign w:val="center"/>
          </w:tcPr>
          <w:p>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rPr>
              <w:t>1</w:t>
            </w:r>
          </w:p>
        </w:tc>
        <w:tc>
          <w:tcPr>
            <w:tcW w:w="8635" w:type="dxa"/>
            <w:noWrap w:val="0"/>
            <w:vAlign w:val="center"/>
          </w:tcPr>
          <w:p>
            <w:pPr>
              <w:spacing w:line="276" w:lineRule="auto"/>
              <w:jc w:val="left"/>
              <w:rPr>
                <w:rFonts w:ascii="宋体" w:hAnsi="宋体"/>
                <w:color w:val="auto"/>
                <w:sz w:val="22"/>
                <w:szCs w:val="22"/>
                <w:highlight w:val="none"/>
              </w:rPr>
            </w:pPr>
            <w:r>
              <w:rPr>
                <w:rFonts w:hint="eastAsia"/>
                <w:b/>
                <w:color w:val="auto"/>
                <w:sz w:val="22"/>
                <w:szCs w:val="22"/>
                <w:highlight w:val="none"/>
                <w:lang w:val="en-US" w:eastAsia="zh-CN"/>
              </w:rPr>
              <w:t>资格审查承诺函</w:t>
            </w:r>
            <w:r>
              <w:rPr>
                <w:rFonts w:hint="eastAsia"/>
                <w:b/>
                <w:color w:val="auto"/>
                <w:sz w:val="22"/>
                <w:szCs w:val="22"/>
                <w:highlight w:val="none"/>
              </w:rPr>
              <w:t>，格式见附件</w:t>
            </w:r>
          </w:p>
        </w:tc>
        <w:tc>
          <w:tcPr>
            <w:tcW w:w="721" w:type="dxa"/>
            <w:gridSpan w:val="2"/>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rPr>
              <w:t>2</w:t>
            </w:r>
          </w:p>
        </w:tc>
        <w:tc>
          <w:tcPr>
            <w:tcW w:w="8635" w:type="dxa"/>
            <w:noWrap w:val="0"/>
            <w:vAlign w:val="center"/>
          </w:tcPr>
          <w:p>
            <w:pPr>
              <w:spacing w:line="276" w:lineRule="auto"/>
              <w:jc w:val="left"/>
              <w:rPr>
                <w:rFonts w:hint="eastAsia" w:ascii="宋体" w:hAnsi="宋体" w:cs="宋体"/>
                <w:color w:val="auto"/>
                <w:sz w:val="22"/>
                <w:szCs w:val="22"/>
                <w:highlight w:val="none"/>
              </w:rPr>
            </w:pPr>
            <w:r>
              <w:rPr>
                <w:rFonts w:hint="eastAsia" w:ascii="宋体" w:hAnsi="宋体" w:cs="宋体"/>
                <w:b/>
                <w:color w:val="auto"/>
                <w:sz w:val="22"/>
                <w:szCs w:val="22"/>
                <w:highlight w:val="none"/>
              </w:rPr>
              <w:t>具有独立承担民事责任能力的证明材料：</w:t>
            </w:r>
            <w:r>
              <w:rPr>
                <w:rFonts w:hint="eastAsia" w:ascii="宋体" w:hAnsi="宋体" w:cs="宋体"/>
                <w:b/>
                <w:color w:val="auto"/>
                <w:sz w:val="22"/>
                <w:szCs w:val="22"/>
                <w:highlight w:val="none"/>
                <w:u w:val="single"/>
              </w:rPr>
              <w:t>企业法人营业执照</w:t>
            </w:r>
            <w:r>
              <w:rPr>
                <w:rFonts w:hint="eastAsia" w:ascii="宋体" w:hAnsi="宋体"/>
                <w:b/>
                <w:bCs/>
                <w:color w:val="auto"/>
                <w:sz w:val="22"/>
                <w:szCs w:val="22"/>
                <w:highlight w:val="none"/>
              </w:rPr>
              <w:t>（</w:t>
            </w:r>
            <w:r>
              <w:rPr>
                <w:rFonts w:hint="eastAsia"/>
                <w:b/>
                <w:bCs/>
                <w:color w:val="auto"/>
                <w:sz w:val="22"/>
                <w:szCs w:val="22"/>
                <w:highlight w:val="none"/>
                <w:lang w:bidi="ar"/>
              </w:rPr>
              <w:t>若为联合体，联合体各成员均需提供）</w:t>
            </w:r>
            <w:r>
              <w:rPr>
                <w:rFonts w:hint="eastAsia" w:ascii="宋体" w:hAnsi="宋体" w:cs="宋体"/>
                <w:color w:val="auto"/>
                <w:sz w:val="22"/>
                <w:szCs w:val="22"/>
                <w:highlight w:val="none"/>
              </w:rPr>
              <w:t>（提供复制件加盖磋商供应商公章）或供应商为依法允许经营的事业单位的，应提交事业单位法人证书（提供复制件加盖磋商供应商公章）</w:t>
            </w:r>
          </w:p>
          <w:p>
            <w:pPr>
              <w:spacing w:line="276" w:lineRule="auto"/>
              <w:jc w:val="left"/>
              <w:rPr>
                <w:rFonts w:ascii="宋体" w:hAnsi="宋体"/>
                <w:color w:val="auto"/>
                <w:sz w:val="22"/>
                <w:szCs w:val="22"/>
                <w:highlight w:val="none"/>
              </w:rPr>
            </w:pPr>
            <w:r>
              <w:rPr>
                <w:rFonts w:hint="eastAsia" w:ascii="宋体" w:hAnsi="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noWrap w:val="0"/>
            <w:vAlign w:val="center"/>
          </w:tcPr>
          <w:p>
            <w:pPr>
              <w:spacing w:line="276" w:lineRule="auto"/>
              <w:jc w:val="center"/>
              <w:rPr>
                <w:rFonts w:ascii="宋体" w:hAnsi="宋体" w:cs="Arial"/>
                <w:color w:val="auto"/>
                <w:sz w:val="22"/>
                <w:szCs w:val="22"/>
                <w:highlight w:val="none"/>
              </w:rPr>
            </w:pPr>
            <w:r>
              <w:rPr>
                <w:rFonts w:hint="eastAsia" w:ascii="宋体" w:hAnsi="宋体" w:cs="宋体"/>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p>
        </w:tc>
        <w:tc>
          <w:tcPr>
            <w:tcW w:w="8635" w:type="dxa"/>
            <w:noWrap w:val="0"/>
            <w:vAlign w:val="top"/>
          </w:tcPr>
          <w:p>
            <w:pPr>
              <w:autoSpaceDE w:val="0"/>
              <w:autoSpaceDN w:val="0"/>
              <w:adjustRightInd w:val="0"/>
              <w:snapToGrid w:val="0"/>
              <w:spacing w:line="240" w:lineRule="atLeast"/>
              <w:jc w:val="left"/>
              <w:rPr>
                <w:rFonts w:hint="eastAsia" w:ascii="宋体" w:hAnsi="宋体" w:cs="宋体"/>
                <w:b/>
                <w:color w:val="auto"/>
                <w:sz w:val="22"/>
                <w:szCs w:val="22"/>
                <w:highlight w:val="none"/>
              </w:rPr>
            </w:pPr>
            <w:r>
              <w:rPr>
                <w:rFonts w:hint="eastAsia" w:ascii="宋体" w:hAnsi="宋体" w:cs="Arial"/>
                <w:b/>
                <w:color w:val="auto"/>
                <w:sz w:val="22"/>
                <w:szCs w:val="22"/>
                <w:highlight w:val="none"/>
              </w:rPr>
              <w:t>供应商法定代表人授权书或法定代表人身份证明（如为非法定代表人即授权代表参加磋商时只须提供法定代表人授权书，格式见附件；如为法定代表人参与的只须提供法定代表人身份证明，格式见附件）；</w:t>
            </w:r>
          </w:p>
        </w:tc>
        <w:tc>
          <w:tcPr>
            <w:tcW w:w="721" w:type="dxa"/>
            <w:gridSpan w:val="2"/>
            <w:noWrap w:val="0"/>
            <w:vAlign w:val="top"/>
          </w:tcPr>
          <w:p>
            <w:pPr>
              <w:spacing w:line="276"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8635" w:type="dxa"/>
            <w:noWrap w:val="0"/>
            <w:vAlign w:val="top"/>
          </w:tcPr>
          <w:p>
            <w:pPr>
              <w:autoSpaceDE w:val="0"/>
              <w:autoSpaceDN w:val="0"/>
              <w:adjustRightInd w:val="0"/>
              <w:snapToGrid w:val="0"/>
              <w:spacing w:line="240" w:lineRule="atLeast"/>
              <w:jc w:val="left"/>
              <w:rPr>
                <w:rFonts w:hint="eastAsia" w:ascii="宋体" w:hAnsi="宋体" w:cs="Arial"/>
                <w:b/>
                <w:color w:val="auto"/>
                <w:sz w:val="22"/>
                <w:szCs w:val="22"/>
                <w:highlight w:val="none"/>
              </w:rPr>
            </w:pPr>
            <w:r>
              <w:rPr>
                <w:rFonts w:hint="eastAsia" w:ascii="宋体" w:hAnsi="宋体" w:eastAsia="宋体" w:cs="宋体"/>
                <w:b w:val="0"/>
                <w:bCs/>
                <w:color w:val="auto"/>
                <w:sz w:val="22"/>
                <w:szCs w:val="22"/>
                <w:highlight w:val="none"/>
              </w:rPr>
              <w:t>本项目整体专门面向小微企业采购，投标供应商应为小微企业。小微企业是指满足《政府采购促进中小企业发展管理办法》（财库〔2020〕46号）第二条规定的企业。监狱企业、残疾人福利性单位视同小型、微型企业。</w:t>
            </w:r>
          </w:p>
          <w:p>
            <w:pPr>
              <w:autoSpaceDE w:val="0"/>
              <w:autoSpaceDN w:val="0"/>
              <w:adjustRightInd w:val="0"/>
              <w:snapToGrid w:val="0"/>
              <w:spacing w:line="240" w:lineRule="atLeast"/>
              <w:jc w:val="left"/>
              <w:rPr>
                <w:rFonts w:hint="eastAsia" w:ascii="宋体" w:hAnsi="宋体" w:cs="Arial"/>
                <w:b/>
                <w:color w:val="auto"/>
                <w:sz w:val="22"/>
                <w:szCs w:val="22"/>
                <w:highlight w:val="none"/>
              </w:rPr>
            </w:pPr>
            <w:r>
              <w:rPr>
                <w:rFonts w:hint="eastAsia" w:ascii="宋体" w:hAnsi="宋体" w:eastAsia="宋体" w:cs="宋体"/>
                <w:b/>
                <w:color w:val="auto"/>
                <w:sz w:val="22"/>
                <w:szCs w:val="22"/>
                <w:highlight w:val="none"/>
                <w:lang w:val="en-US" w:eastAsia="zh-CN"/>
              </w:rPr>
              <w:t>小微企业证明资料：</w:t>
            </w:r>
            <w:r>
              <w:rPr>
                <w:rFonts w:hint="eastAsia" w:ascii="宋体" w:hAnsi="宋体" w:cs="Arial"/>
                <w:b/>
                <w:color w:val="auto"/>
                <w:sz w:val="22"/>
                <w:szCs w:val="22"/>
                <w:highlight w:val="none"/>
              </w:rPr>
              <w:t>供应商须提供中小企业声明函或残疾人福利性单位声明函或省级以上监狱管理局、戒毒管理局（含新疆生产建设兵团）提供的属于监狱企业的证明文件。（格式见附件）</w:t>
            </w:r>
          </w:p>
        </w:tc>
        <w:tc>
          <w:tcPr>
            <w:tcW w:w="721" w:type="dxa"/>
            <w:gridSpan w:val="2"/>
            <w:noWrap w:val="0"/>
            <w:vAlign w:val="top"/>
          </w:tcPr>
          <w:p>
            <w:pPr>
              <w:spacing w:line="276"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noWrap w:val="0"/>
            <w:vAlign w:val="center"/>
          </w:tcPr>
          <w:p>
            <w:pPr>
              <w:spacing w:line="276" w:lineRule="auto"/>
              <w:jc w:val="left"/>
              <w:rPr>
                <w:rFonts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noWrap w:val="0"/>
            <w:vAlign w:val="center"/>
          </w:tcPr>
          <w:p>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tcBorders>
            <w:noWrap w:val="0"/>
            <w:vAlign w:val="center"/>
          </w:tcPr>
          <w:p>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710" w:type="dxa"/>
            <w:tcBorders>
              <w:top w:val="single" w:color="auto" w:sz="6" w:space="0"/>
            </w:tcBorders>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noWrap w:val="0"/>
            <w:vAlign w:val="center"/>
          </w:tcPr>
          <w:p>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710" w:type="dxa"/>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noWrap w:val="0"/>
            <w:vAlign w:val="center"/>
          </w:tcPr>
          <w:p>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供应商自评分指引表（自拟）</w:t>
            </w:r>
          </w:p>
        </w:tc>
        <w:tc>
          <w:tcPr>
            <w:tcW w:w="710" w:type="dxa"/>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646" w:type="dxa"/>
            <w:gridSpan w:val="2"/>
            <w:noWrap w:val="0"/>
            <w:vAlign w:val="center"/>
          </w:tcPr>
          <w:p>
            <w:pPr>
              <w:spacing w:line="276" w:lineRule="auto"/>
              <w:jc w:val="left"/>
              <w:rPr>
                <w:rFonts w:ascii="宋体" w:hAnsi="宋体" w:cs="Arial"/>
                <w:b/>
                <w:color w:val="auto"/>
                <w:sz w:val="22"/>
                <w:szCs w:val="22"/>
                <w:highlight w:val="none"/>
              </w:rPr>
            </w:pPr>
            <w:r>
              <w:rPr>
                <w:color w:val="auto"/>
                <w:sz w:val="22"/>
                <w:highlight w:val="none"/>
              </w:rPr>
              <w:t>▲</w:t>
            </w:r>
            <w:r>
              <w:rPr>
                <w:rFonts w:ascii="宋体" w:hAnsi="宋体" w:cs="Arial"/>
                <w:b/>
                <w:color w:val="auto"/>
                <w:sz w:val="22"/>
                <w:szCs w:val="22"/>
                <w:highlight w:val="none"/>
              </w:rPr>
              <w:t>供应商参与政府采购活动投标资格声明</w:t>
            </w:r>
          </w:p>
        </w:tc>
        <w:tc>
          <w:tcPr>
            <w:tcW w:w="710" w:type="dxa"/>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646" w:type="dxa"/>
            <w:gridSpan w:val="2"/>
            <w:noWrap w:val="0"/>
            <w:vAlign w:val="center"/>
          </w:tcPr>
          <w:p>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磋商</w:t>
            </w:r>
            <w:r>
              <w:rPr>
                <w:rFonts w:ascii="宋体" w:hAnsi="宋体" w:cs="Arial"/>
                <w:b/>
                <w:color w:val="auto"/>
                <w:sz w:val="22"/>
                <w:szCs w:val="22"/>
                <w:highlight w:val="none"/>
              </w:rPr>
              <w:t>函</w:t>
            </w:r>
          </w:p>
        </w:tc>
        <w:tc>
          <w:tcPr>
            <w:tcW w:w="710" w:type="dxa"/>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646" w:type="dxa"/>
            <w:gridSpan w:val="2"/>
            <w:noWrap w:val="0"/>
            <w:vAlign w:val="center"/>
          </w:tcPr>
          <w:p>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磋商供应商情况声明（后附企业简介）</w:t>
            </w:r>
          </w:p>
        </w:tc>
        <w:tc>
          <w:tcPr>
            <w:tcW w:w="710" w:type="dxa"/>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rPr>
              <w:t>7</w:t>
            </w:r>
          </w:p>
        </w:tc>
        <w:tc>
          <w:tcPr>
            <w:tcW w:w="8646" w:type="dxa"/>
            <w:gridSpan w:val="2"/>
            <w:noWrap w:val="0"/>
            <w:vAlign w:val="center"/>
          </w:tcPr>
          <w:p>
            <w:pPr>
              <w:spacing w:line="276" w:lineRule="auto"/>
              <w:jc w:val="left"/>
              <w:rPr>
                <w:rFonts w:hint="eastAsia" w:ascii="宋体" w:hAnsi="宋体" w:cs="Arial"/>
                <w:b/>
                <w:color w:val="auto"/>
                <w:sz w:val="22"/>
                <w:szCs w:val="22"/>
                <w:highlight w:val="none"/>
              </w:rPr>
            </w:pPr>
            <w:r>
              <w:rPr>
                <w:rFonts w:hint="eastAsia" w:ascii="宋体" w:hAnsi="宋体" w:eastAsia="宋体" w:cs="宋体"/>
                <w:b/>
                <w:color w:val="auto"/>
                <w:sz w:val="22"/>
                <w:szCs w:val="22"/>
                <w:highlight w:val="none"/>
                <w:lang w:val="en-US" w:eastAsia="zh-CN"/>
              </w:rPr>
              <w:t>所投化肥</w:t>
            </w:r>
            <w:r>
              <w:rPr>
                <w:rFonts w:hint="eastAsia"/>
                <w:b/>
                <w:color w:val="auto"/>
                <w:sz w:val="22"/>
                <w:szCs w:val="22"/>
                <w:highlight w:val="none"/>
              </w:rPr>
              <w:t>数量、</w:t>
            </w:r>
            <w:r>
              <w:rPr>
                <w:rFonts w:hint="eastAsia"/>
                <w:b/>
                <w:color w:val="auto"/>
                <w:spacing w:val="20"/>
                <w:sz w:val="22"/>
                <w:szCs w:val="22"/>
                <w:highlight w:val="none"/>
              </w:rPr>
              <w:t>配置及主要技术参数表</w:t>
            </w:r>
            <w:r>
              <w:rPr>
                <w:rFonts w:hint="eastAsia" w:ascii="宋体" w:hAnsi="宋体" w:cs="Arial"/>
                <w:b/>
                <w:color w:val="auto"/>
                <w:sz w:val="22"/>
                <w:szCs w:val="22"/>
                <w:highlight w:val="none"/>
              </w:rPr>
              <w:t>(格式见附件也可自拟）</w:t>
            </w:r>
          </w:p>
        </w:tc>
        <w:tc>
          <w:tcPr>
            <w:tcW w:w="710" w:type="dxa"/>
            <w:noWrap w:val="0"/>
            <w:vAlign w:val="center"/>
          </w:tcPr>
          <w:p>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709" w:type="dxa"/>
            <w:noWrap w:val="0"/>
            <w:vAlign w:val="center"/>
          </w:tcPr>
          <w:p>
            <w:pPr>
              <w:spacing w:line="276" w:lineRule="auto"/>
              <w:jc w:val="center"/>
              <w:rPr>
                <w:rFonts w:hint="eastAsia"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rPr>
              <w:t>8</w:t>
            </w:r>
          </w:p>
        </w:tc>
        <w:tc>
          <w:tcPr>
            <w:tcW w:w="8646" w:type="dxa"/>
            <w:gridSpan w:val="2"/>
            <w:noWrap w:val="0"/>
            <w:vAlign w:val="center"/>
          </w:tcPr>
          <w:p>
            <w:pPr>
              <w:spacing w:line="276" w:lineRule="auto"/>
              <w:jc w:val="left"/>
              <w:rPr>
                <w:rFonts w:hint="eastAsia" w:ascii="宋体" w:hAnsi="宋体" w:cs="Arial"/>
                <w:b/>
                <w:color w:val="auto"/>
                <w:sz w:val="22"/>
                <w:szCs w:val="22"/>
                <w:highlight w:val="none"/>
              </w:rPr>
            </w:pPr>
            <w:r>
              <w:rPr>
                <w:rFonts w:hint="eastAsia" w:ascii="宋体"/>
                <w:b/>
                <w:color w:val="auto"/>
                <w:sz w:val="22"/>
                <w:szCs w:val="22"/>
                <w:highlight w:val="none"/>
              </w:rPr>
              <w:t>包括</w:t>
            </w:r>
            <w:r>
              <w:rPr>
                <w:rFonts w:hint="eastAsia" w:ascii="宋体"/>
                <w:b/>
                <w:color w:val="auto"/>
                <w:sz w:val="22"/>
                <w:szCs w:val="22"/>
                <w:highlight w:val="none"/>
                <w:lang w:val="en-US" w:eastAsia="zh-CN"/>
              </w:rPr>
              <w:t>所投肥料</w:t>
            </w:r>
            <w:r>
              <w:rPr>
                <w:rFonts w:hint="eastAsia" w:ascii="宋体"/>
                <w:b/>
                <w:color w:val="auto"/>
                <w:sz w:val="22"/>
                <w:szCs w:val="22"/>
                <w:highlight w:val="none"/>
              </w:rPr>
              <w:t>的主要技术、配置、性能、特点和质量水平的详细描述并提供实物照片、及相关检测报告等相关证明（包括配置、部件来源说明等）（如果资料提供不全或完全抄袭</w:t>
            </w:r>
            <w:r>
              <w:rPr>
                <w:rFonts w:hint="eastAsia" w:ascii="宋体"/>
                <w:b/>
                <w:color w:val="auto"/>
                <w:sz w:val="22"/>
                <w:szCs w:val="22"/>
                <w:highlight w:val="none"/>
                <w:lang w:eastAsia="zh-CN"/>
              </w:rPr>
              <w:t>采购文件</w:t>
            </w:r>
            <w:r>
              <w:rPr>
                <w:rFonts w:hint="eastAsia" w:ascii="宋体"/>
                <w:b/>
                <w:color w:val="auto"/>
                <w:sz w:val="22"/>
                <w:szCs w:val="22"/>
                <w:highlight w:val="none"/>
              </w:rPr>
              <w:t>，可能导致对供应商不利的评定）</w:t>
            </w:r>
          </w:p>
        </w:tc>
        <w:tc>
          <w:tcPr>
            <w:tcW w:w="710" w:type="dxa"/>
            <w:noWrap w:val="0"/>
            <w:vAlign w:val="center"/>
          </w:tcPr>
          <w:p>
            <w:pPr>
              <w:spacing w:line="276" w:lineRule="auto"/>
              <w:jc w:val="center"/>
              <w:rPr>
                <w:rFonts w:hint="eastAsia" w:ascii="宋体" w:hAnsi="宋体" w:eastAsia="宋体" w:cs="Arial"/>
                <w:color w:val="auto"/>
                <w:sz w:val="22"/>
                <w:szCs w:val="22"/>
                <w:highlight w:val="none"/>
                <w:lang w:val="en-US" w:eastAsia="zh-CN"/>
              </w:rPr>
            </w:pPr>
            <w:r>
              <w:rPr>
                <w:rFonts w:hint="eastAsia" w:ascii="宋体" w:hAnsi="宋体" w:cs="Arial"/>
                <w:color w:val="auto"/>
                <w:sz w:val="22"/>
                <w:szCs w:val="22"/>
                <w:highlight w:val="none"/>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pPr>
              <w:spacing w:line="276" w:lineRule="auto"/>
              <w:jc w:val="center"/>
              <w:rPr>
                <w:rFonts w:hint="eastAsia" w:ascii="宋体" w:hAnsi="宋体" w:eastAsia="宋体" w:cs="Times New Roman"/>
                <w:b/>
                <w:bCs w:val="0"/>
                <w:color w:val="auto"/>
                <w:kern w:val="2"/>
                <w:sz w:val="22"/>
                <w:szCs w:val="22"/>
                <w:highlight w:val="none"/>
                <w:lang w:val="en-US" w:eastAsia="zh-CN" w:bidi="ar-SA"/>
              </w:rPr>
            </w:pPr>
            <w:r>
              <w:rPr>
                <w:rFonts w:hint="eastAsia" w:ascii="宋体" w:hAnsi="宋体" w:cs="Times New Roman"/>
                <w:b/>
                <w:bCs w:val="0"/>
                <w:color w:val="auto"/>
                <w:kern w:val="2"/>
                <w:sz w:val="22"/>
                <w:szCs w:val="22"/>
                <w:highlight w:val="none"/>
                <w:lang w:val="en-US" w:eastAsia="zh-CN" w:bidi="ar-SA"/>
              </w:rPr>
              <w:t>9</w:t>
            </w:r>
          </w:p>
        </w:tc>
        <w:tc>
          <w:tcPr>
            <w:tcW w:w="8646" w:type="dxa"/>
            <w:gridSpan w:val="2"/>
            <w:tcBorders>
              <w:bottom w:val="single" w:color="auto" w:sz="6" w:space="0"/>
            </w:tcBorders>
            <w:noWrap w:val="0"/>
            <w:vAlign w:val="center"/>
          </w:tcPr>
          <w:p>
            <w:pPr>
              <w:spacing w:line="276" w:lineRule="auto"/>
              <w:jc w:val="left"/>
              <w:rPr>
                <w:rFonts w:ascii="宋体"/>
                <w:b/>
                <w:bCs w:val="0"/>
                <w:color w:val="auto"/>
                <w:sz w:val="22"/>
                <w:szCs w:val="22"/>
                <w:highlight w:val="none"/>
              </w:rPr>
            </w:pPr>
            <w:r>
              <w:rPr>
                <w:rFonts w:hint="eastAsia" w:ascii="宋体"/>
                <w:b/>
                <w:bCs w:val="0"/>
                <w:color w:val="auto"/>
                <w:sz w:val="22"/>
                <w:szCs w:val="22"/>
                <w:highlight w:val="none"/>
              </w:rPr>
              <w:t>商务偏离表、技术偏离表</w:t>
            </w:r>
            <w:r>
              <w:rPr>
                <w:b/>
                <w:color w:val="auto"/>
                <w:sz w:val="22"/>
                <w:szCs w:val="22"/>
                <w:highlight w:val="none"/>
              </w:rPr>
              <w:t>(格式见附件也可自拟）</w:t>
            </w:r>
          </w:p>
        </w:tc>
        <w:tc>
          <w:tcPr>
            <w:tcW w:w="710" w:type="dxa"/>
            <w:tcBorders>
              <w:bottom w:val="single" w:color="auto" w:sz="6" w:space="0"/>
            </w:tcBorders>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pPr>
              <w:spacing w:line="276" w:lineRule="auto"/>
              <w:jc w:val="center"/>
              <w:rPr>
                <w:rFonts w:hint="eastAsia"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lang w:val="en-US" w:eastAsia="zh-CN"/>
              </w:rPr>
              <w:t>10</w:t>
            </w:r>
          </w:p>
        </w:tc>
        <w:tc>
          <w:tcPr>
            <w:tcW w:w="8646" w:type="dxa"/>
            <w:gridSpan w:val="2"/>
            <w:tcBorders>
              <w:bottom w:val="single" w:color="auto" w:sz="6" w:space="0"/>
            </w:tcBorders>
            <w:noWrap w:val="0"/>
            <w:vAlign w:val="center"/>
          </w:tcPr>
          <w:p>
            <w:pPr>
              <w:spacing w:line="276" w:lineRule="auto"/>
              <w:jc w:val="left"/>
              <w:rPr>
                <w:rFonts w:hint="eastAsia" w:ascii="宋体"/>
                <w:b/>
                <w:bCs w:val="0"/>
                <w:color w:val="auto"/>
                <w:sz w:val="22"/>
                <w:szCs w:val="22"/>
                <w:highlight w:val="none"/>
              </w:rPr>
            </w:pPr>
            <w:r>
              <w:rPr>
                <w:rFonts w:hint="eastAsia"/>
                <w:b w:val="0"/>
                <w:bCs w:val="0"/>
                <w:color w:val="auto"/>
                <w:sz w:val="22"/>
                <w:szCs w:val="22"/>
                <w:highlight w:val="none"/>
              </w:rPr>
              <w:t>供应商相关资质、资信或信用证书（如有则提供，复印件加盖有效公章）</w:t>
            </w:r>
          </w:p>
        </w:tc>
        <w:tc>
          <w:tcPr>
            <w:tcW w:w="710" w:type="dxa"/>
            <w:tcBorders>
              <w:bottom w:val="single" w:color="auto" w:sz="6" w:space="0"/>
            </w:tcBorders>
            <w:noWrap w:val="0"/>
            <w:vAlign w:val="center"/>
          </w:tcPr>
          <w:p>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lang w:val="en-US" w:eastAsia="zh-CN"/>
              </w:rPr>
              <w:t>11</w:t>
            </w:r>
          </w:p>
        </w:tc>
        <w:tc>
          <w:tcPr>
            <w:tcW w:w="8646" w:type="dxa"/>
            <w:gridSpan w:val="2"/>
            <w:tcBorders>
              <w:bottom w:val="single" w:color="auto" w:sz="6" w:space="0"/>
            </w:tcBorders>
            <w:noWrap w:val="0"/>
            <w:vAlign w:val="center"/>
          </w:tcPr>
          <w:p>
            <w:pPr>
              <w:spacing w:line="276" w:lineRule="auto"/>
              <w:jc w:val="left"/>
              <w:rPr>
                <w:rFonts w:hint="eastAsia" w:ascii="宋体" w:hAnsi="Times New Roman" w:eastAsia="宋体" w:cs="Times New Roman"/>
                <w:b/>
                <w:bCs w:val="0"/>
                <w:color w:val="auto"/>
                <w:kern w:val="2"/>
                <w:sz w:val="22"/>
                <w:szCs w:val="22"/>
                <w:highlight w:val="none"/>
                <w:lang w:val="en-US" w:eastAsia="zh-CN" w:bidi="ar-SA"/>
              </w:rPr>
            </w:pPr>
            <w:r>
              <w:rPr>
                <w:b w:val="0"/>
                <w:bCs w:val="0"/>
                <w:color w:val="auto"/>
                <w:sz w:val="22"/>
                <w:highlight w:val="none"/>
              </w:rPr>
              <w:t>项目实施方案</w:t>
            </w:r>
            <w:r>
              <w:rPr>
                <w:rFonts w:hint="eastAsia"/>
                <w:b w:val="0"/>
                <w:bCs w:val="0"/>
                <w:color w:val="auto"/>
                <w:sz w:val="22"/>
                <w:highlight w:val="none"/>
                <w:lang w:eastAsia="zh-CN"/>
              </w:rPr>
              <w:t>（格式自拟）</w:t>
            </w:r>
          </w:p>
        </w:tc>
        <w:tc>
          <w:tcPr>
            <w:tcW w:w="710" w:type="dxa"/>
            <w:tcBorders>
              <w:bottom w:val="single" w:color="auto" w:sz="6" w:space="0"/>
            </w:tcBorders>
            <w:noWrap w:val="0"/>
            <w:vAlign w:val="center"/>
          </w:tcPr>
          <w:p>
            <w:pPr>
              <w:spacing w:line="276" w:lineRule="auto"/>
              <w:jc w:val="center"/>
              <w:rPr>
                <w:rFonts w:hint="eastAsia" w:ascii="宋体" w:hAnsi="宋体" w:eastAsia="宋体" w:cs="Arial"/>
                <w:color w:val="auto"/>
                <w:kern w:val="2"/>
                <w:sz w:val="22"/>
                <w:szCs w:val="22"/>
                <w:highlight w:val="none"/>
                <w:lang w:val="en-US" w:eastAsia="zh-CN" w:bidi="ar-SA"/>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lang w:val="en-US" w:eastAsia="zh-CN"/>
              </w:rPr>
              <w:t>12</w:t>
            </w:r>
          </w:p>
        </w:tc>
        <w:tc>
          <w:tcPr>
            <w:tcW w:w="8646" w:type="dxa"/>
            <w:gridSpan w:val="2"/>
            <w:noWrap w:val="0"/>
            <w:vAlign w:val="center"/>
          </w:tcPr>
          <w:p>
            <w:pPr>
              <w:spacing w:line="240" w:lineRule="auto"/>
              <w:jc w:val="left"/>
              <w:rPr>
                <w:rFonts w:hint="eastAsia" w:ascii="宋体" w:hAnsi="宋体"/>
                <w:b/>
                <w:bCs w:val="0"/>
                <w:color w:val="auto"/>
                <w:sz w:val="22"/>
                <w:szCs w:val="22"/>
                <w:highlight w:val="none"/>
              </w:rPr>
            </w:pPr>
            <w:r>
              <w:rPr>
                <w:rFonts w:hint="eastAsia" w:ascii="宋体" w:hAnsi="宋体"/>
                <w:b/>
                <w:bCs w:val="0"/>
                <w:color w:val="auto"/>
                <w:sz w:val="22"/>
                <w:szCs w:val="22"/>
                <w:highlight w:val="none"/>
              </w:rPr>
              <w:t>项目</w:t>
            </w:r>
            <w:r>
              <w:rPr>
                <w:rFonts w:hint="eastAsia" w:ascii="宋体" w:hAnsi="宋体"/>
                <w:b/>
                <w:bCs w:val="0"/>
                <w:color w:val="auto"/>
                <w:sz w:val="22"/>
                <w:szCs w:val="22"/>
                <w:highlight w:val="none"/>
                <w:lang w:val="en-US" w:eastAsia="zh-CN"/>
              </w:rPr>
              <w:t>服务</w:t>
            </w:r>
            <w:r>
              <w:rPr>
                <w:rFonts w:hint="eastAsia" w:ascii="宋体" w:hAnsi="宋体"/>
                <w:b/>
                <w:bCs w:val="0"/>
                <w:color w:val="auto"/>
                <w:sz w:val="22"/>
                <w:szCs w:val="22"/>
                <w:highlight w:val="none"/>
              </w:rPr>
              <w:t>人员配置情况</w:t>
            </w:r>
            <w:r>
              <w:rPr>
                <w:rFonts w:hint="eastAsia" w:ascii="宋体"/>
                <w:b/>
                <w:color w:val="auto"/>
                <w:sz w:val="22"/>
                <w:szCs w:val="22"/>
                <w:highlight w:val="none"/>
              </w:rPr>
              <w:t>(格式见附件也可自拟）</w:t>
            </w:r>
          </w:p>
        </w:tc>
        <w:tc>
          <w:tcPr>
            <w:tcW w:w="710" w:type="dxa"/>
            <w:tcBorders>
              <w:bottom w:val="single" w:color="auto" w:sz="6" w:space="0"/>
            </w:tcBorders>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lang w:val="en-US" w:eastAsia="zh-CN"/>
              </w:rPr>
              <w:t>13</w:t>
            </w:r>
          </w:p>
        </w:tc>
        <w:tc>
          <w:tcPr>
            <w:tcW w:w="8646" w:type="dxa"/>
            <w:gridSpan w:val="2"/>
            <w:noWrap w:val="0"/>
            <w:vAlign w:val="center"/>
          </w:tcPr>
          <w:p>
            <w:pPr>
              <w:spacing w:line="276" w:lineRule="auto"/>
              <w:jc w:val="left"/>
              <w:rPr>
                <w:rFonts w:hint="eastAsia" w:ascii="宋体" w:hAnsi="宋体"/>
                <w:b/>
                <w:bCs w:val="0"/>
                <w:color w:val="auto"/>
                <w:sz w:val="22"/>
                <w:szCs w:val="22"/>
                <w:highlight w:val="none"/>
              </w:rPr>
            </w:pPr>
            <w:r>
              <w:rPr>
                <w:rFonts w:hint="eastAsia" w:ascii="宋体"/>
                <w:b/>
                <w:bCs w:val="0"/>
                <w:i w:val="0"/>
                <w:iCs w:val="0"/>
                <w:color w:val="auto"/>
                <w:sz w:val="22"/>
                <w:szCs w:val="22"/>
                <w:highlight w:val="none"/>
              </w:rPr>
              <w:t>进</w:t>
            </w:r>
            <w:r>
              <w:rPr>
                <w:rFonts w:hint="eastAsia" w:ascii="宋体"/>
                <w:b/>
                <w:bCs w:val="0"/>
                <w:color w:val="auto"/>
                <w:sz w:val="22"/>
                <w:szCs w:val="22"/>
                <w:highlight w:val="none"/>
              </w:rPr>
              <w:t>场机具、设备、耗材明细表</w:t>
            </w:r>
            <w:r>
              <w:rPr>
                <w:rFonts w:hint="eastAsia" w:hAnsi="宋体"/>
                <w:b/>
                <w:color w:val="auto"/>
                <w:sz w:val="22"/>
                <w:szCs w:val="22"/>
                <w:highlight w:val="none"/>
                <w:lang w:eastAsia="zh-CN"/>
              </w:rPr>
              <w:t>（</w:t>
            </w:r>
            <w:r>
              <w:rPr>
                <w:rFonts w:hint="eastAsia" w:hAnsi="宋体"/>
                <w:b/>
                <w:color w:val="auto"/>
                <w:sz w:val="22"/>
                <w:szCs w:val="22"/>
                <w:highlight w:val="none"/>
                <w:lang w:val="en-US" w:eastAsia="zh-CN"/>
              </w:rPr>
              <w:t>如有）</w:t>
            </w:r>
            <w:r>
              <w:rPr>
                <w:b/>
                <w:bCs w:val="0"/>
                <w:color w:val="auto"/>
                <w:sz w:val="22"/>
                <w:highlight w:val="none"/>
              </w:rPr>
              <w:t>(格式见附件也可自拟）</w:t>
            </w:r>
          </w:p>
        </w:tc>
        <w:tc>
          <w:tcPr>
            <w:tcW w:w="710" w:type="dxa"/>
            <w:tcBorders>
              <w:bottom w:val="single" w:color="auto" w:sz="6" w:space="0"/>
            </w:tcBorders>
            <w:noWrap w:val="0"/>
            <w:vAlign w:val="center"/>
          </w:tcPr>
          <w:p>
            <w:pPr>
              <w:spacing w:line="276" w:lineRule="auto"/>
              <w:jc w:val="center"/>
              <w:rPr>
                <w:rFonts w:hint="eastAsia" w:ascii="宋体" w:hAnsi="宋体" w:cs="Arial"/>
                <w:b/>
                <w:bCs w:val="0"/>
                <w:color w:val="auto"/>
                <w:sz w:val="22"/>
                <w:szCs w:val="22"/>
                <w:highlight w:val="none"/>
              </w:rPr>
            </w:pPr>
            <w:r>
              <w:rPr>
                <w:rFonts w:hint="eastAsia" w:ascii="宋体" w:hAnsi="宋体" w:cs="Arial"/>
                <w:b/>
                <w:bCs w:val="0"/>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cs="Times New Roman"/>
                <w:b/>
                <w:bCs w:val="0"/>
                <w:color w:val="auto"/>
                <w:kern w:val="2"/>
                <w:sz w:val="22"/>
                <w:szCs w:val="22"/>
                <w:highlight w:val="none"/>
                <w:lang w:val="en-US" w:eastAsia="zh-CN" w:bidi="ar-SA"/>
              </w:rPr>
              <w:t>14</w:t>
            </w:r>
          </w:p>
        </w:tc>
        <w:tc>
          <w:tcPr>
            <w:tcW w:w="8646" w:type="dxa"/>
            <w:gridSpan w:val="2"/>
            <w:tcBorders>
              <w:top w:val="single" w:color="auto" w:sz="6" w:space="0"/>
              <w:bottom w:val="single" w:color="auto" w:sz="6" w:space="0"/>
            </w:tcBorders>
            <w:noWrap w:val="0"/>
            <w:vAlign w:val="center"/>
          </w:tcPr>
          <w:p>
            <w:pPr>
              <w:spacing w:line="276" w:lineRule="auto"/>
              <w:jc w:val="left"/>
              <w:rPr>
                <w:rFonts w:hint="eastAsia" w:ascii="宋体" w:hAnsi="Times New Roman" w:eastAsia="宋体" w:cs="Times New Roman"/>
                <w:b/>
                <w:bCs w:val="0"/>
                <w:color w:val="auto"/>
                <w:kern w:val="2"/>
                <w:sz w:val="22"/>
                <w:szCs w:val="22"/>
                <w:highlight w:val="none"/>
                <w:lang w:val="en-US" w:eastAsia="zh-CN" w:bidi="ar-SA"/>
              </w:rPr>
            </w:pPr>
            <w:r>
              <w:rPr>
                <w:rFonts w:hint="eastAsia" w:ascii="宋体"/>
                <w:b/>
                <w:bCs w:val="0"/>
                <w:color w:val="auto"/>
                <w:sz w:val="22"/>
                <w:szCs w:val="22"/>
                <w:highlight w:val="none"/>
              </w:rPr>
              <w:t>业绩证明（附相关证明材料）</w:t>
            </w:r>
            <w:r>
              <w:rPr>
                <w:rFonts w:hint="eastAsia" w:ascii="宋体" w:hAnsi="宋体" w:cs="Arial"/>
                <w:b/>
                <w:bCs w:val="0"/>
                <w:color w:val="auto"/>
                <w:sz w:val="22"/>
                <w:szCs w:val="22"/>
                <w:highlight w:val="none"/>
              </w:rPr>
              <w:t>(格式见附件）</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eastAsia="宋体" w:cs="Arial"/>
                <w:color w:val="auto"/>
                <w:kern w:val="2"/>
                <w:sz w:val="22"/>
                <w:szCs w:val="22"/>
                <w:highlight w:val="none"/>
                <w:lang w:val="en-US" w:eastAsia="zh-CN" w:bidi="ar-SA"/>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cs="Times New Roman"/>
                <w:b/>
                <w:bCs w:val="0"/>
                <w:color w:val="auto"/>
                <w:kern w:val="2"/>
                <w:sz w:val="22"/>
                <w:szCs w:val="22"/>
                <w:highlight w:val="none"/>
                <w:lang w:val="en-US" w:eastAsia="zh-CN" w:bidi="ar-SA"/>
              </w:rPr>
              <w:t>15</w:t>
            </w:r>
          </w:p>
        </w:tc>
        <w:tc>
          <w:tcPr>
            <w:tcW w:w="8646" w:type="dxa"/>
            <w:gridSpan w:val="2"/>
            <w:tcBorders>
              <w:top w:val="single" w:color="auto" w:sz="6" w:space="0"/>
              <w:bottom w:val="single" w:color="auto" w:sz="6" w:space="0"/>
            </w:tcBorders>
            <w:noWrap w:val="0"/>
            <w:vAlign w:val="center"/>
          </w:tcPr>
          <w:p>
            <w:pPr>
              <w:spacing w:line="276" w:lineRule="auto"/>
              <w:jc w:val="left"/>
              <w:rPr>
                <w:rFonts w:hint="eastAsia" w:ascii="宋体"/>
                <w:b/>
                <w:bCs w:val="0"/>
                <w:color w:val="auto"/>
                <w:sz w:val="22"/>
                <w:szCs w:val="22"/>
                <w:highlight w:val="none"/>
              </w:rPr>
            </w:pPr>
            <w:r>
              <w:rPr>
                <w:rFonts w:hint="eastAsia" w:ascii="宋体" w:hAnsi="宋体" w:cs="Arial"/>
                <w:b/>
                <w:color w:val="auto"/>
                <w:sz w:val="22"/>
                <w:szCs w:val="22"/>
                <w:highlight w:val="none"/>
                <w:lang w:eastAsia="zh-CN"/>
              </w:rPr>
              <w:t>磋商供应商认为有必要提供的其他材料或说明</w:t>
            </w:r>
            <w:r>
              <w:rPr>
                <w:rFonts w:hint="eastAsia" w:ascii="宋体" w:hAnsi="宋体" w:cs="Arial"/>
                <w:b/>
                <w:color w:val="auto"/>
                <w:sz w:val="22"/>
                <w:szCs w:val="22"/>
                <w:highlight w:val="none"/>
              </w:rPr>
              <w:t>（如有）</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cs="Times New Roman"/>
                <w:b/>
                <w:bCs w:val="0"/>
                <w:color w:val="auto"/>
                <w:kern w:val="2"/>
                <w:sz w:val="22"/>
                <w:szCs w:val="22"/>
                <w:highlight w:val="none"/>
                <w:lang w:val="en-US" w:eastAsia="zh-CN" w:bidi="ar-SA"/>
              </w:rPr>
              <w:t>16</w:t>
            </w:r>
          </w:p>
        </w:tc>
        <w:tc>
          <w:tcPr>
            <w:tcW w:w="8646" w:type="dxa"/>
            <w:gridSpan w:val="2"/>
            <w:tcBorders>
              <w:top w:val="single" w:color="auto" w:sz="6" w:space="0"/>
              <w:bottom w:val="single" w:color="auto" w:sz="6" w:space="0"/>
            </w:tcBorders>
            <w:noWrap w:val="0"/>
            <w:vAlign w:val="center"/>
          </w:tcPr>
          <w:p>
            <w:pPr>
              <w:spacing w:line="276" w:lineRule="auto"/>
              <w:jc w:val="left"/>
              <w:rPr>
                <w:rFonts w:hint="eastAsia" w:ascii="宋体"/>
                <w:b/>
                <w:bCs w:val="0"/>
                <w:color w:val="auto"/>
                <w:sz w:val="22"/>
                <w:szCs w:val="22"/>
                <w:highlight w:val="none"/>
              </w:rPr>
            </w:pPr>
            <w:r>
              <w:rPr>
                <w:rFonts w:hint="eastAsia"/>
                <w:b/>
                <w:color w:val="auto"/>
                <w:sz w:val="22"/>
                <w:szCs w:val="22"/>
                <w:highlight w:val="none"/>
              </w:rPr>
              <w:t>质量服务承诺书、诚信投标承诺书</w:t>
            </w:r>
            <w:r>
              <w:rPr>
                <w:rFonts w:hint="eastAsia" w:ascii="宋体" w:hAnsi="宋体" w:cs="Arial"/>
                <w:b/>
                <w:bCs w:val="0"/>
                <w:color w:val="auto"/>
                <w:sz w:val="22"/>
                <w:szCs w:val="22"/>
                <w:highlight w:val="none"/>
              </w:rPr>
              <w:t>(格式见附件）</w:t>
            </w:r>
          </w:p>
        </w:tc>
        <w:tc>
          <w:tcPr>
            <w:tcW w:w="710" w:type="dxa"/>
            <w:tcBorders>
              <w:top w:val="single" w:color="auto" w:sz="6" w:space="0"/>
              <w:bottom w:val="single" w:color="auto" w:sz="6" w:space="0"/>
            </w:tcBorders>
            <w:noWrap w:val="0"/>
            <w:vAlign w:val="center"/>
          </w:tcPr>
          <w:p>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bottom w:val="single" w:color="auto" w:sz="6" w:space="0"/>
            </w:tcBorders>
            <w:noWrap w:val="0"/>
            <w:vAlign w:val="center"/>
          </w:tcPr>
          <w:p>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710" w:type="dxa"/>
            <w:tcBorders>
              <w:top w:val="single" w:color="auto" w:sz="6" w:space="0"/>
              <w:bottom w:val="single" w:color="auto" w:sz="6" w:space="0"/>
            </w:tcBorders>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tcBorders>
              <w:top w:val="single" w:color="auto" w:sz="6" w:space="0"/>
              <w:bottom w:val="single" w:color="auto" w:sz="6" w:space="0"/>
            </w:tcBorders>
            <w:noWrap w:val="0"/>
            <w:vAlign w:val="center"/>
          </w:tcPr>
          <w:p>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710" w:type="dxa"/>
            <w:tcBorders>
              <w:top w:val="single" w:color="auto" w:sz="6" w:space="0"/>
              <w:bottom w:val="single" w:color="auto" w:sz="6" w:space="0"/>
            </w:tcBorders>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tcBorders>
              <w:top w:val="single" w:color="auto" w:sz="6" w:space="0"/>
              <w:bottom w:val="single" w:color="auto" w:sz="6" w:space="0"/>
            </w:tcBorders>
            <w:noWrap w:val="0"/>
            <w:vAlign w:val="center"/>
          </w:tcPr>
          <w:p>
            <w:pPr>
              <w:spacing w:line="276" w:lineRule="auto"/>
              <w:jc w:val="left"/>
              <w:rPr>
                <w:rFonts w:hint="eastAsia" w:ascii="宋体" w:hAnsi="宋体" w:eastAsia="宋体" w:cs="Arial"/>
                <w:b/>
                <w:color w:val="auto"/>
                <w:sz w:val="22"/>
                <w:szCs w:val="22"/>
                <w:highlight w:val="none"/>
                <w:lang w:eastAsia="zh-CN"/>
              </w:rPr>
            </w:pPr>
            <w:r>
              <w:rPr>
                <w:rFonts w:ascii="Arial" w:hAnsi="Arial" w:cs="Arial"/>
                <w:color w:val="auto"/>
                <w:sz w:val="22"/>
                <w:highlight w:val="none"/>
              </w:rPr>
              <w:t>▲</w:t>
            </w:r>
            <w:r>
              <w:rPr>
                <w:rFonts w:hint="eastAsia" w:ascii="宋体" w:hAnsi="宋体" w:cs="Arial"/>
                <w:b/>
                <w:color w:val="auto"/>
                <w:sz w:val="22"/>
                <w:szCs w:val="22"/>
                <w:highlight w:val="none"/>
              </w:rPr>
              <w:t>开标</w:t>
            </w:r>
            <w:r>
              <w:rPr>
                <w:rFonts w:ascii="宋体" w:hAnsi="宋体" w:cs="Arial"/>
                <w:b/>
                <w:color w:val="auto"/>
                <w:sz w:val="22"/>
                <w:szCs w:val="22"/>
                <w:highlight w:val="none"/>
              </w:rPr>
              <w:t>一览表</w:t>
            </w:r>
            <w:r>
              <w:rPr>
                <w:rFonts w:hint="eastAsia" w:ascii="宋体" w:hAnsi="宋体" w:cs="Arial"/>
                <w:b/>
                <w:color w:val="auto"/>
                <w:sz w:val="22"/>
                <w:szCs w:val="22"/>
                <w:highlight w:val="none"/>
                <w:lang w:eastAsia="zh-CN"/>
              </w:rPr>
              <w:t>（初次报价表）</w:t>
            </w:r>
          </w:p>
        </w:tc>
        <w:tc>
          <w:tcPr>
            <w:tcW w:w="710" w:type="dxa"/>
            <w:tcBorders>
              <w:top w:val="single" w:color="auto" w:sz="6" w:space="0"/>
              <w:bottom w:val="single" w:color="auto" w:sz="6" w:space="0"/>
            </w:tcBorders>
            <w:noWrap w:val="0"/>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noWrap w:val="0"/>
            <w:vAlign w:val="center"/>
          </w:tcPr>
          <w:p>
            <w:pPr>
              <w:spacing w:line="276" w:lineRule="auto"/>
              <w:jc w:val="center"/>
              <w:rPr>
                <w:rFonts w:ascii="宋体" w:hAnsi="宋体" w:cs="Arial"/>
                <w:color w:val="auto"/>
                <w:sz w:val="22"/>
                <w:szCs w:val="22"/>
                <w:highlight w:val="none"/>
              </w:rPr>
            </w:pPr>
            <w:r>
              <w:rPr>
                <w:rFonts w:hint="eastAsia" w:ascii="宋体" w:hAnsi="宋体" w:cs="Arial"/>
                <w:b/>
                <w:color w:val="auto"/>
                <w:sz w:val="22"/>
                <w:szCs w:val="22"/>
                <w:highlight w:val="none"/>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noWrap w:val="0"/>
            <w:vAlign w:val="center"/>
          </w:tcPr>
          <w:p>
            <w:pPr>
              <w:numPr>
                <w:ilvl w:val="0"/>
                <w:numId w:val="7"/>
              </w:num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上述内容本采购文件《响应文件格式》中有</w:t>
            </w:r>
            <w:r>
              <w:rPr>
                <w:rFonts w:ascii="宋体" w:hAnsi="宋体"/>
                <w:b/>
                <w:color w:val="auto"/>
                <w:sz w:val="22"/>
                <w:szCs w:val="22"/>
                <w:highlight w:val="none"/>
              </w:rPr>
              <w:t>提供格式的，磋商供应商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2</w:t>
            </w:r>
            <w:r>
              <w:rPr>
                <w:rFonts w:hint="eastAsia" w:ascii="宋体" w:hAnsi="宋体"/>
                <w:b/>
                <w:color w:val="auto"/>
                <w:sz w:val="22"/>
                <w:szCs w:val="22"/>
                <w:highlight w:val="none"/>
              </w:rPr>
              <w:t>）采购文件《响应文件格式》</w:t>
            </w:r>
            <w:r>
              <w:rPr>
                <w:rFonts w:ascii="宋体" w:hAnsi="宋体"/>
                <w:b/>
                <w:color w:val="auto"/>
                <w:sz w:val="22"/>
                <w:szCs w:val="22"/>
                <w:highlight w:val="none"/>
              </w:rPr>
              <w:t>未提供格式的，请各磋商供应商自行拟定格式</w:t>
            </w:r>
            <w:r>
              <w:rPr>
                <w:rFonts w:hint="eastAsia" w:ascii="宋体" w:hAnsi="宋体"/>
                <w:b/>
                <w:color w:val="auto"/>
                <w:sz w:val="22"/>
                <w:szCs w:val="22"/>
                <w:highlight w:val="none"/>
              </w:rPr>
              <w:t>，并加盖单位公章并由法定代表人或其授权代表签署（签字或盖章），否则视为未提供；</w:t>
            </w:r>
          </w:p>
          <w:p>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）可以提供复制件的相关证明材料必须加盖磋商供应商公章，否则视为未提供（例如：各类资格资质证书、业绩材料、许可材料、荣誉证书、产品注册登记材料、产品检测材料、验收材料等）；</w:t>
            </w:r>
          </w:p>
          <w:p>
            <w:pPr>
              <w:spacing w:line="276" w:lineRule="auto"/>
              <w:rPr>
                <w:rFonts w:ascii="宋体" w:hAnsi="宋体"/>
                <w:b/>
                <w:color w:val="auto"/>
                <w:sz w:val="22"/>
                <w:szCs w:val="22"/>
                <w:highlight w:val="none"/>
              </w:rPr>
            </w:pPr>
            <w:r>
              <w:rPr>
                <w:rFonts w:hint="eastAsia" w:ascii="宋体" w:hAnsi="宋体" w:cs="Arial"/>
                <w:b/>
                <w:color w:val="auto"/>
                <w:sz w:val="22"/>
                <w:szCs w:val="22"/>
                <w:highlight w:val="none"/>
              </w:rPr>
              <w:t>（</w:t>
            </w:r>
            <w:r>
              <w:rPr>
                <w:rFonts w:hint="eastAsia" w:ascii="宋体" w:hAnsi="宋体" w:cs="Arial"/>
                <w:b/>
                <w:color w:val="auto"/>
                <w:sz w:val="22"/>
                <w:szCs w:val="22"/>
                <w:highlight w:val="none"/>
                <w:lang w:val="en-US" w:eastAsia="zh-CN"/>
              </w:rPr>
              <w:t>4</w:t>
            </w:r>
            <w:r>
              <w:rPr>
                <w:rFonts w:hint="eastAsia" w:ascii="宋体" w:hAnsi="宋体" w:cs="Arial"/>
                <w:b/>
                <w:color w:val="auto"/>
                <w:sz w:val="22"/>
                <w:szCs w:val="22"/>
                <w:highlight w:val="none"/>
              </w:rPr>
              <w:t>）以上内容中标注“</w:t>
            </w:r>
            <w:r>
              <w:rPr>
                <w:rFonts w:ascii="Arial" w:hAnsi="Arial" w:cs="Arial"/>
                <w:color w:val="auto"/>
                <w:sz w:val="22"/>
                <w:highlight w:val="none"/>
              </w:rPr>
              <w:t>▲</w:t>
            </w:r>
            <w:r>
              <w:rPr>
                <w:rFonts w:hint="eastAsia" w:ascii="宋体" w:hAnsi="宋体" w:cs="Arial"/>
                <w:b/>
                <w:color w:val="auto"/>
                <w:sz w:val="22"/>
                <w:szCs w:val="22"/>
                <w:highlight w:val="none"/>
              </w:rPr>
              <w:t>”的内容为必须提供的内容，未提供的投标无效。</w:t>
            </w:r>
          </w:p>
        </w:tc>
      </w:tr>
    </w:tbl>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 响应文件的编制</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2.2.1本项目通过“政府采购云平台（www.zcygov.cn）”实行在线投标响应（电子投标）。供应商应通过“政采云电子交易客户端”，并按照本采购文件和“政府采购云平台”的要求编制并加密响应文件。</w:t>
      </w:r>
    </w:p>
    <w:p>
      <w:pPr>
        <w:widowControl/>
        <w:autoSpaceDE w:val="0"/>
        <w:autoSpaceDN w:val="0"/>
        <w:snapToGrid w:val="0"/>
        <w:spacing w:line="420" w:lineRule="exact"/>
        <w:ind w:firstLine="440"/>
        <w:jc w:val="left"/>
        <w:rPr>
          <w:rFonts w:hint="eastAsia" w:ascii="宋体" w:hAnsi="宋体" w:cs="宋体"/>
          <w:b/>
          <w:color w:val="auto"/>
          <w:sz w:val="22"/>
          <w:highlight w:val="none"/>
        </w:rPr>
      </w:pPr>
      <w:r>
        <w:rPr>
          <w:rFonts w:hint="eastAsia" w:ascii="宋体" w:hAnsi="宋体" w:cs="宋体"/>
          <w:color w:val="auto"/>
          <w:sz w:val="22"/>
          <w:highlight w:val="none"/>
        </w:rPr>
        <w:t>2.2.2磋商供应商应当按照 “响应文件内容组成表”规定的内容及顺序在“政采云电子交易客户端”编制响应文件。</w:t>
      </w:r>
    </w:p>
    <w:p>
      <w:pPr>
        <w:widowControl/>
        <w:autoSpaceDE w:val="0"/>
        <w:autoSpaceDN w:val="0"/>
        <w:snapToGrid w:val="0"/>
        <w:spacing w:line="420" w:lineRule="exact"/>
        <w:ind w:firstLine="440"/>
        <w:jc w:val="left"/>
        <w:rPr>
          <w:rFonts w:hint="eastAsia" w:ascii="宋体" w:hAnsi="宋体" w:cs="宋体"/>
          <w:b/>
          <w:color w:val="auto"/>
          <w:sz w:val="22"/>
          <w:highlight w:val="none"/>
        </w:rPr>
      </w:pPr>
      <w:r>
        <w:rPr>
          <w:rFonts w:hint="eastAsia" w:ascii="宋体" w:hAnsi="宋体" w:cs="宋体"/>
          <w:b/>
          <w:color w:val="auto"/>
          <w:sz w:val="22"/>
          <w:highlight w:val="none"/>
        </w:rPr>
        <w:t>2.2.3“响应文件内容组成表”内容中标注“▲”的内容为必须提供的内容，未提供的投标无效。</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2.2.4《响应文件》内容不完整、编排混乱导致《响应文件》被误读、漏读或者查找不到相关内容的，是磋商供应商的责任。</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2.2.5《响应文件》因字迹潦草或表达不清所引起的后果由磋商供应商负责。</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响应文件的签章</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 响应文件的签章</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2.3.1《响应文件》的签章：</w:t>
      </w:r>
      <w:r>
        <w:rPr>
          <w:rFonts w:hint="eastAsia" w:ascii="宋体" w:hAnsi="宋体" w:cs="宋体"/>
          <w:b/>
          <w:color w:val="auto"/>
          <w:sz w:val="22"/>
          <w:szCs w:val="22"/>
          <w:highlight w:val="none"/>
          <w:lang w:bidi="ar"/>
        </w:rPr>
        <w:t>电子签章</w:t>
      </w:r>
      <w:r>
        <w:rPr>
          <w:rFonts w:hint="eastAsia" w:ascii="宋体" w:hAnsi="宋体" w:cs="宋体"/>
          <w:color w:val="auto"/>
          <w:sz w:val="22"/>
          <w:highlight w:val="none"/>
        </w:rPr>
        <w:t>；</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2.3.2《响应文件》应由磋商供应商法定代表人或其授权代表签字（或盖章），并加盖磋商供应商公章，否则无效。</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2.3.3具体需要签章的内容见采购文件提供的“响应文件格式”，应签章而未签章的材料视为未提供，可能导致投标无效。</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2.3.4电子签章操作指南详见采购公告附件《供应商项目采购-电子招投标操作指南》。</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2.4 响应文件的形式</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2.4.1响应文件的形式：电子响应文件；</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2.4.2“电子加密响应文件”[文件格式.jmbs]：“电子加密响应文件”是指通过“政采云电子交易客户端”完成响应文件编制后生成并加密的数据电文形式的响应文件。</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2.5 响应文件的份数</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2.5.1响应文件的份数：一份。</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3、磋商报价</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 1磋商报价应按采购文件中提供的相关报价格式填写；</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 2本项目磋商时，设有最终报价环节；</w:t>
      </w:r>
    </w:p>
    <w:p>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 3本次项目以人民币报价，开启在线多轮报价后，以最终报价（人民币价格）为准，</w:t>
      </w:r>
      <w:r>
        <w:rPr>
          <w:rFonts w:hint="eastAsia"/>
          <w:color w:val="auto"/>
          <w:sz w:val="22"/>
          <w:highlight w:val="none"/>
        </w:rPr>
        <w:t>所有报价单项同比例下浮。</w:t>
      </w:r>
    </w:p>
    <w:p>
      <w:pPr>
        <w:widowControl/>
        <w:autoSpaceDE w:val="0"/>
        <w:autoSpaceDN w:val="0"/>
        <w:snapToGrid w:val="0"/>
        <w:spacing w:line="420" w:lineRule="exact"/>
        <w:ind w:firstLine="440"/>
        <w:jc w:val="left"/>
        <w:rPr>
          <w:rFonts w:hint="eastAsia" w:ascii="宋体" w:hAnsi="宋体" w:cs="宋体"/>
          <w:b/>
          <w:color w:val="auto"/>
          <w:sz w:val="22"/>
          <w:highlight w:val="none"/>
        </w:rPr>
      </w:pPr>
      <w:r>
        <w:rPr>
          <w:rFonts w:hint="eastAsia" w:ascii="宋体" w:hAnsi="宋体" w:cs="宋体"/>
          <w:color w:val="auto"/>
          <w:sz w:val="22"/>
          <w:highlight w:val="none"/>
        </w:rPr>
        <w:t>3.4供应商应考虑企业自身实力、经验及项目实施过程中的各种因素，根据采购说明，详细说明所能提供的各项具体服务内容，自主确定投标价。</w:t>
      </w:r>
    </w:p>
    <w:p>
      <w:pPr>
        <w:widowControl/>
        <w:snapToGrid w:val="0"/>
        <w:spacing w:line="400" w:lineRule="exact"/>
        <w:ind w:firstLine="442" w:firstLineChars="200"/>
        <w:jc w:val="left"/>
        <w:rPr>
          <w:rFonts w:hint="eastAsia" w:ascii="宋体" w:hAnsi="宋体" w:cs="宋体"/>
          <w:b/>
          <w:bCs w:val="0"/>
          <w:color w:val="auto"/>
          <w:sz w:val="22"/>
          <w:highlight w:val="none"/>
        </w:rPr>
      </w:pPr>
      <w:r>
        <w:rPr>
          <w:rFonts w:hint="eastAsia" w:ascii="宋体" w:hAnsi="宋体" w:cs="宋体"/>
          <w:b/>
          <w:color w:val="auto"/>
          <w:sz w:val="22"/>
          <w:highlight w:val="none"/>
        </w:rPr>
        <w:t>3.5</w:t>
      </w:r>
      <w:r>
        <w:rPr>
          <w:rFonts w:ascii="新宋体" w:hAnsi="新宋体" w:eastAsia="新宋体"/>
          <w:b/>
          <w:color w:val="auto"/>
          <w:sz w:val="22"/>
          <w:highlight w:val="none"/>
        </w:rPr>
        <w:t>投标报价是指磋商供应商为正确地完全履行采购内容及要求的价格体现，包括了本项目</w:t>
      </w:r>
      <w:r>
        <w:rPr>
          <w:rFonts w:hint="eastAsia" w:ascii="新宋体" w:hAnsi="新宋体" w:eastAsia="新宋体"/>
          <w:b/>
          <w:color w:val="auto"/>
          <w:sz w:val="22"/>
          <w:highlight w:val="none"/>
        </w:rPr>
        <w:t>提供服务的</w:t>
      </w:r>
      <w:r>
        <w:rPr>
          <w:rFonts w:hint="eastAsia"/>
          <w:b/>
          <w:color w:val="auto"/>
          <w:sz w:val="22"/>
          <w:highlight w:val="none"/>
        </w:rPr>
        <w:t>所有人工费、所需肥料、器材费、机械</w:t>
      </w:r>
      <w:r>
        <w:rPr>
          <w:rFonts w:hint="eastAsia"/>
          <w:b/>
          <w:color w:val="auto"/>
          <w:sz w:val="22"/>
          <w:highlight w:val="none"/>
          <w:lang w:val="en-US" w:eastAsia="zh-CN"/>
        </w:rPr>
        <w:t>费</w:t>
      </w:r>
      <w:r>
        <w:rPr>
          <w:rFonts w:hint="eastAsia"/>
          <w:b/>
          <w:color w:val="auto"/>
          <w:sz w:val="22"/>
          <w:highlight w:val="none"/>
          <w:lang w:eastAsia="zh-CN"/>
        </w:rPr>
        <w:t>、</w:t>
      </w:r>
      <w:r>
        <w:rPr>
          <w:rFonts w:hint="eastAsia"/>
          <w:b/>
          <w:color w:val="auto"/>
          <w:sz w:val="22"/>
          <w:highlight w:val="none"/>
        </w:rPr>
        <w:t>随机工具、随机附件、运输费、</w:t>
      </w:r>
      <w:r>
        <w:rPr>
          <w:rFonts w:hint="eastAsia"/>
          <w:b/>
          <w:color w:val="auto"/>
          <w:sz w:val="22"/>
          <w:highlight w:val="none"/>
          <w:lang w:val="en-US" w:eastAsia="zh-CN"/>
        </w:rPr>
        <w:t>存储费、履约</w:t>
      </w:r>
      <w:r>
        <w:rPr>
          <w:rFonts w:hint="eastAsia"/>
          <w:b/>
          <w:color w:val="auto"/>
          <w:sz w:val="22"/>
          <w:highlight w:val="none"/>
        </w:rPr>
        <w:t>验收费</w:t>
      </w:r>
      <w:r>
        <w:rPr>
          <w:rFonts w:hint="eastAsia"/>
          <w:b/>
          <w:bCs/>
          <w:color w:val="auto"/>
          <w:sz w:val="22"/>
          <w:highlight w:val="none"/>
          <w:lang w:val="en-US" w:eastAsia="zh-CN"/>
        </w:rPr>
        <w:t>、</w:t>
      </w:r>
      <w:r>
        <w:rPr>
          <w:rFonts w:ascii="新宋体" w:hAnsi="新宋体" w:eastAsia="新宋体"/>
          <w:b/>
          <w:color w:val="auto"/>
          <w:sz w:val="22"/>
          <w:highlight w:val="none"/>
        </w:rPr>
        <w:t>利润、税费、采购代理服务费等完成本项目所需的一切本身和不可或缺的所有工作开支、政策性文件规定及合同包含的所有风险、责任等各项全部费用</w:t>
      </w:r>
      <w:r>
        <w:rPr>
          <w:b/>
          <w:color w:val="auto"/>
          <w:sz w:val="22"/>
          <w:highlight w:val="none"/>
        </w:rPr>
        <w:t>。供应商在投标报价中应充分考虑所有可能发生的费用，否则采购人将视投标总价中已包括所有费用</w:t>
      </w:r>
      <w:r>
        <w:rPr>
          <w:rFonts w:hint="eastAsia"/>
          <w:b/>
          <w:color w:val="auto"/>
          <w:sz w:val="22"/>
          <w:highlight w:val="none"/>
          <w:lang w:eastAsia="zh-CN"/>
        </w:rPr>
        <w:t>，</w:t>
      </w:r>
      <w:r>
        <w:rPr>
          <w:rFonts w:hint="eastAsia"/>
          <w:b/>
          <w:bCs w:val="0"/>
          <w:color w:val="auto"/>
          <w:sz w:val="22"/>
          <w:szCs w:val="22"/>
          <w:highlight w:val="none"/>
        </w:rPr>
        <w:t>采购人不再另外支付其他费用</w:t>
      </w:r>
      <w:r>
        <w:rPr>
          <w:b/>
          <w:bCs w:val="0"/>
          <w:color w:val="auto"/>
          <w:sz w:val="22"/>
          <w:highlight w:val="none"/>
        </w:rPr>
        <w:t>。</w:t>
      </w:r>
    </w:p>
    <w:p>
      <w:pPr>
        <w:widowControl/>
        <w:autoSpaceDE w:val="0"/>
        <w:autoSpaceDN w:val="0"/>
        <w:snapToGrid w:val="0"/>
        <w:spacing w:line="400" w:lineRule="exact"/>
        <w:ind w:firstLine="442"/>
        <w:jc w:val="left"/>
        <w:rPr>
          <w:rFonts w:hint="eastAsia" w:ascii="宋体" w:hAnsi="宋体" w:cs="宋体"/>
          <w:color w:val="auto"/>
          <w:sz w:val="22"/>
          <w:highlight w:val="none"/>
          <w:u w:val="single"/>
        </w:rPr>
      </w:pPr>
      <w:r>
        <w:rPr>
          <w:rFonts w:hint="eastAsia" w:ascii="宋体" w:hAnsi="宋体" w:cs="宋体"/>
          <w:b/>
          <w:color w:val="auto"/>
          <w:sz w:val="22"/>
          <w:highlight w:val="none"/>
          <w:u w:val="single"/>
        </w:rPr>
        <w:t>供应商应综合考虑后报价，供应商须注意报价风险。</w:t>
      </w:r>
    </w:p>
    <w:p>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4、磋商响应文件的有效期</w:t>
      </w:r>
    </w:p>
    <w:p>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4.1自报价日起90天内，磋商响应文件应保持有效。有效期短于这个规定期限的报价将被拒绝。</w:t>
      </w:r>
    </w:p>
    <w:p>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4.2在特殊情况下，采购代理机构可与供应商协商延长磋商响应文件的有效期，这种要求和答复均应以书面形式进行。</w:t>
      </w:r>
    </w:p>
    <w:p>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4.3供应商可拒绝接受延期要求。同意延长有效期的供应商不能修改磋商响应文件。</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5、磋商响应文件的修改和撤回</w:t>
      </w:r>
    </w:p>
    <w:p>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磋商响应截止时间后，供应商不得撤回、修改《响应文件》。磋商响应截止时间后，磋商供应商在《响应文件》有效期内强行撤回（撤销）其响应文件的，采购人将对其失信行为上报至同级政府采购监督管理部门依法处理。</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6、响应文件的上传和递交</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 1“响应文件”的上传、递交：见磋商通知（邀 请）书。</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6.2 “电子加密响应文件”解密和异常情况处理</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6.2.1“电子加密响应文件”解密：见磋商通知（邀 请）书</w:t>
      </w:r>
    </w:p>
    <w:p>
      <w:pPr>
        <w:widowControl/>
        <w:snapToGrid w:val="0"/>
        <w:spacing w:line="420" w:lineRule="exact"/>
        <w:ind w:firstLine="504"/>
        <w:jc w:val="left"/>
        <w:rPr>
          <w:rFonts w:hint="eastAsia" w:ascii="宋体" w:hAnsi="宋体" w:cs="宋体"/>
          <w:color w:val="auto"/>
          <w:sz w:val="22"/>
          <w:highlight w:val="none"/>
        </w:rPr>
      </w:pPr>
      <w:bookmarkStart w:id="3" w:name="_Toc30408905"/>
      <w:r>
        <w:rPr>
          <w:rFonts w:hint="eastAsia" w:ascii="宋体" w:hAnsi="宋体" w:cs="宋体"/>
          <w:color w:val="auto"/>
          <w:sz w:val="22"/>
          <w:highlight w:val="none"/>
        </w:rPr>
        <w:t>五、磋商</w:t>
      </w:r>
      <w:bookmarkEnd w:id="3"/>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5.1 磋商时间、地点</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5.1.1磋商时间：见磋商通知（邀 请）书。</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5.1.2磋商地点：见磋商通知（邀 请）书。</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采购组织机构将按照采购文件规定的时间通过“政府采购云平台”组织磋商、开启响应文件，所有供应商均应当准时在线参加。</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5.2 磋商准备</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5.2.1磋商的准备工作由采购组织机构负责落实；</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5.3 磋商流程（两阶段）</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5.3.1磋商会议第一阶段</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（2）响应文件解密结束后，开启响应文件。进入“开标记录”环节，采购代理机构在线检查供应商是否符合开标情况。</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（3）在开标过程中，如磋商小组对磋商响应文件有疑问，磋商小组组长将组员的询标内容汇总后，发起询标函（在线询标），供应商应在“澄清截止时间”内作出澄清，上传“澄清函”。</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（4）资格审查。采购人或采购代理机构对各个磋商供应商在线资格审查；</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（5）符合性评审。磋商小组对磋商响应文件有效性、完整性和对磋商文件的响应性进行审查，并在线录入符合性审查的最终结果。</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（6）商务技术评分。磋商小组对各有效的磋商供应商进行在线商务技术评分。评分结束后，将在线进行商务技术评分汇总。</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（7）第一阶段磋商结束。</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5.3.2磋商会议第二阶段</w:t>
      </w:r>
    </w:p>
    <w:p>
      <w:pPr>
        <w:widowControl/>
        <w:numPr>
          <w:ilvl w:val="0"/>
          <w:numId w:val="8"/>
        </w:numPr>
        <w:snapToGrid w:val="0"/>
        <w:spacing w:line="420" w:lineRule="exact"/>
        <w:ind w:firstLine="504"/>
        <w:jc w:val="left"/>
        <w:rPr>
          <w:rFonts w:hint="eastAsia"/>
          <w:color w:val="auto"/>
          <w:sz w:val="22"/>
          <w:highlight w:val="none"/>
        </w:rPr>
      </w:pPr>
      <w:r>
        <w:rPr>
          <w:rFonts w:hint="eastAsia"/>
          <w:color w:val="auto"/>
          <w:sz w:val="22"/>
          <w:highlight w:val="none"/>
        </w:rPr>
        <w:t>商务技术评审结束后，开启第一次报价</w:t>
      </w:r>
      <w:r>
        <w:rPr>
          <w:color w:val="auto"/>
          <w:sz w:val="22"/>
          <w:highlight w:val="none"/>
        </w:rPr>
        <w:t>供应商签字确认</w:t>
      </w:r>
      <w:r>
        <w:rPr>
          <w:rFonts w:hint="eastAsia"/>
          <w:color w:val="auto"/>
          <w:sz w:val="22"/>
          <w:highlight w:val="none"/>
        </w:rPr>
        <w:t>阶段，10分钟内未确认的</w:t>
      </w:r>
      <w:r>
        <w:rPr>
          <w:color w:val="auto"/>
          <w:sz w:val="22"/>
          <w:highlight w:val="none"/>
        </w:rPr>
        <w:t>视为无异议</w:t>
      </w:r>
      <w:r>
        <w:rPr>
          <w:rFonts w:hint="eastAsia"/>
          <w:color w:val="auto"/>
          <w:sz w:val="22"/>
          <w:highlight w:val="none"/>
        </w:rPr>
        <w:t>。</w:t>
      </w:r>
    </w:p>
    <w:p>
      <w:pPr>
        <w:widowControl/>
        <w:numPr>
          <w:ilvl w:val="0"/>
          <w:numId w:val="8"/>
        </w:numPr>
        <w:snapToGrid w:val="0"/>
        <w:spacing w:line="420" w:lineRule="exact"/>
        <w:ind w:firstLine="504"/>
        <w:jc w:val="left"/>
        <w:rPr>
          <w:rFonts w:hint="eastAsia"/>
          <w:color w:val="auto"/>
          <w:sz w:val="22"/>
          <w:highlight w:val="none"/>
        </w:rPr>
      </w:pPr>
      <w:r>
        <w:rPr>
          <w:rFonts w:hint="eastAsia"/>
          <w:color w:val="auto"/>
          <w:sz w:val="22"/>
          <w:highlight w:val="none"/>
        </w:rPr>
        <w:t>根据项目情况，开启“新一轮报价”。供应商在线参与报价，以最终报价为准，所有报价单项同比例下浮。供应商应关注报价时限。</w:t>
      </w:r>
    </w:p>
    <w:p>
      <w:pPr>
        <w:widowControl/>
        <w:snapToGrid w:val="0"/>
        <w:spacing w:line="420" w:lineRule="exact"/>
        <w:ind w:firstLine="504"/>
        <w:jc w:val="left"/>
        <w:rPr>
          <w:color w:val="auto"/>
          <w:sz w:val="22"/>
          <w:highlight w:val="none"/>
        </w:rPr>
      </w:pPr>
      <w:r>
        <w:rPr>
          <w:rFonts w:hint="eastAsia"/>
          <w:color w:val="auto"/>
          <w:sz w:val="22"/>
          <w:highlight w:val="none"/>
        </w:rPr>
        <w:t>（3）多轮报价结束后，进入在线“报价评审”，计算各磋商供应商的报价得分；</w:t>
      </w:r>
    </w:p>
    <w:p>
      <w:pPr>
        <w:widowControl/>
        <w:snapToGrid w:val="0"/>
        <w:spacing w:line="420" w:lineRule="exact"/>
        <w:ind w:firstLine="504"/>
        <w:jc w:val="left"/>
        <w:rPr>
          <w:color w:val="auto"/>
          <w:sz w:val="22"/>
          <w:highlight w:val="none"/>
        </w:rPr>
      </w:pPr>
      <w:r>
        <w:rPr>
          <w:rFonts w:hint="eastAsia"/>
          <w:color w:val="auto"/>
          <w:sz w:val="22"/>
          <w:highlight w:val="none"/>
        </w:rPr>
        <w:t>（4）得分汇总。汇总各磋商供应商的总得分情况。</w:t>
      </w:r>
    </w:p>
    <w:p>
      <w:pPr>
        <w:widowControl/>
        <w:snapToGrid w:val="0"/>
        <w:spacing w:line="420" w:lineRule="exact"/>
        <w:ind w:firstLine="504"/>
        <w:jc w:val="left"/>
        <w:rPr>
          <w:rFonts w:hint="eastAsia" w:ascii="宋体" w:hAnsi="宋体" w:cs="宋体"/>
          <w:color w:val="auto"/>
          <w:sz w:val="22"/>
          <w:highlight w:val="none"/>
        </w:rPr>
      </w:pPr>
      <w:r>
        <w:rPr>
          <w:rFonts w:hint="eastAsia"/>
          <w:color w:val="auto"/>
          <w:sz w:val="22"/>
          <w:highlight w:val="none"/>
        </w:rPr>
        <w:t>（5）结果公布。</w:t>
      </w:r>
    </w:p>
    <w:p>
      <w:pPr>
        <w:widowControl/>
        <w:snapToGrid w:val="0"/>
        <w:spacing w:line="420" w:lineRule="exact"/>
        <w:ind w:firstLine="504"/>
        <w:jc w:val="left"/>
        <w:rPr>
          <w:rFonts w:hint="eastAsia" w:ascii="宋体" w:hAnsi="宋体" w:cs="宋体"/>
          <w:b/>
          <w:bCs/>
          <w:color w:val="auto"/>
          <w:sz w:val="22"/>
          <w:highlight w:val="none"/>
        </w:rPr>
      </w:pPr>
      <w:r>
        <w:rPr>
          <w:rFonts w:hint="eastAsia" w:ascii="宋体" w:hAnsi="宋体" w:cs="宋体"/>
          <w:b/>
          <w:bCs/>
          <w:color w:val="auto"/>
          <w:sz w:val="22"/>
          <w:highlight w:val="none"/>
        </w:rPr>
        <w:t>特别说明：①如遇“政府采购云平台”电子化招标或评审程序调整的，按调整后程序执行。</w:t>
      </w:r>
    </w:p>
    <w:p>
      <w:pPr>
        <w:pStyle w:val="19"/>
        <w:ind w:firstLine="1540" w:firstLineChars="700"/>
        <w:rPr>
          <w:rFonts w:hint="eastAsia"/>
          <w:color w:val="auto"/>
          <w:highlight w:val="none"/>
        </w:rPr>
      </w:pPr>
      <w:r>
        <w:rPr>
          <w:rFonts w:hint="eastAsia" w:ascii="Times New Roman" w:hAnsi="Times New Roman" w:eastAsia="宋体" w:cs="Times New Roman"/>
          <w:b w:val="0"/>
          <w:color w:val="auto"/>
          <w:kern w:val="2"/>
          <w:sz w:val="22"/>
          <w:szCs w:val="24"/>
          <w:highlight w:val="none"/>
        </w:rPr>
        <w:t>②所有实质性响应的供应商在新一轮报价开启后在规定时间内提交最后报价，若未在规定时间内提交，后果由供应商自行承担</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六、磋商供应商资格审查</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6.3有下列情形之一的，资格审查不通过，视为无效投标，并不再将其投标提交磋商小组进行后续评审：</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1）未按采购文件“资格文件”要求提交资格证明文件的；</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2）提供的资格证明文件不符合采购文件要求或提供虚假资格证明文件的；</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3）资格证明文件未按采购文件要求加盖供应商单位盖章、签字的；</w:t>
      </w:r>
    </w:p>
    <w:p>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4）资格证明文件过了有效期的或未按有关规定年审合格的。</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七、评审</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7.1 评审工作的组织</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采购人或采购代理机构负责组织本项目的评审工作，并依据《政府采购法》及相关法律法规规定履行职责。</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7.2 磋商小组的组建</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7.2.1磋商小组由采购人或采购代理机构依法组建，成员包括采购人代表和评审专家，成员人数为三人或以上单数，其中评审专家不少于成员总数的三分之二。</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7.2.2磋商小组成员名单在评审结果（采购结果）公告前保密。</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7.3 磋商小组的职责</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7.3.1磋商小组负责具体评审事务，并独立履行下列职责：</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（1）审查、评价响应文件是否符合采购文件的商务、技术等实质性要求；</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（2）要求磋商供应商对响应文件有关事项作出澄清或者说明；</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（3）对响应文件进行比较和评价；</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（4）确定成交候选人名单，以及根据采购人委托直接确定成交人；</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（5）向采购人、采购代理机构或者有关部门报告评审中发现的违法行为。</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7.4 评审原则</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7.4.1评审原则：磋商小组按照客观、公正、审慎、择优的原则，根据采购文件规定的评审程序、评审方法和评审标准进行独立评审。</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7.4.2评审工作将依据采购文件、响应文件及采购文件中事先已列明的内容进行（如现场方案讲解、演示、样品等）。</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7.5 评审意见的争议处理</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磋商小组成员对需要共同认定的事项存在争议的，按照少数服从多数的原则作出结论。持不同意见的磋商小组成员应当在评审报告上签署不同意见及理由，否则视为同意评审报告。</w:t>
      </w:r>
    </w:p>
    <w:p>
      <w:pPr>
        <w:pStyle w:val="2"/>
        <w:adjustRightInd w:val="0"/>
        <w:spacing w:line="360" w:lineRule="auto"/>
        <w:ind w:firstLine="477" w:firstLineChars="216"/>
        <w:rPr>
          <w:rFonts w:hint="eastAsia" w:hAnsi="宋体"/>
          <w:b/>
          <w:bCs/>
          <w:color w:val="auto"/>
          <w:sz w:val="22"/>
          <w:highlight w:val="none"/>
          <w:lang w:val="en-US" w:eastAsia="zh-CN"/>
        </w:rPr>
      </w:pPr>
      <w:r>
        <w:rPr>
          <w:rFonts w:hint="eastAsia" w:hAnsi="宋体"/>
          <w:b/>
          <w:bCs/>
          <w:color w:val="auto"/>
          <w:sz w:val="22"/>
          <w:highlight w:val="none"/>
          <w:lang w:val="en-US" w:eastAsia="zh-CN"/>
        </w:rPr>
        <w:t>7.5.1投标报价</w:t>
      </w:r>
    </w:p>
    <w:p>
      <w:pPr>
        <w:pStyle w:val="2"/>
        <w:adjustRightInd w:val="0"/>
        <w:spacing w:line="360" w:lineRule="auto"/>
        <w:ind w:firstLine="477" w:firstLineChars="216"/>
        <w:rPr>
          <w:rFonts w:hint="eastAsia" w:hAnsi="宋体"/>
          <w:b/>
          <w:bCs/>
          <w:color w:val="auto"/>
          <w:sz w:val="22"/>
          <w:highlight w:val="none"/>
          <w:lang w:val="en-US" w:eastAsia="zh-CN"/>
        </w:rPr>
      </w:pPr>
      <w:r>
        <w:rPr>
          <w:rFonts w:hint="eastAsia" w:hAnsi="宋体"/>
          <w:b/>
          <w:bCs/>
          <w:color w:val="auto"/>
          <w:sz w:val="22"/>
          <w:highlight w:val="none"/>
          <w:lang w:val="en-US" w:eastAsia="zh-CN"/>
        </w:rPr>
        <w:t>供应商应按采购文件中《开标一览表》填写报价。供应商在线制作响应文件时《开标一览表（初次报价表）》中填写的金额与解密后“电子加密响应文件”中《开标一览表（初次报价表）》填写的金额不一致的，以解密后“电子加密响应文件”中《开标一览表（初次报价表）》填写的金额为准，若磋商供应商拒绝接受此调整的，按无效响应处理。</w:t>
      </w:r>
    </w:p>
    <w:p>
      <w:pPr>
        <w:pStyle w:val="2"/>
        <w:adjustRightInd w:val="0"/>
        <w:spacing w:line="360" w:lineRule="auto"/>
        <w:ind w:firstLine="477" w:firstLineChars="216"/>
        <w:rPr>
          <w:rFonts w:hAnsi="宋体"/>
          <w:b/>
          <w:bCs/>
          <w:color w:val="auto"/>
          <w:sz w:val="22"/>
          <w:highlight w:val="none"/>
        </w:rPr>
      </w:pPr>
      <w:r>
        <w:rPr>
          <w:rFonts w:hint="eastAsia" w:hAnsi="宋体"/>
          <w:b/>
          <w:bCs/>
          <w:color w:val="auto"/>
          <w:sz w:val="22"/>
          <w:highlight w:val="none"/>
          <w:lang w:val="en-US" w:eastAsia="zh-CN"/>
        </w:rPr>
        <w:t xml:space="preserve">7.5.2 </w:t>
      </w:r>
      <w:r>
        <w:rPr>
          <w:rFonts w:hint="eastAsia" w:hAnsi="宋体"/>
          <w:b/>
          <w:bCs/>
          <w:color w:val="auto"/>
          <w:sz w:val="22"/>
          <w:highlight w:val="none"/>
          <w:lang w:eastAsia="zh-CN"/>
        </w:rPr>
        <w:t>磋商响应文件</w:t>
      </w:r>
      <w:r>
        <w:rPr>
          <w:rFonts w:hint="eastAsia" w:hAnsi="宋体"/>
          <w:b/>
          <w:bCs/>
          <w:color w:val="auto"/>
          <w:sz w:val="22"/>
          <w:highlight w:val="none"/>
        </w:rPr>
        <w:t>的错误修正</w:t>
      </w:r>
    </w:p>
    <w:p>
      <w:pPr>
        <w:pStyle w:val="2"/>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7.</w:t>
      </w:r>
      <w:r>
        <w:rPr>
          <w:rFonts w:hint="eastAsia" w:hAnsi="宋体" w:cs="Arial"/>
          <w:color w:val="auto"/>
          <w:kern w:val="0"/>
          <w:sz w:val="22"/>
          <w:highlight w:val="none"/>
          <w:lang w:val="en-US" w:eastAsia="zh-CN"/>
        </w:rPr>
        <w:t>5.2.1</w:t>
      </w:r>
      <w:r>
        <w:rPr>
          <w:rFonts w:hint="eastAsia" w:hAnsi="宋体" w:cs="Arial"/>
          <w:color w:val="auto"/>
          <w:kern w:val="0"/>
          <w:sz w:val="22"/>
          <w:highlight w:val="none"/>
          <w:lang w:eastAsia="zh-CN"/>
        </w:rPr>
        <w:t>响应文件</w:t>
      </w:r>
      <w:r>
        <w:rPr>
          <w:rFonts w:hAnsi="宋体" w:cs="Arial"/>
          <w:color w:val="auto"/>
          <w:kern w:val="0"/>
          <w:sz w:val="22"/>
          <w:highlight w:val="none"/>
        </w:rPr>
        <w:t>如果出现计算或表达上的错误，修正错误的原则如下：</w:t>
      </w:r>
    </w:p>
    <w:p>
      <w:pPr>
        <w:pStyle w:val="2"/>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（1）</w:t>
      </w:r>
      <w:r>
        <w:rPr>
          <w:rFonts w:hint="eastAsia" w:hAnsi="宋体" w:cs="Arial"/>
          <w:color w:val="auto"/>
          <w:kern w:val="0"/>
          <w:sz w:val="22"/>
          <w:highlight w:val="none"/>
          <w:lang w:eastAsia="zh-CN"/>
        </w:rPr>
        <w:t>响应文件</w:t>
      </w:r>
      <w:r>
        <w:rPr>
          <w:rFonts w:hint="eastAsia" w:hAnsi="宋体" w:cs="Arial"/>
          <w:color w:val="auto"/>
          <w:kern w:val="0"/>
          <w:sz w:val="22"/>
          <w:highlight w:val="none"/>
        </w:rPr>
        <w:t>中</w:t>
      </w:r>
      <w:r>
        <w:rPr>
          <w:rFonts w:hAnsi="宋体" w:cs="Arial"/>
          <w:color w:val="auto"/>
          <w:kern w:val="0"/>
          <w:sz w:val="22"/>
          <w:highlight w:val="none"/>
        </w:rPr>
        <w:t>开标一览表</w:t>
      </w:r>
      <w:r>
        <w:rPr>
          <w:rFonts w:hint="eastAsia" w:hAnsi="宋体" w:cs="Arial"/>
          <w:color w:val="auto"/>
          <w:kern w:val="0"/>
          <w:sz w:val="22"/>
          <w:highlight w:val="none"/>
        </w:rPr>
        <w:t>（报价表）内容</w:t>
      </w:r>
      <w:r>
        <w:rPr>
          <w:rFonts w:hAnsi="宋体" w:cs="Arial"/>
          <w:color w:val="auto"/>
          <w:kern w:val="0"/>
          <w:sz w:val="22"/>
          <w:highlight w:val="none"/>
        </w:rPr>
        <w:t>与</w:t>
      </w:r>
      <w:r>
        <w:rPr>
          <w:rFonts w:hint="eastAsia" w:hAnsi="宋体" w:cs="Arial"/>
          <w:color w:val="auto"/>
          <w:kern w:val="0"/>
          <w:sz w:val="22"/>
          <w:highlight w:val="none"/>
          <w:lang w:eastAsia="zh-CN"/>
        </w:rPr>
        <w:t>响应文件</w:t>
      </w:r>
      <w:r>
        <w:rPr>
          <w:rFonts w:hint="eastAsia" w:hAnsi="宋体" w:cs="Arial"/>
          <w:color w:val="auto"/>
          <w:kern w:val="0"/>
          <w:sz w:val="22"/>
          <w:highlight w:val="none"/>
        </w:rPr>
        <w:t>中相应内容不一致的</w:t>
      </w:r>
      <w:r>
        <w:rPr>
          <w:rFonts w:hAnsi="宋体" w:cs="Arial"/>
          <w:color w:val="auto"/>
          <w:kern w:val="0"/>
          <w:sz w:val="22"/>
          <w:highlight w:val="none"/>
        </w:rPr>
        <w:t>，以开标一览表</w:t>
      </w:r>
      <w:r>
        <w:rPr>
          <w:rFonts w:hint="eastAsia" w:hAnsi="宋体" w:cs="Arial"/>
          <w:color w:val="auto"/>
          <w:kern w:val="0"/>
          <w:sz w:val="22"/>
          <w:highlight w:val="none"/>
        </w:rPr>
        <w:t>（报价表）</w:t>
      </w:r>
      <w:r>
        <w:rPr>
          <w:rFonts w:hAnsi="宋体" w:cs="Arial"/>
          <w:color w:val="auto"/>
          <w:kern w:val="0"/>
          <w:sz w:val="22"/>
          <w:highlight w:val="none"/>
        </w:rPr>
        <w:t>为准。</w:t>
      </w:r>
    </w:p>
    <w:p>
      <w:pPr>
        <w:pStyle w:val="2"/>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（2）</w:t>
      </w:r>
      <w:r>
        <w:rPr>
          <w:rFonts w:hint="eastAsia" w:hAnsi="宋体" w:cs="Arial"/>
          <w:color w:val="auto"/>
          <w:kern w:val="0"/>
          <w:sz w:val="22"/>
          <w:highlight w:val="none"/>
          <w:lang w:eastAsia="zh-CN"/>
        </w:rPr>
        <w:t>响应文件</w:t>
      </w:r>
      <w:r>
        <w:rPr>
          <w:rFonts w:hAnsi="宋体" w:cs="Arial"/>
          <w:color w:val="auto"/>
          <w:kern w:val="0"/>
          <w:sz w:val="22"/>
          <w:highlight w:val="none"/>
        </w:rPr>
        <w:t>的大写金额和小写金额不一致的，以大写金额为准；</w:t>
      </w:r>
    </w:p>
    <w:p>
      <w:pPr>
        <w:pStyle w:val="2"/>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（3）单价金额小数点或者百分比有明显错位的，应以</w:t>
      </w:r>
      <w:r>
        <w:rPr>
          <w:rFonts w:hAnsi="宋体" w:cs="Arial"/>
          <w:color w:val="auto"/>
          <w:kern w:val="0"/>
          <w:sz w:val="22"/>
          <w:highlight w:val="none"/>
        </w:rPr>
        <w:t>开标一览表</w:t>
      </w:r>
      <w:r>
        <w:rPr>
          <w:rFonts w:hint="eastAsia" w:hAnsi="宋体" w:cs="Arial"/>
          <w:color w:val="auto"/>
          <w:kern w:val="0"/>
          <w:sz w:val="22"/>
          <w:highlight w:val="none"/>
        </w:rPr>
        <w:t>（报价表）的总价为准，并修改单价；</w:t>
      </w:r>
    </w:p>
    <w:p>
      <w:pPr>
        <w:pStyle w:val="2"/>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w:t>
      </w:r>
      <w:r>
        <w:rPr>
          <w:rFonts w:hint="eastAsia" w:hAnsi="宋体" w:cs="Arial"/>
          <w:color w:val="auto"/>
          <w:kern w:val="0"/>
          <w:sz w:val="22"/>
          <w:highlight w:val="none"/>
        </w:rPr>
        <w:t>4</w:t>
      </w:r>
      <w:r>
        <w:rPr>
          <w:rFonts w:hAnsi="宋体" w:cs="Arial"/>
          <w:color w:val="auto"/>
          <w:kern w:val="0"/>
          <w:sz w:val="22"/>
          <w:highlight w:val="none"/>
        </w:rPr>
        <w:t>）总价金额与按单价汇总金额不一致的，以单价金额计算结果为准</w:t>
      </w:r>
      <w:r>
        <w:rPr>
          <w:rFonts w:hint="eastAsia" w:hAnsi="宋体" w:cs="Arial"/>
          <w:color w:val="auto"/>
          <w:kern w:val="0"/>
          <w:sz w:val="22"/>
          <w:highlight w:val="none"/>
        </w:rPr>
        <w:t>。</w:t>
      </w:r>
    </w:p>
    <w:p>
      <w:pPr>
        <w:pStyle w:val="2"/>
        <w:adjustRightInd w:val="0"/>
        <w:spacing w:line="360" w:lineRule="auto"/>
        <w:ind w:firstLine="440" w:firstLineChars="20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同时出现两种以上不一致的，按照前款规定的顺序修正。修正后的报价应当以书面形式要求投标人作出必要的澄清、说明或者补正。经投标人确认后产生约束力，投标人不确认的，其投标无效。</w:t>
      </w:r>
    </w:p>
    <w:p>
      <w:pPr>
        <w:pStyle w:val="2"/>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7</w:t>
      </w:r>
      <w:r>
        <w:rPr>
          <w:rFonts w:hint="eastAsia" w:hAnsi="宋体" w:cs="Arial"/>
          <w:color w:val="auto"/>
          <w:kern w:val="0"/>
          <w:sz w:val="22"/>
          <w:highlight w:val="none"/>
          <w:lang w:val="en-US" w:eastAsia="zh-CN"/>
        </w:rPr>
        <w:t>.5.2.2</w:t>
      </w:r>
      <w:r>
        <w:rPr>
          <w:rFonts w:hAnsi="宋体" w:cs="Arial"/>
          <w:color w:val="auto"/>
          <w:kern w:val="0"/>
          <w:sz w:val="22"/>
          <w:highlight w:val="none"/>
        </w:rPr>
        <w:t>对不同文字文本的解释发生异议的，以中文文本为准。</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7.6 评委纪律</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7.7 评审方法和标准</w:t>
      </w:r>
    </w:p>
    <w:p>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磋商小组将按照采购文件中事先规定的评审方法和标准，对符合性审查合格的响应文件进行商务和技术的评估、综合比较与评价。详细评审方法和标准见本采购文件第七章《评审办法》。</w:t>
      </w:r>
    </w:p>
    <w:p>
      <w:pPr>
        <w:widowControl/>
        <w:snapToGrid w:val="0"/>
        <w:spacing w:line="420" w:lineRule="exact"/>
        <w:ind w:firstLine="442"/>
        <w:jc w:val="left"/>
        <w:rPr>
          <w:rFonts w:hint="eastAsia" w:ascii="宋体" w:hAnsi="宋体" w:cs="宋体"/>
          <w:b/>
          <w:color w:val="auto"/>
          <w:sz w:val="22"/>
          <w:highlight w:val="none"/>
          <w:u w:val="single"/>
        </w:rPr>
      </w:pPr>
      <w:r>
        <w:rPr>
          <w:rFonts w:hint="eastAsia" w:ascii="宋体" w:hAnsi="宋体" w:cs="宋体"/>
          <w:b/>
          <w:color w:val="auto"/>
          <w:sz w:val="22"/>
          <w:highlight w:val="none"/>
        </w:rPr>
        <w:t>7.8、</w:t>
      </w:r>
      <w:r>
        <w:rPr>
          <w:rFonts w:hint="eastAsia" w:ascii="宋体" w:hAnsi="宋体" w:cs="宋体"/>
          <w:b/>
          <w:color w:val="auto"/>
          <w:sz w:val="22"/>
          <w:highlight w:val="none"/>
          <w:u w:val="single"/>
        </w:rPr>
        <w:t>▲磋商采购小组发现磋商响应文件有下列情形之一的属于重大偏差(磋商采购小组按少数服从多数原则认定),按照无效投标处理：</w:t>
      </w:r>
    </w:p>
    <w:p>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1）未按采购文件要求编制或字迹模糊、辨认不清的磋商响应文件；</w:t>
      </w:r>
    </w:p>
    <w:p>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2）没有按采购文件格式要求加盖有效公章、无法定代表人（或授权代表）签字（或印章）（具体格式见采购文件附件—磋商响应文件格式）；</w:t>
      </w:r>
    </w:p>
    <w:p>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3）明显不符合技术标准要求或不满足采购文件技术要求的磋商响应文件，经磋商后供应商拒绝修正的；</w:t>
      </w:r>
    </w:p>
    <w:p>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4）磋商响应文件附有采购人不能接受的条款，经磋商后供应商拒绝修正的；</w:t>
      </w:r>
    </w:p>
    <w:p>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5）不符合采购文件中规定的实质性要求的磋商响应文件，经磋商后供应商拒绝修正的（是否为偏离实质性要求由磋商小组认定）；</w:t>
      </w:r>
    </w:p>
    <w:p>
      <w:pPr>
        <w:widowControl/>
        <w:snapToGrid w:val="0"/>
        <w:spacing w:line="400" w:lineRule="exact"/>
        <w:ind w:firstLine="431"/>
        <w:jc w:val="left"/>
        <w:rPr>
          <w:rFonts w:hint="eastAsia" w:ascii="宋体" w:hAnsi="宋体" w:eastAsia="宋体" w:cs="宋体"/>
          <w:b/>
          <w:bCs/>
          <w:color w:val="auto"/>
          <w:sz w:val="22"/>
          <w:highlight w:val="none"/>
          <w:lang w:eastAsia="zh-CN"/>
        </w:rPr>
      </w:pPr>
      <w:r>
        <w:rPr>
          <w:rFonts w:hint="eastAsia" w:ascii="宋体" w:hAnsi="宋体" w:cs="宋体"/>
          <w:color w:val="auto"/>
          <w:sz w:val="22"/>
          <w:highlight w:val="none"/>
        </w:rPr>
        <w:t>6）</w:t>
      </w:r>
      <w:r>
        <w:rPr>
          <w:rFonts w:hint="eastAsia" w:ascii="宋体" w:hAnsi="宋体" w:cs="宋体"/>
          <w:b/>
          <w:bCs/>
          <w:color w:val="auto"/>
          <w:sz w:val="22"/>
          <w:highlight w:val="none"/>
        </w:rPr>
        <w:t>评审时，磋商小组认为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r>
        <w:rPr>
          <w:rFonts w:hint="eastAsia" w:ascii="宋体" w:hAnsi="宋体" w:cs="宋体"/>
          <w:b/>
          <w:bCs/>
          <w:color w:val="auto"/>
          <w:sz w:val="22"/>
          <w:highlight w:val="none"/>
          <w:lang w:eastAsia="zh-CN"/>
        </w:rPr>
        <w:t>；</w:t>
      </w:r>
    </w:p>
    <w:p>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7）存在串标、抬标或弄虚作假情况的；</w:t>
      </w:r>
    </w:p>
    <w:p>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8）其他经磋商小组认定的未能在实质上响应的或违反国家有关规定的磋商响应文件；</w:t>
      </w:r>
    </w:p>
    <w:p>
      <w:pPr>
        <w:widowControl/>
        <w:snapToGrid w:val="0"/>
        <w:spacing w:line="420" w:lineRule="exact"/>
        <w:ind w:firstLine="442"/>
        <w:jc w:val="left"/>
        <w:rPr>
          <w:rFonts w:hint="eastAsia" w:ascii="宋体" w:hAnsi="宋体" w:cs="宋体"/>
          <w:b/>
          <w:color w:val="auto"/>
          <w:sz w:val="22"/>
          <w:highlight w:val="none"/>
          <w:u w:val="single"/>
        </w:rPr>
      </w:pPr>
      <w:r>
        <w:rPr>
          <w:rFonts w:hint="eastAsia" w:ascii="宋体" w:hAnsi="宋体" w:cs="宋体"/>
          <w:b/>
          <w:color w:val="auto"/>
          <w:sz w:val="22"/>
          <w:highlight w:val="none"/>
          <w:u w:val="single"/>
        </w:rPr>
        <w:t>7.9本次采购，所有供应商最终报价均超出采购预算金额，采购人不能确认支付的，本次采购做流标处理。</w:t>
      </w:r>
    </w:p>
    <w:p>
      <w:pPr>
        <w:widowControl/>
        <w:snapToGrid w:val="0"/>
        <w:spacing w:line="420" w:lineRule="exact"/>
        <w:ind w:firstLine="433"/>
        <w:jc w:val="left"/>
        <w:rPr>
          <w:rFonts w:hint="eastAsia" w:ascii="宋体" w:hAnsi="宋体" w:cs="宋体"/>
          <w:b/>
          <w:color w:val="auto"/>
          <w:sz w:val="22"/>
          <w:highlight w:val="none"/>
          <w:u w:val="single"/>
        </w:rPr>
      </w:pPr>
      <w:r>
        <w:rPr>
          <w:rFonts w:hint="eastAsia" w:ascii="宋体" w:hAnsi="宋体" w:cs="宋体"/>
          <w:b/>
          <w:color w:val="auto"/>
          <w:sz w:val="22"/>
          <w:highlight w:val="none"/>
          <w:u w:val="single"/>
        </w:rPr>
        <w:t>7.10本次采购，如果经过磋商后供应商的付款方式或完工期出现负偏差的，则该供应商磋商响应文件按无效处理。</w:t>
      </w:r>
    </w:p>
    <w:p>
      <w:pPr>
        <w:adjustRightInd w:val="0"/>
        <w:snapToGrid w:val="0"/>
        <w:spacing w:line="42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7.11可中止电子交易活动的情形</w:t>
      </w:r>
    </w:p>
    <w:p>
      <w:pPr>
        <w:adjustRightInd w:val="0"/>
        <w:snapToGrid w:val="0"/>
        <w:spacing w:line="42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1）电子交易平台发生故障而无法登录访问的；</w:t>
      </w:r>
    </w:p>
    <w:p>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2）电子交易平台应用或数据库出现错误，不能进行正常操作的；</w:t>
      </w:r>
    </w:p>
    <w:p>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3）电子交易平台发现严重安全漏洞，有潜在泄密危险的；</w:t>
      </w:r>
    </w:p>
    <w:p>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4）病毒发作导致不能进行正常操作的；</w:t>
      </w:r>
    </w:p>
    <w:p>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5）其他无法保证电子交易的公平、公正和安全的情况。</w:t>
      </w:r>
    </w:p>
    <w:p>
      <w:pPr>
        <w:widowControl/>
        <w:snapToGrid w:val="0"/>
        <w:spacing w:line="420" w:lineRule="exact"/>
        <w:ind w:firstLine="442" w:firstLineChars="200"/>
        <w:jc w:val="left"/>
        <w:rPr>
          <w:rFonts w:hint="eastAsia" w:ascii="宋体" w:hAnsi="宋体" w:cs="宋体"/>
          <w:color w:val="auto"/>
          <w:sz w:val="22"/>
          <w:highlight w:val="none"/>
        </w:rPr>
      </w:pPr>
      <w:r>
        <w:rPr>
          <w:rFonts w:hint="eastAsia" w:ascii="宋体" w:hAnsi="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keepNext w:val="0"/>
        <w:keepLines w:val="0"/>
        <w:pageBreakBefore w:val="0"/>
        <w:kinsoku/>
        <w:wordWrap/>
        <w:overflowPunct/>
        <w:topLinePunct w:val="0"/>
        <w:autoSpaceDE/>
        <w:autoSpaceDN/>
        <w:bidi w:val="0"/>
        <w:adjustRightInd w:val="0"/>
        <w:snapToGrid w:val="0"/>
        <w:spacing w:line="380" w:lineRule="exact"/>
        <w:ind w:firstLine="442" w:firstLineChars="200"/>
        <w:textAlignment w:val="auto"/>
        <w:rPr>
          <w:rFonts w:cs="Arial"/>
          <w:b/>
          <w:color w:val="auto"/>
          <w:sz w:val="22"/>
          <w:szCs w:val="22"/>
          <w:highlight w:val="none"/>
        </w:rPr>
      </w:pPr>
      <w:r>
        <w:rPr>
          <w:rFonts w:hint="eastAsia" w:ascii="宋体" w:hAnsi="宋体" w:cs="宋体"/>
          <w:b/>
          <w:color w:val="auto"/>
          <w:sz w:val="22"/>
          <w:szCs w:val="22"/>
          <w:highlight w:val="none"/>
          <w:lang w:val="en-US" w:eastAsia="zh-CN"/>
        </w:rPr>
        <w:t xml:space="preserve">7.12 </w:t>
      </w:r>
      <w:r>
        <w:rPr>
          <w:rFonts w:hint="eastAsia" w:cs="Arial"/>
          <w:b/>
          <w:color w:val="auto"/>
          <w:sz w:val="22"/>
          <w:szCs w:val="22"/>
          <w:highlight w:val="none"/>
        </w:rPr>
        <w:t>在采购中，出现下列情形之一的，应予废标：</w:t>
      </w:r>
    </w:p>
    <w:p>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cs="Arial"/>
          <w:color w:val="auto"/>
          <w:sz w:val="22"/>
          <w:szCs w:val="22"/>
          <w:highlight w:val="none"/>
        </w:rPr>
      </w:pPr>
      <w:r>
        <w:rPr>
          <w:rFonts w:hint="eastAsia" w:cs="Arial"/>
          <w:color w:val="auto"/>
          <w:sz w:val="22"/>
          <w:szCs w:val="22"/>
          <w:highlight w:val="none"/>
        </w:rPr>
        <w:t>(1)出现影响采购公正的违法、违规行为的；</w:t>
      </w:r>
    </w:p>
    <w:p>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cs="Arial"/>
          <w:color w:val="auto"/>
          <w:sz w:val="22"/>
          <w:szCs w:val="22"/>
          <w:highlight w:val="none"/>
        </w:rPr>
      </w:pPr>
      <w:r>
        <w:rPr>
          <w:rFonts w:hint="eastAsia" w:cs="Arial"/>
          <w:color w:val="auto"/>
          <w:sz w:val="22"/>
          <w:szCs w:val="22"/>
          <w:highlight w:val="none"/>
        </w:rPr>
        <w:t>(</w:t>
      </w:r>
      <w:r>
        <w:rPr>
          <w:rFonts w:hint="eastAsia" w:cs="Arial"/>
          <w:color w:val="auto"/>
          <w:sz w:val="22"/>
          <w:szCs w:val="22"/>
          <w:highlight w:val="none"/>
          <w:lang w:val="en-US" w:eastAsia="zh-CN"/>
        </w:rPr>
        <w:t>2</w:t>
      </w:r>
      <w:r>
        <w:rPr>
          <w:rFonts w:hint="eastAsia" w:cs="Arial"/>
          <w:color w:val="auto"/>
          <w:sz w:val="22"/>
          <w:szCs w:val="22"/>
          <w:highlight w:val="none"/>
        </w:rPr>
        <w:t>)报价均超过预算，不能支付的；</w:t>
      </w:r>
    </w:p>
    <w:p>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hint="eastAsia" w:ascii="Times New Roman" w:hAnsi="Times New Roman" w:eastAsia="宋体" w:cs="Arial"/>
          <w:color w:val="auto"/>
          <w:sz w:val="22"/>
          <w:szCs w:val="22"/>
          <w:highlight w:val="none"/>
          <w:lang w:eastAsia="zh-CN"/>
        </w:rPr>
      </w:pPr>
      <w:r>
        <w:rPr>
          <w:rFonts w:hint="eastAsia" w:ascii="Times New Roman" w:hAnsi="Times New Roman" w:eastAsia="宋体" w:cs="Arial"/>
          <w:color w:val="auto"/>
          <w:sz w:val="22"/>
          <w:szCs w:val="22"/>
          <w:highlight w:val="none"/>
        </w:rPr>
        <w:t>(</w:t>
      </w:r>
      <w:r>
        <w:rPr>
          <w:rFonts w:hint="eastAsia" w:ascii="Times New Roman" w:hAnsi="Times New Roman" w:eastAsia="宋体" w:cs="Arial"/>
          <w:color w:val="auto"/>
          <w:sz w:val="22"/>
          <w:szCs w:val="22"/>
          <w:highlight w:val="none"/>
          <w:lang w:val="en-US" w:eastAsia="zh-CN"/>
        </w:rPr>
        <w:t>3</w:t>
      </w:r>
      <w:r>
        <w:rPr>
          <w:rFonts w:hint="eastAsia" w:ascii="Times New Roman" w:hAnsi="Times New Roman" w:eastAsia="宋体" w:cs="Arial"/>
          <w:color w:val="auto"/>
          <w:sz w:val="22"/>
          <w:szCs w:val="22"/>
          <w:highlight w:val="none"/>
        </w:rPr>
        <w:t>)因重大变故，采购任务取消的</w:t>
      </w:r>
      <w:r>
        <w:rPr>
          <w:rFonts w:hint="eastAsia" w:ascii="Times New Roman" w:hAnsi="Times New Roman" w:eastAsia="宋体" w:cs="Arial"/>
          <w:color w:val="auto"/>
          <w:sz w:val="22"/>
          <w:szCs w:val="22"/>
          <w:highlight w:val="none"/>
          <w:lang w:eastAsia="zh-CN"/>
        </w:rPr>
        <w:t>；</w:t>
      </w:r>
    </w:p>
    <w:p>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cs="Arial"/>
          <w:color w:val="auto"/>
          <w:sz w:val="22"/>
          <w:szCs w:val="22"/>
          <w:highlight w:val="none"/>
        </w:rPr>
      </w:pPr>
      <w:r>
        <w:rPr>
          <w:rFonts w:hint="eastAsia" w:ascii="Times New Roman" w:hAnsi="Times New Roman" w:eastAsia="宋体" w:cs="Arial"/>
          <w:color w:val="auto"/>
          <w:sz w:val="22"/>
          <w:szCs w:val="22"/>
          <w:highlight w:val="none"/>
          <w:lang w:val="en-US" w:eastAsia="zh-CN"/>
        </w:rPr>
        <w:t>(4)采购法及相关规定的其他情况。</w:t>
      </w:r>
    </w:p>
    <w:p>
      <w:pPr>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cs="Arial"/>
          <w:color w:val="auto"/>
          <w:sz w:val="22"/>
          <w:szCs w:val="22"/>
          <w:highlight w:val="none"/>
        </w:rPr>
      </w:pPr>
      <w:r>
        <w:rPr>
          <w:rFonts w:hint="eastAsia" w:ascii="Times New Roman" w:hAnsi="Times New Roman" w:eastAsia="宋体" w:cs="Arial"/>
          <w:color w:val="auto"/>
          <w:sz w:val="22"/>
          <w:szCs w:val="22"/>
          <w:highlight w:val="none"/>
          <w:lang w:val="en-US" w:eastAsia="zh-CN"/>
        </w:rPr>
        <w:t>7.13 根据《关于政府采购竞争性磋商采购方式管理暂行办法有关问题的补充通知》财库〔2015〕124号）以及《财政部关于印发&lt;政府采购竞争性磋商采购方式管理暂行办法&gt;的通知》（财库〔2014〕214号）规定执行：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keepNext w:val="0"/>
        <w:keepLines w:val="0"/>
        <w:pageBreakBefore w:val="0"/>
        <w:widowControl/>
        <w:kinsoku/>
        <w:wordWrap/>
        <w:overflowPunct/>
        <w:topLinePunct w:val="0"/>
        <w:autoSpaceDE/>
        <w:autoSpaceDN/>
        <w:bidi w:val="0"/>
        <w:snapToGrid w:val="0"/>
        <w:spacing w:line="380" w:lineRule="exact"/>
        <w:ind w:firstLine="440" w:firstLineChars="200"/>
        <w:jc w:val="left"/>
        <w:textAlignment w:val="auto"/>
        <w:rPr>
          <w:rFonts w:hint="eastAsia" w:ascii="宋体" w:hAnsi="宋体" w:cs="宋体"/>
          <w:color w:val="auto"/>
          <w:sz w:val="22"/>
          <w:highlight w:val="none"/>
        </w:rPr>
      </w:pPr>
      <w:r>
        <w:rPr>
          <w:rFonts w:hint="eastAsia" w:ascii="宋体" w:hAnsi="宋体" w:cs="宋体"/>
          <w:color w:val="auto"/>
          <w:sz w:val="22"/>
          <w:highlight w:val="none"/>
        </w:rPr>
        <w:t>八、授予合同</w:t>
      </w:r>
    </w:p>
    <w:p>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1、确定成交的供应商</w:t>
      </w:r>
    </w:p>
    <w:p>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u w:val="single"/>
        </w:rPr>
      </w:pPr>
      <w:r>
        <w:rPr>
          <w:rFonts w:hint="eastAsia" w:ascii="宋体" w:hAnsi="宋体" w:cs="宋体"/>
          <w:color w:val="auto"/>
          <w:sz w:val="22"/>
          <w:highlight w:val="none"/>
        </w:rPr>
        <w:t>评审结束后，根据磋商采购小组推荐，采购人依法确定成交供应商。</w:t>
      </w:r>
    </w:p>
    <w:p>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2、成交通知书</w:t>
      </w:r>
    </w:p>
    <w:p>
      <w:pPr>
        <w:keepNext w:val="0"/>
        <w:keepLines w:val="0"/>
        <w:pageBreakBefore w:val="0"/>
        <w:widowControl/>
        <w:kinsoku/>
        <w:wordWrap/>
        <w:overflowPunct/>
        <w:topLinePunct w:val="0"/>
        <w:autoSpaceDE/>
        <w:autoSpaceDN/>
        <w:bidi w:val="0"/>
        <w:snapToGrid w:val="0"/>
        <w:spacing w:line="380" w:lineRule="exact"/>
        <w:ind w:firstLine="440"/>
        <w:jc w:val="left"/>
        <w:textAlignment w:val="auto"/>
        <w:rPr>
          <w:rFonts w:hint="eastAsia" w:ascii="宋体" w:hAnsi="宋体" w:cs="宋体"/>
          <w:color w:val="auto"/>
          <w:sz w:val="22"/>
          <w:highlight w:val="none"/>
        </w:rPr>
      </w:pPr>
      <w:r>
        <w:rPr>
          <w:rFonts w:hint="eastAsia" w:ascii="宋体" w:hAnsi="宋体" w:cs="宋体"/>
          <w:color w:val="auto"/>
          <w:sz w:val="22"/>
          <w:highlight w:val="none"/>
        </w:rPr>
        <w:t>2.1、采购代理机构</w:t>
      </w:r>
      <w:r>
        <w:rPr>
          <w:rFonts w:hint="eastAsia" w:ascii="宋体" w:hAnsi="宋体" w:cs="宋体"/>
          <w:color w:val="auto"/>
          <w:spacing w:val="10"/>
          <w:sz w:val="22"/>
          <w:highlight w:val="none"/>
        </w:rPr>
        <w:t>在浙江政府采购网上公告成交结果，</w:t>
      </w:r>
      <w:r>
        <w:rPr>
          <w:rFonts w:hint="eastAsia" w:ascii="宋体" w:hAnsi="宋体" w:cs="宋体"/>
          <w:color w:val="auto"/>
          <w:spacing w:val="6"/>
          <w:sz w:val="22"/>
          <w:highlight w:val="none"/>
        </w:rPr>
        <w:t>公告期为1个工作日，同时</w:t>
      </w:r>
      <w:r>
        <w:rPr>
          <w:rFonts w:hint="eastAsia" w:ascii="宋体" w:hAnsi="宋体" w:cs="宋体"/>
          <w:color w:val="auto"/>
          <w:sz w:val="22"/>
          <w:highlight w:val="none"/>
        </w:rPr>
        <w:t>将向成交供应商发出成交通知书。如发现成交供应商资格无效，则重新组织采购活动；新的成交供应商确定后，代理机构向新的成交供应商发出成交通知书。</w:t>
      </w:r>
    </w:p>
    <w:p>
      <w:pPr>
        <w:keepNext w:val="0"/>
        <w:keepLines w:val="0"/>
        <w:pageBreakBefore w:val="0"/>
        <w:widowControl/>
        <w:kinsoku/>
        <w:wordWrap/>
        <w:overflowPunct/>
        <w:topLinePunct w:val="0"/>
        <w:autoSpaceDE/>
        <w:autoSpaceDN/>
        <w:bidi w:val="0"/>
        <w:snapToGrid w:val="0"/>
        <w:spacing w:line="380" w:lineRule="exact"/>
        <w:ind w:firstLine="440"/>
        <w:jc w:val="left"/>
        <w:textAlignment w:val="auto"/>
        <w:rPr>
          <w:rFonts w:hint="eastAsia" w:ascii="宋体" w:hAnsi="宋体" w:cs="宋体"/>
          <w:color w:val="auto"/>
          <w:sz w:val="22"/>
          <w:highlight w:val="none"/>
        </w:rPr>
      </w:pPr>
      <w:r>
        <w:rPr>
          <w:rFonts w:hint="eastAsia" w:ascii="宋体" w:hAnsi="宋体" w:cs="宋体"/>
          <w:color w:val="auto"/>
          <w:sz w:val="22"/>
          <w:highlight w:val="none"/>
        </w:rPr>
        <w:t>2.2、成交通知书对采购人和成交供应商具有法律约束力。成交通知书发出后，采购人改变成交结果或者成交供应商放弃成交的，应当承担法律责任。</w:t>
      </w:r>
    </w:p>
    <w:p>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3、磋商采购小组对未成交的供应商不作原因解释。</w:t>
      </w:r>
    </w:p>
    <w:p>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4、签订合同</w:t>
      </w:r>
    </w:p>
    <w:p>
      <w:pPr>
        <w:keepNext w:val="0"/>
        <w:keepLines w:val="0"/>
        <w:pageBreakBefore w:val="0"/>
        <w:widowControl/>
        <w:kinsoku/>
        <w:wordWrap/>
        <w:overflowPunct/>
        <w:topLinePunct w:val="0"/>
        <w:autoSpaceDE/>
        <w:autoSpaceDN/>
        <w:bidi w:val="0"/>
        <w:snapToGrid w:val="0"/>
        <w:spacing w:line="380" w:lineRule="exact"/>
        <w:ind w:firstLine="480"/>
        <w:jc w:val="left"/>
        <w:textAlignment w:val="auto"/>
        <w:rPr>
          <w:rFonts w:hint="eastAsia" w:ascii="宋体" w:hAnsi="宋体" w:cs="宋体"/>
          <w:color w:val="auto"/>
          <w:sz w:val="22"/>
          <w:highlight w:val="none"/>
        </w:rPr>
      </w:pPr>
      <w:r>
        <w:rPr>
          <w:rFonts w:hint="eastAsia" w:ascii="宋体" w:hAnsi="宋体" w:cs="宋体"/>
          <w:color w:val="auto"/>
          <w:sz w:val="22"/>
          <w:highlight w:val="none"/>
        </w:rPr>
        <w:t>4.1、公示期结束后，成交供应商须主动联系采购人或采购代理机构领取成交通知书，并到采购人处与采购人签订合同。成交供应商未经采购人许可，在规定时间内（中标（成交）通知书发出后30日历天内）未到采购人处与采购人签订合同，则视为拒签合同。</w:t>
      </w:r>
    </w:p>
    <w:p>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4.2、采购文件、成交供应商的磋商响应文件及磋商响应修改文件、评审过程中有关澄清文件及经双方签字的询标纪要（承诺）和成交通知书均作为合同附件。</w:t>
      </w:r>
    </w:p>
    <w:p>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cs="宋体"/>
          <w:color w:val="auto"/>
          <w:sz w:val="22"/>
          <w:highlight w:val="none"/>
        </w:rPr>
      </w:pPr>
      <w:r>
        <w:rPr>
          <w:rFonts w:hint="eastAsia" w:ascii="宋体" w:hAnsi="宋体" w:cs="宋体"/>
          <w:color w:val="auto"/>
          <w:sz w:val="22"/>
          <w:highlight w:val="none"/>
        </w:rPr>
        <w:t>4.3拒签合同的责任</w:t>
      </w:r>
    </w:p>
    <w:p>
      <w:pPr>
        <w:keepNext w:val="0"/>
        <w:keepLines w:val="0"/>
        <w:pageBreakBefore w:val="0"/>
        <w:kinsoku/>
        <w:wordWrap/>
        <w:overflowPunct/>
        <w:topLinePunct w:val="0"/>
        <w:autoSpaceDE/>
        <w:autoSpaceDN/>
        <w:bidi w:val="0"/>
        <w:snapToGrid w:val="0"/>
        <w:spacing w:line="380" w:lineRule="exact"/>
        <w:ind w:firstLine="527"/>
        <w:textAlignment w:val="auto"/>
        <w:rPr>
          <w:rFonts w:hint="eastAsia" w:ascii="Times New Roman" w:hAnsi="Times New Roman" w:eastAsia="宋体" w:cs="Times New Roman"/>
          <w:color w:val="auto"/>
          <w:sz w:val="22"/>
          <w:szCs w:val="22"/>
          <w:highlight w:val="none"/>
        </w:rPr>
      </w:pPr>
      <w:r>
        <w:rPr>
          <w:rFonts w:hint="eastAsia" w:ascii="宋体" w:hAnsi="宋体" w:eastAsia="宋体" w:cs="宋体"/>
          <w:color w:val="auto"/>
          <w:sz w:val="22"/>
          <w:highlight w:val="none"/>
        </w:rPr>
        <w:t>成交供应商接到成交通知书后，在规定时间内借故否认已经承诺的条件而拒签合同，以违约处理，并上报财政主管部门进行相应处罚。</w:t>
      </w:r>
    </w:p>
    <w:p>
      <w:pPr>
        <w:pStyle w:val="2"/>
        <w:keepNext w:val="0"/>
        <w:keepLines w:val="0"/>
        <w:pageBreakBefore w:val="0"/>
        <w:kinsoku/>
        <w:wordWrap/>
        <w:overflowPunct/>
        <w:topLinePunct w:val="0"/>
        <w:autoSpaceDE/>
        <w:autoSpaceDN/>
        <w:bidi w:val="0"/>
        <w:adjustRightInd w:val="0"/>
        <w:snapToGrid w:val="0"/>
        <w:spacing w:line="380" w:lineRule="exact"/>
        <w:textAlignment w:val="auto"/>
        <w:rPr>
          <w:rFonts w:hint="eastAsia" w:hAnsi="宋体"/>
          <w:color w:val="auto"/>
          <w:sz w:val="22"/>
          <w:szCs w:val="22"/>
          <w:highlight w:val="none"/>
        </w:rPr>
      </w:pPr>
      <w:r>
        <w:rPr>
          <w:rFonts w:hint="eastAsia" w:hAnsi="宋体"/>
          <w:color w:val="auto"/>
          <w:sz w:val="22"/>
          <w:szCs w:val="22"/>
          <w:highlight w:val="none"/>
        </w:rPr>
        <w:t>5</w:t>
      </w:r>
      <w:r>
        <w:rPr>
          <w:rFonts w:hint="eastAsia" w:hAnsi="宋体" w:cs="仿宋_GB2312"/>
          <w:color w:val="auto"/>
          <w:sz w:val="22"/>
          <w:szCs w:val="22"/>
          <w:highlight w:val="none"/>
          <w:lang w:val="zh-CN"/>
        </w:rPr>
        <w:t>、</w:t>
      </w:r>
      <w:r>
        <w:rPr>
          <w:rFonts w:hint="eastAsia" w:hAnsi="宋体"/>
          <w:color w:val="auto"/>
          <w:sz w:val="22"/>
          <w:szCs w:val="22"/>
          <w:highlight w:val="none"/>
          <w:lang w:eastAsia="zh-CN"/>
        </w:rPr>
        <w:t>采购</w:t>
      </w:r>
      <w:r>
        <w:rPr>
          <w:rFonts w:hint="eastAsia" w:hAnsi="宋体"/>
          <w:color w:val="auto"/>
          <w:sz w:val="22"/>
          <w:szCs w:val="22"/>
          <w:highlight w:val="none"/>
        </w:rPr>
        <w:t>代理服务费</w:t>
      </w:r>
    </w:p>
    <w:p>
      <w:pPr>
        <w:keepNext w:val="0"/>
        <w:keepLines w:val="0"/>
        <w:pageBreakBefore w:val="0"/>
        <w:widowControl/>
        <w:kinsoku/>
        <w:wordWrap/>
        <w:overflowPunct/>
        <w:topLinePunct w:val="0"/>
        <w:autoSpaceDE/>
        <w:autoSpaceDN/>
        <w:bidi w:val="0"/>
        <w:snapToGrid w:val="0"/>
        <w:spacing w:line="380" w:lineRule="exact"/>
        <w:ind w:firstLine="48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r>
        <w:rPr>
          <w:rFonts w:hint="eastAsia" w:ascii="宋体" w:hAnsi="宋体" w:eastAsia="宋体" w:cs="宋体"/>
          <w:color w:val="auto"/>
          <w:sz w:val="22"/>
          <w:highlight w:val="none"/>
          <w:lang w:val="zh-CN"/>
        </w:rPr>
        <w:t>、</w:t>
      </w:r>
      <w:r>
        <w:rPr>
          <w:rFonts w:hint="eastAsia" w:ascii="宋体" w:hAnsi="宋体" w:eastAsia="宋体" w:cs="宋体"/>
          <w:color w:val="auto"/>
          <w:sz w:val="22"/>
          <w:highlight w:val="none"/>
        </w:rPr>
        <w:t>采购代理服务费</w:t>
      </w:r>
    </w:p>
    <w:p>
      <w:pPr>
        <w:keepNext w:val="0"/>
        <w:keepLines w:val="0"/>
        <w:pageBreakBefore w:val="0"/>
        <w:widowControl/>
        <w:kinsoku/>
        <w:wordWrap/>
        <w:overflowPunct/>
        <w:topLinePunct w:val="0"/>
        <w:autoSpaceDE/>
        <w:autoSpaceDN/>
        <w:bidi w:val="0"/>
        <w:snapToGrid w:val="0"/>
        <w:spacing w:line="380" w:lineRule="exact"/>
        <w:ind w:firstLine="442" w:firstLineChars="200"/>
        <w:jc w:val="left"/>
        <w:textAlignment w:val="auto"/>
        <w:rPr>
          <w:rFonts w:hint="eastAsia" w:ascii="宋体" w:hAnsi="宋体" w:cs="宋体"/>
          <w:color w:val="auto"/>
          <w:sz w:val="22"/>
          <w:szCs w:val="22"/>
          <w:highlight w:val="none"/>
        </w:rPr>
      </w:pPr>
      <w:r>
        <w:rPr>
          <w:rFonts w:hint="eastAsia" w:ascii="Times New Roman" w:hAnsi="Times New Roman" w:eastAsia="宋体" w:cs="Times New Roman"/>
          <w:b/>
          <w:bCs/>
          <w:color w:val="auto"/>
          <w:kern w:val="2"/>
          <w:sz w:val="22"/>
          <w:szCs w:val="24"/>
          <w:highlight w:val="none"/>
          <w:lang w:val="en-US" w:eastAsia="zh-CN"/>
        </w:rPr>
        <w:t>5.1</w:t>
      </w:r>
      <w:r>
        <w:rPr>
          <w:rFonts w:hint="eastAsia" w:ascii="Times New Roman" w:hAnsi="Times New Roman" w:eastAsia="宋体" w:cs="Times New Roman"/>
          <w:b/>
          <w:bCs/>
          <w:color w:val="auto"/>
          <w:kern w:val="2"/>
          <w:sz w:val="22"/>
          <w:szCs w:val="24"/>
          <w:highlight w:val="none"/>
        </w:rPr>
        <w:t>中标供应商在领取中标通知书前向招标代理咨询机构支付招标代理服务费（根据国家计委印发的《招标代理服务收费管理暂行办法》(计价格【2002】1980号文)</w:t>
      </w:r>
      <w:r>
        <w:rPr>
          <w:rFonts w:hint="eastAsia" w:ascii="Times New Roman" w:hAnsi="Times New Roman" w:eastAsia="宋体" w:cs="Times New Roman"/>
          <w:b/>
          <w:bCs/>
          <w:color w:val="auto"/>
          <w:kern w:val="2"/>
          <w:sz w:val="22"/>
          <w:szCs w:val="24"/>
          <w:highlight w:val="none"/>
          <w:lang w:val="en-US" w:eastAsia="zh-CN"/>
        </w:rPr>
        <w:t>服务</w:t>
      </w:r>
      <w:r>
        <w:rPr>
          <w:rFonts w:hint="eastAsia" w:ascii="Times New Roman" w:hAnsi="Times New Roman" w:eastAsia="宋体" w:cs="Times New Roman"/>
          <w:b/>
          <w:bCs/>
          <w:color w:val="auto"/>
          <w:kern w:val="2"/>
          <w:sz w:val="22"/>
          <w:szCs w:val="24"/>
          <w:highlight w:val="none"/>
        </w:rPr>
        <w:t>类收费）</w:t>
      </w:r>
      <w:r>
        <w:rPr>
          <w:rFonts w:hint="eastAsia" w:ascii="Times New Roman" w:hAnsi="Times New Roman" w:eastAsia="宋体" w:cs="Times New Roman"/>
          <w:b/>
          <w:bCs/>
          <w:color w:val="auto"/>
          <w:kern w:val="2"/>
          <w:sz w:val="22"/>
          <w:szCs w:val="24"/>
          <w:highlight w:val="none"/>
          <w:lang w:val="en-US" w:eastAsia="zh-CN"/>
        </w:rPr>
        <w:t>，本次招标代理服务费共收取</w:t>
      </w:r>
      <w:r>
        <w:rPr>
          <w:rFonts w:hint="eastAsia" w:cs="Times New Roman"/>
          <w:b/>
          <w:bCs/>
          <w:color w:val="auto"/>
          <w:kern w:val="2"/>
          <w:sz w:val="22"/>
          <w:szCs w:val="24"/>
          <w:highlight w:val="none"/>
          <w:u w:val="single"/>
          <w:lang w:val="en-US" w:eastAsia="zh-CN"/>
        </w:rPr>
        <w:t xml:space="preserve"> 23800</w:t>
      </w:r>
      <w:r>
        <w:rPr>
          <w:rFonts w:hint="eastAsia" w:ascii="Times New Roman" w:hAnsi="Times New Roman" w:eastAsia="宋体" w:cs="Times New Roman"/>
          <w:b/>
          <w:bCs/>
          <w:color w:val="auto"/>
          <w:kern w:val="2"/>
          <w:sz w:val="22"/>
          <w:szCs w:val="24"/>
          <w:highlight w:val="none"/>
          <w:lang w:val="en-US" w:eastAsia="zh-CN"/>
        </w:rPr>
        <w:t>元整人民币</w:t>
      </w:r>
      <w:r>
        <w:rPr>
          <w:rFonts w:hint="eastAsia" w:ascii="Times New Roman" w:hAnsi="Times New Roman" w:eastAsia="宋体" w:cs="Times New Roman"/>
          <w:b/>
          <w:bCs/>
          <w:color w:val="auto"/>
          <w:kern w:val="2"/>
          <w:sz w:val="22"/>
          <w:szCs w:val="24"/>
          <w:highlight w:val="none"/>
        </w:rPr>
        <w:t>。</w:t>
      </w:r>
      <w:r>
        <w:rPr>
          <w:rFonts w:hint="eastAsia" w:ascii="宋体" w:hAnsi="宋体" w:cs="宋体"/>
          <w:color w:val="auto"/>
          <w:sz w:val="22"/>
          <w:highlight w:val="none"/>
        </w:rPr>
        <w:t>采购代理服务费不须在报价中单列。</w:t>
      </w:r>
      <w:r>
        <w:rPr>
          <w:rFonts w:hint="eastAsia" w:ascii="宋体" w:hAnsi="宋体" w:cs="宋体"/>
          <w:color w:val="auto"/>
          <w:sz w:val="22"/>
          <w:szCs w:val="22"/>
          <w:highlight w:val="none"/>
        </w:rPr>
        <w:t xml:space="preserve"> </w:t>
      </w:r>
    </w:p>
    <w:p>
      <w:pPr>
        <w:pStyle w:val="2"/>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代理服务费汇入以下账号：</w:t>
      </w:r>
    </w:p>
    <w:p>
      <w:pPr>
        <w:pStyle w:val="2"/>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开户银行：中国农业银行股份有限公司平阳水头支行</w:t>
      </w:r>
    </w:p>
    <w:p>
      <w:pPr>
        <w:pStyle w:val="2"/>
        <w:keepNext w:val="0"/>
        <w:keepLines w:val="0"/>
        <w:pageBreakBefore w:val="0"/>
        <w:kinsoku/>
        <w:wordWrap/>
        <w:overflowPunct/>
        <w:topLinePunct w:val="0"/>
        <w:autoSpaceDE/>
        <w:autoSpaceDN/>
        <w:bidi w:val="0"/>
        <w:adjustRightInd w:val="0"/>
        <w:snapToGrid w:val="0"/>
        <w:spacing w:line="38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开户名称：温州正大工程项目管理有限公司平阳分公司</w:t>
      </w:r>
    </w:p>
    <w:p>
      <w:pPr>
        <w:keepNext w:val="0"/>
        <w:keepLines w:val="0"/>
        <w:pageBreakBefore w:val="0"/>
        <w:widowControl/>
        <w:kinsoku/>
        <w:wordWrap/>
        <w:overflowPunct/>
        <w:topLinePunct w:val="0"/>
        <w:autoSpaceDE/>
        <w:autoSpaceDN/>
        <w:bidi w:val="0"/>
        <w:snapToGrid w:val="0"/>
        <w:spacing w:line="380" w:lineRule="exact"/>
        <w:ind w:left="431"/>
        <w:jc w:val="left"/>
        <w:textAlignment w:val="auto"/>
        <w:rPr>
          <w:rFonts w:hint="eastAsia" w:ascii="宋体" w:hAnsi="宋体"/>
          <w:color w:val="auto"/>
          <w:sz w:val="36"/>
          <w:szCs w:val="36"/>
          <w:highlight w:val="none"/>
        </w:rPr>
      </w:pPr>
      <w:r>
        <w:rPr>
          <w:rFonts w:hint="eastAsia" w:hAnsi="宋体" w:cs="宋体"/>
          <w:color w:val="auto"/>
          <w:sz w:val="22"/>
          <w:szCs w:val="22"/>
          <w:highlight w:val="none"/>
        </w:rPr>
        <w:t>开户账号：19-250901040032266</w:t>
      </w:r>
    </w:p>
    <w:p>
      <w:pPr>
        <w:snapToGrid w:val="0"/>
        <w:spacing w:line="460" w:lineRule="exact"/>
        <w:ind w:firstLine="630" w:firstLineChars="196"/>
        <w:jc w:val="center"/>
        <w:rPr>
          <w:rFonts w:hint="eastAsia" w:ascii="宋体" w:hAnsi="宋体" w:cs="宋体"/>
          <w:b/>
          <w:color w:val="auto"/>
          <w:sz w:val="32"/>
          <w:szCs w:val="32"/>
          <w:highlight w:val="none"/>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linePitch="312" w:charSpace="0"/>
        </w:sectPr>
      </w:pPr>
    </w:p>
    <w:p>
      <w:pPr>
        <w:snapToGrid w:val="0"/>
        <w:spacing w:line="460" w:lineRule="exact"/>
        <w:ind w:firstLine="630" w:firstLineChars="196"/>
        <w:jc w:val="center"/>
        <w:rPr>
          <w:rFonts w:ascii="宋体" w:hAnsi="宋体" w:cs="宋体"/>
          <w:b/>
          <w:color w:val="auto"/>
          <w:sz w:val="32"/>
          <w:szCs w:val="32"/>
          <w:highlight w:val="none"/>
        </w:rPr>
      </w:pPr>
      <w:r>
        <w:rPr>
          <w:rFonts w:hint="eastAsia" w:ascii="宋体" w:hAnsi="宋体" w:cs="宋体"/>
          <w:b/>
          <w:color w:val="auto"/>
          <w:sz w:val="32"/>
          <w:szCs w:val="32"/>
          <w:highlight w:val="none"/>
        </w:rPr>
        <w:t>第四部分   政府采购政策功能相关说明</w:t>
      </w:r>
    </w:p>
    <w:p>
      <w:pPr>
        <w:jc w:val="left"/>
        <w:rPr>
          <w:rFonts w:ascii="宋体" w:hAnsi="宋体"/>
          <w:color w:val="auto"/>
          <w:sz w:val="22"/>
          <w:szCs w:val="22"/>
          <w:highlight w:val="none"/>
        </w:rPr>
      </w:pPr>
      <w:r>
        <w:rPr>
          <w:rFonts w:hint="eastAsia" w:ascii="宋体" w:hAnsi="宋体"/>
          <w:color w:val="auto"/>
          <w:sz w:val="22"/>
          <w:szCs w:val="22"/>
          <w:highlight w:val="none"/>
        </w:rPr>
        <w:t>一、小、微企业（含监狱企业、残疾人福利性单位）扶持政策说明</w:t>
      </w:r>
    </w:p>
    <w:p>
      <w:pPr>
        <w:spacing w:line="440" w:lineRule="atLeast"/>
        <w:jc w:val="left"/>
        <w:rPr>
          <w:rFonts w:ascii="宋体" w:hAnsi="宋体"/>
          <w:color w:val="auto"/>
          <w:sz w:val="22"/>
          <w:szCs w:val="22"/>
          <w:highlight w:val="none"/>
        </w:rPr>
      </w:pPr>
      <w:r>
        <w:rPr>
          <w:rFonts w:hint="eastAsia" w:ascii="宋体" w:hAnsi="宋体"/>
          <w:color w:val="auto"/>
          <w:sz w:val="22"/>
          <w:szCs w:val="22"/>
          <w:highlight w:val="none"/>
        </w:rPr>
        <w:t>1、文件依据</w:t>
      </w:r>
    </w:p>
    <w:p>
      <w:pPr>
        <w:snapToGrid w:val="0"/>
        <w:spacing w:line="440" w:lineRule="atLeast"/>
        <w:rPr>
          <w:color w:val="auto"/>
          <w:sz w:val="22"/>
          <w:highlight w:val="none"/>
        </w:rPr>
      </w:pPr>
      <w:r>
        <w:rPr>
          <w:color w:val="auto"/>
          <w:sz w:val="22"/>
          <w:highlight w:val="none"/>
        </w:rPr>
        <w:t>（1）关于印发《</w:t>
      </w:r>
      <w:r>
        <w:rPr>
          <w:rFonts w:hint="eastAsia"/>
          <w:color w:val="auto"/>
          <w:sz w:val="22"/>
          <w:highlight w:val="none"/>
        </w:rPr>
        <w:t>政府采购促进中小企业发展管理办法</w:t>
      </w:r>
      <w:r>
        <w:rPr>
          <w:color w:val="auto"/>
          <w:sz w:val="22"/>
          <w:highlight w:val="none"/>
        </w:rPr>
        <w:t>》的通知（</w:t>
      </w:r>
      <w:r>
        <w:rPr>
          <w:rFonts w:hint="eastAsia"/>
          <w:color w:val="auto"/>
          <w:sz w:val="22"/>
          <w:highlight w:val="none"/>
        </w:rPr>
        <w:t>财库〔2020〕46号</w:t>
      </w:r>
      <w:r>
        <w:rPr>
          <w:color w:val="auto"/>
          <w:sz w:val="22"/>
          <w:highlight w:val="none"/>
        </w:rPr>
        <w:t>）</w:t>
      </w:r>
    </w:p>
    <w:p>
      <w:pPr>
        <w:snapToGrid w:val="0"/>
        <w:spacing w:line="440" w:lineRule="atLeast"/>
        <w:rPr>
          <w:rFonts w:hint="eastAsia" w:eastAsia="宋体"/>
          <w:color w:val="auto"/>
          <w:sz w:val="22"/>
          <w:highlight w:val="none"/>
          <w:lang w:val="en-US" w:eastAsia="zh-CN"/>
        </w:rPr>
      </w:pPr>
      <w:r>
        <w:rPr>
          <w:color w:val="auto"/>
          <w:sz w:val="22"/>
          <w:highlight w:val="none"/>
        </w:rPr>
        <w:t>（</w:t>
      </w:r>
      <w:r>
        <w:rPr>
          <w:rFonts w:hint="eastAsia"/>
          <w:color w:val="auto"/>
          <w:sz w:val="22"/>
          <w:highlight w:val="none"/>
        </w:rPr>
        <w:t>2</w:t>
      </w:r>
      <w:r>
        <w:rPr>
          <w:color w:val="auto"/>
          <w:sz w:val="22"/>
          <w:highlight w:val="none"/>
        </w:rPr>
        <w:t>）浙江省财政厅、浙江省经济和信息化委员会《关于简化中小企业类别确认流程有关事项的通知》(浙财采监[2018]2号)</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3</w:t>
      </w:r>
      <w:r>
        <w:rPr>
          <w:color w:val="auto"/>
          <w:sz w:val="22"/>
          <w:highlight w:val="none"/>
        </w:rPr>
        <w:t>）浙江省省财政厅《关于开展政府采购供应商网上注册登记和诚信管理工作的通知》（浙财采监〔2010〕8号)</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4</w:t>
      </w:r>
      <w:r>
        <w:rPr>
          <w:color w:val="auto"/>
          <w:sz w:val="22"/>
          <w:highlight w:val="none"/>
        </w:rPr>
        <w:t>）《工业和信息化部、国家统计局、国家发展和改革委员会、财政部关于印发中小企业划型标准规定的通知》（工信部联企业[2011]300号）</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5</w:t>
      </w:r>
      <w:r>
        <w:rPr>
          <w:color w:val="auto"/>
          <w:sz w:val="22"/>
          <w:highlight w:val="none"/>
        </w:rPr>
        <w:t>）财政部、司法部《关于政府采购支持监狱企业发展有关问题的通知》（财库〔2014〕68号）</w:t>
      </w:r>
    </w:p>
    <w:p>
      <w:pPr>
        <w:spacing w:line="440" w:lineRule="atLeast"/>
        <w:rPr>
          <w:color w:val="auto"/>
          <w:sz w:val="22"/>
          <w:highlight w:val="none"/>
        </w:rPr>
      </w:pPr>
      <w:r>
        <w:rPr>
          <w:color w:val="auto"/>
          <w:sz w:val="22"/>
          <w:highlight w:val="none"/>
        </w:rPr>
        <w:t>（</w:t>
      </w:r>
      <w:r>
        <w:rPr>
          <w:rFonts w:hint="eastAsia"/>
          <w:color w:val="auto"/>
          <w:sz w:val="22"/>
          <w:highlight w:val="none"/>
        </w:rPr>
        <w:t>6</w:t>
      </w:r>
      <w:r>
        <w:rPr>
          <w:color w:val="auto"/>
          <w:sz w:val="22"/>
          <w:highlight w:val="none"/>
        </w:rPr>
        <w:t>）《财政部 民政部 中国残疾人联合会关于促进残疾人就业政府采购政策的通知》（财库〔2017〕 141号）</w:t>
      </w:r>
    </w:p>
    <w:p>
      <w:pPr>
        <w:widowControl/>
        <w:spacing w:line="440" w:lineRule="atLeast"/>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w:t>
      </w:r>
      <w:r>
        <w:rPr>
          <w:rFonts w:hint="eastAsia" w:ascii="宋体" w:hAnsi="宋体" w:cs="宋体"/>
          <w:bCs/>
          <w:color w:val="auto"/>
          <w:sz w:val="22"/>
          <w:highlight w:val="none"/>
        </w:rPr>
        <w:t>《浙江省财政厅关于进一步发挥政府采购政策功能全力推动经济稳进提质的通知》</w:t>
      </w:r>
      <w:r>
        <w:rPr>
          <w:rFonts w:hint="eastAsia" w:ascii="宋体" w:hAnsi="宋体" w:eastAsia="宋体" w:cs="宋体"/>
          <w:b w:val="0"/>
          <w:color w:val="auto"/>
          <w:sz w:val="22"/>
          <w:szCs w:val="22"/>
          <w:highlight w:val="none"/>
        </w:rPr>
        <w:t>(浙财采监〔2022〕3号)</w:t>
      </w:r>
    </w:p>
    <w:p>
      <w:pPr>
        <w:widowControl/>
        <w:snapToGrid w:val="0"/>
        <w:spacing w:line="440" w:lineRule="atLeast"/>
        <w:jc w:val="left"/>
        <w:rPr>
          <w:color w:val="auto"/>
          <w:sz w:val="22"/>
          <w:highlight w:val="none"/>
        </w:rPr>
      </w:pPr>
      <w:r>
        <w:rPr>
          <w:color w:val="auto"/>
          <w:sz w:val="22"/>
          <w:highlight w:val="none"/>
        </w:rPr>
        <w:t>2、享受小微企业价格折扣应具备的条件与价格折扣比例</w:t>
      </w:r>
    </w:p>
    <w:p>
      <w:pPr>
        <w:spacing w:line="440" w:lineRule="atLeast"/>
        <w:rPr>
          <w:rFonts w:hint="eastAsia" w:eastAsia="宋体"/>
          <w:color w:val="auto"/>
          <w:sz w:val="22"/>
          <w:highlight w:val="none"/>
          <w:lang w:eastAsia="zh-CN"/>
        </w:rPr>
      </w:pPr>
      <w:r>
        <w:rPr>
          <w:color w:val="auto"/>
          <w:sz w:val="22"/>
          <w:highlight w:val="none"/>
        </w:rPr>
        <w:t>（1）符合中小企业划分标准；</w:t>
      </w:r>
    </w:p>
    <w:p>
      <w:pPr>
        <w:spacing w:line="440" w:lineRule="atLeast"/>
        <w:rPr>
          <w:rFonts w:hint="eastAsia"/>
          <w:color w:val="auto"/>
          <w:sz w:val="22"/>
          <w:szCs w:val="22"/>
          <w:highlight w:val="none"/>
        </w:rPr>
      </w:pPr>
      <w:r>
        <w:rPr>
          <w:color w:val="auto"/>
          <w:sz w:val="22"/>
          <w:highlight w:val="none"/>
        </w:rPr>
        <w:t>（2）</w:t>
      </w:r>
      <w:r>
        <w:rPr>
          <w:rFonts w:hint="eastAsia"/>
          <w:b w:val="0"/>
          <w:bCs w:val="0"/>
          <w:color w:val="auto"/>
          <w:sz w:val="22"/>
          <w:szCs w:val="22"/>
          <w:highlight w:val="none"/>
        </w:rPr>
        <w:t>在货物采购项目中，货物由中小企业制造，即货物由中小企业生产且使用该中小企业商号或者注册商标</w:t>
      </w:r>
      <w:r>
        <w:rPr>
          <w:rFonts w:hint="eastAsia"/>
          <w:b w:val="0"/>
          <w:bCs w:val="0"/>
          <w:color w:val="auto"/>
          <w:sz w:val="22"/>
          <w:szCs w:val="22"/>
          <w:highlight w:val="none"/>
          <w:u w:val="none"/>
        </w:rPr>
        <w:t>；在工程采购项目中，工程由中小企业承建，即工程施工单位为中小企业；</w:t>
      </w:r>
      <w:r>
        <w:rPr>
          <w:rFonts w:hint="eastAsia"/>
          <w:b/>
          <w:bCs/>
          <w:color w:val="auto"/>
          <w:sz w:val="22"/>
          <w:szCs w:val="22"/>
          <w:highlight w:val="none"/>
        </w:rPr>
        <w:t>在服务采购项目中，服务由中小企业承接，即提供服务的人员为中小企业依照《中华人民共和国民法典》订立劳动合同的从业人员。</w:t>
      </w:r>
    </w:p>
    <w:p>
      <w:pPr>
        <w:spacing w:line="440" w:lineRule="atLeast"/>
        <w:ind w:firstLine="440" w:firstLineChars="200"/>
        <w:rPr>
          <w:rFonts w:hint="eastAsia"/>
          <w:color w:val="auto"/>
          <w:sz w:val="22"/>
          <w:szCs w:val="22"/>
          <w:highlight w:val="none"/>
        </w:rPr>
      </w:pPr>
      <w:r>
        <w:rPr>
          <w:rFonts w:hint="eastAsia"/>
          <w:color w:val="auto"/>
          <w:sz w:val="22"/>
          <w:szCs w:val="22"/>
          <w:highlight w:val="none"/>
        </w:rPr>
        <w:t>在货物采购项目中，供应商提供的货物既有中小企业制造货物，也有大型企业制造货物的，不享受中小企业扶持政策。</w:t>
      </w:r>
    </w:p>
    <w:p>
      <w:pPr>
        <w:widowControl/>
        <w:snapToGrid w:val="0"/>
        <w:spacing w:line="440" w:lineRule="atLeast"/>
        <w:jc w:val="left"/>
        <w:rPr>
          <w:rFonts w:hint="eastAsia" w:eastAsia="宋体"/>
          <w:color w:val="auto"/>
          <w:sz w:val="22"/>
          <w:szCs w:val="22"/>
          <w:highlight w:val="none"/>
          <w:lang w:eastAsia="zh-CN"/>
        </w:rPr>
      </w:pPr>
      <w:r>
        <w:rPr>
          <w:rFonts w:hint="eastAsia"/>
          <w:color w:val="auto"/>
          <w:sz w:val="22"/>
          <w:szCs w:val="22"/>
          <w:highlight w:val="none"/>
        </w:rPr>
        <w:t>以联合体形式参加政府采购活动，联合体各方均为中小企业的，联合体视同中小企业。其中，联合体各方均为小微企业的，联合体视同小微企业。</w:t>
      </w:r>
    </w:p>
    <w:p>
      <w:pPr>
        <w:widowControl/>
        <w:snapToGrid w:val="0"/>
        <w:spacing w:line="440" w:lineRule="atLeast"/>
        <w:jc w:val="left"/>
        <w:rPr>
          <w:rFonts w:hint="eastAsia" w:eastAsia="宋体"/>
          <w:color w:val="auto"/>
          <w:sz w:val="22"/>
          <w:highlight w:val="none"/>
          <w:lang w:eastAsia="zh-CN"/>
        </w:rPr>
      </w:pPr>
      <w:r>
        <w:rPr>
          <w:color w:val="auto"/>
          <w:sz w:val="22"/>
          <w:highlight w:val="none"/>
        </w:rPr>
        <w:t>  中小企业划分标准，是指国务院有关部门根据企业从业人员、营业收入、资产总额等指标制定的中小企业划型标准。</w:t>
      </w:r>
    </w:p>
    <w:p>
      <w:pPr>
        <w:widowControl/>
        <w:snapToGrid w:val="0"/>
        <w:spacing w:line="440" w:lineRule="atLeast"/>
        <w:jc w:val="left"/>
        <w:rPr>
          <w:color w:val="auto"/>
          <w:sz w:val="22"/>
          <w:highlight w:val="none"/>
        </w:rPr>
      </w:pPr>
      <w:r>
        <w:rPr>
          <w:color w:val="auto"/>
          <w:sz w:val="22"/>
          <w:highlight w:val="none"/>
        </w:rPr>
        <w:t>  小型、微型企业提供中型企业制造的货物的，视同为中型企业。</w:t>
      </w:r>
    </w:p>
    <w:p>
      <w:pPr>
        <w:snapToGrid w:val="0"/>
        <w:spacing w:line="360" w:lineRule="auto"/>
        <w:ind w:firstLine="442" w:firstLineChars="200"/>
        <w:rPr>
          <w:rFonts w:hint="eastAsia" w:ascii="Times New Roman" w:hAnsi="Times New Roman" w:eastAsia="宋体" w:cs="Times New Roman"/>
          <w:b/>
          <w:bCs/>
          <w:color w:val="auto"/>
          <w:sz w:val="22"/>
          <w:szCs w:val="22"/>
          <w:highlight w:val="none"/>
          <w:u w:val="single"/>
        </w:rPr>
      </w:pPr>
      <w:r>
        <w:rPr>
          <w:rFonts w:hint="eastAsia" w:ascii="Times New Roman" w:hAnsi="Times New Roman" w:eastAsia="宋体" w:cs="Times New Roman"/>
          <w:b/>
          <w:bCs/>
          <w:color w:val="auto"/>
          <w:sz w:val="22"/>
          <w:szCs w:val="22"/>
          <w:highlight w:val="none"/>
          <w:u w:val="single"/>
        </w:rPr>
        <w:t>（3）本项目为预留份额项目，专门面向</w:t>
      </w:r>
      <w:r>
        <w:rPr>
          <w:rFonts w:hint="eastAsia" w:cs="Times New Roman"/>
          <w:b/>
          <w:bCs/>
          <w:color w:val="auto"/>
          <w:sz w:val="22"/>
          <w:szCs w:val="22"/>
          <w:highlight w:val="none"/>
          <w:u w:val="single"/>
          <w:lang w:eastAsia="zh-CN"/>
        </w:rPr>
        <w:t>小微企业</w:t>
      </w:r>
      <w:r>
        <w:rPr>
          <w:rFonts w:hint="eastAsia" w:ascii="Times New Roman" w:hAnsi="Times New Roman" w:eastAsia="宋体" w:cs="Times New Roman"/>
          <w:b/>
          <w:bCs/>
          <w:color w:val="auto"/>
          <w:sz w:val="22"/>
          <w:szCs w:val="22"/>
          <w:highlight w:val="none"/>
          <w:u w:val="single"/>
        </w:rPr>
        <w:t>采购。专门面向</w:t>
      </w:r>
      <w:r>
        <w:rPr>
          <w:rFonts w:hint="eastAsia" w:cs="Times New Roman"/>
          <w:b/>
          <w:bCs/>
          <w:color w:val="auto"/>
          <w:sz w:val="22"/>
          <w:szCs w:val="22"/>
          <w:highlight w:val="none"/>
          <w:u w:val="single"/>
          <w:lang w:eastAsia="zh-CN"/>
        </w:rPr>
        <w:t>小微企业</w:t>
      </w:r>
      <w:r>
        <w:rPr>
          <w:rFonts w:hint="eastAsia" w:ascii="Times New Roman" w:hAnsi="Times New Roman" w:eastAsia="宋体" w:cs="Times New Roman"/>
          <w:b/>
          <w:bCs/>
          <w:color w:val="auto"/>
          <w:sz w:val="22"/>
          <w:szCs w:val="22"/>
          <w:highlight w:val="none"/>
          <w:u w:val="single"/>
        </w:rPr>
        <w:t>采购的项目或者标项，不再执行价格评审优惠的扶持政策。</w:t>
      </w:r>
    </w:p>
    <w:p>
      <w:pPr>
        <w:widowControl/>
        <w:snapToGrid w:val="0"/>
        <w:spacing w:line="440" w:lineRule="atLeast"/>
        <w:jc w:val="left"/>
        <w:rPr>
          <w:color w:val="auto"/>
          <w:sz w:val="22"/>
          <w:highlight w:val="none"/>
        </w:rPr>
      </w:pPr>
      <w:r>
        <w:rPr>
          <w:rFonts w:hint="eastAsia"/>
          <w:color w:val="auto"/>
          <w:sz w:val="22"/>
          <w:highlight w:val="none"/>
          <w:lang w:val="en-US" w:eastAsia="zh-CN"/>
        </w:rPr>
        <w:t>3</w:t>
      </w:r>
      <w:r>
        <w:rPr>
          <w:color w:val="auto"/>
          <w:sz w:val="22"/>
          <w:highlight w:val="none"/>
        </w:rPr>
        <w:t>、</w:t>
      </w:r>
      <w:r>
        <w:rPr>
          <w:rFonts w:hint="eastAsia"/>
          <w:color w:val="auto"/>
          <w:sz w:val="22"/>
          <w:highlight w:val="none"/>
          <w:lang w:eastAsia="zh-CN"/>
        </w:rPr>
        <w:t>【</w:t>
      </w:r>
      <w:r>
        <w:rPr>
          <w:rFonts w:hint="eastAsia"/>
          <w:color w:val="auto"/>
          <w:sz w:val="22"/>
          <w:highlight w:val="none"/>
          <w:lang w:val="en-US" w:eastAsia="zh-CN"/>
        </w:rPr>
        <w:t>采购货物项目适用</w:t>
      </w:r>
      <w:r>
        <w:rPr>
          <w:rFonts w:hint="eastAsia"/>
          <w:color w:val="auto"/>
          <w:sz w:val="22"/>
          <w:highlight w:val="none"/>
          <w:lang w:eastAsia="zh-CN"/>
        </w:rPr>
        <w:t>】</w:t>
      </w:r>
      <w:r>
        <w:rPr>
          <w:color w:val="auto"/>
          <w:sz w:val="22"/>
          <w:highlight w:val="none"/>
        </w:rPr>
        <w:t>非单一产品采购，无法核实（按</w:t>
      </w:r>
      <w:r>
        <w:rPr>
          <w:rFonts w:hint="eastAsia"/>
          <w:color w:val="auto"/>
          <w:sz w:val="22"/>
          <w:highlight w:val="none"/>
          <w:lang w:eastAsia="zh-CN"/>
        </w:rPr>
        <w:t>响应文件</w:t>
      </w:r>
      <w:r>
        <w:rPr>
          <w:color w:val="auto"/>
          <w:sz w:val="22"/>
          <w:highlight w:val="none"/>
        </w:rPr>
        <w:t>资料）全部货物均为小微企业（含监狱企业、残疾人福利性单位）制造；或小微企业（含监狱企业、残疾人福利性单位）提供其他制造商制造的货物且无法核实（按</w:t>
      </w:r>
      <w:r>
        <w:rPr>
          <w:rFonts w:hint="eastAsia"/>
          <w:color w:val="auto"/>
          <w:sz w:val="22"/>
          <w:highlight w:val="none"/>
          <w:lang w:eastAsia="zh-CN"/>
        </w:rPr>
        <w:t>响应文件</w:t>
      </w:r>
      <w:r>
        <w:rPr>
          <w:color w:val="auto"/>
          <w:sz w:val="22"/>
          <w:highlight w:val="none"/>
        </w:rPr>
        <w:t>资料）制造商是否为小微企业（含监狱企业、残疾人福利性单位）的，不享受价格折扣。</w:t>
      </w:r>
    </w:p>
    <w:p>
      <w:pPr>
        <w:snapToGrid w:val="0"/>
        <w:spacing w:line="440" w:lineRule="atLeast"/>
        <w:jc w:val="center"/>
        <w:rPr>
          <w:color w:val="auto"/>
          <w:sz w:val="22"/>
          <w:szCs w:val="22"/>
          <w:highlight w:val="none"/>
        </w:rPr>
      </w:pPr>
    </w:p>
    <w:p>
      <w:pPr>
        <w:snapToGrid w:val="0"/>
        <w:spacing w:line="440" w:lineRule="atLeast"/>
        <w:jc w:val="center"/>
        <w:rPr>
          <w:b/>
          <w:bCs/>
          <w:i w:val="0"/>
          <w:iCs w:val="0"/>
          <w:color w:val="auto"/>
          <w:sz w:val="40"/>
          <w:szCs w:val="40"/>
          <w:highlight w:val="none"/>
        </w:rPr>
      </w:pPr>
      <w:r>
        <w:rPr>
          <w:b/>
          <w:bCs/>
          <w:i w:val="0"/>
          <w:iCs w:val="0"/>
          <w:color w:val="auto"/>
          <w:sz w:val="40"/>
          <w:szCs w:val="40"/>
          <w:highlight w:val="none"/>
        </w:rPr>
        <w:t>中小企业声明函（</w:t>
      </w:r>
      <w:r>
        <w:rPr>
          <w:rFonts w:hint="eastAsia"/>
          <w:b/>
          <w:bCs/>
          <w:i w:val="0"/>
          <w:iCs w:val="0"/>
          <w:color w:val="auto"/>
          <w:sz w:val="40"/>
          <w:szCs w:val="40"/>
          <w:highlight w:val="none"/>
          <w:lang w:val="en-US" w:eastAsia="zh-CN"/>
        </w:rPr>
        <w:t>工程、</w:t>
      </w:r>
      <w:r>
        <w:rPr>
          <w:b/>
          <w:bCs/>
          <w:i w:val="0"/>
          <w:iCs w:val="0"/>
          <w:color w:val="auto"/>
          <w:sz w:val="40"/>
          <w:szCs w:val="40"/>
          <w:highlight w:val="none"/>
        </w:rPr>
        <w:t>服务）</w:t>
      </w:r>
    </w:p>
    <w:p>
      <w:pPr>
        <w:snapToGrid w:val="0"/>
        <w:spacing w:line="440" w:lineRule="atLeast"/>
        <w:ind w:firstLine="440" w:firstLineChars="200"/>
        <w:rPr>
          <w:rFonts w:hint="eastAsia"/>
          <w:color w:val="auto"/>
          <w:sz w:val="22"/>
          <w:szCs w:val="22"/>
          <w:highlight w:val="none"/>
        </w:rPr>
      </w:pPr>
      <w:r>
        <w:rPr>
          <w:color w:val="auto"/>
          <w:sz w:val="22"/>
          <w:szCs w:val="22"/>
          <w:highlight w:val="none"/>
        </w:rPr>
        <w:t>本公司（联合体）郑重声明，根据《政府采购促进中小 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40" w:lineRule="atLeast"/>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b/>
          <w:bCs/>
          <w:color w:val="auto"/>
          <w:sz w:val="22"/>
          <w:szCs w:val="22"/>
          <w:highlight w:val="none"/>
          <w:u w:val="single"/>
          <w:lang w:eastAsia="zh-CN"/>
        </w:rPr>
        <w:t>农、林、牧、渔业</w:t>
      </w:r>
      <w:r>
        <w:rPr>
          <w:rFonts w:hint="eastAsia"/>
          <w:b w:val="0"/>
          <w:bCs w:val="0"/>
          <w:color w:val="auto"/>
          <w:sz w:val="22"/>
          <w:szCs w:val="22"/>
          <w:highlight w:val="none"/>
          <w:u w:val="none"/>
          <w:lang w:val="en-US" w:eastAsia="zh-CN"/>
        </w:rPr>
        <w:t xml:space="preserve"> 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（小型企业、微型企业）</w:t>
      </w:r>
      <w:r>
        <w:rPr>
          <w:color w:val="auto"/>
          <w:sz w:val="22"/>
          <w:szCs w:val="22"/>
          <w:highlight w:val="none"/>
        </w:rPr>
        <w:t xml:space="preserve">； </w:t>
      </w:r>
    </w:p>
    <w:p>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val="0"/>
        <w:spacing w:line="360" w:lineRule="auto"/>
        <w:textAlignment w:val="auto"/>
        <w:rPr>
          <w:color w:val="auto"/>
          <w:sz w:val="22"/>
          <w:szCs w:val="22"/>
          <w:highlight w:val="none"/>
        </w:rPr>
      </w:pPr>
      <w:r>
        <w:rPr>
          <w:color w:val="auto"/>
          <w:sz w:val="22"/>
          <w:szCs w:val="22"/>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40" w:firstLineChars="200"/>
        <w:textAlignment w:val="auto"/>
        <w:rPr>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40" w:firstLineChars="200"/>
        <w:textAlignment w:val="auto"/>
        <w:rPr>
          <w:rFonts w:hint="eastAsia"/>
          <w:color w:val="auto"/>
          <w:sz w:val="22"/>
          <w:szCs w:val="22"/>
          <w:highlight w:val="none"/>
        </w:rPr>
      </w:pPr>
      <w:r>
        <w:rPr>
          <w:color w:val="auto"/>
          <w:sz w:val="22"/>
          <w:szCs w:val="22"/>
          <w:highlight w:val="none"/>
        </w:rPr>
        <w:t xml:space="preserve">企业名称（盖章）： </w:t>
      </w:r>
    </w:p>
    <w:p>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日期：   </w:t>
      </w:r>
    </w:p>
    <w:p>
      <w:pPr>
        <w:pStyle w:val="38"/>
        <w:rPr>
          <w:rFonts w:hint="eastAsia"/>
          <w:color w:val="auto"/>
          <w:highlight w:val="none"/>
        </w:rPr>
      </w:pPr>
    </w:p>
    <w:p>
      <w:pPr>
        <w:pStyle w:val="38"/>
        <w:rPr>
          <w:rFonts w:hint="eastAsia"/>
          <w:color w:val="auto"/>
          <w:highlight w:val="none"/>
        </w:rPr>
      </w:pP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填写说明：</w:t>
      </w:r>
    </w:p>
    <w:p>
      <w:pPr>
        <w:keepNext w:val="0"/>
        <w:keepLines w:val="0"/>
        <w:pageBreakBefore w:val="0"/>
        <w:widowControl/>
        <w:kinsoku/>
        <w:wordWrap/>
        <w:overflowPunct/>
        <w:topLinePunct w:val="0"/>
        <w:autoSpaceDE/>
        <w:autoSpaceDN/>
        <w:bidi w:val="0"/>
        <w:adjustRightInd/>
        <w:spacing w:line="360" w:lineRule="exact"/>
        <w:textAlignment w:val="auto"/>
        <w:rPr>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w:t>
      </w:r>
    </w:p>
    <w:p>
      <w:pPr>
        <w:keepNext w:val="0"/>
        <w:keepLines w:val="0"/>
        <w:pageBreakBefore w:val="0"/>
        <w:kinsoku/>
        <w:wordWrap/>
        <w:overflowPunct/>
        <w:topLinePunct w:val="0"/>
        <w:bidi w:val="0"/>
        <w:snapToGrid w:val="0"/>
        <w:spacing w:line="360" w:lineRule="exac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w:t>
      </w:r>
      <w:r>
        <w:rPr>
          <w:rFonts w:hint="eastAsia" w:ascii="宋体" w:hAnsi="宋体"/>
          <w:b/>
          <w:bCs/>
          <w:color w:val="auto"/>
          <w:sz w:val="22"/>
          <w:szCs w:val="22"/>
          <w:highlight w:val="none"/>
          <w:lang w:eastAsia="zh-CN"/>
        </w:rPr>
        <w:t>供应商</w:t>
      </w:r>
      <w:r>
        <w:rPr>
          <w:rFonts w:hint="eastAsia" w:ascii="宋体" w:hAnsi="宋体"/>
          <w:b/>
          <w:bCs/>
          <w:color w:val="auto"/>
          <w:sz w:val="22"/>
          <w:szCs w:val="22"/>
          <w:highlight w:val="none"/>
        </w:rPr>
        <w:t>提供的中小企业声明函与实际情况不符的，视为投标人提供虚假材料投标的，投标无效。</w:t>
      </w:r>
    </w:p>
    <w:p>
      <w:pPr>
        <w:pStyle w:val="22"/>
        <w:keepNext w:val="0"/>
        <w:keepLines w:val="0"/>
        <w:pageBreakBefore w:val="0"/>
        <w:kinsoku/>
        <w:wordWrap/>
        <w:overflowPunct/>
        <w:topLinePunct w:val="0"/>
        <w:bidi w:val="0"/>
        <w:spacing w:line="360" w:lineRule="exact"/>
        <w:rPr>
          <w:rFonts w:hint="eastAsia"/>
          <w:color w:val="auto"/>
          <w:highlight w:val="none"/>
        </w:rPr>
      </w:pP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hAnsi="宋体"/>
          <w:b/>
          <w:bCs/>
          <w:color w:val="auto"/>
          <w:sz w:val="22"/>
          <w:szCs w:val="22"/>
          <w:highlight w:val="none"/>
        </w:rPr>
      </w:pPr>
      <w:r>
        <w:rPr>
          <w:rFonts w:ascii="宋体" w:hAnsi="宋体"/>
          <w:b/>
          <w:bCs/>
          <w:color w:val="auto"/>
          <w:sz w:val="22"/>
          <w:szCs w:val="22"/>
          <w:highlight w:val="none"/>
        </w:rPr>
        <w:t>　　</w:t>
      </w:r>
      <w:r>
        <w:rPr>
          <w:rFonts w:hint="eastAsia" w:ascii="宋体" w:hAnsi="宋体"/>
          <w:b/>
          <w:bCs/>
          <w:color w:val="auto"/>
          <w:sz w:val="22"/>
          <w:szCs w:val="22"/>
          <w:highlight w:val="none"/>
        </w:rPr>
        <w:t>提示：供应商应实事求是填写并提供本表。根据财政部 工业和信息化部 财库〔2020〕46号文件规定，《中小企业声明函》内容不实的，属于提供虚假资料谋求中标、成交，依照《中华人民共和国政府采购法》等国家有关规定追究相应责任。</w:t>
      </w:r>
      <w:r>
        <w:rPr>
          <w:rFonts w:ascii="宋体" w:hAnsi="宋体"/>
          <w:b/>
          <w:bCs/>
          <w:color w:val="auto"/>
          <w:sz w:val="22"/>
          <w:szCs w:val="22"/>
          <w:highlight w:val="none"/>
        </w:rPr>
        <w:t>　</w:t>
      </w:r>
    </w:p>
    <w:p>
      <w:pPr>
        <w:widowControl/>
        <w:snapToGrid w:val="0"/>
        <w:spacing w:line="588" w:lineRule="exact"/>
        <w:jc w:val="center"/>
        <w:rPr>
          <w:rFonts w:ascii="宋体" w:hAnsi="宋体"/>
          <w:color w:val="auto"/>
          <w:spacing w:val="6"/>
          <w:sz w:val="22"/>
          <w:szCs w:val="22"/>
          <w:highlight w:val="none"/>
        </w:rPr>
        <w:sectPr>
          <w:footerReference r:id="rId7" w:type="default"/>
          <w:pgSz w:w="11907" w:h="16840"/>
          <w:pgMar w:top="1440" w:right="1080" w:bottom="1440" w:left="1080" w:header="1077" w:footer="1077" w:gutter="0"/>
          <w:cols w:space="720" w:num="1"/>
          <w:docGrid w:linePitch="367" w:charSpace="0"/>
        </w:sectPr>
      </w:pPr>
      <w:bookmarkStart w:id="4" w:name="OLE_LINK13"/>
    </w:p>
    <w:p>
      <w:pPr>
        <w:pStyle w:val="38"/>
        <w:rPr>
          <w:color w:val="auto"/>
          <w:highlight w:val="none"/>
        </w:rPr>
      </w:pPr>
    </w:p>
    <w:p>
      <w:pPr>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省级以上监狱管理局、戒毒管理局（含新疆生产建设兵团）提供的属于监狱企业的证明文件。</w:t>
      </w:r>
    </w:p>
    <w:tbl>
      <w:tblPr>
        <w:tblStyle w:val="39"/>
        <w:tblW w:w="0" w:type="auto"/>
        <w:tblInd w:w="108" w:type="dxa"/>
        <w:tblLayout w:type="fixed"/>
        <w:tblCellMar>
          <w:top w:w="0" w:type="dxa"/>
          <w:left w:w="0" w:type="dxa"/>
          <w:bottom w:w="0" w:type="dxa"/>
          <w:right w:w="0" w:type="dxa"/>
        </w:tblCellMar>
      </w:tblPr>
      <w:tblGrid>
        <w:gridCol w:w="8980"/>
      </w:tblGrid>
      <w:tr>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注：证明文件无固定格式要求，只需证明供应商为监狱企业且出具单位为省级以上监狱管理局、戒毒管理局（含新疆生产建设兵团）。</w:t>
            </w:r>
          </w:p>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center"/>
              <w:rPr>
                <w:rFonts w:hint="eastAsia" w:ascii="宋体" w:hAnsi="宋体" w:eastAsia="宋体" w:cs="宋体"/>
                <w:color w:val="auto"/>
                <w:sz w:val="36"/>
                <w:highlight w:val="none"/>
              </w:rPr>
            </w:pPr>
          </w:p>
        </w:tc>
      </w:tr>
    </w:tbl>
    <w:p>
      <w:pPr>
        <w:snapToGrid w:val="0"/>
        <w:spacing w:line="360" w:lineRule="auto"/>
        <w:jc w:val="center"/>
        <w:rPr>
          <w:rFonts w:hint="eastAsia"/>
          <w:b/>
          <w:color w:val="auto"/>
          <w:spacing w:val="6"/>
          <w:highlight w:val="none"/>
        </w:rPr>
      </w:pPr>
    </w:p>
    <w:p>
      <w:pPr>
        <w:pStyle w:val="22"/>
        <w:rPr>
          <w:rFonts w:hint="eastAsia"/>
          <w:color w:val="auto"/>
          <w:highlight w:val="none"/>
        </w:rPr>
      </w:pPr>
    </w:p>
    <w:p>
      <w:pPr>
        <w:rPr>
          <w:rFonts w:hint="eastAsia"/>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残疾人福利性单位声明函</w:t>
      </w:r>
    </w:p>
    <w:p>
      <w:pPr>
        <w:spacing w:line="360" w:lineRule="auto"/>
        <w:ind w:firstLine="504" w:firstLineChars="200"/>
        <w:rPr>
          <w:rFonts w:hint="eastAsia" w:ascii="宋体" w:hAnsi="宋体" w:eastAsia="宋体" w:cs="宋体"/>
          <w:color w:val="auto"/>
          <w:spacing w:val="6"/>
          <w:sz w:val="24"/>
          <w:szCs w:val="18"/>
          <w:highlight w:val="none"/>
        </w:rPr>
      </w:pPr>
      <w:r>
        <w:rPr>
          <w:rFonts w:hint="eastAsia" w:ascii="宋体" w:hAnsi="宋体" w:eastAsia="宋体" w:cs="宋体"/>
          <w:color w:val="auto"/>
          <w:spacing w:val="6"/>
          <w:sz w:val="24"/>
          <w:szCs w:val="18"/>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18"/>
          <w:highlight w:val="none"/>
        </w:rPr>
        <w:t>〔2017〕141</w:t>
      </w:r>
      <w:r>
        <w:rPr>
          <w:rFonts w:hint="eastAsia" w:ascii="宋体" w:hAnsi="宋体" w:eastAsia="宋体" w:cs="宋体"/>
          <w:color w:val="auto"/>
          <w:spacing w:val="6"/>
          <w:sz w:val="24"/>
          <w:szCs w:val="18"/>
          <w:highlight w:val="none"/>
        </w:rPr>
        <w:t>号）的规定，本单位为符合条件的残疾人福利性单位，且本单位参加</w:t>
      </w:r>
      <w:r>
        <w:rPr>
          <w:rFonts w:hint="eastAsia" w:ascii="宋体" w:hAnsi="宋体" w:eastAsia="宋体" w:cs="宋体"/>
          <w:b/>
          <w:color w:val="auto"/>
          <w:sz w:val="24"/>
          <w:szCs w:val="24"/>
          <w:highlight w:val="none"/>
          <w:u w:val="single"/>
          <w:lang w:val="en-US" w:eastAsia="zh-CN"/>
        </w:rPr>
        <w:t xml:space="preserve">  （项目名称）</w:t>
      </w:r>
      <w:r>
        <w:rPr>
          <w:rFonts w:hint="eastAsia" w:ascii="宋体" w:hAnsi="宋体" w:eastAsia="宋体" w:cs="宋体"/>
          <w:b/>
          <w:color w:val="auto"/>
          <w:sz w:val="24"/>
          <w:szCs w:val="24"/>
          <w:highlight w:val="none"/>
          <w:u w:val="single"/>
        </w:rPr>
        <w:t>（项目编号：  ）</w:t>
      </w:r>
      <w:r>
        <w:rPr>
          <w:rFonts w:hint="eastAsia" w:ascii="宋体" w:hAnsi="宋体" w:eastAsia="宋体" w:cs="宋体"/>
          <w:color w:val="auto"/>
          <w:spacing w:val="6"/>
          <w:sz w:val="24"/>
          <w:szCs w:val="18"/>
          <w:highlight w:val="none"/>
        </w:rPr>
        <w:t>的采购活动提供本单位制造的货物（由本单位承担工程/提供服务），或者提供其他残疾人福利性单位制造的货物（不包括使用非残疾人福利性单位注册商标的货物）。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auto"/>
          <w:spacing w:val="6"/>
          <w:sz w:val="22"/>
          <w:szCs w:val="18"/>
          <w:highlight w:val="none"/>
        </w:rPr>
      </w:pPr>
      <w:r>
        <w:rPr>
          <w:rFonts w:hint="eastAsia" w:ascii="宋体" w:hAnsi="宋体" w:eastAsia="宋体" w:cs="宋体"/>
          <w:color w:val="auto"/>
          <w:spacing w:val="6"/>
          <w:sz w:val="24"/>
          <w:szCs w:val="18"/>
          <w:highlight w:val="none"/>
        </w:rPr>
        <w:t>本单位对上述声明的真实性负责。如有虚假，将依法承担相应责任。</w:t>
      </w:r>
    </w:p>
    <w:p>
      <w:pPr>
        <w:spacing w:line="360" w:lineRule="auto"/>
        <w:ind w:firstLine="464" w:firstLineChars="200"/>
        <w:rPr>
          <w:rFonts w:hint="eastAsia" w:ascii="宋体" w:hAnsi="宋体" w:eastAsia="宋体" w:cs="宋体"/>
          <w:color w:val="auto"/>
          <w:spacing w:val="6"/>
          <w:sz w:val="22"/>
          <w:szCs w:val="18"/>
          <w:highlight w:val="none"/>
        </w:rPr>
      </w:pPr>
    </w:p>
    <w:p>
      <w:pPr>
        <w:tabs>
          <w:tab w:val="left" w:pos="4860"/>
        </w:tabs>
        <w:spacing w:line="360" w:lineRule="auto"/>
        <w:ind w:right="1560"/>
        <w:jc w:val="left"/>
        <w:rPr>
          <w:rFonts w:hint="eastAsia" w:ascii="宋体" w:hAnsi="宋体" w:eastAsia="宋体" w:cs="宋体"/>
          <w:color w:val="auto"/>
          <w:spacing w:val="6"/>
          <w:sz w:val="24"/>
          <w:szCs w:val="18"/>
          <w:highlight w:val="none"/>
        </w:rPr>
      </w:pPr>
      <w:r>
        <w:rPr>
          <w:rFonts w:hint="eastAsia" w:ascii="宋体" w:hAnsi="宋体" w:eastAsia="宋体" w:cs="宋体"/>
          <w:color w:val="auto"/>
          <w:spacing w:val="6"/>
          <w:sz w:val="24"/>
          <w:szCs w:val="18"/>
          <w:highlight w:val="none"/>
        </w:rPr>
        <w:t>单位名称（盖章）：</w:t>
      </w:r>
      <w:r>
        <w:rPr>
          <w:rFonts w:hint="eastAsia" w:ascii="宋体" w:hAnsi="宋体" w:eastAsia="宋体" w:cs="宋体"/>
          <w:color w:val="auto"/>
          <w:w w:val="90"/>
          <w:sz w:val="24"/>
          <w:szCs w:val="18"/>
          <w:highlight w:val="none"/>
        </w:rPr>
        <w:t>__________________________________</w:t>
      </w:r>
    </w:p>
    <w:p>
      <w:pPr>
        <w:tabs>
          <w:tab w:val="left" w:pos="4860"/>
        </w:tabs>
        <w:spacing w:line="360" w:lineRule="auto"/>
        <w:ind w:right="1560"/>
        <w:jc w:val="left"/>
        <w:rPr>
          <w:rFonts w:hint="eastAsia" w:ascii="宋体" w:hAnsi="宋体" w:eastAsia="宋体" w:cs="宋体"/>
          <w:color w:val="auto"/>
          <w:spacing w:val="6"/>
          <w:sz w:val="24"/>
          <w:szCs w:val="18"/>
          <w:highlight w:val="none"/>
        </w:rPr>
      </w:pPr>
    </w:p>
    <w:p>
      <w:pPr>
        <w:spacing w:line="360" w:lineRule="auto"/>
        <w:rPr>
          <w:rFonts w:hint="eastAsia" w:ascii="宋体" w:hAnsi="宋体" w:eastAsia="宋体" w:cs="宋体"/>
          <w:color w:val="auto"/>
          <w:w w:val="90"/>
          <w:sz w:val="28"/>
          <w:highlight w:val="none"/>
        </w:rPr>
      </w:pPr>
      <w:r>
        <w:rPr>
          <w:rFonts w:hint="eastAsia" w:ascii="宋体" w:hAnsi="宋体" w:eastAsia="宋体" w:cs="宋体"/>
          <w:color w:val="auto"/>
          <w:spacing w:val="6"/>
          <w:sz w:val="24"/>
          <w:szCs w:val="18"/>
          <w:highlight w:val="none"/>
        </w:rPr>
        <w:t>日  期：</w:t>
      </w:r>
      <w:r>
        <w:rPr>
          <w:rFonts w:hint="eastAsia" w:ascii="宋体" w:hAnsi="宋体" w:eastAsia="宋体" w:cs="宋体"/>
          <w:color w:val="auto"/>
          <w:w w:val="90"/>
          <w:sz w:val="24"/>
          <w:szCs w:val="18"/>
          <w:highlight w:val="none"/>
        </w:rPr>
        <w:t>____________________________________________</w:t>
      </w:r>
    </w:p>
    <w:bookmarkEnd w:id="4"/>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560"/>
        <w:jc w:val="left"/>
        <w:textAlignment w:val="auto"/>
        <w:rPr>
          <w:color w:val="auto"/>
          <w:sz w:val="22"/>
          <w:highlight w:val="none"/>
        </w:rPr>
      </w:pPr>
      <w:r>
        <w:rPr>
          <w:color w:val="auto"/>
          <w:sz w:val="22"/>
          <w:highlight w:val="none"/>
        </w:rPr>
        <w:t>备注说明：如中标，将在中标公示中将此残疾人福利性单位声明函予以公示，接受社会监督；</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highlight w:val="none"/>
        </w:rPr>
      </w:pPr>
      <w:r>
        <w:rPr>
          <w:color w:val="auto"/>
          <w:sz w:val="22"/>
          <w:highlight w:val="none"/>
        </w:rPr>
        <w:t>1、</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highlight w:val="none"/>
        </w:rPr>
      </w:pPr>
      <w:r>
        <w:rPr>
          <w:color w:val="auto"/>
          <w:sz w:val="22"/>
          <w:highlight w:val="none"/>
        </w:rPr>
        <w:t>2、供应商提供的《残疾人福利性单位声明函》与事实不符的，依照《政府采购法》第七十七条第一款的规定追究法律责任。</w:t>
      </w:r>
    </w:p>
    <w:p>
      <w:pPr>
        <w:pStyle w:val="23"/>
        <w:rPr>
          <w:color w:val="auto"/>
          <w:highlight w:val="none"/>
        </w:rPr>
      </w:pPr>
    </w:p>
    <w:p>
      <w:pPr>
        <w:pStyle w:val="22"/>
        <w:rPr>
          <w:color w:val="auto"/>
          <w:highlight w:val="none"/>
        </w:rPr>
      </w:pPr>
    </w:p>
    <w:p>
      <w:pPr>
        <w:widowControl/>
        <w:tabs>
          <w:tab w:val="left" w:pos="4860"/>
        </w:tabs>
        <w:snapToGrid w:val="0"/>
        <w:spacing w:line="588" w:lineRule="exact"/>
        <w:ind w:right="136"/>
        <w:jc w:val="left"/>
        <w:rPr>
          <w:rFonts w:hint="eastAsia" w:eastAsia="宋体"/>
          <w:b/>
          <w:bCs/>
          <w:color w:val="auto"/>
          <w:sz w:val="22"/>
          <w:highlight w:val="none"/>
          <w:lang w:eastAsia="zh-CN"/>
        </w:rPr>
      </w:pPr>
      <w:r>
        <w:rPr>
          <w:b/>
          <w:bCs/>
          <w:color w:val="auto"/>
          <w:sz w:val="22"/>
          <w:highlight w:val="none"/>
        </w:rPr>
        <w:t>二、节能、环保产品优先（强制）采购政策说明</w:t>
      </w:r>
      <w:r>
        <w:rPr>
          <w:rFonts w:hint="eastAsia" w:cs="Times New Roman"/>
          <w:b/>
          <w:bCs/>
          <w:color w:val="auto"/>
          <w:sz w:val="22"/>
          <w:highlight w:val="none"/>
          <w:lang w:val="en-US" w:eastAsia="zh-CN"/>
        </w:rPr>
        <w:t>【</w:t>
      </w:r>
      <w:r>
        <w:rPr>
          <w:rFonts w:hint="eastAsia"/>
          <w:b/>
          <w:bCs/>
          <w:color w:val="auto"/>
          <w:sz w:val="22"/>
          <w:highlight w:val="none"/>
          <w:lang w:eastAsia="zh-CN"/>
        </w:rPr>
        <w:t>采购货物项目</w:t>
      </w:r>
      <w:r>
        <w:rPr>
          <w:rFonts w:hint="eastAsia" w:cs="Times New Roman"/>
          <w:b/>
          <w:bCs/>
          <w:color w:val="auto"/>
          <w:sz w:val="22"/>
          <w:highlight w:val="none"/>
          <w:lang w:val="en-US" w:eastAsia="zh-CN"/>
        </w:rPr>
        <w:t>适用】</w:t>
      </w:r>
    </w:p>
    <w:p>
      <w:pPr>
        <w:widowControl/>
        <w:tabs>
          <w:tab w:val="left" w:pos="4860"/>
        </w:tabs>
        <w:snapToGrid w:val="0"/>
        <w:spacing w:line="588" w:lineRule="exact"/>
        <w:ind w:right="1560"/>
        <w:jc w:val="left"/>
        <w:rPr>
          <w:color w:val="auto"/>
          <w:sz w:val="22"/>
          <w:highlight w:val="none"/>
        </w:rPr>
      </w:pPr>
      <w:r>
        <w:rPr>
          <w:color w:val="auto"/>
          <w:sz w:val="22"/>
          <w:highlight w:val="none"/>
        </w:rPr>
        <w:t>1、政策依据</w:t>
      </w:r>
    </w:p>
    <w:p>
      <w:pPr>
        <w:widowControl/>
        <w:tabs>
          <w:tab w:val="left" w:pos="4860"/>
        </w:tabs>
        <w:snapToGrid w:val="0"/>
        <w:spacing w:line="588" w:lineRule="exact"/>
        <w:ind w:right="136"/>
        <w:jc w:val="left"/>
        <w:rPr>
          <w:color w:val="auto"/>
          <w:sz w:val="22"/>
          <w:highlight w:val="none"/>
        </w:rPr>
      </w:pPr>
      <w:r>
        <w:rPr>
          <w:color w:val="auto"/>
          <w:sz w:val="22"/>
          <w:highlight w:val="none"/>
        </w:rPr>
        <w:t>（一）《国务院办公厅关于建立政府强制采购节能产品制度的通知》(国办发[2007]51号)</w:t>
      </w:r>
    </w:p>
    <w:p>
      <w:pPr>
        <w:widowControl/>
        <w:tabs>
          <w:tab w:val="left" w:pos="4860"/>
        </w:tabs>
        <w:snapToGrid w:val="0"/>
        <w:spacing w:line="588" w:lineRule="exact"/>
        <w:ind w:right="136"/>
        <w:jc w:val="left"/>
        <w:rPr>
          <w:color w:val="auto"/>
          <w:sz w:val="22"/>
          <w:highlight w:val="none"/>
        </w:rPr>
      </w:pPr>
      <w:r>
        <w:rPr>
          <w:color w:val="auto"/>
          <w:sz w:val="22"/>
          <w:highlight w:val="none"/>
        </w:rPr>
        <w:t>（二）财政部、发展改革委发布的《节能产品政府采购实施意见》(财库[2004]185号)</w:t>
      </w:r>
    </w:p>
    <w:p>
      <w:pPr>
        <w:widowControl/>
        <w:tabs>
          <w:tab w:val="left" w:pos="4860"/>
        </w:tabs>
        <w:snapToGrid w:val="0"/>
        <w:spacing w:line="588" w:lineRule="exact"/>
        <w:ind w:right="136"/>
        <w:jc w:val="left"/>
        <w:rPr>
          <w:color w:val="auto"/>
          <w:sz w:val="22"/>
          <w:highlight w:val="none"/>
        </w:rPr>
      </w:pPr>
      <w:r>
        <w:rPr>
          <w:color w:val="auto"/>
          <w:sz w:val="22"/>
          <w:highlight w:val="none"/>
        </w:rPr>
        <w:t>（三）财政部、原环保总局印发的《环境标志产品政府采购实施的意见》（财库 [2006]90号）</w:t>
      </w:r>
    </w:p>
    <w:p>
      <w:pPr>
        <w:widowControl/>
        <w:tabs>
          <w:tab w:val="left" w:pos="4860"/>
        </w:tabs>
        <w:snapToGrid w:val="0"/>
        <w:spacing w:line="588" w:lineRule="exact"/>
        <w:ind w:right="136"/>
        <w:jc w:val="left"/>
        <w:rPr>
          <w:color w:val="auto"/>
          <w:sz w:val="22"/>
          <w:highlight w:val="none"/>
        </w:rPr>
      </w:pPr>
      <w:r>
        <w:rPr>
          <w:color w:val="auto"/>
          <w:sz w:val="22"/>
          <w:highlight w:val="none"/>
        </w:rPr>
        <w:t>2、供应商投标货物属于节能、环保优先（强制）采购范围的，须提供相关证明材料。</w:t>
      </w:r>
    </w:p>
    <w:p>
      <w:pPr>
        <w:pStyle w:val="23"/>
        <w:rPr>
          <w:color w:val="auto"/>
          <w:sz w:val="22"/>
          <w:highlight w:val="none"/>
        </w:rPr>
      </w:pPr>
    </w:p>
    <w:p>
      <w:pPr>
        <w:snapToGrid w:val="0"/>
        <w:spacing w:line="420" w:lineRule="exact"/>
        <w:jc w:val="both"/>
        <w:rPr>
          <w:rFonts w:hint="default" w:ascii="Times New Roman" w:hAnsi="Times New Roman" w:eastAsia="宋体" w:cs="Times New Roman"/>
          <w:b/>
          <w:bCs/>
          <w:color w:val="auto"/>
          <w:sz w:val="22"/>
          <w:highlight w:val="none"/>
          <w:lang w:val="en-US" w:eastAsia="zh-CN"/>
        </w:rPr>
      </w:pPr>
      <w:r>
        <w:rPr>
          <w:rFonts w:hint="eastAsia"/>
          <w:b/>
          <w:bCs/>
          <w:color w:val="auto"/>
          <w:highlight w:val="none"/>
          <w:lang w:val="en-US" w:eastAsia="zh-CN"/>
        </w:rPr>
        <w:t>三、</w:t>
      </w:r>
      <w:r>
        <w:rPr>
          <w:rFonts w:hint="eastAsia" w:ascii="Times New Roman" w:hAnsi="Times New Roman" w:eastAsia="宋体" w:cs="Times New Roman"/>
          <w:b/>
          <w:bCs/>
          <w:color w:val="auto"/>
          <w:sz w:val="22"/>
          <w:highlight w:val="none"/>
          <w:lang w:val="en-US" w:eastAsia="zh-CN"/>
        </w:rPr>
        <w:t>首台套采购政策说明</w:t>
      </w:r>
      <w:r>
        <w:rPr>
          <w:rFonts w:hint="eastAsia" w:cs="Times New Roman"/>
          <w:b/>
          <w:bCs/>
          <w:color w:val="auto"/>
          <w:sz w:val="22"/>
          <w:highlight w:val="none"/>
          <w:lang w:val="en-US" w:eastAsia="zh-CN"/>
        </w:rPr>
        <w:t>【</w:t>
      </w:r>
      <w:r>
        <w:rPr>
          <w:rFonts w:hint="eastAsia"/>
          <w:b/>
          <w:bCs/>
          <w:color w:val="auto"/>
          <w:sz w:val="22"/>
          <w:highlight w:val="none"/>
          <w:lang w:eastAsia="zh-CN"/>
        </w:rPr>
        <w:t>采购货物项目</w:t>
      </w:r>
      <w:r>
        <w:rPr>
          <w:rFonts w:hint="eastAsia" w:cs="Times New Roman"/>
          <w:b/>
          <w:bCs/>
          <w:color w:val="auto"/>
          <w:sz w:val="22"/>
          <w:highlight w:val="none"/>
          <w:lang w:val="en-US" w:eastAsia="zh-CN"/>
        </w:rPr>
        <w:t>适用】</w:t>
      </w:r>
    </w:p>
    <w:p>
      <w:pPr>
        <w:widowControl/>
        <w:tabs>
          <w:tab w:val="left" w:pos="4860"/>
        </w:tabs>
        <w:snapToGrid w:val="0"/>
        <w:spacing w:line="588" w:lineRule="exact"/>
        <w:ind w:right="507" w:rightChars="0"/>
        <w:jc w:val="left"/>
        <w:rPr>
          <w:rFonts w:hint="eastAsia" w:ascii="Times New Roman" w:hAnsi="Times New Roman" w:eastAsia="宋体" w:cs="Times New Roman"/>
          <w:color w:val="auto"/>
          <w:sz w:val="22"/>
          <w:highlight w:val="none"/>
          <w:lang w:eastAsia="zh-CN"/>
        </w:rPr>
      </w:pPr>
      <w:r>
        <w:rPr>
          <w:rFonts w:hint="eastAsia" w:ascii="Times New Roman" w:hAnsi="Times New Roman" w:eastAsia="宋体" w:cs="Times New Roman"/>
          <w:color w:val="auto"/>
          <w:sz w:val="22"/>
          <w:highlight w:val="none"/>
          <w:lang w:val="en-US" w:eastAsia="zh-CN"/>
        </w:rPr>
        <w:t>1、</w:t>
      </w:r>
      <w:r>
        <w:rPr>
          <w:rFonts w:hint="eastAsia" w:ascii="Times New Roman" w:hAnsi="Times New Roman" w:eastAsia="宋体" w:cs="Times New Roman"/>
          <w:color w:val="auto"/>
          <w:sz w:val="22"/>
          <w:highlight w:val="none"/>
          <w:lang w:eastAsia="zh-CN"/>
        </w:rPr>
        <w:t>对省级以上主管部门认定的首台套产品，自纳入《省推广应用指导目录》起三年内参加政府采购活动，视同已具备相应销售业绩，业绩分为满分。</w:t>
      </w:r>
    </w:p>
    <w:p>
      <w:pPr>
        <w:widowControl/>
        <w:tabs>
          <w:tab w:val="left" w:pos="4860"/>
        </w:tabs>
        <w:snapToGrid w:val="0"/>
        <w:spacing w:line="588" w:lineRule="exact"/>
        <w:ind w:right="507" w:rightChars="0"/>
        <w:jc w:val="left"/>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2、政策依据</w:t>
      </w:r>
    </w:p>
    <w:p>
      <w:pPr>
        <w:pStyle w:val="23"/>
        <w:ind w:left="0" w:leftChars="0" w:right="397" w:rightChars="189" w:firstLine="0" w:firstLineChars="0"/>
        <w:rPr>
          <w:color w:val="auto"/>
          <w:sz w:val="22"/>
          <w:highlight w:val="none"/>
        </w:rPr>
      </w:pPr>
      <w:r>
        <w:rPr>
          <w:rFonts w:hint="eastAsia" w:ascii="Times New Roman" w:hAnsi="Times New Roman" w:eastAsia="宋体" w:cs="Times New Roman"/>
          <w:color w:val="auto"/>
          <w:sz w:val="22"/>
          <w:highlight w:val="none"/>
          <w:lang w:val="en-US" w:eastAsia="zh-CN"/>
        </w:rPr>
        <w:t>（一）《浙江省财政厅关于进一步加大政府采购支持中小企业力度助力扎实稳住经济的通知》(浙财采监〔2022〕8号)</w:t>
      </w:r>
    </w:p>
    <w:p>
      <w:pPr>
        <w:kinsoku/>
        <w:wordWrap w:val="0"/>
        <w:overflowPunct/>
        <w:bidi w:val="0"/>
        <w:snapToGrid w:val="0"/>
        <w:spacing w:line="420" w:lineRule="exact"/>
        <w:jc w:val="center"/>
        <w:rPr>
          <w:rFonts w:hint="eastAsia" w:ascii="宋体" w:hAnsi="宋体"/>
          <w:color w:val="auto"/>
          <w:sz w:val="36"/>
          <w:szCs w:val="36"/>
          <w:highlight w:val="none"/>
        </w:rPr>
      </w:pPr>
      <w:r>
        <w:rPr>
          <w:color w:val="auto"/>
          <w:highlight w:val="none"/>
        </w:rPr>
        <w:br w:type="page"/>
      </w:r>
      <w:r>
        <w:rPr>
          <w:rFonts w:hint="eastAsia" w:ascii="宋体" w:hAnsi="宋体"/>
          <w:color w:val="auto"/>
          <w:sz w:val="36"/>
          <w:szCs w:val="36"/>
          <w:highlight w:val="none"/>
        </w:rPr>
        <w:t>第五部分 合同格式（供参考）</w:t>
      </w:r>
    </w:p>
    <w:p>
      <w:pPr>
        <w:pStyle w:val="2"/>
        <w:kinsoku/>
        <w:wordWrap w:val="0"/>
        <w:overflowPunct/>
        <w:bidi w:val="0"/>
        <w:adjustRightInd w:val="0"/>
        <w:snapToGrid w:val="0"/>
        <w:spacing w:line="440" w:lineRule="atLeast"/>
        <w:jc w:val="center"/>
        <w:rPr>
          <w:rFonts w:hint="eastAsia"/>
          <w:b/>
          <w:color w:val="auto"/>
          <w:spacing w:val="120"/>
          <w:sz w:val="40"/>
          <w:highlight w:val="none"/>
        </w:rPr>
      </w:pPr>
      <w:r>
        <w:rPr>
          <w:rFonts w:hint="eastAsia" w:hAnsi="宋体"/>
          <w:color w:val="auto"/>
          <w:highlight w:val="none"/>
        </w:rPr>
        <w:t xml:space="preserve">                                   </w:t>
      </w:r>
    </w:p>
    <w:p>
      <w:pPr>
        <w:pStyle w:val="2"/>
        <w:kinsoku/>
        <w:wordWrap w:val="0"/>
        <w:overflowPunct/>
        <w:bidi w:val="0"/>
        <w:adjustRightInd w:val="0"/>
        <w:snapToGrid w:val="0"/>
        <w:spacing w:line="440" w:lineRule="atLeast"/>
        <w:jc w:val="center"/>
        <w:rPr>
          <w:b/>
          <w:color w:val="auto"/>
          <w:spacing w:val="120"/>
          <w:sz w:val="40"/>
          <w:highlight w:val="none"/>
        </w:rPr>
      </w:pPr>
      <w:r>
        <w:rPr>
          <w:rFonts w:hint="eastAsia"/>
          <w:b/>
          <w:color w:val="auto"/>
          <w:spacing w:val="120"/>
          <w:sz w:val="40"/>
          <w:highlight w:val="none"/>
        </w:rPr>
        <w:t>合同书</w:t>
      </w:r>
    </w:p>
    <w:p>
      <w:pPr>
        <w:kinsoku/>
        <w:wordWrap w:val="0"/>
        <w:overflowPunct/>
        <w:bidi w:val="0"/>
        <w:rPr>
          <w:rFonts w:hint="eastAsia"/>
          <w:b/>
          <w:color w:val="auto"/>
          <w:sz w:val="30"/>
          <w:highlight w:val="none"/>
        </w:rPr>
      </w:pPr>
    </w:p>
    <w:p>
      <w:pPr>
        <w:kinsoku/>
        <w:wordWrap w:val="0"/>
        <w:overflowPunct/>
        <w:bidi w:val="0"/>
        <w:rPr>
          <w:rFonts w:hint="eastAsia"/>
          <w:b/>
          <w:color w:val="auto"/>
          <w:sz w:val="30"/>
          <w:highlight w:val="none"/>
        </w:rPr>
      </w:pPr>
    </w:p>
    <w:p>
      <w:pPr>
        <w:kinsoku/>
        <w:wordWrap w:val="0"/>
        <w:overflowPunct/>
        <w:bidi w:val="0"/>
        <w:rPr>
          <w:rFonts w:hint="eastAsia" w:ascii="楷体_GB2312" w:eastAsia="楷体_GB2312"/>
          <w:color w:val="auto"/>
          <w:sz w:val="30"/>
          <w:szCs w:val="30"/>
          <w:highlight w:val="none"/>
        </w:rPr>
      </w:pPr>
    </w:p>
    <w:p>
      <w:pPr>
        <w:kinsoku/>
        <w:wordWrap w:val="0"/>
        <w:overflowPunct/>
        <w:bidi w:val="0"/>
        <w:snapToGrid w:val="0"/>
        <w:spacing w:line="360" w:lineRule="auto"/>
        <w:ind w:left="1506" w:hanging="1506" w:hangingChars="500"/>
        <w:rPr>
          <w:rFonts w:hint="eastAsia" w:ascii="宋体" w:hAnsi="宋体"/>
          <w:b/>
          <w:color w:val="auto"/>
          <w:spacing w:val="20"/>
          <w:sz w:val="30"/>
          <w:szCs w:val="30"/>
          <w:highlight w:val="none"/>
          <w:u w:val="single"/>
        </w:rPr>
      </w:pPr>
      <w:r>
        <w:rPr>
          <w:rFonts w:hint="eastAsia" w:ascii="宋体" w:hAnsi="宋体"/>
          <w:b/>
          <w:color w:val="auto"/>
          <w:sz w:val="30"/>
          <w:szCs w:val="30"/>
          <w:highlight w:val="none"/>
        </w:rPr>
        <w:t>项目名称：</w:t>
      </w:r>
      <w:r>
        <w:rPr>
          <w:rFonts w:hint="eastAsia" w:ascii="宋体" w:hAnsi="宋体"/>
          <w:b/>
          <w:color w:val="auto"/>
          <w:sz w:val="28"/>
          <w:highlight w:val="none"/>
          <w:u w:val="single"/>
        </w:rPr>
        <w:t xml:space="preserve"> </w:t>
      </w:r>
      <w:r>
        <w:rPr>
          <w:rFonts w:hint="eastAsia" w:ascii="宋体" w:hAnsi="宋体"/>
          <w:b/>
          <w:color w:val="auto"/>
          <w:sz w:val="28"/>
          <w:szCs w:val="28"/>
          <w:highlight w:val="none"/>
          <w:u w:val="single"/>
          <w:lang w:eastAsia="zh-CN"/>
        </w:rPr>
        <w:t>2024 年平阳县水头镇高标准农田改造提升示范项目（绿色农田建设项目）-土壤改良培肥</w:t>
      </w:r>
      <w:r>
        <w:rPr>
          <w:rFonts w:hint="eastAsia" w:ascii="宋体" w:hAnsi="宋体"/>
          <w:b/>
          <w:color w:val="auto"/>
          <w:sz w:val="30"/>
          <w:szCs w:val="30"/>
          <w:highlight w:val="none"/>
          <w:u w:val="single"/>
        </w:rPr>
        <w:t xml:space="preserve"> </w:t>
      </w:r>
    </w:p>
    <w:p>
      <w:pPr>
        <w:kinsoku/>
        <w:wordWrap w:val="0"/>
        <w:overflowPunct/>
        <w:bidi w:val="0"/>
        <w:rPr>
          <w:rFonts w:hint="eastAsia" w:ascii="宋体" w:hAnsi="宋体"/>
          <w:b/>
          <w:color w:val="auto"/>
          <w:spacing w:val="50"/>
          <w:sz w:val="30"/>
          <w:szCs w:val="30"/>
          <w:highlight w:val="none"/>
        </w:rPr>
      </w:pPr>
      <w:r>
        <w:rPr>
          <w:rFonts w:hint="eastAsia" w:ascii="宋体" w:hAnsi="宋体"/>
          <w:b/>
          <w:color w:val="auto"/>
          <w:spacing w:val="20"/>
          <w:sz w:val="30"/>
          <w:szCs w:val="30"/>
          <w:highlight w:val="none"/>
        </w:rPr>
        <w:t xml:space="preserve">          </w:t>
      </w:r>
    </w:p>
    <w:p>
      <w:pPr>
        <w:kinsoku/>
        <w:wordWrap w:val="0"/>
        <w:overflowPunct/>
        <w:bidi w:val="0"/>
        <w:rPr>
          <w:rFonts w:hint="eastAsia" w:ascii="宋体" w:hAnsi="宋体"/>
          <w:b/>
          <w:color w:val="auto"/>
          <w:spacing w:val="50"/>
          <w:sz w:val="30"/>
          <w:szCs w:val="30"/>
          <w:highlight w:val="none"/>
        </w:rPr>
      </w:pPr>
    </w:p>
    <w:p>
      <w:pPr>
        <w:kinsoku/>
        <w:wordWrap w:val="0"/>
        <w:overflowPunct/>
        <w:bidi w:val="0"/>
        <w:rPr>
          <w:rFonts w:hint="eastAsia" w:ascii="宋体" w:hAnsi="宋体"/>
          <w:b/>
          <w:color w:val="auto"/>
          <w:spacing w:val="50"/>
          <w:sz w:val="30"/>
          <w:szCs w:val="30"/>
          <w:highlight w:val="none"/>
        </w:rPr>
      </w:pPr>
    </w:p>
    <w:p>
      <w:pPr>
        <w:kinsoku/>
        <w:wordWrap w:val="0"/>
        <w:overflowPunct/>
        <w:bidi w:val="0"/>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采购人：</w:t>
      </w:r>
      <w:r>
        <w:rPr>
          <w:rFonts w:hint="eastAsia" w:ascii="宋体" w:hAnsi="宋体"/>
          <w:b/>
          <w:color w:val="auto"/>
          <w:sz w:val="30"/>
          <w:szCs w:val="30"/>
          <w:highlight w:val="none"/>
          <w:u w:val="single"/>
        </w:rPr>
        <w:t xml:space="preserve">                                        </w:t>
      </w:r>
    </w:p>
    <w:p>
      <w:pPr>
        <w:kinsoku/>
        <w:wordWrap w:val="0"/>
        <w:overflowPunct/>
        <w:bidi w:val="0"/>
        <w:rPr>
          <w:rFonts w:hint="eastAsia" w:ascii="宋体" w:hAnsi="宋体"/>
          <w:b/>
          <w:color w:val="auto"/>
          <w:sz w:val="30"/>
          <w:szCs w:val="30"/>
          <w:highlight w:val="none"/>
        </w:rPr>
      </w:pPr>
      <w:r>
        <w:rPr>
          <w:rFonts w:hint="eastAsia" w:ascii="宋体" w:hAnsi="宋体"/>
          <w:b/>
          <w:color w:val="auto"/>
          <w:sz w:val="30"/>
          <w:szCs w:val="30"/>
          <w:highlight w:val="none"/>
        </w:rPr>
        <w:t xml:space="preserve">（甲方）    </w:t>
      </w:r>
    </w:p>
    <w:p>
      <w:pPr>
        <w:kinsoku/>
        <w:wordWrap w:val="0"/>
        <w:overflowPunct/>
        <w:bidi w:val="0"/>
        <w:rPr>
          <w:rFonts w:hint="eastAsia" w:ascii="宋体" w:hAnsi="宋体"/>
          <w:b/>
          <w:color w:val="auto"/>
          <w:spacing w:val="50"/>
          <w:sz w:val="30"/>
          <w:szCs w:val="30"/>
          <w:highlight w:val="none"/>
        </w:rPr>
      </w:pPr>
    </w:p>
    <w:p>
      <w:pPr>
        <w:kinsoku/>
        <w:wordWrap w:val="0"/>
        <w:overflowPunct/>
        <w:bidi w:val="0"/>
        <w:rPr>
          <w:rFonts w:hint="eastAsia" w:ascii="宋体" w:hAnsi="宋体"/>
          <w:b/>
          <w:color w:val="auto"/>
          <w:spacing w:val="50"/>
          <w:sz w:val="30"/>
          <w:szCs w:val="30"/>
          <w:highlight w:val="none"/>
        </w:rPr>
      </w:pPr>
    </w:p>
    <w:p>
      <w:pPr>
        <w:kinsoku/>
        <w:wordWrap w:val="0"/>
        <w:overflowPunct/>
        <w:bidi w:val="0"/>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供应商：</w:t>
      </w:r>
      <w:r>
        <w:rPr>
          <w:rFonts w:hint="eastAsia" w:ascii="宋体" w:hAnsi="宋体"/>
          <w:b/>
          <w:color w:val="auto"/>
          <w:spacing w:val="50"/>
          <w:sz w:val="30"/>
          <w:szCs w:val="30"/>
          <w:highlight w:val="none"/>
          <w:u w:val="single"/>
        </w:rPr>
        <w:t xml:space="preserve">     </w:t>
      </w:r>
      <w:r>
        <w:rPr>
          <w:rFonts w:hint="eastAsia" w:ascii="宋体" w:hAnsi="宋体"/>
          <w:b/>
          <w:color w:val="auto"/>
          <w:sz w:val="30"/>
          <w:szCs w:val="30"/>
          <w:highlight w:val="none"/>
          <w:u w:val="single"/>
        </w:rPr>
        <w:t xml:space="preserve">                                      </w:t>
      </w:r>
    </w:p>
    <w:p>
      <w:pPr>
        <w:kinsoku/>
        <w:wordWrap w:val="0"/>
        <w:overflowPunct/>
        <w:bidi w:val="0"/>
        <w:rPr>
          <w:rFonts w:hint="eastAsia" w:ascii="宋体" w:hAnsi="宋体"/>
          <w:b/>
          <w:color w:val="auto"/>
          <w:sz w:val="30"/>
          <w:szCs w:val="30"/>
          <w:highlight w:val="none"/>
        </w:rPr>
      </w:pPr>
      <w:r>
        <w:rPr>
          <w:rFonts w:hint="eastAsia" w:ascii="宋体" w:hAnsi="宋体"/>
          <w:b/>
          <w:color w:val="auto"/>
          <w:sz w:val="30"/>
          <w:szCs w:val="30"/>
          <w:highlight w:val="none"/>
        </w:rPr>
        <w:t>（乙方）</w:t>
      </w:r>
    </w:p>
    <w:p>
      <w:pPr>
        <w:kinsoku/>
        <w:wordWrap w:val="0"/>
        <w:overflowPunct/>
        <w:bidi w:val="0"/>
        <w:rPr>
          <w:rFonts w:hint="eastAsia" w:ascii="宋体" w:hAnsi="宋体"/>
          <w:b/>
          <w:color w:val="auto"/>
          <w:sz w:val="30"/>
          <w:szCs w:val="30"/>
          <w:highlight w:val="none"/>
        </w:rPr>
      </w:pPr>
    </w:p>
    <w:p>
      <w:pPr>
        <w:kinsoku/>
        <w:wordWrap w:val="0"/>
        <w:overflowPunct/>
        <w:bidi w:val="0"/>
        <w:rPr>
          <w:rFonts w:hint="eastAsia" w:ascii="宋体" w:hAnsi="宋体"/>
          <w:b/>
          <w:color w:val="auto"/>
          <w:sz w:val="30"/>
          <w:szCs w:val="30"/>
          <w:highlight w:val="none"/>
        </w:rPr>
      </w:pPr>
    </w:p>
    <w:p>
      <w:pPr>
        <w:kinsoku/>
        <w:wordWrap w:val="0"/>
        <w:overflowPunct/>
        <w:bidi w:val="0"/>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 </w:t>
      </w:r>
    </w:p>
    <w:p>
      <w:pPr>
        <w:kinsoku/>
        <w:wordWrap w:val="0"/>
        <w:overflowPunct/>
        <w:bidi w:val="0"/>
        <w:spacing w:line="560" w:lineRule="exact"/>
        <w:rPr>
          <w:rFonts w:hint="eastAsia" w:ascii="宋体" w:hAnsi="宋体"/>
          <w:b/>
          <w:color w:val="auto"/>
          <w:sz w:val="28"/>
          <w:szCs w:val="28"/>
          <w:highlight w:val="none"/>
        </w:rPr>
      </w:pPr>
    </w:p>
    <w:p>
      <w:pPr>
        <w:kinsoku/>
        <w:wordWrap w:val="0"/>
        <w:overflowPunct/>
        <w:bidi w:val="0"/>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签定地点：    </w:t>
      </w:r>
      <w:r>
        <w:rPr>
          <w:rFonts w:hint="eastAsia" w:ascii="宋体" w:hAnsi="宋体"/>
          <w:b/>
          <w:color w:val="auto"/>
          <w:sz w:val="28"/>
          <w:szCs w:val="28"/>
          <w:highlight w:val="none"/>
        </w:rPr>
        <w:t xml:space="preserve">        </w:t>
      </w:r>
    </w:p>
    <w:p>
      <w:pPr>
        <w:spacing w:line="560" w:lineRule="exact"/>
        <w:rPr>
          <w:rFonts w:hint="eastAsia" w:ascii="Times New Roman" w:hAnsi="Times New Roman" w:eastAsia="宋体" w:cs="Times New Roman"/>
          <w:b/>
          <w:color w:val="auto"/>
          <w:kern w:val="2"/>
          <w:sz w:val="28"/>
          <w:szCs w:val="28"/>
          <w:highlight w:val="none"/>
        </w:rPr>
      </w:pPr>
      <w:r>
        <w:rPr>
          <w:rFonts w:hint="eastAsia" w:ascii="宋体" w:hAnsi="宋体" w:eastAsia="宋体" w:cs="Times New Roman"/>
          <w:b/>
          <w:color w:val="auto"/>
          <w:kern w:val="2"/>
          <w:sz w:val="28"/>
          <w:szCs w:val="28"/>
          <w:highlight w:val="none"/>
        </w:rPr>
        <w:t xml:space="preserve">签定日期：         </w:t>
      </w:r>
      <w:r>
        <w:rPr>
          <w:rFonts w:hint="eastAsia" w:ascii="Times New Roman" w:hAnsi="Times New Roman" w:eastAsia="宋体" w:cs="Times New Roman"/>
          <w:b/>
          <w:color w:val="auto"/>
          <w:spacing w:val="42"/>
          <w:kern w:val="2"/>
          <w:sz w:val="28"/>
          <w:szCs w:val="28"/>
          <w:highlight w:val="none"/>
        </w:rPr>
        <w:t>年  月  日</w:t>
      </w:r>
    </w:p>
    <w:p>
      <w:pPr>
        <w:kinsoku/>
        <w:wordWrap w:val="0"/>
        <w:overflowPunct/>
        <w:bidi w:val="0"/>
        <w:spacing w:line="560" w:lineRule="exact"/>
        <w:rPr>
          <w:rFonts w:hint="eastAsia" w:ascii="宋体" w:hAnsi="宋体"/>
          <w:b/>
          <w:color w:val="auto"/>
          <w:sz w:val="28"/>
          <w:szCs w:val="28"/>
          <w:highlight w:val="none"/>
        </w:rPr>
      </w:pPr>
      <w:r>
        <w:rPr>
          <w:rFonts w:hint="eastAsia" w:ascii="宋体" w:hAnsi="宋体"/>
          <w:b/>
          <w:color w:val="auto"/>
          <w:sz w:val="28"/>
          <w:szCs w:val="28"/>
          <w:highlight w:val="none"/>
        </w:rPr>
        <w:t xml:space="preserve">     </w:t>
      </w:r>
    </w:p>
    <w:p>
      <w:pPr>
        <w:kinsoku/>
        <w:wordWrap w:val="0"/>
        <w:overflowPunct/>
        <w:bidi w:val="0"/>
        <w:spacing w:line="560" w:lineRule="exact"/>
        <w:ind w:left="334" w:hanging="334" w:hangingChars="98"/>
        <w:rPr>
          <w:rFonts w:hint="eastAsia"/>
          <w:b/>
          <w:color w:val="auto"/>
          <w:spacing w:val="30"/>
          <w:sz w:val="28"/>
          <w:szCs w:val="28"/>
          <w:highlight w:val="none"/>
        </w:rPr>
        <w:sectPr>
          <w:pgSz w:w="11907" w:h="16840"/>
          <w:pgMar w:top="1440" w:right="1080" w:bottom="1440" w:left="1080" w:header="1077" w:footer="1077" w:gutter="0"/>
          <w:cols w:space="720" w:num="1"/>
          <w:docGrid w:linePitch="367" w:charSpace="0"/>
        </w:sectPr>
      </w:pPr>
    </w:p>
    <w:p>
      <w:pPr>
        <w:widowControl/>
        <w:snapToGrid w:val="0"/>
        <w:spacing w:line="480" w:lineRule="exact"/>
        <w:rPr>
          <w:rFonts w:hint="eastAsia" w:ascii="宋体" w:hAnsi="宋体" w:eastAsia="宋体" w:cs="宋体"/>
          <w:b/>
          <w:bCs/>
          <w:color w:val="auto"/>
          <w:kern w:val="0"/>
          <w:sz w:val="22"/>
          <w:szCs w:val="18"/>
          <w:highlight w:val="none"/>
          <w:u w:val="single"/>
        </w:rPr>
      </w:pPr>
      <w:r>
        <w:rPr>
          <w:rFonts w:hint="eastAsia" w:ascii="宋体" w:hAnsi="宋体" w:eastAsia="宋体" w:cs="宋体"/>
          <w:b/>
          <w:bCs/>
          <w:color w:val="auto"/>
          <w:kern w:val="0"/>
          <w:sz w:val="22"/>
          <w:szCs w:val="18"/>
          <w:highlight w:val="none"/>
          <w:u w:val="single"/>
        </w:rPr>
        <w:t>（合同按采购文件及中标供应商投标文件的内容制定，以下仅为部分主要条款）</w:t>
      </w:r>
    </w:p>
    <w:p>
      <w:pPr>
        <w:widowControl/>
        <w:snapToGrid w:val="0"/>
        <w:spacing w:line="480" w:lineRule="exact"/>
        <w:ind w:firstLine="660" w:firstLineChars="3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                                     合同编号：</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                                       确认书号：</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甲方（采购人）： </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乙方（供应商）： </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甲、乙双方根据</w:t>
      </w:r>
      <w:r>
        <w:rPr>
          <w:rFonts w:hint="eastAsia" w:ascii="宋体" w:hAnsi="宋体" w:eastAsia="宋体" w:cs="宋体"/>
          <w:color w:val="auto"/>
          <w:kern w:val="0"/>
          <w:sz w:val="22"/>
          <w:szCs w:val="18"/>
          <w:highlight w:val="none"/>
          <w:u w:val="single"/>
        </w:rPr>
        <w:t xml:space="preserve">    （填写采购代理机构名称）   </w:t>
      </w:r>
      <w:r>
        <w:rPr>
          <w:rFonts w:hint="eastAsia" w:ascii="宋体" w:hAnsi="宋体" w:eastAsia="宋体" w:cs="宋体"/>
          <w:color w:val="auto"/>
          <w:kern w:val="0"/>
          <w:sz w:val="22"/>
          <w:szCs w:val="18"/>
          <w:highlight w:val="none"/>
        </w:rPr>
        <w:t>项目编号为的</w:t>
      </w:r>
      <w:r>
        <w:rPr>
          <w:rFonts w:hint="eastAsia" w:ascii="宋体" w:hAnsi="宋体" w:eastAsia="宋体" w:cs="宋体"/>
          <w:color w:val="auto"/>
          <w:kern w:val="0"/>
          <w:sz w:val="22"/>
          <w:szCs w:val="18"/>
          <w:highlight w:val="none"/>
          <w:u w:val="single"/>
        </w:rPr>
        <w:t>（标项及名称）</w:t>
      </w:r>
      <w:r>
        <w:rPr>
          <w:rFonts w:hint="eastAsia" w:ascii="宋体" w:hAnsi="宋体" w:eastAsia="宋体" w:cs="宋体"/>
          <w:color w:val="auto"/>
          <w:kern w:val="0"/>
          <w:sz w:val="22"/>
          <w:szCs w:val="18"/>
          <w:highlight w:val="none"/>
        </w:rPr>
        <w:t>项目的</w:t>
      </w:r>
      <w:r>
        <w:rPr>
          <w:rFonts w:hint="eastAsia" w:ascii="宋体" w:hAnsi="宋体" w:cs="宋体"/>
          <w:color w:val="auto"/>
          <w:kern w:val="0"/>
          <w:sz w:val="22"/>
          <w:szCs w:val="18"/>
          <w:highlight w:val="none"/>
          <w:lang w:val="en-US" w:eastAsia="zh-CN"/>
        </w:rPr>
        <w:t>政府</w:t>
      </w:r>
      <w:r>
        <w:rPr>
          <w:rFonts w:hint="eastAsia" w:ascii="宋体" w:hAnsi="宋体" w:eastAsia="宋体" w:cs="宋体"/>
          <w:color w:val="auto"/>
          <w:kern w:val="0"/>
          <w:sz w:val="22"/>
          <w:szCs w:val="18"/>
          <w:highlight w:val="none"/>
        </w:rPr>
        <w:t>采购交易结果，签署本合同。</w:t>
      </w:r>
    </w:p>
    <w:p>
      <w:pPr>
        <w:widowControl/>
        <w:numPr>
          <w:ilvl w:val="0"/>
          <w:numId w:val="9"/>
        </w:numPr>
        <w:adjustRightInd/>
        <w:snapToGrid w:val="0"/>
        <w:spacing w:line="480" w:lineRule="exact"/>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服务标准</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2024年平阳县水头镇高标准农田改造提升示范项目(绿色农田建设项目)位于平阳县水头镇南湖社区，项目涉及南湖村、宝溪村、同兴村、双莲村、塔院村、湖南村、普美村和增光井村8个村。项目区建设规模6234亩，土壤改良实施面积累计共7635亩。</w:t>
      </w:r>
    </w:p>
    <w:p>
      <w:pPr>
        <w:pStyle w:val="2"/>
        <w:keepNext w:val="0"/>
        <w:keepLines w:val="0"/>
        <w:pageBreakBefore w:val="0"/>
        <w:kinsoku/>
        <w:wordWrap/>
        <w:topLinePunct w:val="0"/>
        <w:bidi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
          <w:color w:val="auto"/>
          <w:kern w:val="2"/>
          <w:sz w:val="28"/>
          <w:szCs w:val="28"/>
          <w:highlight w:val="none"/>
          <w:lang w:val="en-US" w:eastAsia="zh-CN" w:bidi="ar-SA"/>
        </w:rPr>
        <w:t xml:space="preserve">  </w:t>
      </w:r>
      <w:r>
        <w:rPr>
          <w:rFonts w:hint="eastAsia" w:ascii="宋体" w:hAnsi="宋体" w:eastAsia="宋体" w:cs="宋体"/>
          <w:color w:val="auto"/>
          <w:sz w:val="22"/>
          <w:szCs w:val="22"/>
          <w:highlight w:val="none"/>
        </w:rPr>
        <w:t>项目区实施后，计划通过施用适量的磷肥、钾肥提升土壤有效磷、速效钾含量，施用土壤调理剂改善土壤酸碱度，辅以施用高质量有机肥对重点实施区域内的耕地质量等别提升，施肥地块地力指标应达到南湖社区平均水平，保证区域规划范围内地力等级提高0.1等级以上，有效磷含量达到10mg/kg以上，速效钾含量达到80mg/kg以上，PH值达到5.5-6.5之间。实施前土壤检测费用计入工程施工费中。</w:t>
      </w:r>
    </w:p>
    <w:p>
      <w:pPr>
        <w:widowControl/>
        <w:numPr>
          <w:ilvl w:val="0"/>
          <w:numId w:val="9"/>
        </w:numPr>
        <w:adjustRightInd/>
        <w:snapToGrid w:val="0"/>
        <w:spacing w:line="480" w:lineRule="exact"/>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服务</w:t>
      </w:r>
      <w:r>
        <w:rPr>
          <w:rFonts w:hint="eastAsia" w:ascii="宋体" w:hAnsi="宋体" w:eastAsia="宋体" w:cs="宋体"/>
          <w:b/>
          <w:bCs/>
          <w:color w:val="auto"/>
          <w:kern w:val="0"/>
          <w:sz w:val="22"/>
          <w:szCs w:val="18"/>
          <w:highlight w:val="none"/>
          <w:lang w:val="en-US" w:eastAsia="zh-CN"/>
        </w:rPr>
        <w:t>范围及</w:t>
      </w:r>
      <w:r>
        <w:rPr>
          <w:rFonts w:hint="eastAsia" w:ascii="宋体" w:hAnsi="宋体" w:eastAsia="宋体" w:cs="宋体"/>
          <w:b/>
          <w:bCs/>
          <w:color w:val="auto"/>
          <w:kern w:val="0"/>
          <w:sz w:val="22"/>
          <w:szCs w:val="18"/>
          <w:highlight w:val="none"/>
        </w:rPr>
        <w:t>内容</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1、项目范围：在项目范围内（详见</w:t>
      </w:r>
      <w:r>
        <w:rPr>
          <w:rFonts w:hint="eastAsia" w:ascii="宋体" w:hAnsi="宋体" w:cs="宋体"/>
          <w:color w:val="auto"/>
          <w:sz w:val="22"/>
          <w:szCs w:val="22"/>
          <w:highlight w:val="none"/>
          <w:lang w:val="en-US" w:eastAsia="zh-CN"/>
        </w:rPr>
        <w:t>采购文件</w:t>
      </w:r>
      <w:r>
        <w:rPr>
          <w:rFonts w:hint="eastAsia" w:ascii="宋体" w:hAnsi="宋体" w:eastAsia="宋体" w:cs="宋体"/>
          <w:color w:val="auto"/>
          <w:sz w:val="22"/>
          <w:szCs w:val="22"/>
          <w:highlight w:val="none"/>
          <w:lang w:val="en-US" w:eastAsia="zh-CN"/>
        </w:rPr>
        <w:t>附件施肥范围图）的农田中均匀施肥，且要求肥料不撒于田埂上。</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中标供应商在实施前应详细考察施肥地块现状，做好实施前地块检测，根据地块实际情况及检测报告，编制合理的供货施肥计划。</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拟计划购买量：磷肥16.65吨（每亩15公斤/亩计）；钾肥2.75吨（每亩5公斤/亩计）；生石灰144.96吨（每亩60公斤/亩计）；有机肥182吨（每亩400公斤/亩计）；配方肥122.60吨（每亩50公斤/亩计）；绿肥1.63吨（每亩2.5公斤/亩计）。详见表1</w:t>
      </w:r>
      <w:r>
        <w:rPr>
          <w:rFonts w:hint="eastAsia" w:ascii="宋体" w:hAnsi="宋体" w:cs="宋体"/>
          <w:color w:val="auto"/>
          <w:sz w:val="22"/>
          <w:szCs w:val="22"/>
          <w:highlight w:val="none"/>
          <w:lang w:val="en-US" w:eastAsia="zh-CN"/>
        </w:rPr>
        <w:t xml:space="preserve"> 肥料实施预估任务量及价格表</w:t>
      </w:r>
      <w:r>
        <w:rPr>
          <w:rFonts w:hint="eastAsia" w:ascii="宋体" w:hAnsi="宋体" w:eastAsia="宋体" w:cs="宋体"/>
          <w:color w:val="auto"/>
          <w:sz w:val="22"/>
          <w:szCs w:val="22"/>
          <w:highlight w:val="none"/>
          <w:lang w:eastAsia="zh-CN"/>
        </w:rPr>
        <w:t>。</w:t>
      </w:r>
    </w:p>
    <w:p>
      <w:pPr>
        <w:widowControl/>
        <w:numPr>
          <w:ilvl w:val="0"/>
          <w:numId w:val="9"/>
        </w:numPr>
        <w:adjustRightInd/>
        <w:snapToGrid w:val="0"/>
        <w:spacing w:line="480" w:lineRule="exact"/>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服务价格</w:t>
      </w:r>
    </w:p>
    <w:p>
      <w:pPr>
        <w:widowControl/>
        <w:snapToGrid w:val="0"/>
        <w:spacing w:line="480" w:lineRule="exact"/>
        <w:ind w:left="48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（有服务分项的，需报分项价格和总价）</w:t>
      </w:r>
    </w:p>
    <w:p>
      <w:pPr>
        <w:pStyle w:val="4"/>
        <w:jc w:val="left"/>
        <w:rPr>
          <w:rFonts w:hint="eastAsia" w:ascii="宋体" w:hAnsi="宋体" w:eastAsia="宋体" w:cs="宋体"/>
          <w:color w:val="auto"/>
          <w:kern w:val="0"/>
          <w:sz w:val="22"/>
          <w:szCs w:val="18"/>
          <w:highlight w:val="none"/>
          <w:lang w:val="en-US" w:eastAsia="zh-CN"/>
        </w:rPr>
      </w:pPr>
      <w:r>
        <w:rPr>
          <w:rFonts w:hint="eastAsia" w:ascii="宋体" w:hAnsi="宋体" w:eastAsia="宋体" w:cs="宋体"/>
          <w:color w:val="auto"/>
          <w:kern w:val="0"/>
          <w:sz w:val="22"/>
          <w:szCs w:val="18"/>
          <w:highlight w:val="none"/>
          <w:lang w:val="en-US" w:eastAsia="zh-CN"/>
        </w:rPr>
        <w:t>合同价：</w:t>
      </w:r>
      <w:r>
        <w:rPr>
          <w:rFonts w:hint="eastAsia" w:ascii="宋体" w:hAnsi="宋体" w:eastAsia="宋体" w:cs="宋体"/>
          <w:color w:val="auto"/>
          <w:kern w:val="0"/>
          <w:sz w:val="22"/>
          <w:szCs w:val="18"/>
          <w:highlight w:val="none"/>
          <w:u w:val="single"/>
          <w:lang w:val="en-US" w:eastAsia="zh-CN"/>
        </w:rPr>
        <w:t xml:space="preserve"> </w:t>
      </w:r>
      <w:r>
        <w:rPr>
          <w:rFonts w:hint="eastAsia" w:ascii="宋体" w:hAnsi="宋体" w:cs="宋体"/>
          <w:color w:val="auto"/>
          <w:kern w:val="0"/>
          <w:sz w:val="22"/>
          <w:szCs w:val="18"/>
          <w:highlight w:val="none"/>
          <w:u w:val="single"/>
          <w:lang w:val="en-US" w:eastAsia="zh-CN"/>
        </w:rPr>
        <w:t>1284200</w:t>
      </w:r>
      <w:r>
        <w:rPr>
          <w:rFonts w:hint="eastAsia" w:ascii="宋体" w:hAnsi="宋体" w:eastAsia="宋体" w:cs="宋体"/>
          <w:color w:val="auto"/>
          <w:kern w:val="0"/>
          <w:sz w:val="22"/>
          <w:szCs w:val="18"/>
          <w:highlight w:val="none"/>
          <w:u w:val="single"/>
          <w:lang w:val="en-US" w:eastAsia="zh-CN"/>
        </w:rPr>
        <w:t>元（大写      ）</w:t>
      </w:r>
      <w:r>
        <w:rPr>
          <w:rFonts w:hint="eastAsia" w:ascii="宋体" w:hAnsi="宋体" w:eastAsia="宋体" w:cs="宋体"/>
          <w:color w:val="auto"/>
          <w:kern w:val="0"/>
          <w:sz w:val="22"/>
          <w:szCs w:val="18"/>
          <w:highlight w:val="none"/>
          <w:lang w:val="en-US" w:eastAsia="zh-CN"/>
        </w:rPr>
        <w:t>，单价中标折扣率为</w:t>
      </w:r>
      <w:r>
        <w:rPr>
          <w:rFonts w:hint="eastAsia" w:ascii="宋体" w:hAnsi="宋体" w:eastAsia="宋体" w:cs="宋体"/>
          <w:color w:val="auto"/>
          <w:kern w:val="0"/>
          <w:sz w:val="22"/>
          <w:szCs w:val="18"/>
          <w:highlight w:val="none"/>
          <w:u w:val="single"/>
          <w:lang w:val="en-US" w:eastAsia="zh-CN"/>
        </w:rPr>
        <w:t xml:space="preserve">     </w:t>
      </w:r>
      <w:r>
        <w:rPr>
          <w:rFonts w:hint="eastAsia" w:ascii="宋体" w:hAnsi="宋体" w:eastAsia="宋体" w:cs="宋体"/>
          <w:color w:val="auto"/>
          <w:kern w:val="0"/>
          <w:sz w:val="22"/>
          <w:szCs w:val="18"/>
          <w:highlight w:val="none"/>
          <w:lang w:val="en-US" w:eastAsia="zh-CN"/>
        </w:rPr>
        <w:t>%，分项</w:t>
      </w:r>
      <w:r>
        <w:rPr>
          <w:rFonts w:hint="eastAsia" w:ascii="宋体" w:hAnsi="宋体" w:cs="宋体"/>
          <w:color w:val="auto"/>
          <w:kern w:val="0"/>
          <w:sz w:val="22"/>
          <w:szCs w:val="18"/>
          <w:highlight w:val="none"/>
          <w:lang w:val="en-US" w:eastAsia="zh-CN"/>
        </w:rPr>
        <w:t>内容</w:t>
      </w:r>
      <w:r>
        <w:rPr>
          <w:rFonts w:hint="eastAsia" w:ascii="宋体" w:hAnsi="宋体" w:eastAsia="宋体" w:cs="宋体"/>
          <w:color w:val="auto"/>
          <w:kern w:val="0"/>
          <w:sz w:val="22"/>
          <w:szCs w:val="18"/>
          <w:highlight w:val="none"/>
          <w:lang w:val="en-US" w:eastAsia="zh-CN"/>
        </w:rPr>
        <w:t>如下：</w:t>
      </w:r>
    </w:p>
    <w:p>
      <w:pPr>
        <w:rPr>
          <w:rFonts w:hint="eastAsia" w:ascii="宋体" w:hAnsi="宋体" w:eastAsia="宋体" w:cs="宋体"/>
          <w:color w:val="auto"/>
          <w:sz w:val="20"/>
          <w:szCs w:val="18"/>
          <w:highlight w:val="none"/>
          <w:lang w:val="en-US" w:eastAsia="zh-CN"/>
        </w:rPr>
      </w:pPr>
    </w:p>
    <w:p>
      <w:pPr>
        <w:pStyle w:val="11"/>
        <w:rPr>
          <w:rFonts w:hint="eastAsia" w:ascii="宋体" w:hAnsi="宋体" w:eastAsia="宋体" w:cs="宋体"/>
          <w:color w:val="auto"/>
          <w:sz w:val="20"/>
          <w:szCs w:val="18"/>
          <w:highlight w:val="none"/>
          <w:lang w:val="en-US" w:eastAsia="zh-CN"/>
        </w:rPr>
        <w:sectPr>
          <w:headerReference r:id="rId9" w:type="first"/>
          <w:footerReference r:id="rId11" w:type="first"/>
          <w:headerReference r:id="rId8" w:type="default"/>
          <w:footerReference r:id="rId10" w:type="default"/>
          <w:pgSz w:w="11906" w:h="16838"/>
          <w:pgMar w:top="1304" w:right="1361" w:bottom="1304" w:left="1361" w:header="851" w:footer="851" w:gutter="0"/>
          <w:cols w:space="720" w:num="1"/>
          <w:titlePg/>
          <w:docGrid w:linePitch="312" w:charSpace="0"/>
        </w:sectPr>
      </w:pPr>
    </w:p>
    <w:p>
      <w:pPr>
        <w:pStyle w:val="184"/>
        <w:spacing w:beforeLines="0" w:afterLines="0"/>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肥料</w:t>
      </w:r>
      <w:r>
        <w:rPr>
          <w:rFonts w:hint="eastAsia" w:ascii="宋体" w:hAnsi="宋体" w:eastAsia="宋体" w:cs="宋体"/>
          <w:b/>
          <w:color w:val="auto"/>
          <w:sz w:val="22"/>
          <w:szCs w:val="22"/>
          <w:highlight w:val="none"/>
          <w:lang w:val="en-US" w:eastAsia="zh-CN"/>
        </w:rPr>
        <w:t>实施预</w:t>
      </w:r>
      <w:r>
        <w:rPr>
          <w:rFonts w:hint="eastAsia" w:ascii="宋体" w:hAnsi="宋体" w:eastAsia="宋体" w:cs="宋体"/>
          <w:b/>
          <w:bCs/>
          <w:color w:val="auto"/>
          <w:sz w:val="22"/>
          <w:szCs w:val="22"/>
          <w:highlight w:val="none"/>
          <w:lang w:val="en-US" w:eastAsia="zh-CN"/>
        </w:rPr>
        <w:t>估</w:t>
      </w:r>
      <w:r>
        <w:rPr>
          <w:rFonts w:hint="eastAsia" w:ascii="宋体" w:hAnsi="宋体" w:eastAsia="宋体" w:cs="宋体"/>
          <w:b/>
          <w:color w:val="auto"/>
          <w:sz w:val="22"/>
          <w:szCs w:val="22"/>
          <w:highlight w:val="none"/>
        </w:rPr>
        <w:t>任务量及</w:t>
      </w:r>
      <w:r>
        <w:rPr>
          <w:rFonts w:hint="eastAsia" w:ascii="宋体" w:hAnsi="宋体" w:eastAsia="宋体" w:cs="宋体"/>
          <w:b/>
          <w:color w:val="auto"/>
          <w:sz w:val="22"/>
          <w:szCs w:val="22"/>
          <w:highlight w:val="none"/>
          <w:lang w:val="en-US" w:eastAsia="zh-CN"/>
        </w:rPr>
        <w:t>单价</w:t>
      </w:r>
      <w:r>
        <w:rPr>
          <w:rFonts w:hint="eastAsia" w:ascii="宋体" w:hAnsi="宋体" w:eastAsia="宋体" w:cs="宋体"/>
          <w:b/>
          <w:color w:val="auto"/>
          <w:sz w:val="22"/>
          <w:szCs w:val="22"/>
          <w:highlight w:val="none"/>
        </w:rPr>
        <w:t>表</w:t>
      </w:r>
    </w:p>
    <w:tbl>
      <w:tblPr>
        <w:tblStyle w:val="39"/>
        <w:tblW w:w="14288" w:type="dxa"/>
        <w:jc w:val="center"/>
        <w:tblLayout w:type="fixed"/>
        <w:tblCellMar>
          <w:top w:w="0" w:type="dxa"/>
          <w:left w:w="108" w:type="dxa"/>
          <w:bottom w:w="0" w:type="dxa"/>
          <w:right w:w="108" w:type="dxa"/>
        </w:tblCellMar>
      </w:tblPr>
      <w:tblGrid>
        <w:gridCol w:w="439"/>
        <w:gridCol w:w="1139"/>
        <w:gridCol w:w="1141"/>
        <w:gridCol w:w="1367"/>
        <w:gridCol w:w="1096"/>
        <w:gridCol w:w="1023"/>
        <w:gridCol w:w="1066"/>
        <w:gridCol w:w="1111"/>
        <w:gridCol w:w="1037"/>
        <w:gridCol w:w="1122"/>
        <w:gridCol w:w="3747"/>
      </w:tblGrid>
      <w:tr>
        <w:tblPrEx>
          <w:tblCellMar>
            <w:top w:w="0" w:type="dxa"/>
            <w:left w:w="108" w:type="dxa"/>
            <w:bottom w:w="0" w:type="dxa"/>
            <w:right w:w="108" w:type="dxa"/>
          </w:tblCellMar>
        </w:tblPrEx>
        <w:trPr>
          <w:trHeight w:val="796" w:hRule="atLeast"/>
          <w:jc w:val="center"/>
        </w:trPr>
        <w:tc>
          <w:tcPr>
            <w:tcW w:w="43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113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主要措施</w:t>
            </w:r>
          </w:p>
        </w:tc>
        <w:tc>
          <w:tcPr>
            <w:tcW w:w="11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实施面积（亩）</w:t>
            </w:r>
          </w:p>
        </w:tc>
        <w:tc>
          <w:tcPr>
            <w:tcW w:w="136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亩均施肥量</w:t>
            </w:r>
          </w:p>
        </w:tc>
        <w:tc>
          <w:tcPr>
            <w:tcW w:w="10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预</w:t>
            </w:r>
            <w:r>
              <w:rPr>
                <w:rFonts w:hint="eastAsia" w:ascii="宋体" w:hAnsi="宋体" w:eastAsia="宋体" w:cs="宋体"/>
                <w:b/>
                <w:bCs/>
                <w:color w:val="auto"/>
                <w:sz w:val="22"/>
                <w:szCs w:val="22"/>
                <w:highlight w:val="none"/>
                <w:lang w:val="en-US" w:eastAsia="zh-CN"/>
              </w:rPr>
              <w:t>估</w:t>
            </w:r>
            <w:r>
              <w:rPr>
                <w:rFonts w:hint="eastAsia" w:ascii="宋体" w:hAnsi="宋体" w:eastAsia="宋体" w:cs="宋体"/>
                <w:b/>
                <w:bCs/>
                <w:color w:val="auto"/>
                <w:kern w:val="0"/>
                <w:sz w:val="22"/>
                <w:szCs w:val="22"/>
                <w:highlight w:val="none"/>
              </w:rPr>
              <w:t>任务量（吨）</w:t>
            </w:r>
          </w:p>
        </w:tc>
        <w:tc>
          <w:tcPr>
            <w:tcW w:w="102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肥料费用</w:t>
            </w:r>
          </w:p>
        </w:tc>
        <w:tc>
          <w:tcPr>
            <w:tcW w:w="21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施肥措施费用</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提升前指标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提升后指标</w:t>
            </w:r>
          </w:p>
        </w:tc>
        <w:tc>
          <w:tcPr>
            <w:tcW w:w="374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技术参数及相关要求</w:t>
            </w:r>
          </w:p>
        </w:tc>
      </w:tr>
      <w:tr>
        <w:tblPrEx>
          <w:tblCellMar>
            <w:top w:w="0" w:type="dxa"/>
            <w:left w:w="108" w:type="dxa"/>
            <w:bottom w:w="0" w:type="dxa"/>
            <w:right w:w="108" w:type="dxa"/>
          </w:tblCellMar>
        </w:tblPrEx>
        <w:trPr>
          <w:trHeight w:val="862" w:hRule="atLeast"/>
          <w:jc w:val="center"/>
        </w:trPr>
        <w:tc>
          <w:tcPr>
            <w:tcW w:w="43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2"/>
                <w:szCs w:val="22"/>
                <w:highlight w:val="none"/>
              </w:rPr>
            </w:pPr>
          </w:p>
        </w:tc>
        <w:tc>
          <w:tcPr>
            <w:tcW w:w="113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2"/>
                <w:szCs w:val="22"/>
                <w:highlight w:val="none"/>
              </w:rPr>
            </w:pPr>
          </w:p>
        </w:tc>
        <w:tc>
          <w:tcPr>
            <w:tcW w:w="11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2"/>
                <w:szCs w:val="22"/>
                <w:highlight w:val="none"/>
              </w:rPr>
            </w:pPr>
          </w:p>
        </w:tc>
        <w:tc>
          <w:tcPr>
            <w:tcW w:w="13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2"/>
                <w:szCs w:val="22"/>
                <w:highlight w:val="none"/>
              </w:rPr>
            </w:pPr>
          </w:p>
        </w:tc>
        <w:tc>
          <w:tcPr>
            <w:tcW w:w="10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2"/>
                <w:szCs w:val="22"/>
                <w:highlight w:val="none"/>
              </w:rPr>
            </w:pPr>
          </w:p>
        </w:tc>
        <w:tc>
          <w:tcPr>
            <w:tcW w:w="1023"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肥料单价</w:t>
            </w:r>
            <w:r>
              <w:rPr>
                <w:rFonts w:hint="eastAsia" w:ascii="宋体" w:hAnsi="宋体" w:eastAsia="宋体" w:cs="宋体"/>
                <w:b/>
                <w:bCs/>
                <w:color w:val="auto"/>
                <w:kern w:val="0"/>
                <w:sz w:val="22"/>
                <w:szCs w:val="22"/>
                <w:highlight w:val="none"/>
                <w:lang w:val="en-US" w:eastAsia="zh-CN"/>
              </w:rPr>
              <w:t>最高限价</w:t>
            </w:r>
            <w:r>
              <w:rPr>
                <w:rFonts w:hint="eastAsia" w:ascii="宋体" w:hAnsi="宋体" w:eastAsia="宋体" w:cs="宋体"/>
                <w:b/>
                <w:bCs/>
                <w:color w:val="auto"/>
                <w:kern w:val="0"/>
                <w:sz w:val="22"/>
                <w:szCs w:val="22"/>
                <w:highlight w:val="none"/>
              </w:rPr>
              <w:t>（元/吨）</w:t>
            </w:r>
          </w:p>
        </w:tc>
        <w:tc>
          <w:tcPr>
            <w:tcW w:w="1066"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人工单价</w:t>
            </w:r>
            <w:r>
              <w:rPr>
                <w:rFonts w:hint="eastAsia" w:ascii="宋体" w:hAnsi="宋体" w:eastAsia="宋体" w:cs="宋体"/>
                <w:b/>
                <w:bCs/>
                <w:color w:val="auto"/>
                <w:kern w:val="0"/>
                <w:sz w:val="22"/>
                <w:szCs w:val="22"/>
                <w:highlight w:val="none"/>
                <w:lang w:val="en-US" w:eastAsia="zh-CN"/>
              </w:rPr>
              <w:t>最高限价</w:t>
            </w:r>
            <w:r>
              <w:rPr>
                <w:rFonts w:hint="eastAsia" w:ascii="宋体" w:hAnsi="宋体" w:eastAsia="宋体" w:cs="宋体"/>
                <w:b/>
                <w:bCs/>
                <w:color w:val="auto"/>
                <w:kern w:val="0"/>
                <w:sz w:val="22"/>
                <w:szCs w:val="22"/>
                <w:highlight w:val="none"/>
              </w:rPr>
              <w:t>（元/亩）</w:t>
            </w:r>
          </w:p>
        </w:tc>
        <w:tc>
          <w:tcPr>
            <w:tcW w:w="1111"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机械单价</w:t>
            </w:r>
            <w:r>
              <w:rPr>
                <w:rFonts w:hint="eastAsia" w:ascii="宋体" w:hAnsi="宋体" w:eastAsia="宋体" w:cs="宋体"/>
                <w:b/>
                <w:bCs/>
                <w:color w:val="auto"/>
                <w:kern w:val="0"/>
                <w:sz w:val="22"/>
                <w:szCs w:val="22"/>
                <w:highlight w:val="none"/>
                <w:lang w:val="en-US" w:eastAsia="zh-CN"/>
              </w:rPr>
              <w:t>最高限价</w:t>
            </w:r>
            <w:r>
              <w:rPr>
                <w:rFonts w:hint="eastAsia" w:ascii="宋体" w:hAnsi="宋体" w:eastAsia="宋体" w:cs="宋体"/>
                <w:b/>
                <w:bCs/>
                <w:color w:val="auto"/>
                <w:kern w:val="0"/>
                <w:sz w:val="22"/>
                <w:szCs w:val="22"/>
                <w:highlight w:val="none"/>
              </w:rPr>
              <w:t>（元/亩）</w:t>
            </w:r>
          </w:p>
        </w:tc>
        <w:tc>
          <w:tcPr>
            <w:tcW w:w="1037"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bCs/>
                <w:color w:val="auto"/>
                <w:kern w:val="0"/>
                <w:sz w:val="22"/>
                <w:szCs w:val="22"/>
                <w:highlight w:val="none"/>
              </w:rPr>
            </w:pPr>
            <w:r>
              <w:rPr>
                <w:rFonts w:hint="eastAsia" w:ascii="宋体" w:hAnsi="宋体" w:eastAsia="宋体" w:cs="宋体"/>
                <w:bCs/>
                <w:color w:val="auto"/>
                <w:sz w:val="22"/>
                <w:szCs w:val="22"/>
                <w:highlight w:val="none"/>
              </w:rPr>
              <w:t>有效磷含量低于10mg/kg</w:t>
            </w:r>
          </w:p>
        </w:tc>
        <w:tc>
          <w:tcPr>
            <w:tcW w:w="1122"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bCs/>
                <w:color w:val="auto"/>
                <w:kern w:val="0"/>
                <w:sz w:val="22"/>
                <w:szCs w:val="22"/>
                <w:highlight w:val="none"/>
              </w:rPr>
            </w:pPr>
            <w:r>
              <w:rPr>
                <w:rFonts w:hint="eastAsia" w:ascii="宋体" w:hAnsi="宋体" w:eastAsia="宋体" w:cs="宋体"/>
                <w:bCs/>
                <w:color w:val="auto"/>
                <w:sz w:val="22"/>
                <w:szCs w:val="22"/>
                <w:highlight w:val="none"/>
              </w:rPr>
              <w:t>有效磷含量达到达到10mg/kg以上</w:t>
            </w:r>
          </w:p>
        </w:tc>
        <w:tc>
          <w:tcPr>
            <w:tcW w:w="3747"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符合GB/T20412-2021标准，黑色粉状。产品为编织袋包装，40kg/包。</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（1）P</w:t>
            </w:r>
            <w:r>
              <w:rPr>
                <w:rFonts w:hint="eastAsia" w:ascii="宋体" w:hAnsi="宋体" w:eastAsia="宋体" w:cs="宋体"/>
                <w:bCs/>
                <w:color w:val="auto"/>
                <w:sz w:val="22"/>
                <w:szCs w:val="22"/>
                <w:highlight w:val="none"/>
                <w:vertAlign w:val="subscript"/>
              </w:rPr>
              <w:t>2</w:t>
            </w:r>
            <w:r>
              <w:rPr>
                <w:rFonts w:hint="eastAsia" w:ascii="宋体" w:hAnsi="宋体" w:eastAsia="宋体" w:cs="宋体"/>
                <w:bCs/>
                <w:color w:val="auto"/>
                <w:sz w:val="22"/>
                <w:szCs w:val="22"/>
                <w:highlight w:val="none"/>
              </w:rPr>
              <w:t>O</w:t>
            </w:r>
            <w:r>
              <w:rPr>
                <w:rFonts w:hint="eastAsia" w:ascii="宋体" w:hAnsi="宋体" w:eastAsia="宋体" w:cs="宋体"/>
                <w:bCs/>
                <w:color w:val="auto"/>
                <w:sz w:val="22"/>
                <w:szCs w:val="22"/>
                <w:highlight w:val="none"/>
                <w:vertAlign w:val="subscript"/>
              </w:rPr>
              <w:t>5</w:t>
            </w:r>
            <w:r>
              <w:rPr>
                <w:rFonts w:hint="eastAsia" w:ascii="宋体" w:hAnsi="宋体" w:eastAsia="宋体" w:cs="宋体"/>
                <w:bCs/>
                <w:color w:val="auto"/>
                <w:sz w:val="22"/>
                <w:szCs w:val="22"/>
                <w:highlight w:val="none"/>
              </w:rPr>
              <w:t>（有效五氧化二磷）的质量分数≥12%；水分的质量分数≤0.5%；</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（2）有效钙≥20%；</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（3）可溶性硅的质量分数≥20%；</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（4）有效镁的质量分数≥4%；</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（5）0.25mm实验筛通过率≥80%；</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（6）总镉（以Cd计）, mg/kg, ≤ 3；</w:t>
            </w:r>
          </w:p>
          <w:p>
            <w:pPr>
              <w:rPr>
                <w:rFonts w:hint="eastAsia" w:ascii="宋体" w:hAnsi="宋体" w:eastAsia="宋体" w:cs="宋体"/>
                <w:b/>
                <w:bCs/>
                <w:color w:val="auto"/>
                <w:kern w:val="0"/>
                <w:sz w:val="22"/>
                <w:szCs w:val="22"/>
                <w:highlight w:val="none"/>
              </w:rPr>
            </w:pPr>
            <w:r>
              <w:rPr>
                <w:rFonts w:hint="eastAsia" w:ascii="宋体" w:hAnsi="宋体" w:eastAsia="宋体" w:cs="宋体"/>
                <w:bCs/>
                <w:color w:val="auto"/>
                <w:sz w:val="22"/>
                <w:szCs w:val="22"/>
                <w:highlight w:val="none"/>
              </w:rPr>
              <w:t>（7）总汞（以Hg计）, mg/kg, ≤ 5。</w:t>
            </w:r>
          </w:p>
        </w:tc>
      </w:tr>
      <w:tr>
        <w:tblPrEx>
          <w:tblCellMar>
            <w:top w:w="0" w:type="dxa"/>
            <w:left w:w="108" w:type="dxa"/>
            <w:bottom w:w="0" w:type="dxa"/>
            <w:right w:w="108" w:type="dxa"/>
          </w:tblCellMar>
        </w:tblPrEx>
        <w:trPr>
          <w:trHeight w:val="79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1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施磷肥</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1110</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15公斤/亩计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16.65</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3500</w:t>
            </w:r>
          </w:p>
        </w:tc>
        <w:tc>
          <w:tcPr>
            <w:tcW w:w="10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45</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w:t>
            </w:r>
          </w:p>
        </w:tc>
        <w:tc>
          <w:tcPr>
            <w:tcW w:w="103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速效钾含量40-80mg/kg</w:t>
            </w:r>
          </w:p>
        </w:tc>
        <w:tc>
          <w:tcPr>
            <w:tcW w:w="112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速效钾含量达到80mg/kg以上</w:t>
            </w:r>
          </w:p>
        </w:tc>
        <w:tc>
          <w:tcPr>
            <w:tcW w:w="3747"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符合GB6549-1996标准，总养分（K,O) ≥60%，白色粉状，产品为编织袋包装，50kg/包。</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（1）KO(氯化钾）的含量%≥60.00；</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（2）H2O(水分）的含量%≤2.00；</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（3）Ca、Mg(钙镁）的含量%≤0. 4；</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（4）氯化钙的含量%≥0.20；</w:t>
            </w:r>
          </w:p>
          <w:p>
            <w:pPr>
              <w:jc w:val="left"/>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（5）水不溶物的含量%≤0.20。</w:t>
            </w:r>
          </w:p>
        </w:tc>
      </w:tr>
      <w:tr>
        <w:tblPrEx>
          <w:tblCellMar>
            <w:top w:w="0" w:type="dxa"/>
            <w:left w:w="108" w:type="dxa"/>
            <w:bottom w:w="0" w:type="dxa"/>
            <w:right w:w="108" w:type="dxa"/>
          </w:tblCellMar>
        </w:tblPrEx>
        <w:trPr>
          <w:trHeight w:val="79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1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施钾肥</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549</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5公斤/亩计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2.75</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4800</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45</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w:t>
            </w:r>
          </w:p>
        </w:tc>
        <w:tc>
          <w:tcPr>
            <w:tcW w:w="103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酸性土壤（PH＜5.5）</w:t>
            </w:r>
          </w:p>
        </w:tc>
        <w:tc>
          <w:tcPr>
            <w:tcW w:w="112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PH值达到</w:t>
            </w:r>
            <w:r>
              <w:rPr>
                <w:rFonts w:hint="eastAsia" w:ascii="宋体" w:hAnsi="宋体" w:eastAsia="宋体" w:cs="宋体"/>
                <w:bCs/>
                <w:color w:val="auto"/>
                <w:sz w:val="22"/>
                <w:szCs w:val="22"/>
                <w:highlight w:val="none"/>
                <w:lang w:val="en-US" w:eastAsia="zh-CN"/>
              </w:rPr>
              <w:t>5.5-6.5之间</w:t>
            </w:r>
          </w:p>
        </w:tc>
        <w:tc>
          <w:tcPr>
            <w:tcW w:w="3747"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（1）纯度：有效CaO≥85%；</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（2）颗粒度： 200 目过筛率≥95%；</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（3）消化速度：4分钟内温升≥55℃ (石灰：水=1:3)；</w:t>
            </w:r>
          </w:p>
          <w:p>
            <w:pPr>
              <w:jc w:val="left"/>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（4）包装要求：25公斤/袋编织包装。</w:t>
            </w:r>
          </w:p>
        </w:tc>
      </w:tr>
      <w:tr>
        <w:tblPrEx>
          <w:tblCellMar>
            <w:top w:w="0" w:type="dxa"/>
            <w:left w:w="108" w:type="dxa"/>
            <w:bottom w:w="0" w:type="dxa"/>
            <w:right w:w="108" w:type="dxa"/>
          </w:tblCellMar>
        </w:tblPrEx>
        <w:trPr>
          <w:trHeight w:val="79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1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施生石灰</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2416</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60公斤/亩计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144.96</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800</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45</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w:t>
            </w:r>
          </w:p>
        </w:tc>
        <w:tc>
          <w:tcPr>
            <w:tcW w:w="103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化肥导致土壤肥力下降、结构破坏</w:t>
            </w:r>
          </w:p>
        </w:tc>
        <w:tc>
          <w:tcPr>
            <w:tcW w:w="1122" w:type="dxa"/>
            <w:vMerge w:val="restart"/>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实现实施区农药比普通区减少30%以上</w:t>
            </w:r>
          </w:p>
        </w:tc>
        <w:tc>
          <w:tcPr>
            <w:tcW w:w="3747"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1、所投</w:t>
            </w:r>
            <w:r>
              <w:rPr>
                <w:rFonts w:hint="eastAsia" w:ascii="宋体" w:hAnsi="宋体" w:eastAsia="宋体" w:cs="宋体"/>
                <w:bCs/>
                <w:color w:val="auto"/>
                <w:sz w:val="22"/>
                <w:szCs w:val="22"/>
                <w:highlight w:val="none"/>
                <w:lang w:val="en-US" w:eastAsia="zh-CN"/>
              </w:rPr>
              <w:t>有机肥</w:t>
            </w:r>
            <w:r>
              <w:rPr>
                <w:rFonts w:hint="eastAsia" w:ascii="宋体" w:hAnsi="宋体" w:eastAsia="宋体" w:cs="宋体"/>
                <w:bCs/>
                <w:color w:val="auto"/>
                <w:sz w:val="22"/>
                <w:szCs w:val="22"/>
                <w:highlight w:val="none"/>
              </w:rPr>
              <w:t>必须具有省级以上政府主管部门出具的肥料正式登记证</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2、利用猪粪、鸡鸭粪、牛粪等禽畜粪便为主要原（不得使用垃圾、污泥等为填充物），经发酵腐熟除臭后制成的有机肥料产品，氮磷钾总养分、有机质、重金属及水分含量和酸碱度指标达到《有机肥料》（NY/T 525-2021)农业行业标准。主要质量指标：</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（1）有机质含量≥45%；</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（2）氮、磷、钾（N+P205+K20) ≥5%；</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（3）含水量≤30%；</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（4）pH值在6.0-8.5之间；</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（5）蛔虫卵死亡率和粪大肠菌数指标应符合NY884的要求；</w:t>
            </w:r>
          </w:p>
          <w:p>
            <w:pPr>
              <w:jc w:val="left"/>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（6）粉状；须要按袋封装（统一重量）、标识齐全。</w:t>
            </w:r>
          </w:p>
        </w:tc>
      </w:tr>
      <w:tr>
        <w:tblPrEx>
          <w:tblCellMar>
            <w:top w:w="0" w:type="dxa"/>
            <w:left w:w="108" w:type="dxa"/>
            <w:bottom w:w="0" w:type="dxa"/>
            <w:right w:w="108" w:type="dxa"/>
          </w:tblCellMar>
        </w:tblPrEx>
        <w:trPr>
          <w:trHeight w:val="79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1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施有机肥</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455</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400公斤/亩计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182.00</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800</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150</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w:t>
            </w:r>
          </w:p>
        </w:tc>
        <w:tc>
          <w:tcPr>
            <w:tcW w:w="103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w:t>
            </w:r>
          </w:p>
        </w:tc>
        <w:tc>
          <w:tcPr>
            <w:tcW w:w="1122" w:type="dxa"/>
            <w:vMerge w:val="continue"/>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p>
        </w:tc>
        <w:tc>
          <w:tcPr>
            <w:tcW w:w="3747"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高浓度配方肥（25-10-16），执行标准《GB/T18877-2020》。 </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（1）外观：颗粒状或条状产品，无机械杂质；</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（2）总养分（N+P2O5+K2O）含量≥33%，含氯型。蛔虫卵死亡率、大肠菌群数指标和重金属限量等指标符合国家行业标准得到要求；</w:t>
            </w:r>
          </w:p>
          <w:p>
            <w:pPr>
              <w:jc w:val="left"/>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（3）包装要求：40公斤/袋编织包装。</w:t>
            </w:r>
          </w:p>
        </w:tc>
      </w:tr>
      <w:tr>
        <w:tblPrEx>
          <w:tblCellMar>
            <w:top w:w="0" w:type="dxa"/>
            <w:left w:w="108" w:type="dxa"/>
            <w:bottom w:w="0" w:type="dxa"/>
            <w:right w:w="108" w:type="dxa"/>
          </w:tblCellMar>
        </w:tblPrEx>
        <w:trPr>
          <w:trHeight w:val="79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1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施配方肥</w:t>
            </w: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2452</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50公斤/亩计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122.60</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4500</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25</w:t>
            </w:r>
          </w:p>
        </w:tc>
        <w:tc>
          <w:tcPr>
            <w:tcW w:w="103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w:t>
            </w:r>
          </w:p>
        </w:tc>
        <w:tc>
          <w:tcPr>
            <w:tcW w:w="112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培养地力、改良土壤</w:t>
            </w:r>
          </w:p>
        </w:tc>
        <w:tc>
          <w:tcPr>
            <w:tcW w:w="3747"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纯度≥95%；</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净度≥95%；</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出芽率≥80%；</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水份≤10%。</w:t>
            </w:r>
          </w:p>
          <w:p>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要求提供的绿肥种子必须是非包衣种子。</w:t>
            </w:r>
          </w:p>
          <w:p>
            <w:pPr>
              <w:jc w:val="left"/>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建议选用产地为湖南、湖北、浙江、安徽等省份。</w:t>
            </w:r>
          </w:p>
        </w:tc>
      </w:tr>
      <w:tr>
        <w:tblPrEx>
          <w:tblCellMar>
            <w:top w:w="0" w:type="dxa"/>
            <w:left w:w="108" w:type="dxa"/>
            <w:bottom w:w="0" w:type="dxa"/>
            <w:right w:w="108" w:type="dxa"/>
          </w:tblCellMar>
        </w:tblPrEx>
        <w:trPr>
          <w:trHeight w:val="79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1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种植绿肥</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653</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2.5公斤/亩计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1.63</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35000</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45</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r>
              <w:rPr>
                <w:rFonts w:ascii="Times New Roman" w:hAnsi="Times New Roman" w:eastAsia="仿宋" w:cs="Times New Roman"/>
                <w:color w:val="auto"/>
                <w:kern w:val="0"/>
                <w:sz w:val="24"/>
                <w:szCs w:val="24"/>
                <w:highlight w:val="none"/>
              </w:rPr>
              <w:t>/</w:t>
            </w:r>
          </w:p>
        </w:tc>
        <w:tc>
          <w:tcPr>
            <w:tcW w:w="103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有效磷含量低于10mg/kg</w:t>
            </w:r>
          </w:p>
        </w:tc>
        <w:tc>
          <w:tcPr>
            <w:tcW w:w="112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有效磷含量达到达到10mg/kg以上</w:t>
            </w:r>
          </w:p>
        </w:tc>
        <w:tc>
          <w:tcPr>
            <w:tcW w:w="3747"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符合GB/T20412-2021标准，黑色粉状。产品为编织袋包装，40kg/包。</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（1）P</w:t>
            </w:r>
            <w:r>
              <w:rPr>
                <w:rFonts w:hint="eastAsia" w:ascii="宋体" w:hAnsi="宋体" w:eastAsia="宋体" w:cs="宋体"/>
                <w:bCs/>
                <w:color w:val="auto"/>
                <w:sz w:val="22"/>
                <w:szCs w:val="22"/>
                <w:highlight w:val="none"/>
                <w:vertAlign w:val="subscript"/>
              </w:rPr>
              <w:t>2</w:t>
            </w:r>
            <w:r>
              <w:rPr>
                <w:rFonts w:hint="eastAsia" w:ascii="宋体" w:hAnsi="宋体" w:eastAsia="宋体" w:cs="宋体"/>
                <w:bCs/>
                <w:color w:val="auto"/>
                <w:sz w:val="22"/>
                <w:szCs w:val="22"/>
                <w:highlight w:val="none"/>
              </w:rPr>
              <w:t>O</w:t>
            </w:r>
            <w:r>
              <w:rPr>
                <w:rFonts w:hint="eastAsia" w:ascii="宋体" w:hAnsi="宋体" w:eastAsia="宋体" w:cs="宋体"/>
                <w:bCs/>
                <w:color w:val="auto"/>
                <w:sz w:val="22"/>
                <w:szCs w:val="22"/>
                <w:highlight w:val="none"/>
                <w:vertAlign w:val="subscript"/>
              </w:rPr>
              <w:t>5</w:t>
            </w:r>
            <w:r>
              <w:rPr>
                <w:rFonts w:hint="eastAsia" w:ascii="宋体" w:hAnsi="宋体" w:eastAsia="宋体" w:cs="宋体"/>
                <w:bCs/>
                <w:color w:val="auto"/>
                <w:sz w:val="22"/>
                <w:szCs w:val="22"/>
                <w:highlight w:val="none"/>
              </w:rPr>
              <w:t>（有效五氧化二磷）的质量分数≥12%；水分的质量分数≤0.5%；</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（2）有效钙≥20%；</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（3）可溶性硅的质量分数≥20%；</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（4）有效镁的质量分数≥4%；</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（5）0.25mm实验筛通过率≥80%；</w:t>
            </w: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（6）总镉（以Cd计）, mg/kg, ≤ 3；</w:t>
            </w:r>
          </w:p>
          <w:p>
            <w:pPr>
              <w:rPr>
                <w:rFonts w:hint="eastAsia" w:ascii="宋体" w:hAnsi="宋体" w:eastAsia="宋体" w:cs="宋体"/>
                <w:b w:val="0"/>
                <w:bCs w:val="0"/>
                <w:color w:val="auto"/>
                <w:kern w:val="0"/>
                <w:sz w:val="22"/>
                <w:szCs w:val="22"/>
                <w:highlight w:val="none"/>
              </w:rPr>
            </w:pPr>
            <w:r>
              <w:rPr>
                <w:rFonts w:hint="eastAsia" w:ascii="宋体" w:hAnsi="宋体" w:eastAsia="宋体" w:cs="宋体"/>
                <w:bCs/>
                <w:color w:val="auto"/>
                <w:sz w:val="22"/>
                <w:szCs w:val="22"/>
                <w:highlight w:val="none"/>
              </w:rPr>
              <w:t>（7）总汞（以Hg计）, mg/kg, ≤ 5。</w:t>
            </w:r>
          </w:p>
        </w:tc>
      </w:tr>
      <w:tr>
        <w:tblPrEx>
          <w:tblCellMar>
            <w:top w:w="0" w:type="dxa"/>
            <w:left w:w="108" w:type="dxa"/>
            <w:bottom w:w="0" w:type="dxa"/>
            <w:right w:w="108" w:type="dxa"/>
          </w:tblCellMar>
        </w:tblPrEx>
        <w:trPr>
          <w:trHeight w:val="640" w:hRule="atLeast"/>
          <w:jc w:val="center"/>
        </w:trPr>
        <w:tc>
          <w:tcPr>
            <w:tcW w:w="157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ascii="Times New Roman" w:hAnsi="Times New Roman" w:eastAsia="仿宋" w:cs="Times New Roman"/>
                <w:color w:val="auto"/>
                <w:kern w:val="0"/>
                <w:sz w:val="24"/>
                <w:szCs w:val="24"/>
                <w:highlight w:val="none"/>
              </w:rPr>
              <w:t>7635</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ascii="Times New Roman" w:hAnsi="Times New Roman" w:eastAsia="仿宋" w:cs="Times New Roman"/>
                <w:color w:val="auto"/>
                <w:kern w:val="0"/>
                <w:sz w:val="24"/>
                <w:szCs w:val="24"/>
                <w:highlight w:val="none"/>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ascii="Times New Roman" w:hAnsi="Times New Roman" w:eastAsia="仿宋" w:cs="Times New Roman"/>
                <w:color w:val="auto"/>
                <w:kern w:val="0"/>
                <w:sz w:val="24"/>
                <w:szCs w:val="24"/>
                <w:highlight w:val="none"/>
              </w:rPr>
              <w:t>470.59</w:t>
            </w:r>
          </w:p>
        </w:tc>
        <w:tc>
          <w:tcPr>
            <w:tcW w:w="10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rPr>
            </w:pPr>
            <w:r>
              <w:rPr>
                <w:rFonts w:ascii="Times New Roman" w:hAnsi="Times New Roman" w:eastAsia="仿宋" w:cs="Times New Roman"/>
                <w:color w:val="auto"/>
                <w:kern w:val="0"/>
                <w:sz w:val="24"/>
                <w:szCs w:val="24"/>
                <w:highlight w:val="none"/>
              </w:rPr>
              <w:t>　</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lang w:val="en-US" w:eastAsia="zh-CN" w:bidi="ar-SA"/>
              </w:rPr>
            </w:pP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rPr>
            </w:pPr>
          </w:p>
        </w:tc>
        <w:tc>
          <w:tcPr>
            <w:tcW w:w="10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rPr>
            </w:pPr>
          </w:p>
        </w:tc>
        <w:tc>
          <w:tcPr>
            <w:tcW w:w="11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rPr>
            </w:pPr>
          </w:p>
        </w:tc>
        <w:tc>
          <w:tcPr>
            <w:tcW w:w="3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highlight w:val="none"/>
              </w:rPr>
            </w:pPr>
          </w:p>
        </w:tc>
      </w:tr>
    </w:tbl>
    <w:p>
      <w:pPr>
        <w:pStyle w:val="184"/>
        <w:keepNext w:val="0"/>
        <w:keepLines w:val="0"/>
        <w:pageBreakBefore w:val="0"/>
        <w:widowControl w:val="0"/>
        <w:kinsoku/>
        <w:wordWrap/>
        <w:overflowPunct/>
        <w:topLinePunct w:val="0"/>
        <w:autoSpaceDE w:val="0"/>
        <w:autoSpaceDN w:val="0"/>
        <w:bidi w:val="0"/>
        <w:adjustRightInd w:val="0"/>
        <w:snapToGrid/>
        <w:spacing w:beforeLines="0" w:afterLines="0" w:line="440" w:lineRule="exact"/>
        <w:ind w:firstLine="0" w:firstLineChars="0"/>
        <w:jc w:val="left"/>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注：肥料的供应和实施具体时间安排由采购人通知。</w:t>
      </w:r>
    </w:p>
    <w:p>
      <w:pPr>
        <w:rPr>
          <w:rFonts w:hint="eastAsia"/>
          <w:color w:val="auto"/>
          <w:highlight w:val="none"/>
          <w:lang w:val="en-US" w:eastAsia="zh-CN"/>
        </w:rPr>
      </w:pPr>
    </w:p>
    <w:p>
      <w:pPr>
        <w:pStyle w:val="11"/>
        <w:rPr>
          <w:rFonts w:hint="eastAsia"/>
          <w:color w:val="auto"/>
          <w:highlight w:val="none"/>
          <w:lang w:val="en-US" w:eastAsia="zh-CN"/>
        </w:rPr>
      </w:pPr>
    </w:p>
    <w:p>
      <w:pPr>
        <w:rPr>
          <w:rFonts w:hint="eastAsia"/>
          <w:color w:val="auto"/>
          <w:highlight w:val="none"/>
          <w:lang w:val="en-US" w:eastAsia="zh-CN"/>
        </w:rPr>
        <w:sectPr>
          <w:pgSz w:w="16838" w:h="11906" w:orient="landscape"/>
          <w:pgMar w:top="1361" w:right="1304" w:bottom="1361" w:left="1304" w:header="851" w:footer="851" w:gutter="0"/>
          <w:cols w:space="720" w:num="1"/>
          <w:titlePg/>
          <w:docGrid w:linePitch="312" w:charSpace="0"/>
        </w:sectPr>
      </w:pPr>
    </w:p>
    <w:p>
      <w:pPr>
        <w:widowControl/>
        <w:numPr>
          <w:ilvl w:val="0"/>
          <w:numId w:val="10"/>
        </w:numPr>
        <w:snapToGrid w:val="0"/>
        <w:spacing w:line="480" w:lineRule="exact"/>
        <w:ind w:firstLine="442" w:firstLineChars="200"/>
        <w:rPr>
          <w:rFonts w:hint="eastAsia" w:ascii="宋体" w:hAnsi="宋体" w:cs="宋体"/>
          <w:b/>
          <w:bCs/>
          <w:color w:val="auto"/>
          <w:kern w:val="0"/>
          <w:sz w:val="22"/>
          <w:szCs w:val="18"/>
          <w:highlight w:val="none"/>
          <w:lang w:val="en-US" w:eastAsia="zh-CN"/>
        </w:rPr>
      </w:pPr>
      <w:r>
        <w:rPr>
          <w:rFonts w:hint="eastAsia" w:ascii="宋体" w:hAnsi="宋体" w:cs="宋体"/>
          <w:b/>
          <w:bCs/>
          <w:color w:val="auto"/>
          <w:kern w:val="0"/>
          <w:sz w:val="22"/>
          <w:szCs w:val="18"/>
          <w:highlight w:val="none"/>
          <w:lang w:val="en-US" w:eastAsia="zh-CN"/>
        </w:rPr>
        <w:t>主要措施要求</w:t>
      </w:r>
    </w:p>
    <w:p>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b/>
          <w:bCs/>
          <w:color w:val="auto"/>
          <w:kern w:val="0"/>
          <w:sz w:val="22"/>
          <w:szCs w:val="18"/>
          <w:highlight w:val="none"/>
          <w:lang w:val="en-US" w:eastAsia="zh-CN"/>
        </w:rPr>
        <w:t xml:space="preserve">    </w:t>
      </w:r>
      <w:r>
        <w:rPr>
          <w:rFonts w:hint="eastAsia" w:ascii="宋体" w:hAnsi="宋体" w:eastAsia="宋体" w:cs="宋体"/>
          <w:b/>
          <w:bCs/>
          <w:color w:val="auto"/>
          <w:sz w:val="22"/>
          <w:szCs w:val="22"/>
          <w:highlight w:val="none"/>
          <w:lang w:val="en-US" w:eastAsia="zh-CN"/>
        </w:rPr>
        <w:t>重点推广施用商品有机肥、配方肥，并结合酸性土壤改良及土壤逐年深翻耕等措施提升土壤肥力，施用商品有机肥。</w:t>
      </w:r>
      <w:r>
        <w:rPr>
          <w:rFonts w:hint="eastAsia" w:ascii="宋体" w:hAnsi="宋体" w:eastAsia="宋体" w:cs="宋体"/>
          <w:color w:val="auto"/>
          <w:sz w:val="22"/>
          <w:szCs w:val="22"/>
          <w:highlight w:val="none"/>
          <w:lang w:val="en-US" w:eastAsia="zh-CN"/>
        </w:rPr>
        <w:t>对549亩缺钾地块（速效钾含量40-80mg/kg）施用钾肥，对1110亩缺磷地块（有效磷含量＜10mg/kg）适量的磷肥，全面提升土壤有效磷、速效钾；通过对2416亩酸性土壤（PH＜5.5）施入石灰调节土壤pH值，改良酸性土壤，最终提高土壤养分的有效性。对455亩抛荒地块整治施工后（抛荒整治为基础工程），施有机肥改善土壤。对2452亩耕地（早晚连稻和单季稻）施配方肥，实现实施区农药比普通区减少30%以上。种植653亩紫云英提高土壤肥力、改善土壤质量，采用“紫云英-早稻-晚稻”或“紫云英-单季稻”模式，达到项目区减肥、增效作用。</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4.1、缺磷地块：对于速效磷含量较低的土壤，全部用作基肥，按连作晚稻、单季稻15公斤/亩计，施用时间为11月中旬，单季稻和晚稻都收获后。施肥方法为人工撒播。（其中养殖小龙虾地块施肥时间在小龙虾收获之后的六月中旬到六月下旬）。</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4.2、缺钾地块：对于速效钾含量较低的土壤，全部用作基肥，按5公斤/亩计，施用时间为在6月上旬和中旬（油菜和小麦收割之后）和8月上旬（早稻收割之后）播种。施肥方法为人工撒播，在施肥过程中，应将钾肥均匀撒施在土壤表面，或与土壤混合均匀后再进行播种或移栽。同时，注意避免将钾肥直接接触种子或幼苗，以免烧伤植株。（其中养殖小龙虾地块施肥时间在小龙虾收获之后的六月中旬到六月下旬）。</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4.3、改良酸性土壤地块：酸性水田施用石灰作基肥，按60公斤/亩计，施用时间为11月中旬，单季稻和晚稻都收获后。施肥方法为人工撒播，在整地或浇水后时施入，施肥过程应结合耕地质量检测数据，通常以将土壤PH值调到适合水稻生长的5.5-6.5之间，切忌过量施用生石灰。</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4.4、施有机肥地块：对于抛荒整治地块施用有机肥，按400公斤/亩计，施用时间为11月，施肥方法为人工撒播，适合新开地块，可有效改良土壤有机质含量，培肥地力。</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4.5、配方肥施用：施肥种类直接购买高浓度配方肥（25-10-16），按50公斤/亩计，施用时间为6月上旬和中旬（油菜和小麦收割之后）和8月上旬（早稻收割之后）播种。施肥方法为租用无人机播撒，在播种前或在种植时作为基肥施用，撒施后耕翻。（其中养殖小龙虾地块施肥时间在小龙虾收获之后的六月中旬到六月下旬）。</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4.6、绿肥（紫云英）：一般在10月中旬播种，以利于水稻成熟和草子出苗、生长。播种以人工撒播为主，人工撒播要均匀。亩播种量为2.5公斤左右。压青由农户负责。</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cs="宋体"/>
          <w:b/>
          <w:bCs/>
          <w:color w:val="auto"/>
          <w:kern w:val="0"/>
          <w:sz w:val="22"/>
          <w:szCs w:val="18"/>
          <w:highlight w:val="none"/>
          <w:lang w:val="en-US" w:eastAsia="zh-CN"/>
        </w:rPr>
      </w:pPr>
      <w:r>
        <w:rPr>
          <w:rFonts w:hint="eastAsia" w:ascii="宋体" w:hAnsi="宋体" w:eastAsia="宋体" w:cs="宋体"/>
          <w:color w:val="auto"/>
          <w:sz w:val="22"/>
          <w:szCs w:val="22"/>
          <w:highlight w:val="none"/>
          <w:lang w:val="en-US" w:eastAsia="zh-CN"/>
        </w:rPr>
        <w:t>其中钙镁磷肥、氯化钾、有机肥、生石灰、种植绿肥（紫云英）：按照2024年平阳县水头镇高标准农田改造提升示范项目(绿色农田建设项目)初步设计方案及肥料使用技术要求定点定量施用到具体田块里（除配方肥外），并足量科学的施用到位（施用费用包括在本次报价内）。在施肥过程中，如遇到不适宜施肥的地块，需进行避让</w:t>
      </w:r>
      <w:r>
        <w:rPr>
          <w:rFonts w:hint="eastAsia" w:ascii="宋体" w:hAnsi="宋体" w:cs="宋体"/>
          <w:color w:val="auto"/>
          <w:sz w:val="22"/>
          <w:szCs w:val="22"/>
          <w:highlight w:val="none"/>
          <w:lang w:val="en-US" w:eastAsia="zh-CN"/>
        </w:rPr>
        <w:t>。</w:t>
      </w:r>
      <w:r>
        <w:rPr>
          <w:rFonts w:hint="eastAsia" w:ascii="宋体" w:hAnsi="宋体" w:eastAsia="宋体" w:cs="宋体"/>
          <w:b/>
          <w:bCs/>
          <w:strike w:val="0"/>
          <w:dstrike w:val="0"/>
          <w:color w:val="auto"/>
          <w:sz w:val="22"/>
          <w:szCs w:val="22"/>
          <w:highlight w:val="none"/>
          <w:u w:val="single"/>
          <w:lang w:val="en-US" w:eastAsia="zh-CN"/>
        </w:rPr>
        <w:t>上述主要措施要求中的各项培肥量与培肥措施，均由采购人监督管理</w:t>
      </w:r>
      <w:r>
        <w:rPr>
          <w:rFonts w:hint="eastAsia" w:ascii="宋体" w:hAnsi="宋体" w:cs="宋体"/>
          <w:b/>
          <w:bCs/>
          <w:strike w:val="0"/>
          <w:dstrike w:val="0"/>
          <w:color w:val="auto"/>
          <w:sz w:val="22"/>
          <w:szCs w:val="22"/>
          <w:highlight w:val="none"/>
          <w:u w:val="single"/>
          <w:lang w:val="en-US" w:eastAsia="zh-CN"/>
        </w:rPr>
        <w:t>（根据本项目需要，</w:t>
      </w:r>
      <w:r>
        <w:rPr>
          <w:rFonts w:hint="eastAsia" w:ascii="宋体" w:hAnsi="宋体" w:cs="宋体"/>
          <w:b/>
          <w:bCs/>
          <w:color w:val="auto"/>
          <w:sz w:val="22"/>
          <w:szCs w:val="22"/>
          <w:highlight w:val="none"/>
          <w:u w:val="single"/>
          <w:lang w:val="en-US" w:eastAsia="zh-CN"/>
        </w:rPr>
        <w:t>若涉及到各肥料产品储存、管理均由供应商自行负责）。</w:t>
      </w:r>
    </w:p>
    <w:p>
      <w:pPr>
        <w:widowControl/>
        <w:numPr>
          <w:ilvl w:val="0"/>
          <w:numId w:val="10"/>
        </w:numPr>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技术资料</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1.乙方应按采购文件规定的时间向甲方提供与本项目有关的技术资料。</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cs="宋体"/>
          <w:b/>
          <w:bCs/>
          <w:color w:val="auto"/>
          <w:kern w:val="0"/>
          <w:sz w:val="22"/>
          <w:szCs w:val="18"/>
          <w:highlight w:val="none"/>
          <w:lang w:val="en-US" w:eastAsia="zh-CN"/>
        </w:rPr>
        <w:t>六</w:t>
      </w:r>
      <w:r>
        <w:rPr>
          <w:rFonts w:hint="eastAsia" w:ascii="宋体" w:hAnsi="宋体" w:eastAsia="宋体" w:cs="宋体"/>
          <w:b/>
          <w:bCs/>
          <w:color w:val="auto"/>
          <w:kern w:val="0"/>
          <w:sz w:val="22"/>
          <w:szCs w:val="18"/>
          <w:highlight w:val="none"/>
        </w:rPr>
        <w:t>、知识产权</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1、乙方应保证所提供的货物与服务均不会侵犯任何第三方的知识产权。</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2、乙方保证所交付的服务的所有权完全属于乙方且无任何抵押、查封等产权瑕疵。</w:t>
      </w:r>
    </w:p>
    <w:p>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cs="宋体"/>
          <w:b/>
          <w:bCs/>
          <w:color w:val="auto"/>
          <w:kern w:val="0"/>
          <w:sz w:val="22"/>
          <w:szCs w:val="18"/>
          <w:highlight w:val="none"/>
          <w:lang w:val="en-US" w:eastAsia="zh-CN"/>
        </w:rPr>
        <w:t>七</w:t>
      </w:r>
      <w:r>
        <w:rPr>
          <w:rFonts w:hint="eastAsia" w:ascii="宋体" w:hAnsi="宋体" w:eastAsia="宋体" w:cs="宋体"/>
          <w:b/>
          <w:bCs/>
          <w:color w:val="auto"/>
          <w:kern w:val="0"/>
          <w:sz w:val="22"/>
          <w:szCs w:val="18"/>
          <w:highlight w:val="none"/>
        </w:rPr>
        <w:t>、转包或分包</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不允许转包。</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允许分包部分。</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如乙方将项目转包或将不允许分包部分进行了分包，甲方有权解除合同，没收履约保证金并追究乙方的违约责任。</w:t>
      </w:r>
    </w:p>
    <w:p>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lang w:val="en-US" w:eastAsia="zh-CN"/>
        </w:rPr>
        <w:t xml:space="preserve"> </w:t>
      </w:r>
      <w:r>
        <w:rPr>
          <w:rFonts w:hint="eastAsia" w:ascii="宋体" w:hAnsi="宋体" w:cs="宋体"/>
          <w:b/>
          <w:bCs/>
          <w:color w:val="auto"/>
          <w:kern w:val="0"/>
          <w:sz w:val="22"/>
          <w:szCs w:val="18"/>
          <w:highlight w:val="none"/>
          <w:lang w:val="en-US" w:eastAsia="zh-CN"/>
        </w:rPr>
        <w:t>八</w:t>
      </w:r>
      <w:r>
        <w:rPr>
          <w:rFonts w:hint="eastAsia" w:ascii="宋体" w:hAnsi="宋体" w:eastAsia="宋体" w:cs="宋体"/>
          <w:b/>
          <w:bCs/>
          <w:color w:val="auto"/>
          <w:kern w:val="0"/>
          <w:sz w:val="22"/>
          <w:szCs w:val="18"/>
          <w:highlight w:val="none"/>
          <w:lang w:val="en-US" w:eastAsia="zh-CN" w:bidi="ar-SA"/>
        </w:rPr>
        <w:t>、</w:t>
      </w:r>
      <w:r>
        <w:rPr>
          <w:rFonts w:hint="eastAsia" w:ascii="宋体" w:hAnsi="宋体" w:eastAsia="宋体" w:cs="宋体"/>
          <w:b/>
          <w:bCs/>
          <w:color w:val="auto"/>
          <w:kern w:val="0"/>
          <w:sz w:val="22"/>
          <w:szCs w:val="18"/>
          <w:highlight w:val="none"/>
        </w:rPr>
        <w:t>项目服务期限</w:t>
      </w:r>
    </w:p>
    <w:p>
      <w:pPr>
        <w:keepNext w:val="0"/>
        <w:keepLines w:val="0"/>
        <w:pageBreakBefore w:val="0"/>
        <w:widowControl/>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18"/>
          <w:highlight w:val="none"/>
        </w:rPr>
        <w:t>1.服务期限：</w:t>
      </w:r>
      <w:r>
        <w:rPr>
          <w:rFonts w:hint="eastAsia" w:ascii="宋体" w:hAnsi="宋体" w:eastAsia="宋体" w:cs="宋体"/>
          <w:color w:val="auto"/>
          <w:sz w:val="22"/>
          <w:szCs w:val="22"/>
          <w:highlight w:val="none"/>
          <w:lang w:val="en-US" w:eastAsia="zh-CN"/>
        </w:rPr>
        <w:t>合同签订之日起</w:t>
      </w:r>
      <w:r>
        <w:rPr>
          <w:rFonts w:hint="eastAsia" w:ascii="宋体" w:hAnsi="宋体" w:eastAsia="宋体" w:cs="宋体"/>
          <w:bCs/>
          <w:color w:val="auto"/>
          <w:kern w:val="2"/>
          <w:sz w:val="22"/>
          <w:szCs w:val="22"/>
          <w:highlight w:val="none"/>
          <w:lang w:val="en-US" w:eastAsia="zh-CN" w:bidi="ar-SA"/>
        </w:rPr>
        <w:t>一年</w:t>
      </w:r>
      <w:r>
        <w:rPr>
          <w:rFonts w:hint="eastAsia" w:ascii="宋体" w:hAnsi="宋体" w:eastAsia="宋体" w:cs="宋体"/>
          <w:color w:val="auto"/>
          <w:sz w:val="22"/>
          <w:szCs w:val="22"/>
          <w:highlight w:val="none"/>
          <w:lang w:val="en-US" w:eastAsia="zh-CN"/>
        </w:rPr>
        <w:t>，具体实施时间按</w:t>
      </w:r>
      <w:r>
        <w:rPr>
          <w:rFonts w:hint="eastAsia" w:ascii="宋体" w:hAnsi="宋体" w:cs="宋体"/>
          <w:color w:val="auto"/>
          <w:sz w:val="22"/>
          <w:szCs w:val="22"/>
          <w:highlight w:val="none"/>
          <w:lang w:val="en-US" w:eastAsia="zh-CN"/>
        </w:rPr>
        <w:t>采购文件件</w:t>
      </w:r>
      <w:r>
        <w:rPr>
          <w:rFonts w:hint="eastAsia" w:ascii="宋体" w:hAnsi="宋体" w:eastAsia="宋体" w:cs="宋体"/>
          <w:color w:val="auto"/>
          <w:sz w:val="22"/>
          <w:szCs w:val="22"/>
          <w:highlight w:val="none"/>
          <w:lang w:val="en-US" w:eastAsia="zh-CN"/>
        </w:rPr>
        <w:t>规定的时间节点内完成各项土壤改良</w:t>
      </w:r>
      <w:r>
        <w:rPr>
          <w:rFonts w:hint="eastAsia" w:ascii="宋体" w:hAnsi="宋体" w:cs="宋体"/>
          <w:color w:val="auto"/>
          <w:sz w:val="22"/>
          <w:szCs w:val="22"/>
          <w:highlight w:val="none"/>
          <w:lang w:val="en-US" w:eastAsia="zh-CN"/>
        </w:rPr>
        <w:t>培肥</w:t>
      </w:r>
      <w:r>
        <w:rPr>
          <w:rFonts w:hint="eastAsia" w:ascii="宋体" w:hAnsi="宋体" w:eastAsia="宋体" w:cs="宋体"/>
          <w:color w:val="auto"/>
          <w:sz w:val="22"/>
          <w:szCs w:val="22"/>
          <w:highlight w:val="none"/>
          <w:lang w:val="en-US" w:eastAsia="zh-CN"/>
        </w:rPr>
        <w:t>措施，合同期限截止或结算金额接近预算金额</w:t>
      </w:r>
      <w:r>
        <w:rPr>
          <w:rFonts w:hint="eastAsia" w:ascii="宋体" w:hAnsi="宋体" w:cs="宋体"/>
          <w:color w:val="auto"/>
          <w:sz w:val="22"/>
          <w:szCs w:val="22"/>
          <w:highlight w:val="none"/>
          <w:lang w:val="en-US" w:eastAsia="zh-CN"/>
        </w:rPr>
        <w:t>1284200</w:t>
      </w:r>
      <w:r>
        <w:rPr>
          <w:rFonts w:hint="eastAsia" w:ascii="宋体" w:hAnsi="宋体" w:eastAsia="宋体" w:cs="宋体"/>
          <w:color w:val="auto"/>
          <w:sz w:val="22"/>
          <w:szCs w:val="22"/>
          <w:highlight w:val="none"/>
          <w:lang w:val="en-US" w:eastAsia="zh-CN"/>
        </w:rPr>
        <w:t>元时则合同期限履约结束。</w:t>
      </w:r>
    </w:p>
    <w:p>
      <w:pPr>
        <w:pStyle w:val="2"/>
        <w:keepNext w:val="0"/>
        <w:keepLines w:val="0"/>
        <w:pageBreakBefore w:val="0"/>
        <w:kinsoku/>
        <w:wordWrap/>
        <w:overflowPunct/>
        <w:topLinePunct w:val="0"/>
        <w:autoSpaceDE/>
        <w:autoSpaceDN/>
        <w:bidi w:val="0"/>
        <w:adjustRightInd/>
        <w:spacing w:line="360" w:lineRule="auto"/>
        <w:textAlignment w:val="auto"/>
        <w:rPr>
          <w:rFonts w:hint="default"/>
          <w:color w:val="auto"/>
          <w:highlight w:val="none"/>
          <w:lang w:val="en-US" w:eastAsia="zh-CN"/>
        </w:rPr>
      </w:pPr>
      <w:r>
        <w:rPr>
          <w:rFonts w:hint="eastAsia" w:hAnsi="宋体" w:cs="宋体"/>
          <w:color w:val="auto"/>
          <w:sz w:val="22"/>
          <w:szCs w:val="22"/>
          <w:highlight w:val="none"/>
          <w:lang w:val="en-US" w:eastAsia="zh-CN"/>
        </w:rPr>
        <w:t xml:space="preserve">   2、</w:t>
      </w:r>
      <w:r>
        <w:rPr>
          <w:rFonts w:hint="eastAsia"/>
          <w:color w:val="auto"/>
          <w:highlight w:val="none"/>
          <w:lang w:val="en-US" w:eastAsia="zh-CN"/>
        </w:rPr>
        <w:t xml:space="preserve"> 若在合同履行中，采购人可以追加合同内容中的服务，在不改变合同其他条款的前提下，可以与供应商协商签订补充合同，所有补充合同的采购金额不得超过原合同采购金额的百分之十。（依据：</w:t>
      </w:r>
      <w:r>
        <w:rPr>
          <w:rFonts w:ascii="PingFangSC-Regular" w:hAnsi="PingFangSC-Regular" w:eastAsia="PingFangSC-Regular" w:cs="PingFangSC-Regular"/>
          <w:i w:val="0"/>
          <w:iCs w:val="0"/>
          <w:caps w:val="0"/>
          <w:color w:val="auto"/>
          <w:spacing w:val="2"/>
          <w:sz w:val="20"/>
          <w:szCs w:val="20"/>
          <w:highlight w:val="none"/>
          <w:shd w:val="clear" w:fill="FFFFFF"/>
        </w:rPr>
        <w:t>《中华人民共和国政府采购法》 第四十九条</w:t>
      </w:r>
      <w:r>
        <w:rPr>
          <w:rFonts w:hint="eastAsia"/>
          <w:color w:val="auto"/>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color w:val="auto"/>
          <w:kern w:val="0"/>
          <w:sz w:val="22"/>
          <w:szCs w:val="18"/>
          <w:highlight w:val="none"/>
          <w:lang w:val="en-US" w:eastAsia="zh-CN"/>
        </w:rPr>
      </w:pPr>
      <w:r>
        <w:rPr>
          <w:rFonts w:hint="eastAsia" w:ascii="宋体" w:hAnsi="宋体" w:eastAsia="宋体" w:cs="宋体"/>
          <w:b/>
          <w:bCs/>
          <w:color w:val="auto"/>
          <w:kern w:val="0"/>
          <w:sz w:val="22"/>
          <w:szCs w:val="18"/>
          <w:highlight w:val="none"/>
          <w:lang w:val="en-US" w:eastAsia="zh-CN"/>
        </w:rPr>
        <w:t>九、验收标准</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中标（成交）供应商</w:t>
      </w:r>
      <w:r>
        <w:rPr>
          <w:rFonts w:hint="eastAsia" w:ascii="宋体" w:hAnsi="宋体" w:eastAsia="宋体" w:cs="宋体"/>
          <w:color w:val="auto"/>
          <w:sz w:val="22"/>
          <w:szCs w:val="22"/>
          <w:highlight w:val="none"/>
          <w:lang w:val="en-US" w:eastAsia="zh-CN"/>
        </w:rPr>
        <w:t>应提供</w:t>
      </w:r>
      <w:r>
        <w:rPr>
          <w:rFonts w:hint="eastAsia" w:ascii="宋体" w:hAnsi="宋体" w:cs="宋体"/>
          <w:color w:val="auto"/>
          <w:sz w:val="22"/>
          <w:szCs w:val="22"/>
          <w:highlight w:val="none"/>
          <w:lang w:val="en-US" w:eastAsia="zh-CN"/>
        </w:rPr>
        <w:t>各项</w:t>
      </w:r>
      <w:r>
        <w:rPr>
          <w:rFonts w:hint="eastAsia" w:ascii="宋体" w:hAnsi="宋体" w:eastAsia="宋体" w:cs="宋体"/>
          <w:color w:val="auto"/>
          <w:sz w:val="22"/>
          <w:szCs w:val="22"/>
          <w:highlight w:val="none"/>
          <w:lang w:val="en-US" w:eastAsia="zh-CN"/>
        </w:rPr>
        <w:t>供货产品的有效合格证，经采购方确认，与合同性能指标一起作为产品验收标准。</w:t>
      </w:r>
      <w:r>
        <w:rPr>
          <w:rFonts w:hint="eastAsia" w:ascii="宋体" w:hAnsi="宋体" w:eastAsia="宋体" w:cs="宋体"/>
          <w:color w:val="auto"/>
          <w:sz w:val="22"/>
          <w:szCs w:val="22"/>
          <w:highlight w:val="none"/>
          <w:u w:val="single"/>
          <w:lang w:val="en-US" w:eastAsia="zh-CN"/>
        </w:rPr>
        <w:t>在到货后，采购人可以委托第三方检测机构对</w:t>
      </w:r>
      <w:r>
        <w:rPr>
          <w:rFonts w:hint="eastAsia" w:ascii="宋体" w:hAnsi="宋体" w:cs="宋体"/>
          <w:color w:val="auto"/>
          <w:sz w:val="22"/>
          <w:szCs w:val="22"/>
          <w:highlight w:val="none"/>
          <w:u w:val="single"/>
          <w:lang w:val="en-US" w:eastAsia="zh-CN"/>
        </w:rPr>
        <w:t>各项</w:t>
      </w:r>
      <w:r>
        <w:rPr>
          <w:rFonts w:hint="eastAsia" w:ascii="宋体" w:hAnsi="宋体" w:eastAsia="宋体" w:cs="宋体"/>
          <w:color w:val="auto"/>
          <w:sz w:val="22"/>
          <w:szCs w:val="22"/>
          <w:highlight w:val="none"/>
          <w:u w:val="single"/>
          <w:lang w:val="en-US" w:eastAsia="zh-CN"/>
        </w:rPr>
        <w:t>供货方产品进行抽样检测。</w:t>
      </w:r>
      <w:r>
        <w:rPr>
          <w:rFonts w:hint="eastAsia" w:ascii="宋体" w:hAnsi="宋体" w:eastAsia="宋体" w:cs="宋体"/>
          <w:color w:val="auto"/>
          <w:sz w:val="22"/>
          <w:szCs w:val="22"/>
          <w:highlight w:val="none"/>
          <w:lang w:val="en-US" w:eastAsia="zh-CN"/>
        </w:rPr>
        <w:t>验收中发现产品不符合验收标准或合同规定的性能指标，必须及时调整、更换直至符合为止，同时供货方应承担期间产生的相关损失（验收及样本检测费用由产品</w:t>
      </w:r>
      <w:r>
        <w:rPr>
          <w:rFonts w:hint="eastAsia" w:ascii="宋体" w:hAnsi="宋体" w:cs="宋体"/>
          <w:color w:val="auto"/>
          <w:sz w:val="22"/>
          <w:szCs w:val="22"/>
          <w:highlight w:val="none"/>
          <w:lang w:val="en-US" w:eastAsia="zh-CN"/>
        </w:rPr>
        <w:t>中标（成交）供应商</w:t>
      </w:r>
      <w:r>
        <w:rPr>
          <w:rFonts w:hint="eastAsia" w:ascii="宋体" w:hAnsi="宋体" w:eastAsia="宋体" w:cs="宋体"/>
          <w:color w:val="auto"/>
          <w:sz w:val="22"/>
          <w:szCs w:val="22"/>
          <w:highlight w:val="none"/>
          <w:lang w:val="en-US" w:eastAsia="zh-CN"/>
        </w:rPr>
        <w:t>承担）。</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本项目应结合土壤检测结果科学合理地施肥，减少养分浪费，避免土壤肥力过高或过低，提高农作物的产量和品质。验收时将组织专家</w:t>
      </w:r>
      <w:r>
        <w:rPr>
          <w:rFonts w:hint="eastAsia" w:ascii="宋体" w:hAnsi="宋体" w:cs="宋体"/>
          <w:color w:val="auto"/>
          <w:sz w:val="22"/>
          <w:szCs w:val="22"/>
          <w:highlight w:val="none"/>
          <w:lang w:val="en-US" w:eastAsia="zh-CN"/>
        </w:rPr>
        <w:t>对改良培肥后的土壤</w:t>
      </w:r>
      <w:r>
        <w:rPr>
          <w:rFonts w:hint="eastAsia" w:ascii="宋体" w:hAnsi="宋体" w:eastAsia="宋体" w:cs="宋体"/>
          <w:color w:val="auto"/>
          <w:sz w:val="22"/>
          <w:szCs w:val="22"/>
          <w:highlight w:val="none"/>
          <w:lang w:val="en-US" w:eastAsia="zh-CN"/>
        </w:rPr>
        <w:t>进行现场采样并送至第三方检测机构检测</w:t>
      </w:r>
      <w:r>
        <w:rPr>
          <w:rFonts w:hint="eastAsia" w:ascii="宋体" w:hAnsi="宋体" w:eastAsia="宋体" w:cs="宋体"/>
          <w:color w:val="auto"/>
          <w:sz w:val="22"/>
          <w:szCs w:val="22"/>
          <w:highlight w:val="none"/>
          <w:u w:val="single"/>
          <w:lang w:val="en-US" w:eastAsia="zh-CN"/>
        </w:rPr>
        <w:t>(土壤检测费用计入投标报价中，由中标（成交）供应商承担</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lang w:val="en-US" w:eastAsia="zh-CN"/>
        </w:rPr>
        <w:t>根据《耕地质量等级》(GB/T33469-2016)相关要求，检测其数值型指标，</w:t>
      </w:r>
      <w:r>
        <w:rPr>
          <w:rFonts w:hint="eastAsia" w:ascii="宋体" w:hAnsi="宋体" w:eastAsia="宋体" w:cs="宋体"/>
          <w:b/>
          <w:bCs/>
          <w:color w:val="auto"/>
          <w:sz w:val="22"/>
          <w:szCs w:val="22"/>
          <w:highlight w:val="none"/>
          <w:u w:val="single"/>
          <w:lang w:val="en-US" w:eastAsia="zh-CN"/>
        </w:rPr>
        <w:t>实施后相应地块土壤各项指标应达到拟提升标准：有效磷含量达到10mg/kg以上；速效钾含量达到80mg/kg以上；PH值达到5.5-6.5之间；农药比普通区减少30%以上；项目区地力等级应比建设前提升0.1等级以上，达到培养地力、改良土壤的预期效果。</w:t>
      </w:r>
    </w:p>
    <w:p>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cs="宋体"/>
          <w:b/>
          <w:bCs/>
          <w:color w:val="auto"/>
          <w:kern w:val="0"/>
          <w:sz w:val="22"/>
          <w:szCs w:val="18"/>
          <w:highlight w:val="none"/>
          <w:lang w:val="en-US" w:eastAsia="zh-CN"/>
        </w:rPr>
        <w:t>十</w:t>
      </w:r>
      <w:r>
        <w:rPr>
          <w:rFonts w:hint="eastAsia" w:ascii="宋体" w:hAnsi="宋体" w:eastAsia="宋体" w:cs="宋体"/>
          <w:b/>
          <w:bCs/>
          <w:color w:val="auto"/>
          <w:kern w:val="0"/>
          <w:sz w:val="22"/>
          <w:szCs w:val="18"/>
          <w:highlight w:val="none"/>
        </w:rPr>
        <w:t>、履约保证金</w:t>
      </w:r>
    </w:p>
    <w:p>
      <w:pPr>
        <w:keepNext w:val="0"/>
        <w:keepLines w:val="0"/>
        <w:pageBreakBefore w:val="0"/>
        <w:widowControl w:val="0"/>
        <w:shd w:val="clear"/>
        <w:kinsoku/>
        <w:wordWrap/>
        <w:overflowPunct/>
        <w:topLinePunct w:val="0"/>
        <w:bidi w:val="0"/>
        <w:spacing w:line="440" w:lineRule="exact"/>
        <w:ind w:right="136" w:firstLine="454"/>
        <w:textAlignment w:val="auto"/>
        <w:rPr>
          <w:rFonts w:hint="eastAsia"/>
          <w:color w:val="auto"/>
          <w:sz w:val="22"/>
          <w:szCs w:val="22"/>
          <w:highlight w:val="none"/>
        </w:rPr>
      </w:pPr>
      <w:r>
        <w:rPr>
          <w:rFonts w:hint="eastAsia"/>
          <w:color w:val="auto"/>
          <w:sz w:val="22"/>
          <w:szCs w:val="22"/>
          <w:highlight w:val="none"/>
          <w:lang w:val="en-US" w:eastAsia="zh-CN"/>
        </w:rPr>
        <w:t>.1、</w:t>
      </w:r>
      <w:r>
        <w:rPr>
          <w:rFonts w:hint="eastAsia" w:ascii="宋体" w:hAnsi="宋体" w:eastAsia="宋体" w:cs="宋体"/>
          <w:b w:val="0"/>
          <w:bCs/>
          <w:color w:val="auto"/>
          <w:sz w:val="22"/>
          <w:szCs w:val="22"/>
          <w:highlight w:val="none"/>
          <w:u w:val="none"/>
        </w:rPr>
        <w:t>履约保证金的收取：</w:t>
      </w:r>
      <w:r>
        <w:rPr>
          <w:rFonts w:hint="eastAsia"/>
          <w:color w:val="auto"/>
          <w:sz w:val="22"/>
          <w:szCs w:val="22"/>
          <w:highlight w:val="none"/>
        </w:rPr>
        <w:t>合同签订后7个工作日内，中标供应商提供合同价的1%金额作为履约保证金</w:t>
      </w:r>
      <w:r>
        <w:rPr>
          <w:rFonts w:hint="eastAsia" w:ascii="宋体" w:hAnsi="宋体" w:eastAsia="宋体" w:cs="宋体"/>
          <w:b w:val="0"/>
          <w:bCs/>
          <w:color w:val="auto"/>
          <w:highlight w:val="none"/>
          <w:lang w:eastAsia="zh-CN"/>
        </w:rPr>
        <w:t>（履约保证金形式：以支票、汇票、本票或者金融机构、担保机构出具的保函等非现金形式提交。</w:t>
      </w:r>
      <w:r>
        <w:rPr>
          <w:rFonts w:hint="eastAsia" w:ascii="宋体" w:hAnsi="宋体" w:eastAsia="宋体" w:cs="宋体"/>
          <w:b w:val="0"/>
          <w:bCs w:val="0"/>
          <w:color w:val="auto"/>
          <w:sz w:val="22"/>
          <w:szCs w:val="22"/>
          <w:highlight w:val="none"/>
          <w:lang w:val="en-US" w:eastAsia="zh-CN"/>
        </w:rPr>
        <w:t>中标（成交）供应商不能按期保质保量完成本项目服务，除承担相关责任外，甲方可相应没收履约保证金。（保函应满足以下几个条件：1）为无条件保函：即在乙方没有实施合同或者未履行合同义务时，招标人不需要出具任何证明和理由，只要看到乙方违约，就可对保函进行收兑；2）保函期限：自合同生效之日起至合同履约完毕之日止；3）如果由于银行、保险公司要求分期出具保函的，则在前一份保函有效期满之日2个月前必须重新出具相同内容的保函。）</w:t>
      </w:r>
      <w:r>
        <w:rPr>
          <w:rFonts w:hint="eastAsia"/>
          <w:color w:val="auto"/>
          <w:sz w:val="22"/>
          <w:szCs w:val="22"/>
          <w:highlight w:val="none"/>
        </w:rPr>
        <w:t>如中标供应商未在规定的时间内提交履约保证金则采购人有权终止合同。</w:t>
      </w:r>
    </w:p>
    <w:p>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color w:val="auto"/>
          <w:sz w:val="22"/>
          <w:szCs w:val="22"/>
          <w:highlight w:val="none"/>
        </w:rPr>
      </w:pPr>
      <w:r>
        <w:rPr>
          <w:rFonts w:hint="eastAsia"/>
          <w:color w:val="auto"/>
          <w:sz w:val="22"/>
          <w:szCs w:val="22"/>
          <w:highlight w:val="none"/>
          <w:lang w:val="en-US" w:eastAsia="zh-CN"/>
        </w:rPr>
        <w:t>2、</w:t>
      </w:r>
      <w:r>
        <w:rPr>
          <w:rFonts w:hint="eastAsia" w:ascii="宋体" w:hAnsi="宋体" w:eastAsia="宋体" w:cs="宋体"/>
          <w:b w:val="0"/>
          <w:bCs/>
          <w:color w:val="auto"/>
          <w:sz w:val="22"/>
          <w:szCs w:val="22"/>
          <w:highlight w:val="none"/>
          <w:u w:val="none"/>
        </w:rPr>
        <w:t>履约保证金的退取：</w:t>
      </w:r>
      <w:r>
        <w:rPr>
          <w:rFonts w:hint="eastAsia"/>
          <w:color w:val="auto"/>
          <w:sz w:val="22"/>
          <w:szCs w:val="22"/>
          <w:highlight w:val="none"/>
        </w:rPr>
        <w:t>在合同履约到期且无异议情况下30日内无息退还。如成交供应商原因造成合同中止，履约担保金不返还；如成交供应商不能按磋商承诺和合同要求履约，采购人将有权扣除相应甚至全部履约保证金。</w:t>
      </w:r>
    </w:p>
    <w:p>
      <w:pPr>
        <w:widowControl/>
        <w:snapToGrid w:val="0"/>
        <w:spacing w:line="480" w:lineRule="exact"/>
        <w:ind w:firstLine="442" w:firstLineChars="200"/>
        <w:rPr>
          <w:b w:val="0"/>
          <w:bCs/>
          <w:color w:val="auto"/>
          <w:sz w:val="24"/>
          <w:szCs w:val="21"/>
          <w:highlight w:val="none"/>
        </w:rPr>
      </w:pPr>
      <w:r>
        <w:rPr>
          <w:rFonts w:hint="eastAsia" w:ascii="宋体" w:hAnsi="宋体" w:cs="宋体"/>
          <w:b/>
          <w:bCs/>
          <w:color w:val="auto"/>
          <w:kern w:val="0"/>
          <w:sz w:val="22"/>
          <w:szCs w:val="18"/>
          <w:highlight w:val="none"/>
          <w:lang w:val="en-US" w:eastAsia="zh-CN"/>
        </w:rPr>
        <w:t>十一</w:t>
      </w:r>
      <w:r>
        <w:rPr>
          <w:rFonts w:hint="eastAsia" w:ascii="宋体" w:hAnsi="宋体" w:eastAsia="宋体" w:cs="宋体"/>
          <w:b/>
          <w:bCs/>
          <w:color w:val="auto"/>
          <w:kern w:val="0"/>
          <w:sz w:val="22"/>
          <w:szCs w:val="18"/>
          <w:highlight w:val="none"/>
        </w:rPr>
        <w:t>、</w:t>
      </w:r>
      <w:r>
        <w:rPr>
          <w:b/>
          <w:bCs w:val="0"/>
          <w:color w:val="auto"/>
          <w:sz w:val="22"/>
          <w:highlight w:val="none"/>
        </w:rPr>
        <w:t>付款方式</w:t>
      </w:r>
      <w:r>
        <w:rPr>
          <w:rFonts w:hint="eastAsia" w:ascii="宋体" w:hAnsi="宋体" w:eastAsia="宋体" w:cs="宋体"/>
          <w:b w:val="0"/>
          <w:bCs/>
          <w:color w:val="auto"/>
          <w:sz w:val="22"/>
          <w:szCs w:val="22"/>
          <w:highlight w:val="none"/>
        </w:rPr>
        <w:t>（须符合浙江省财政厅关于进一步发挥政府采购政策功能全力推动经济稳进提质的通知(浙财采监〔2022〕3号)相关规定）</w:t>
      </w:r>
      <w:r>
        <w:rPr>
          <w:b w:val="0"/>
          <w:bCs/>
          <w:color w:val="auto"/>
          <w:sz w:val="24"/>
          <w:szCs w:val="21"/>
          <w:highlight w:val="none"/>
        </w:rPr>
        <w:t>：</w:t>
      </w:r>
    </w:p>
    <w:p>
      <w:pPr>
        <w:keepNext w:val="0"/>
        <w:keepLines w:val="0"/>
        <w:pageBreakBefore w:val="0"/>
        <w:widowControl w:val="0"/>
        <w:shd w:val="clear"/>
        <w:kinsoku/>
        <w:wordWrap/>
        <w:overflowPunct/>
        <w:topLinePunct w:val="0"/>
        <w:autoSpaceDE/>
        <w:autoSpaceDN/>
        <w:bidi w:val="0"/>
        <w:adjustRightInd/>
        <w:spacing w:line="440" w:lineRule="exact"/>
        <w:ind w:right="136" w:firstLine="454"/>
        <w:textAlignment w:val="auto"/>
        <w:rPr>
          <w:rFonts w:hint="eastAsia" w:ascii="宋体" w:hAnsi="宋体" w:eastAsia="宋体" w:cs="宋体"/>
          <w:b w:val="0"/>
          <w:bCs w:val="0"/>
          <w:color w:val="auto"/>
          <w:sz w:val="22"/>
          <w:szCs w:val="22"/>
          <w:highlight w:val="none"/>
          <w:u w:val="single"/>
          <w:lang w:val="en-US" w:eastAsia="zh-CN"/>
        </w:rPr>
      </w:pPr>
      <w:r>
        <w:rPr>
          <w:rFonts w:hint="eastAsia"/>
          <w:color w:val="auto"/>
          <w:sz w:val="22"/>
          <w:szCs w:val="22"/>
          <w:highlight w:val="none"/>
          <w:lang w:val="en-US" w:eastAsia="zh-CN"/>
        </w:rPr>
        <w:t>1、</w:t>
      </w:r>
      <w:r>
        <w:rPr>
          <w:rFonts w:hint="eastAsia"/>
          <w:color w:val="auto"/>
          <w:sz w:val="22"/>
          <w:szCs w:val="22"/>
          <w:highlight w:val="none"/>
        </w:rPr>
        <w:t>预付款：</w:t>
      </w:r>
      <w:r>
        <w:rPr>
          <w:rFonts w:hint="eastAsia" w:ascii="宋体" w:hAnsi="宋体" w:cs="宋体"/>
          <w:b w:val="0"/>
          <w:bCs w:val="0"/>
          <w:color w:val="auto"/>
          <w:sz w:val="22"/>
          <w:szCs w:val="22"/>
          <w:highlight w:val="none"/>
        </w:rPr>
        <w:t>合同签订、</w:t>
      </w:r>
      <w:r>
        <w:rPr>
          <w:rFonts w:hint="eastAsia" w:ascii="宋体" w:hAnsi="宋体" w:cs="宋体"/>
          <w:b w:val="0"/>
          <w:bCs w:val="0"/>
          <w:color w:val="auto"/>
          <w:sz w:val="22"/>
          <w:szCs w:val="22"/>
          <w:highlight w:val="none"/>
          <w:lang w:eastAsia="zh-CN"/>
        </w:rPr>
        <w:t>中标（成交）供应商</w:t>
      </w:r>
      <w:r>
        <w:rPr>
          <w:rFonts w:hint="eastAsia" w:ascii="宋体" w:hAnsi="宋体" w:cs="宋体"/>
          <w:b w:val="0"/>
          <w:bCs w:val="0"/>
          <w:color w:val="auto"/>
          <w:sz w:val="22"/>
          <w:szCs w:val="22"/>
          <w:highlight w:val="none"/>
        </w:rPr>
        <w:t>递交履约保证金后7个工作日内，且中标单位进场且具备实施条件后采购人向中标单位支付预付款，预付款条款为：预付款为合同价的40%。</w:t>
      </w:r>
      <w:r>
        <w:rPr>
          <w:rFonts w:hint="eastAsia" w:ascii="宋体" w:hAnsi="宋体" w:cs="宋体"/>
          <w:b w:val="0"/>
          <w:bCs w:val="0"/>
          <w:color w:val="auto"/>
          <w:sz w:val="22"/>
          <w:szCs w:val="22"/>
          <w:highlight w:val="none"/>
          <w:u w:val="single"/>
        </w:rPr>
        <w:t>（根据浙财采监[2022]3号文件，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lang w:val="en-US" w:eastAsia="zh-CN"/>
        </w:rPr>
        <w:t>2、当完成本次采购项目所有内容（若有减少数量则按实际采购需求数量）并通过采购人和主管部门验收合格再付合同价40%（即付至合同价的80%），经第三方机构结算审核后付至结算金额的100%</w:t>
      </w:r>
      <w:r>
        <w:rPr>
          <w:rFonts w:hint="eastAsia"/>
          <w:color w:val="auto"/>
          <w:sz w:val="22"/>
          <w:szCs w:val="22"/>
          <w:highlight w:val="none"/>
          <w:lang w:eastAsia="zh-CN"/>
        </w:rPr>
        <w:t>，</w:t>
      </w:r>
      <w:r>
        <w:rPr>
          <w:rFonts w:hint="eastAsia"/>
          <w:color w:val="auto"/>
          <w:sz w:val="22"/>
          <w:szCs w:val="22"/>
          <w:highlight w:val="none"/>
        </w:rPr>
        <w:t>并且无息退还履约保证金</w:t>
      </w:r>
      <w:r>
        <w:rPr>
          <w:rFonts w:hint="eastAsia"/>
          <w:color w:val="auto"/>
          <w:sz w:val="22"/>
          <w:szCs w:val="22"/>
          <w:highlight w:val="none"/>
          <w:lang w:eastAsia="zh-CN"/>
        </w:rPr>
        <w:t>。</w:t>
      </w:r>
    </w:p>
    <w:p>
      <w:pPr>
        <w:shd w:val="clear"/>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每阶段付款前，中标供应商需向采购人提供收款金额等额的发票。</w:t>
      </w:r>
    </w:p>
    <w:p>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b/>
          <w:bCs/>
          <w:color w:val="auto"/>
          <w:sz w:val="22"/>
          <w:szCs w:val="22"/>
          <w:highlight w:val="none"/>
          <w:lang w:val="en-US" w:eastAsia="zh-CN"/>
        </w:rPr>
      </w:pPr>
      <w:r>
        <w:rPr>
          <w:rFonts w:hint="eastAsia" w:ascii="宋体" w:hAnsi="宋体" w:eastAsia="宋体" w:cs="宋体"/>
          <w:b/>
          <w:bCs/>
          <w:color w:val="auto"/>
          <w:kern w:val="0"/>
          <w:sz w:val="22"/>
          <w:szCs w:val="18"/>
          <w:highlight w:val="none"/>
          <w:lang w:val="en-US" w:eastAsia="zh-CN"/>
        </w:rPr>
        <w:t>十</w:t>
      </w:r>
      <w:r>
        <w:rPr>
          <w:rFonts w:hint="eastAsia" w:ascii="宋体" w:hAnsi="宋体" w:cs="宋体"/>
          <w:b/>
          <w:bCs/>
          <w:color w:val="auto"/>
          <w:kern w:val="0"/>
          <w:sz w:val="22"/>
          <w:szCs w:val="18"/>
          <w:highlight w:val="none"/>
          <w:lang w:val="en-US" w:eastAsia="zh-CN"/>
        </w:rPr>
        <w:t>二</w:t>
      </w:r>
      <w:r>
        <w:rPr>
          <w:rFonts w:hint="eastAsia" w:ascii="宋体" w:hAnsi="宋体" w:eastAsia="宋体" w:cs="宋体"/>
          <w:b/>
          <w:bCs/>
          <w:color w:val="auto"/>
          <w:kern w:val="0"/>
          <w:sz w:val="22"/>
          <w:szCs w:val="18"/>
          <w:highlight w:val="none"/>
        </w:rPr>
        <w:t>、</w:t>
      </w:r>
      <w:r>
        <w:rPr>
          <w:rFonts w:hint="eastAsia"/>
          <w:b/>
          <w:bCs/>
          <w:color w:val="auto"/>
          <w:sz w:val="22"/>
          <w:szCs w:val="22"/>
          <w:highlight w:val="none"/>
          <w:lang w:val="en-US" w:eastAsia="zh-CN"/>
        </w:rPr>
        <w:t>其他要求</w:t>
      </w:r>
    </w:p>
    <w:p>
      <w:pPr>
        <w:spacing w:line="360" w:lineRule="auto"/>
        <w:ind w:firstLine="440" w:firstLineChars="200"/>
        <w:rPr>
          <w:rFonts w:ascii="宋体"/>
          <w:bCs/>
          <w:color w:val="auto"/>
          <w:sz w:val="22"/>
          <w:szCs w:val="22"/>
          <w:highlight w:val="none"/>
        </w:rPr>
      </w:pPr>
      <w:r>
        <w:rPr>
          <w:rFonts w:ascii="宋体" w:hAnsi="宋体"/>
          <w:bCs/>
          <w:color w:val="auto"/>
          <w:sz w:val="22"/>
          <w:szCs w:val="22"/>
          <w:highlight w:val="none"/>
        </w:rPr>
        <w:t>1</w:t>
      </w:r>
      <w:r>
        <w:rPr>
          <w:rFonts w:hint="eastAsia" w:ascii="宋体" w:hAnsi="宋体"/>
          <w:bCs/>
          <w:color w:val="auto"/>
          <w:sz w:val="22"/>
          <w:szCs w:val="22"/>
          <w:highlight w:val="none"/>
          <w:lang w:eastAsia="zh-CN"/>
        </w:rPr>
        <w:t>、中标（成交）供应商</w:t>
      </w:r>
      <w:r>
        <w:rPr>
          <w:rFonts w:hint="eastAsia" w:ascii="宋体" w:hAnsi="宋体"/>
          <w:bCs/>
          <w:color w:val="auto"/>
          <w:sz w:val="22"/>
          <w:szCs w:val="22"/>
          <w:highlight w:val="none"/>
        </w:rPr>
        <w:t>提供的</w:t>
      </w:r>
      <w:r>
        <w:rPr>
          <w:rFonts w:hint="eastAsia" w:ascii="宋体" w:hAnsi="宋体"/>
          <w:bCs/>
          <w:color w:val="auto"/>
          <w:sz w:val="22"/>
          <w:szCs w:val="22"/>
          <w:highlight w:val="none"/>
          <w:lang w:val="en-US" w:eastAsia="zh-CN"/>
        </w:rPr>
        <w:t>各项供货产品</w:t>
      </w:r>
      <w:r>
        <w:rPr>
          <w:rFonts w:hint="eastAsia" w:ascii="宋体" w:hAnsi="宋体"/>
          <w:bCs/>
          <w:color w:val="auto"/>
          <w:sz w:val="22"/>
          <w:szCs w:val="22"/>
          <w:highlight w:val="none"/>
        </w:rPr>
        <w:t>必须具有可靠的质量保证、安全措施。</w:t>
      </w:r>
    </w:p>
    <w:p>
      <w:pPr>
        <w:spacing w:line="360" w:lineRule="auto"/>
        <w:ind w:firstLine="440" w:firstLineChars="200"/>
        <w:rPr>
          <w:rFonts w:hint="eastAsia" w:ascii="宋体" w:hAnsi="宋体"/>
          <w:bCs/>
          <w:color w:val="auto"/>
          <w:sz w:val="22"/>
          <w:szCs w:val="22"/>
          <w:highlight w:val="none"/>
          <w:lang w:eastAsia="zh-CN"/>
        </w:rPr>
      </w:pPr>
      <w:r>
        <w:rPr>
          <w:rFonts w:hint="eastAsia" w:ascii="宋体" w:hAnsi="宋体"/>
          <w:bCs/>
          <w:color w:val="auto"/>
          <w:sz w:val="22"/>
          <w:szCs w:val="22"/>
          <w:highlight w:val="none"/>
        </w:rPr>
        <w:t>2</w:t>
      </w:r>
      <w:r>
        <w:rPr>
          <w:rFonts w:hint="eastAsia" w:ascii="宋体" w:hAnsi="宋体"/>
          <w:bCs/>
          <w:color w:val="auto"/>
          <w:sz w:val="22"/>
          <w:szCs w:val="22"/>
          <w:highlight w:val="none"/>
          <w:lang w:eastAsia="zh-CN"/>
        </w:rPr>
        <w:t>、因各项供货产品供货、保存、施用等方面原因引起的安全生产事故；影响工作人员人身健康的；均由中标(成交)供应商承担一切责任。</w:t>
      </w:r>
    </w:p>
    <w:p>
      <w:pPr>
        <w:spacing w:line="360" w:lineRule="auto"/>
        <w:ind w:firstLine="440" w:firstLineChars="200"/>
        <w:rPr>
          <w:rFonts w:hint="eastAsia" w:ascii="宋体" w:hAnsi="宋体"/>
          <w:bCs/>
          <w:color w:val="auto"/>
          <w:sz w:val="22"/>
          <w:szCs w:val="22"/>
          <w:highlight w:val="none"/>
          <w:lang w:eastAsia="zh-CN"/>
        </w:rPr>
      </w:pPr>
      <w:r>
        <w:rPr>
          <w:rFonts w:hint="eastAsia" w:ascii="宋体" w:hAnsi="宋体"/>
          <w:bCs/>
          <w:color w:val="auto"/>
          <w:sz w:val="22"/>
          <w:szCs w:val="22"/>
          <w:highlight w:val="none"/>
        </w:rPr>
        <w:t>3</w:t>
      </w:r>
      <w:r>
        <w:rPr>
          <w:rFonts w:hint="eastAsia" w:ascii="宋体" w:hAnsi="宋体"/>
          <w:bCs/>
          <w:color w:val="auto"/>
          <w:sz w:val="22"/>
          <w:szCs w:val="22"/>
          <w:highlight w:val="none"/>
          <w:lang w:eastAsia="zh-CN"/>
        </w:rPr>
        <w:t>、如在土壤改良培肥过程中发生质量问题，中标（成交）供应商在接到采购人通知后 24 小时内到达现场。</w:t>
      </w:r>
    </w:p>
    <w:p>
      <w:pPr>
        <w:spacing w:line="360" w:lineRule="auto"/>
        <w:ind w:firstLine="440" w:firstLineChars="200"/>
        <w:rPr>
          <w:color w:val="auto"/>
          <w:sz w:val="22"/>
          <w:szCs w:val="22"/>
          <w:highlight w:val="none"/>
        </w:rPr>
      </w:pPr>
      <w:r>
        <w:rPr>
          <w:rFonts w:hint="eastAsia" w:ascii="宋体" w:hAnsi="宋体"/>
          <w:bCs/>
          <w:color w:val="auto"/>
          <w:sz w:val="22"/>
          <w:szCs w:val="22"/>
          <w:highlight w:val="none"/>
          <w:lang w:val="en-US" w:eastAsia="zh-CN"/>
        </w:rPr>
        <w:t>4、</w:t>
      </w:r>
      <w:r>
        <w:rPr>
          <w:rFonts w:hint="eastAsia" w:ascii="宋体" w:hAnsi="宋体"/>
          <w:bCs/>
          <w:color w:val="auto"/>
          <w:sz w:val="22"/>
          <w:szCs w:val="22"/>
          <w:highlight w:val="none"/>
        </w:rPr>
        <w:t>中标之后，如发现投标文件内容有不一致，应以有利于采购人原则为准。</w:t>
      </w:r>
    </w:p>
    <w:p>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cs="宋体"/>
          <w:b/>
          <w:bCs/>
          <w:color w:val="auto"/>
          <w:kern w:val="0"/>
          <w:sz w:val="22"/>
          <w:szCs w:val="18"/>
          <w:highlight w:val="none"/>
          <w:lang w:val="en-US" w:eastAsia="zh-CN"/>
        </w:rPr>
        <w:t>十三、</w:t>
      </w:r>
      <w:r>
        <w:rPr>
          <w:rFonts w:hint="eastAsia" w:ascii="宋体" w:hAnsi="宋体" w:eastAsia="宋体" w:cs="宋体"/>
          <w:b/>
          <w:bCs/>
          <w:color w:val="auto"/>
          <w:kern w:val="0"/>
          <w:sz w:val="22"/>
          <w:szCs w:val="18"/>
          <w:highlight w:val="none"/>
        </w:rPr>
        <w:t>税费</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本合同执行中相关的一切税费均由乙方负担。</w:t>
      </w:r>
    </w:p>
    <w:p>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cs="宋体"/>
          <w:b/>
          <w:bCs/>
          <w:color w:val="auto"/>
          <w:kern w:val="0"/>
          <w:sz w:val="22"/>
          <w:szCs w:val="18"/>
          <w:highlight w:val="none"/>
          <w:lang w:val="en-US" w:eastAsia="zh-CN"/>
        </w:rPr>
        <w:t>四</w:t>
      </w:r>
      <w:r>
        <w:rPr>
          <w:rFonts w:hint="eastAsia" w:ascii="宋体" w:hAnsi="宋体" w:eastAsia="宋体" w:cs="宋体"/>
          <w:b/>
          <w:bCs/>
          <w:color w:val="auto"/>
          <w:kern w:val="0"/>
          <w:sz w:val="22"/>
          <w:szCs w:val="18"/>
          <w:highlight w:val="none"/>
        </w:rPr>
        <w:t>、违约责任</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1.甲方无正当理由拒绝验收项目的，甲方向乙方偿付拒收合同总价的百分之五违约金。</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2.甲方无故逾期验收和办理合同款项支付手续的,甲方应按逾期付款总额每日万分之五向乙方支付违约金。</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4.乙方所履行的服务质量或服务数量不符合合同规定及采购文件规定的，甲方有权中止接受服务，单方面解除合同，且相关损失由乙方承担。</w:t>
      </w:r>
    </w:p>
    <w:p>
      <w:pPr>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、本项目有下列情形的，采购人有权终止合同：</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（一）合同生效：本合同自</w:t>
      </w:r>
      <w:r>
        <w:rPr>
          <w:rFonts w:hint="eastAsia" w:ascii="宋体" w:hAnsi="宋体" w:eastAsia="宋体" w:cs="宋体"/>
          <w:color w:val="auto"/>
          <w:sz w:val="22"/>
          <w:szCs w:val="22"/>
          <w:highlight w:val="none"/>
          <w:lang w:eastAsia="zh-CN"/>
        </w:rPr>
        <w:t>采购人和中标供应商</w:t>
      </w:r>
      <w:r>
        <w:rPr>
          <w:rFonts w:hint="eastAsia" w:ascii="宋体" w:hAnsi="宋体" w:eastAsia="宋体" w:cs="宋体"/>
          <w:color w:val="auto"/>
          <w:sz w:val="22"/>
          <w:szCs w:val="22"/>
          <w:highlight w:val="none"/>
        </w:rPr>
        <w:t>双方法定代表人签字、盖章之日起生效。</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（二）合同终止：本项目有下列情形的，采购人有权终止合同：</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1）本项目遇不可抗力影响或法律、法规、国家政策重大调整影响合同无法执行的；</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2）中标供应商对监管人员，考核成员有行贿或其它利益输送行为的。</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3）按相关法律、法规、招标文件规定及考核办法，有下列情形之一的，采购人有权终止合同：</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合同期内</w:t>
      </w:r>
      <w:r>
        <w:rPr>
          <w:rFonts w:hint="eastAsia" w:ascii="宋体" w:hAnsi="宋体" w:eastAsia="宋体" w:cs="宋体"/>
          <w:color w:val="auto"/>
          <w:sz w:val="22"/>
          <w:szCs w:val="22"/>
          <w:highlight w:val="none"/>
        </w:rPr>
        <w:t>有两次被严重警告或三次被警告（含一次严重警告，两次警告）的承包单位，采购人有权无责任终止采购合同；</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累计</w:t>
      </w:r>
      <w:r>
        <w:rPr>
          <w:rFonts w:hint="eastAsia" w:ascii="宋体" w:hAnsi="宋体" w:eastAsia="宋体" w:cs="宋体"/>
          <w:color w:val="auto"/>
          <w:sz w:val="22"/>
          <w:szCs w:val="22"/>
          <w:highlight w:val="none"/>
        </w:rPr>
        <w:t>二次平均考核得分率低于75%（不含）的，采购人有权无责任终止采购合同；</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（3）经有关部门认定严重违反劳动法，造成恶劣影响的；或其它因违法经营受到刑事处罚或者责令停产停业、吊销许可证或者执照、较大数额罚款等行政处罚的；</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（4）其它弄虚作假及其他不正当行为； </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（5）合同履约期间，中标供应商法人组织破产，或重组变更法人主体的；</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（6）根据</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文件及合同约定，其它终止合同的规定，其它法律规定的终止情形；</w:t>
      </w:r>
    </w:p>
    <w:p>
      <w:pPr>
        <w:snapToGrid w:val="0"/>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b/>
          <w:color w:val="auto"/>
          <w:sz w:val="22"/>
          <w:szCs w:val="22"/>
          <w:highlight w:val="none"/>
        </w:rPr>
        <w:t>由于中标供应商原因造成采购人经济损失的，所造成的损失由中标供应商承担；同时采购人有权终止合同。</w:t>
      </w:r>
    </w:p>
    <w:p>
      <w:pPr>
        <w:snapToGrid w:val="0"/>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附件：《考核评分细则》（采购人可根据项目实际进行调整）</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5"/>
        <w:gridCol w:w="1387"/>
        <w:gridCol w:w="133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73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70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679"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1、是否在约定的时间内完成采购人指派的任务</w:t>
            </w:r>
          </w:p>
        </w:tc>
        <w:tc>
          <w:tcPr>
            <w:tcW w:w="73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708" w:type="pct"/>
            <w:noWrap w:val="0"/>
            <w:vAlign w:val="top"/>
          </w:tcPr>
          <w:p>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pPr>
              <w:spacing w:line="360" w:lineRule="exact"/>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noWrap w:val="0"/>
            <w:vAlign w:val="top"/>
          </w:tcPr>
          <w:p>
            <w:pPr>
              <w:spacing w:line="360" w:lineRule="exact"/>
              <w:outlineLvl w:val="0"/>
              <w:rPr>
                <w:rFonts w:hint="eastAsia" w:ascii="宋体" w:hAnsi="宋体" w:eastAsia="宋体" w:cs="宋体"/>
                <w:color w:val="auto"/>
                <w:sz w:val="22"/>
                <w:szCs w:val="22"/>
                <w:highlight w:val="none"/>
              </w:rPr>
            </w:pPr>
            <w:r>
              <w:rPr>
                <w:rFonts w:hint="eastAsia"/>
                <w:color w:val="auto"/>
                <w:sz w:val="22"/>
                <w:szCs w:val="22"/>
                <w:highlight w:val="none"/>
              </w:rPr>
              <w:t>2、是否有固定人员负责对接</w:t>
            </w:r>
            <w:r>
              <w:rPr>
                <w:rFonts w:hint="eastAsia"/>
                <w:color w:val="auto"/>
                <w:sz w:val="22"/>
                <w:szCs w:val="22"/>
                <w:highlight w:val="none"/>
                <w:lang w:val="en-US" w:eastAsia="zh-CN"/>
              </w:rPr>
              <w:t>土壤改良培肥措施</w:t>
            </w:r>
            <w:r>
              <w:rPr>
                <w:rFonts w:hint="eastAsia"/>
                <w:color w:val="auto"/>
                <w:sz w:val="22"/>
                <w:szCs w:val="22"/>
                <w:highlight w:val="none"/>
              </w:rPr>
              <w:t>任务</w:t>
            </w:r>
          </w:p>
        </w:tc>
        <w:tc>
          <w:tcPr>
            <w:tcW w:w="73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pPr>
              <w:spacing w:line="360" w:lineRule="exact"/>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noWrap w:val="0"/>
            <w:vAlign w:val="top"/>
          </w:tcPr>
          <w:p>
            <w:pPr>
              <w:spacing w:line="360" w:lineRule="exact"/>
              <w:outlineLvl w:val="0"/>
              <w:rPr>
                <w:rFonts w:hint="eastAsia" w:ascii="宋体" w:hAnsi="宋体" w:eastAsia="宋体" w:cs="宋体"/>
                <w:color w:val="auto"/>
                <w:sz w:val="22"/>
                <w:szCs w:val="22"/>
                <w:highlight w:val="none"/>
              </w:rPr>
            </w:pPr>
            <w:r>
              <w:rPr>
                <w:rFonts w:hint="eastAsia"/>
                <w:color w:val="auto"/>
                <w:sz w:val="22"/>
                <w:szCs w:val="22"/>
                <w:highlight w:val="none"/>
              </w:rPr>
              <w:t>3、是否存在安全隐患</w:t>
            </w:r>
          </w:p>
        </w:tc>
        <w:tc>
          <w:tcPr>
            <w:tcW w:w="73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08" w:type="pct"/>
            <w:noWrap w:val="0"/>
            <w:vAlign w:val="top"/>
          </w:tcPr>
          <w:p>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pPr>
              <w:spacing w:line="360" w:lineRule="exact"/>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noWrap w:val="0"/>
            <w:vAlign w:val="top"/>
          </w:tcPr>
          <w:p>
            <w:pPr>
              <w:spacing w:line="360" w:lineRule="exact"/>
              <w:outlineLvl w:val="0"/>
              <w:rPr>
                <w:rFonts w:hint="eastAsia" w:ascii="宋体" w:hAnsi="宋体" w:eastAsia="宋体" w:cs="宋体"/>
                <w:color w:val="auto"/>
                <w:sz w:val="22"/>
                <w:szCs w:val="22"/>
                <w:highlight w:val="none"/>
              </w:rPr>
            </w:pPr>
            <w:r>
              <w:rPr>
                <w:rFonts w:hint="eastAsia"/>
                <w:color w:val="auto"/>
                <w:sz w:val="22"/>
                <w:szCs w:val="22"/>
                <w:highlight w:val="none"/>
              </w:rPr>
              <w:t>4、过程中发现重大问题是否及时进行沟通</w:t>
            </w:r>
          </w:p>
        </w:tc>
        <w:tc>
          <w:tcPr>
            <w:tcW w:w="73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08" w:type="pct"/>
            <w:noWrap w:val="0"/>
            <w:vAlign w:val="top"/>
          </w:tcPr>
          <w:p>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pPr>
              <w:spacing w:line="360" w:lineRule="exact"/>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noWrap w:val="0"/>
            <w:vAlign w:val="top"/>
          </w:tcPr>
          <w:p>
            <w:pPr>
              <w:spacing w:line="360" w:lineRule="exact"/>
              <w:outlineLvl w:val="0"/>
              <w:rPr>
                <w:rFonts w:hint="eastAsia" w:ascii="宋体" w:hAnsi="宋体" w:eastAsia="宋体" w:cs="宋体"/>
                <w:color w:val="auto"/>
                <w:sz w:val="22"/>
                <w:szCs w:val="22"/>
                <w:highlight w:val="none"/>
              </w:rPr>
            </w:pPr>
            <w:r>
              <w:rPr>
                <w:rFonts w:hint="eastAsia"/>
                <w:color w:val="auto"/>
                <w:sz w:val="22"/>
                <w:szCs w:val="22"/>
                <w:highlight w:val="none"/>
              </w:rPr>
              <w:t>5、</w:t>
            </w:r>
            <w:r>
              <w:rPr>
                <w:rFonts w:hint="eastAsia"/>
                <w:color w:val="auto"/>
                <w:sz w:val="22"/>
                <w:szCs w:val="22"/>
                <w:highlight w:val="none"/>
                <w:lang w:val="en-US" w:eastAsia="zh-CN"/>
              </w:rPr>
              <w:t>验收后，相应地块土壤各项指标是否达到采购文件规定的应达到规定的提升标准</w:t>
            </w:r>
          </w:p>
        </w:tc>
        <w:tc>
          <w:tcPr>
            <w:tcW w:w="73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center"/>
          </w:tcPr>
          <w:p>
            <w:pPr>
              <w:spacing w:line="360" w:lineRule="exact"/>
              <w:outlineLvl w:val="0"/>
              <w:rPr>
                <w:rFonts w:hint="eastAsia" w:ascii="宋体" w:hAnsi="宋体" w:eastAsia="宋体" w:cs="宋体"/>
                <w:color w:val="auto"/>
                <w:sz w:val="22"/>
                <w:szCs w:val="22"/>
                <w:highlight w:val="none"/>
              </w:rPr>
            </w:pPr>
          </w:p>
        </w:tc>
        <w:tc>
          <w:tcPr>
            <w:tcW w:w="679" w:type="pct"/>
            <w:noWrap w:val="0"/>
            <w:vAlign w:val="center"/>
          </w:tcPr>
          <w:p>
            <w:pPr>
              <w:spacing w:line="360" w:lineRule="exact"/>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noWrap w:val="0"/>
            <w:vAlign w:val="top"/>
          </w:tcPr>
          <w:p>
            <w:pPr>
              <w:spacing w:line="360" w:lineRule="exact"/>
              <w:outlineLvl w:val="0"/>
              <w:rPr>
                <w:rFonts w:hint="eastAsia" w:ascii="宋体" w:hAnsi="宋体" w:eastAsia="宋体" w:cs="宋体"/>
                <w:color w:val="auto"/>
                <w:sz w:val="22"/>
                <w:szCs w:val="22"/>
                <w:highlight w:val="none"/>
              </w:rPr>
            </w:pPr>
            <w:r>
              <w:rPr>
                <w:rFonts w:hint="eastAsia"/>
                <w:color w:val="auto"/>
                <w:sz w:val="22"/>
                <w:szCs w:val="22"/>
                <w:highlight w:val="none"/>
              </w:rPr>
              <w:t>6、是否按</w:t>
            </w:r>
            <w:r>
              <w:rPr>
                <w:rFonts w:hint="eastAsia"/>
                <w:color w:val="auto"/>
                <w:sz w:val="22"/>
                <w:szCs w:val="22"/>
                <w:highlight w:val="none"/>
                <w:lang w:val="en-US" w:eastAsia="zh-CN"/>
              </w:rPr>
              <w:t>采购文件</w:t>
            </w:r>
            <w:r>
              <w:rPr>
                <w:rFonts w:hint="eastAsia"/>
                <w:color w:val="auto"/>
                <w:sz w:val="22"/>
                <w:szCs w:val="22"/>
                <w:highlight w:val="none"/>
              </w:rPr>
              <w:t>有关规定执行</w:t>
            </w:r>
          </w:p>
        </w:tc>
        <w:tc>
          <w:tcPr>
            <w:tcW w:w="73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pPr>
              <w:spacing w:line="360" w:lineRule="exact"/>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7、响应文件中承诺的相关内容是否到位</w:t>
            </w:r>
          </w:p>
        </w:tc>
        <w:tc>
          <w:tcPr>
            <w:tcW w:w="73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pPr>
              <w:spacing w:line="360" w:lineRule="exact"/>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w:t>
            </w:r>
            <w:r>
              <w:rPr>
                <w:rFonts w:hint="eastAsia" w:ascii="宋体" w:hAnsi="宋体" w:cs="宋体"/>
                <w:color w:val="auto"/>
                <w:sz w:val="22"/>
                <w:szCs w:val="22"/>
                <w:highlight w:val="none"/>
                <w:lang w:eastAsia="zh-CN"/>
              </w:rPr>
              <w:t>是否配合相关部门管理、监督、举证</w:t>
            </w:r>
          </w:p>
        </w:tc>
        <w:tc>
          <w:tcPr>
            <w:tcW w:w="738" w:type="pct"/>
            <w:noWrap w:val="0"/>
            <w:vAlign w:val="center"/>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pPr>
              <w:spacing w:line="360" w:lineRule="exact"/>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738" w:type="pct"/>
            <w:noWrap w:val="0"/>
            <w:vAlign w:val="top"/>
          </w:tcPr>
          <w:p>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1387" w:type="pct"/>
            <w:gridSpan w:val="2"/>
            <w:noWrap w:val="0"/>
            <w:vAlign w:val="top"/>
          </w:tcPr>
          <w:p>
            <w:pPr>
              <w:spacing w:line="360" w:lineRule="exact"/>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5000" w:type="pct"/>
            <w:gridSpan w:val="4"/>
            <w:noWrap w:val="0"/>
            <w:vAlign w:val="top"/>
          </w:tcPr>
          <w:p>
            <w:pPr>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考核实施办法：</w:t>
            </w:r>
          </w:p>
          <w:p>
            <w:pPr>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1.每季度考核一次，考核满分100分。考核总得分≥80分，视为当次考核合格。考核总得分＜80分，每分扣200元，在款项支付中扣除；考核总得分＜75分，视为当次考核不合格。</w:t>
            </w:r>
          </w:p>
          <w:p>
            <w:pPr>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若在合同期内发生累计二次未按采购人要求及时完成，采购人有权单方面解除合同，不再支付剩余合同价款并没收其履约保证金。累计二次平均考核得分率低于75%（不含）的，采购人有权无责任终止采购合同，并不予退还履约保证金。</w:t>
            </w:r>
          </w:p>
          <w:p>
            <w:pPr>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3.因成交供应商原因（包括但不限于质量、安全、延误等原因），造成采购人损失的，由成交供应商承担相关责任，成交供应商违规罚款可达合同总金额的20%。</w:t>
            </w:r>
          </w:p>
        </w:tc>
      </w:tr>
    </w:tbl>
    <w:p>
      <w:pPr>
        <w:numPr>
          <w:ilvl w:val="0"/>
          <w:numId w:val="0"/>
        </w:numPr>
        <w:rPr>
          <w:rFonts w:hint="eastAsia" w:ascii="宋体" w:hAnsi="宋体" w:eastAsia="宋体" w:cs="宋体"/>
          <w:color w:val="auto"/>
          <w:sz w:val="20"/>
          <w:szCs w:val="18"/>
          <w:highlight w:val="none"/>
          <w:lang w:val="en-US" w:eastAsia="zh-CN"/>
        </w:rPr>
      </w:pPr>
    </w:p>
    <w:p>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cs="宋体"/>
          <w:b/>
          <w:bCs/>
          <w:color w:val="auto"/>
          <w:kern w:val="0"/>
          <w:sz w:val="22"/>
          <w:szCs w:val="18"/>
          <w:highlight w:val="none"/>
          <w:lang w:val="en-US" w:eastAsia="zh-CN"/>
        </w:rPr>
        <w:t>五</w:t>
      </w:r>
      <w:r>
        <w:rPr>
          <w:rFonts w:hint="eastAsia" w:ascii="宋体" w:hAnsi="宋体" w:eastAsia="宋体" w:cs="宋体"/>
          <w:b/>
          <w:bCs/>
          <w:color w:val="auto"/>
          <w:kern w:val="0"/>
          <w:sz w:val="22"/>
          <w:szCs w:val="18"/>
          <w:highlight w:val="none"/>
        </w:rPr>
        <w:t>、不可抗力事件处理</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1.在合同有效期内，任何一方因不可抗力事件导致不能履行合同，则合同履行期可延长，其延长期与不可抗力影响期相同。</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2.不可抗力事件发生后，应立即通知对方，并寄送有关权威机构出具的证明。</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3.不可抗力事件延续120天以上，双方应通过友好协商，确定是否继续履行合同。</w:t>
      </w:r>
    </w:p>
    <w:p>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cs="宋体"/>
          <w:b/>
          <w:bCs/>
          <w:color w:val="auto"/>
          <w:kern w:val="0"/>
          <w:sz w:val="22"/>
          <w:szCs w:val="18"/>
          <w:highlight w:val="none"/>
          <w:lang w:val="en-US" w:eastAsia="zh-CN"/>
        </w:rPr>
        <w:t>六</w:t>
      </w:r>
      <w:r>
        <w:rPr>
          <w:rFonts w:hint="eastAsia" w:ascii="宋体" w:hAnsi="宋体" w:eastAsia="宋体" w:cs="宋体"/>
          <w:b/>
          <w:bCs/>
          <w:color w:val="auto"/>
          <w:kern w:val="0"/>
          <w:sz w:val="22"/>
          <w:szCs w:val="18"/>
          <w:highlight w:val="none"/>
        </w:rPr>
        <w:t>、诉讼</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双方在执行合同中所发生的一切争议，应通过协商解决。如协商不成，可向甲方所在地法院起诉。</w:t>
      </w:r>
    </w:p>
    <w:p>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cs="宋体"/>
          <w:b/>
          <w:bCs/>
          <w:color w:val="auto"/>
          <w:kern w:val="0"/>
          <w:sz w:val="22"/>
          <w:szCs w:val="18"/>
          <w:highlight w:val="none"/>
          <w:lang w:val="en-US" w:eastAsia="zh-CN"/>
        </w:rPr>
        <w:t>七</w:t>
      </w:r>
      <w:r>
        <w:rPr>
          <w:rFonts w:hint="eastAsia" w:ascii="宋体" w:hAnsi="宋体" w:eastAsia="宋体" w:cs="宋体"/>
          <w:b/>
          <w:bCs/>
          <w:color w:val="auto"/>
          <w:kern w:val="0"/>
          <w:sz w:val="22"/>
          <w:szCs w:val="18"/>
          <w:highlight w:val="none"/>
        </w:rPr>
        <w:t>、合同生效及其他</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1.合同经甲、乙双方签名并加盖单位公章后生效。</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2.采购文件、投标文件与本合同具有同等法律效力。</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3.本合同未尽事宜，遵照《</w:t>
      </w:r>
      <w:r>
        <w:rPr>
          <w:rFonts w:hint="eastAsia" w:ascii="宋体" w:hAnsi="宋体" w:eastAsia="宋体" w:cs="宋体"/>
          <w:color w:val="auto"/>
          <w:kern w:val="0"/>
          <w:sz w:val="22"/>
          <w:szCs w:val="18"/>
          <w:highlight w:val="none"/>
          <w:lang w:val="en-US" w:eastAsia="zh-CN"/>
        </w:rPr>
        <w:t>中华人民共和国民法典</w:t>
      </w:r>
      <w:r>
        <w:rPr>
          <w:rFonts w:hint="eastAsia" w:ascii="宋体" w:hAnsi="宋体" w:eastAsia="宋体" w:cs="宋体"/>
          <w:color w:val="auto"/>
          <w:kern w:val="0"/>
          <w:sz w:val="22"/>
          <w:szCs w:val="18"/>
          <w:highlight w:val="none"/>
        </w:rPr>
        <w:t>》有关条文执行。</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4.本合同一式五份，具有同等法律效力，甲、乙双方各执二份，采购代理机构一份。</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甲方（盖章）：                                   </w:t>
      </w:r>
    </w:p>
    <w:p>
      <w:pPr>
        <w:widowControl/>
        <w:snapToGrid w:val="0"/>
        <w:spacing w:line="480" w:lineRule="exact"/>
        <w:ind w:firstLine="480" w:firstLineChars="200"/>
        <w:rPr>
          <w:rFonts w:hint="eastAsia"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地址：                                   </w:t>
      </w:r>
    </w:p>
    <w:p>
      <w:pPr>
        <w:widowControl/>
        <w:snapToGrid w:val="0"/>
        <w:spacing w:line="480" w:lineRule="exact"/>
        <w:ind w:firstLine="480" w:firstLineChars="200"/>
        <w:rPr>
          <w:rFonts w:hint="eastAsia" w:ascii="宋体" w:hAnsi="宋体" w:eastAsia="宋体" w:cs="宋体"/>
          <w:color w:val="auto"/>
          <w:kern w:val="0"/>
          <w:sz w:val="22"/>
          <w:szCs w:val="18"/>
          <w:highlight w:val="none"/>
        </w:rPr>
      </w:pPr>
      <w:r>
        <w:rPr>
          <w:rFonts w:ascii="宋体" w:hAnsi="宋体" w:eastAsia="宋体"/>
          <w:color w:val="auto"/>
          <w:sz w:val="24"/>
          <w:highlight w:val="none"/>
          <w:lang w:val="zh-CN"/>
        </w:rPr>
        <w:t xml:space="preserve"> </w:t>
      </w:r>
      <w:r>
        <w:rPr>
          <w:rFonts w:hint="eastAsia" w:ascii="宋体" w:hAnsi="宋体" w:eastAsia="宋体" w:cs="宋体"/>
          <w:color w:val="auto"/>
          <w:kern w:val="0"/>
          <w:sz w:val="22"/>
          <w:szCs w:val="18"/>
          <w:highlight w:val="none"/>
        </w:rPr>
        <w:t>法定（授权）代表人</w:t>
      </w:r>
      <w:r>
        <w:rPr>
          <w:rFonts w:hint="eastAsia" w:ascii="宋体" w:hAnsi="宋体" w:cs="宋体"/>
          <w:color w:val="auto"/>
          <w:kern w:val="0"/>
          <w:sz w:val="22"/>
          <w:szCs w:val="18"/>
          <w:highlight w:val="none"/>
          <w:lang w:eastAsia="zh-CN"/>
        </w:rPr>
        <w:t>（</w:t>
      </w:r>
      <w:r>
        <w:rPr>
          <w:rFonts w:hint="eastAsia" w:ascii="宋体" w:hAnsi="宋体" w:cs="宋体"/>
          <w:color w:val="auto"/>
          <w:kern w:val="0"/>
          <w:sz w:val="22"/>
          <w:szCs w:val="18"/>
          <w:highlight w:val="none"/>
          <w:lang w:val="en-US" w:eastAsia="zh-CN"/>
        </w:rPr>
        <w:t>签字或盖章</w:t>
      </w:r>
      <w:r>
        <w:rPr>
          <w:rFonts w:hint="eastAsia" w:ascii="宋体" w:hAnsi="宋体" w:cs="宋体"/>
          <w:color w:val="auto"/>
          <w:kern w:val="0"/>
          <w:sz w:val="22"/>
          <w:szCs w:val="18"/>
          <w:highlight w:val="none"/>
          <w:lang w:eastAsia="zh-CN"/>
        </w:rPr>
        <w:t>）</w:t>
      </w:r>
      <w:r>
        <w:rPr>
          <w:rFonts w:hint="eastAsia" w:ascii="宋体" w:hAnsi="宋体" w:eastAsia="宋体" w:cs="宋体"/>
          <w:color w:val="auto"/>
          <w:kern w:val="0"/>
          <w:sz w:val="22"/>
          <w:szCs w:val="18"/>
          <w:highlight w:val="none"/>
        </w:rPr>
        <w:t xml:space="preserve">：    </w:t>
      </w:r>
    </w:p>
    <w:p>
      <w:pPr>
        <w:widowControl/>
        <w:snapToGrid w:val="0"/>
        <w:spacing w:line="480" w:lineRule="exact"/>
        <w:ind w:firstLine="480" w:firstLineChars="200"/>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w:t>
      </w:r>
    </w:p>
    <w:p>
      <w:pPr>
        <w:widowControl/>
        <w:snapToGrid w:val="0"/>
        <w:spacing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sz w:val="22"/>
          <w:szCs w:val="22"/>
          <w:highlight w:val="none"/>
        </w:rPr>
        <w:t>帐    号：</w:t>
      </w:r>
      <w:r>
        <w:rPr>
          <w:rFonts w:hint="eastAsia" w:ascii="宋体" w:hAnsi="宋体" w:eastAsia="宋体" w:cs="宋体"/>
          <w:color w:val="auto"/>
          <w:kern w:val="0"/>
          <w:sz w:val="22"/>
          <w:szCs w:val="18"/>
          <w:highlight w:val="none"/>
        </w:rPr>
        <w:t xml:space="preserve">               </w:t>
      </w:r>
    </w:p>
    <w:p>
      <w:pPr>
        <w:widowControl/>
        <w:snapToGrid w:val="0"/>
        <w:spacing w:line="480" w:lineRule="exact"/>
        <w:ind w:firstLine="420" w:firstLineChars="200"/>
        <w:rPr>
          <w:rFonts w:hint="eastAsia" w:ascii="宋体" w:hAnsi="宋体" w:eastAsia="宋体" w:cs="宋体"/>
          <w:color w:val="auto"/>
          <w:kern w:val="0"/>
          <w:sz w:val="22"/>
          <w:szCs w:val="18"/>
          <w:highlight w:val="none"/>
        </w:rPr>
      </w:pPr>
      <w:r>
        <w:rPr>
          <w:rFonts w:hint="eastAsia"/>
          <w:color w:val="auto"/>
          <w:highlight w:val="none"/>
        </w:rPr>
        <w:t>签约</w:t>
      </w:r>
      <w:r>
        <w:rPr>
          <w:rFonts w:hint="eastAsia" w:ascii="宋体" w:hAnsi="宋体" w:eastAsia="宋体" w:cs="宋体"/>
          <w:color w:val="auto"/>
          <w:kern w:val="0"/>
          <w:sz w:val="22"/>
          <w:szCs w:val="18"/>
          <w:highlight w:val="none"/>
        </w:rPr>
        <w:t xml:space="preserve">日期：     年   月   日           </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p>
    <w:p>
      <w:pPr>
        <w:pStyle w:val="49"/>
        <w:rPr>
          <w:rFonts w:hint="eastAsia"/>
          <w:color w:val="auto"/>
          <w:highlight w:val="none"/>
        </w:rPr>
      </w:pP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乙方（盖章）：</w:t>
      </w:r>
    </w:p>
    <w:p>
      <w:pPr>
        <w:widowControl/>
        <w:snapToGrid w:val="0"/>
        <w:spacing w:line="480" w:lineRule="exact"/>
        <w:ind w:firstLine="480" w:firstLineChars="200"/>
        <w:rPr>
          <w:rFonts w:hint="eastAsia"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地址： </w:t>
      </w:r>
    </w:p>
    <w:p>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法定（授权）代表人</w:t>
      </w:r>
      <w:r>
        <w:rPr>
          <w:rFonts w:hint="eastAsia" w:ascii="宋体" w:hAnsi="宋体" w:cs="宋体"/>
          <w:color w:val="auto"/>
          <w:kern w:val="0"/>
          <w:sz w:val="22"/>
          <w:szCs w:val="18"/>
          <w:highlight w:val="none"/>
          <w:lang w:eastAsia="zh-CN"/>
        </w:rPr>
        <w:t>（</w:t>
      </w:r>
      <w:r>
        <w:rPr>
          <w:rFonts w:hint="eastAsia" w:ascii="宋体" w:hAnsi="宋体" w:cs="宋体"/>
          <w:color w:val="auto"/>
          <w:kern w:val="0"/>
          <w:sz w:val="22"/>
          <w:szCs w:val="18"/>
          <w:highlight w:val="none"/>
          <w:lang w:val="en-US" w:eastAsia="zh-CN"/>
        </w:rPr>
        <w:t>签字或盖章</w:t>
      </w:r>
      <w:r>
        <w:rPr>
          <w:rFonts w:hint="eastAsia" w:ascii="宋体" w:hAnsi="宋体" w:cs="宋体"/>
          <w:color w:val="auto"/>
          <w:kern w:val="0"/>
          <w:sz w:val="22"/>
          <w:szCs w:val="18"/>
          <w:highlight w:val="none"/>
          <w:lang w:eastAsia="zh-CN"/>
        </w:rPr>
        <w:t>）</w:t>
      </w:r>
      <w:r>
        <w:rPr>
          <w:rFonts w:hint="eastAsia" w:ascii="宋体" w:hAnsi="宋体" w:eastAsia="宋体" w:cs="宋体"/>
          <w:color w:val="auto"/>
          <w:kern w:val="0"/>
          <w:sz w:val="22"/>
          <w:szCs w:val="18"/>
          <w:highlight w:val="none"/>
        </w:rPr>
        <w:t>：：</w:t>
      </w:r>
    </w:p>
    <w:p>
      <w:pPr>
        <w:widowControl/>
        <w:snapToGrid w:val="0"/>
        <w:spacing w:line="480" w:lineRule="exact"/>
        <w:ind w:firstLine="480" w:firstLineChars="200"/>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w:t>
      </w:r>
    </w:p>
    <w:p>
      <w:pPr>
        <w:widowControl/>
        <w:snapToGrid w:val="0"/>
        <w:spacing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pPr>
        <w:pStyle w:val="49"/>
        <w:rPr>
          <w:rFonts w:hint="eastAsia" w:ascii="宋体" w:hAnsi="宋体" w:eastAsia="宋体" w:cs="宋体"/>
          <w:color w:val="auto"/>
          <w:sz w:val="22"/>
          <w:szCs w:val="22"/>
          <w:highlight w:val="none"/>
        </w:rPr>
      </w:pPr>
      <w:r>
        <w:rPr>
          <w:rFonts w:hint="eastAsia"/>
          <w:color w:val="auto"/>
          <w:highlight w:val="none"/>
          <w:lang w:val="en-US" w:eastAsia="zh-CN"/>
        </w:rPr>
        <w:t xml:space="preserve">    </w:t>
      </w:r>
      <w:r>
        <w:rPr>
          <w:rFonts w:hint="eastAsia" w:ascii="宋体" w:hAnsi="宋体" w:eastAsia="宋体" w:cs="宋体"/>
          <w:color w:val="auto"/>
          <w:sz w:val="22"/>
          <w:szCs w:val="22"/>
          <w:highlight w:val="none"/>
        </w:rPr>
        <w:t>帐    号：</w:t>
      </w:r>
    </w:p>
    <w:p>
      <w:pPr>
        <w:widowControl/>
        <w:snapToGrid w:val="0"/>
        <w:spacing w:line="480" w:lineRule="exact"/>
        <w:ind w:firstLine="420" w:firstLineChars="200"/>
        <w:rPr>
          <w:rFonts w:hint="eastAsia" w:ascii="宋体" w:hAnsi="宋体" w:eastAsia="宋体" w:cs="宋体"/>
          <w:color w:val="auto"/>
          <w:kern w:val="0"/>
          <w:sz w:val="22"/>
          <w:szCs w:val="18"/>
          <w:highlight w:val="none"/>
        </w:rPr>
      </w:pPr>
      <w:r>
        <w:rPr>
          <w:rFonts w:hint="eastAsia"/>
          <w:color w:val="auto"/>
          <w:highlight w:val="none"/>
        </w:rPr>
        <w:t>签约</w:t>
      </w:r>
      <w:r>
        <w:rPr>
          <w:rFonts w:hint="eastAsia" w:ascii="宋体" w:hAnsi="宋体" w:eastAsia="宋体" w:cs="宋体"/>
          <w:color w:val="auto"/>
          <w:kern w:val="0"/>
          <w:sz w:val="22"/>
          <w:szCs w:val="18"/>
          <w:highlight w:val="none"/>
        </w:rPr>
        <w:t>日期：      年   月   日</w:t>
      </w:r>
    </w:p>
    <w:p>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kern w:val="0"/>
          <w:sz w:val="22"/>
          <w:szCs w:val="22"/>
          <w:highlight w:val="none"/>
        </w:rPr>
      </w:pPr>
    </w:p>
    <w:p>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kern w:val="0"/>
          <w:sz w:val="22"/>
          <w:szCs w:val="22"/>
          <w:highlight w:val="none"/>
        </w:rPr>
      </w:pPr>
    </w:p>
    <w:p>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kern w:val="0"/>
          <w:sz w:val="22"/>
          <w:szCs w:val="22"/>
          <w:highlight w:val="none"/>
        </w:rPr>
      </w:pPr>
    </w:p>
    <w:p>
      <w:pPr>
        <w:keepNext w:val="0"/>
        <w:keepLines w:val="0"/>
        <w:pageBreakBefore w:val="0"/>
        <w:kinsoku/>
        <w:wordWrap/>
        <w:overflowPunct/>
        <w:topLinePunct w:val="0"/>
        <w:autoSpaceDE/>
        <w:autoSpaceDN/>
        <w:bidi w:val="0"/>
        <w:adjustRightInd/>
        <w:spacing w:line="360" w:lineRule="auto"/>
        <w:ind w:firstLine="602" w:firstLineChars="200"/>
        <w:textAlignment w:val="auto"/>
        <w:rPr>
          <w:rFonts w:hint="eastAsia" w:ascii="仿宋_GB2312" w:hAnsi="宋体" w:eastAsia="仿宋_GB2312"/>
          <w:b/>
          <w:bCs/>
          <w:color w:val="auto"/>
          <w:sz w:val="30"/>
          <w:szCs w:val="30"/>
          <w:highlight w:val="none"/>
          <w:lang w:val="en-US" w:eastAsia="zh-CN"/>
        </w:rPr>
        <w:sectPr>
          <w:pgSz w:w="11906" w:h="16838"/>
          <w:pgMar w:top="1304" w:right="1361" w:bottom="1304" w:left="1361" w:header="851" w:footer="851" w:gutter="0"/>
          <w:cols w:space="720" w:num="1"/>
          <w:titlePg/>
          <w:docGrid w:linePitch="312" w:charSpace="0"/>
        </w:sectPr>
      </w:pPr>
    </w:p>
    <w:p>
      <w:pPr>
        <w:pStyle w:val="2"/>
        <w:numPr>
          <w:ilvl w:val="0"/>
          <w:numId w:val="11"/>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w:t>
      </w:r>
      <w:r>
        <w:rPr>
          <w:rFonts w:hint="eastAsia" w:hAnsi="宋体" w:cs="宋体"/>
          <w:color w:val="auto"/>
          <w:sz w:val="36"/>
          <w:szCs w:val="36"/>
          <w:highlight w:val="none"/>
          <w:lang w:eastAsia="zh-CN"/>
        </w:rPr>
        <w:t>响应文件</w:t>
      </w:r>
      <w:r>
        <w:rPr>
          <w:rFonts w:hint="eastAsia" w:hAnsi="宋体" w:cs="宋体"/>
          <w:color w:val="auto"/>
          <w:sz w:val="36"/>
          <w:szCs w:val="36"/>
          <w:highlight w:val="none"/>
        </w:rPr>
        <w:t>格式</w:t>
      </w:r>
    </w:p>
    <w:p>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424" w:firstLineChars="151"/>
        <w:rPr>
          <w:rFonts w:hint="eastAsia" w:eastAsia="宋体"/>
          <w:b/>
          <w:color w:val="auto"/>
          <w:sz w:val="28"/>
          <w:szCs w:val="28"/>
          <w:highlight w:val="none"/>
          <w:u w:val="single"/>
          <w:lang w:eastAsia="zh-CN"/>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本章节未提供格式的，请各投标单位自行拟定格式，并加盖单位公章，否则视为未提供</w:t>
      </w:r>
      <w:r>
        <w:rPr>
          <w:rFonts w:hint="eastAsia"/>
          <w:b/>
          <w:color w:val="auto"/>
          <w:sz w:val="28"/>
          <w:szCs w:val="28"/>
          <w:highlight w:val="none"/>
          <w:u w:val="single"/>
          <w:lang w:eastAsia="zh-CN"/>
        </w:rPr>
        <w:t>。</w:t>
      </w:r>
    </w:p>
    <w:p>
      <w:pPr>
        <w:pStyle w:val="5"/>
        <w:rPr>
          <w:rFonts w:hint="eastAsia" w:ascii="宋体" w:hAnsi="宋体" w:cs="宋体"/>
          <w:color w:val="auto"/>
          <w:highlight w:val="none"/>
        </w:rPr>
      </w:pPr>
      <w:bookmarkStart w:id="5" w:name="_Toc30408914"/>
      <w:bookmarkStart w:id="6" w:name="_Toc24550049"/>
      <w:r>
        <w:rPr>
          <w:rFonts w:hint="eastAsia" w:ascii="宋体" w:hAnsi="宋体" w:cs="宋体"/>
          <w:color w:val="auto"/>
          <w:highlight w:val="none"/>
        </w:rPr>
        <w:br w:type="page"/>
      </w:r>
      <w:r>
        <w:rPr>
          <w:rFonts w:hint="eastAsia" w:ascii="宋体" w:hAnsi="宋体" w:cs="宋体"/>
          <w:color w:val="auto"/>
          <w:highlight w:val="none"/>
        </w:rPr>
        <w:t>一、“资格文件”格式</w:t>
      </w:r>
      <w:bookmarkEnd w:id="5"/>
      <w:bookmarkEnd w:id="6"/>
    </w:p>
    <w:p>
      <w:pPr>
        <w:pStyle w:val="6"/>
        <w:rPr>
          <w:rFonts w:hint="eastAsia" w:ascii="宋体" w:hAnsi="宋体" w:cs="宋体"/>
          <w:color w:val="auto"/>
          <w:highlight w:val="none"/>
        </w:rPr>
      </w:pPr>
      <w:r>
        <w:rPr>
          <w:rFonts w:hint="eastAsia" w:ascii="宋体" w:hAnsi="宋体" w:cs="宋体"/>
          <w:color w:val="auto"/>
          <w:highlight w:val="none"/>
        </w:rPr>
        <w:t>1.1 “资格文件”封面</w:t>
      </w:r>
    </w:p>
    <w:p>
      <w:pPr>
        <w:spacing w:line="360" w:lineRule="auto"/>
        <w:jc w:val="right"/>
        <w:rPr>
          <w:rFonts w:hint="eastAsia"/>
          <w:b/>
          <w:color w:val="auto"/>
          <w:sz w:val="32"/>
          <w:szCs w:val="22"/>
          <w:highlight w:val="none"/>
        </w:rPr>
      </w:pPr>
    </w:p>
    <w:p>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rPr>
        <w:t xml:space="preserve"> </w:t>
      </w:r>
      <w:r>
        <w:rPr>
          <w:rFonts w:hint="eastAsia"/>
          <w:b/>
          <w:color w:val="auto"/>
          <w:w w:val="90"/>
          <w:sz w:val="44"/>
          <w:szCs w:val="22"/>
          <w:highlight w:val="none"/>
          <w:lang w:eastAsia="zh-CN"/>
        </w:rPr>
        <w:t>2024 年平阳县水头镇高标准农田改造提升示范项目（绿色农田建设项目）-土壤改良培肥</w:t>
      </w:r>
    </w:p>
    <w:p>
      <w:pPr>
        <w:spacing w:line="276" w:lineRule="auto"/>
        <w:jc w:val="center"/>
        <w:rPr>
          <w:rFonts w:hint="eastAsia"/>
          <w:color w:val="auto"/>
          <w:sz w:val="96"/>
          <w:szCs w:val="22"/>
          <w:highlight w:val="none"/>
        </w:rPr>
      </w:pPr>
      <w:r>
        <w:rPr>
          <w:rFonts w:hint="eastAsia"/>
          <w:color w:val="auto"/>
          <w:sz w:val="96"/>
          <w:szCs w:val="22"/>
          <w:highlight w:val="none"/>
          <w:lang w:val="en-US" w:eastAsia="zh-CN"/>
        </w:rPr>
        <w:t>响 应</w:t>
      </w:r>
      <w:r>
        <w:rPr>
          <w:rFonts w:hint="eastAsia"/>
          <w:color w:val="auto"/>
          <w:sz w:val="96"/>
          <w:szCs w:val="22"/>
          <w:highlight w:val="none"/>
        </w:rPr>
        <w:t xml:space="preserve"> 文 件</w:t>
      </w:r>
    </w:p>
    <w:p>
      <w:pPr>
        <w:spacing w:line="360" w:lineRule="auto"/>
        <w:jc w:val="center"/>
        <w:rPr>
          <w:rFonts w:hint="eastAsia"/>
          <w:b/>
          <w:color w:val="auto"/>
          <w:sz w:val="52"/>
          <w:szCs w:val="22"/>
          <w:highlight w:val="none"/>
        </w:rPr>
      </w:pPr>
      <w:r>
        <w:rPr>
          <w:rFonts w:hint="eastAsia"/>
          <w:b/>
          <w:color w:val="auto"/>
          <w:sz w:val="52"/>
          <w:szCs w:val="22"/>
          <w:highlight w:val="none"/>
        </w:rPr>
        <w:t>（资格文件）</w:t>
      </w:r>
    </w:p>
    <w:p>
      <w:pPr>
        <w:spacing w:line="360" w:lineRule="auto"/>
        <w:jc w:val="center"/>
        <w:rPr>
          <w:rFonts w:hint="eastAsia"/>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bl>
    <w:p>
      <w:pPr>
        <w:pStyle w:val="6"/>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1.2</w:t>
      </w:r>
      <w:r>
        <w:rPr>
          <w:rFonts w:hint="eastAsia"/>
          <w:color w:val="auto"/>
          <w:highlight w:val="none"/>
          <w:lang w:val="en-US" w:eastAsia="zh-CN"/>
        </w:rPr>
        <w:t>资格审查承诺</w:t>
      </w:r>
      <w:r>
        <w:rPr>
          <w:rFonts w:hint="eastAsia"/>
          <w:color w:val="auto"/>
          <w:highlight w:val="none"/>
        </w:rPr>
        <w:t>函：</w:t>
      </w:r>
    </w:p>
    <w:p>
      <w:pPr>
        <w:pStyle w:val="35"/>
        <w:adjustRightInd w:val="0"/>
        <w:snapToGrid w:val="0"/>
        <w:spacing w:before="0" w:beforeAutospacing="0" w:after="0" w:afterAutospacing="0" w:line="360" w:lineRule="auto"/>
        <w:ind w:left="400"/>
        <w:jc w:val="center"/>
        <w:rPr>
          <w:b/>
          <w:bCs/>
          <w:color w:val="auto"/>
          <w:sz w:val="36"/>
          <w:szCs w:val="36"/>
          <w:highlight w:val="none"/>
        </w:rPr>
      </w:pPr>
      <w:r>
        <w:rPr>
          <w:rFonts w:hint="eastAsia"/>
          <w:b/>
          <w:bCs/>
          <w:color w:val="auto"/>
          <w:sz w:val="36"/>
          <w:szCs w:val="36"/>
          <w:highlight w:val="none"/>
        </w:rPr>
        <w:t>资格审查承诺函</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平阳县水头镇人民政府</w:t>
      </w:r>
      <w:r>
        <w:rPr>
          <w:rFonts w:hint="eastAsia" w:ascii="宋体" w:hAnsi="宋体" w:eastAsia="宋体" w:cs="宋体"/>
          <w:color w:val="auto"/>
          <w:sz w:val="24"/>
          <w:szCs w:val="24"/>
          <w:highlight w:val="none"/>
          <w:u w:val="single"/>
        </w:rPr>
        <w:t>：</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 xml:space="preserve">  （项目名称）   </w:t>
      </w:r>
      <w:r>
        <w:rPr>
          <w:rFonts w:hint="eastAsia" w:ascii="宋体" w:hAnsi="宋体" w:eastAsia="宋体" w:cs="宋体"/>
          <w:color w:val="auto"/>
          <w:sz w:val="24"/>
          <w:szCs w:val="24"/>
          <w:highlight w:val="none"/>
        </w:rPr>
        <w:t>政府采购活动，针对《中华人民共和国政府采购法》第二十二条所述条件做如下承诺：</w:t>
      </w:r>
    </w:p>
    <w:p>
      <w:pPr>
        <w:pStyle w:val="35"/>
        <w:keepNext w:val="0"/>
        <w:keepLines w:val="0"/>
        <w:pageBreakBefore w:val="0"/>
        <w:numPr>
          <w:ilvl w:val="0"/>
          <w:numId w:val="12"/>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我方</w:t>
      </w:r>
      <w:r>
        <w:rPr>
          <w:rFonts w:hint="eastAsia" w:ascii="宋体" w:hAnsi="宋体" w:eastAsia="宋体" w:cs="宋体"/>
          <w:color w:val="auto"/>
          <w:sz w:val="24"/>
          <w:szCs w:val="24"/>
          <w:highlight w:val="none"/>
        </w:rPr>
        <w:t>具有独立承担民事责任的能力；</w:t>
      </w:r>
    </w:p>
    <w:p>
      <w:pPr>
        <w:pStyle w:val="35"/>
        <w:keepNext w:val="0"/>
        <w:keepLines w:val="0"/>
        <w:pageBreakBefore w:val="0"/>
        <w:numPr>
          <w:ilvl w:val="0"/>
          <w:numId w:val="12"/>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我方具有良好的商业信誉和健全的财务会计制度；</w:t>
      </w:r>
    </w:p>
    <w:p>
      <w:pPr>
        <w:pStyle w:val="35"/>
        <w:keepNext w:val="0"/>
        <w:keepLines w:val="0"/>
        <w:pageBreakBefore w:val="0"/>
        <w:numPr>
          <w:ilvl w:val="0"/>
          <w:numId w:val="12"/>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我方具有履行本项目合同所必需的设备和专业技术能力；</w:t>
      </w:r>
    </w:p>
    <w:p>
      <w:pPr>
        <w:pStyle w:val="35"/>
        <w:keepNext w:val="0"/>
        <w:keepLines w:val="0"/>
        <w:pageBreakBefore w:val="0"/>
        <w:numPr>
          <w:ilvl w:val="0"/>
          <w:numId w:val="12"/>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我方没有缴纳税收和社会保障等方面的失信记录；</w:t>
      </w:r>
    </w:p>
    <w:p>
      <w:pPr>
        <w:pStyle w:val="35"/>
        <w:keepNext w:val="0"/>
        <w:keepLines w:val="0"/>
        <w:pageBreakBefore w:val="0"/>
        <w:numPr>
          <w:ilvl w:val="0"/>
          <w:numId w:val="12"/>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4"/>
          <w:szCs w:val="24"/>
          <w:highlight w:val="none"/>
          <w:lang w:eastAsia="zh-CN"/>
        </w:rPr>
        <w:t>。</w:t>
      </w:r>
    </w:p>
    <w:p>
      <w:pPr>
        <w:pStyle w:val="35"/>
        <w:keepNext w:val="0"/>
        <w:keepLines w:val="0"/>
        <w:pageBreakBefore w:val="0"/>
        <w:numPr>
          <w:ilvl w:val="0"/>
          <w:numId w:val="12"/>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我方郑重承诺，我单位不属于公益一类事业单位，不属于使用事业编制且由财政拨款保障的群团组织，可承接 </w:t>
      </w:r>
      <w:r>
        <w:rPr>
          <w:rFonts w:hint="eastAsia" w:ascii="宋体" w:hAnsi="宋体" w:eastAsia="宋体" w:cs="宋体"/>
          <w:b/>
          <w:bCs/>
          <w:color w:val="auto"/>
          <w:sz w:val="24"/>
          <w:szCs w:val="24"/>
          <w:highlight w:val="none"/>
          <w:u w:val="single"/>
        </w:rPr>
        <w:t xml:space="preserve">     （项目名称）  </w:t>
      </w:r>
      <w:r>
        <w:rPr>
          <w:rFonts w:hint="eastAsia" w:ascii="宋体" w:hAnsi="宋体" w:eastAsia="宋体" w:cs="宋体"/>
          <w:b/>
          <w:bCs/>
          <w:color w:val="auto"/>
          <w:sz w:val="24"/>
          <w:szCs w:val="24"/>
          <w:highlight w:val="none"/>
        </w:rPr>
        <w:t>的相关服务内容。</w:t>
      </w:r>
    </w:p>
    <w:p>
      <w:pPr>
        <w:pStyle w:val="35"/>
        <w:keepNext w:val="0"/>
        <w:keepLines w:val="0"/>
        <w:pageBreakBefore w:val="0"/>
        <w:numPr>
          <w:ilvl w:val="0"/>
          <w:numId w:val="12"/>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到本项目投标截止时间为止，我公司未被“信用中国”（www.creditchina.gov.cn）、中国政府采购网（www.ccgp.gov.cn）列入失信被执行人名单、重大税收违法案件当事人名单、政府采购严重违法失信行为记录名单。</w:t>
      </w:r>
    </w:p>
    <w:p>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我方对上述承诺内容的真实性负责。我公司郑重声明，我公司参加</w:t>
      </w:r>
      <w:r>
        <w:rPr>
          <w:rFonts w:hint="eastAsia" w:ascii="宋体" w:hAnsi="宋体" w:eastAsia="宋体" w:cs="宋体"/>
          <w:color w:val="auto"/>
          <w:sz w:val="24"/>
          <w:szCs w:val="24"/>
          <w:highlight w:val="none"/>
          <w:u w:val="none"/>
          <w:lang w:eastAsia="zh-CN"/>
        </w:rPr>
        <w:t>本次</w:t>
      </w:r>
      <w:r>
        <w:rPr>
          <w:rFonts w:hint="eastAsia" w:ascii="宋体" w:hAnsi="宋体" w:eastAsia="宋体" w:cs="宋体"/>
          <w:color w:val="auto"/>
          <w:sz w:val="24"/>
          <w:szCs w:val="24"/>
          <w:highlight w:val="none"/>
        </w:rPr>
        <w:t>政府采购活动中所提交的《资格文件》所有内容真实、有效，不存在提供虚假材料的行为。如有违反，愿承担一切责任。如有虚假，将依法承担相应责任。</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w w:val="90"/>
          <w:sz w:val="24"/>
          <w:szCs w:val="24"/>
          <w:highlight w:val="none"/>
        </w:rPr>
        <w:t>__________________________________________</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法定代表人或其授权代表（签字或签章）：</w:t>
      </w:r>
      <w:r>
        <w:rPr>
          <w:rFonts w:hint="eastAsia" w:ascii="宋体" w:hAnsi="宋体" w:eastAsia="宋体" w:cs="宋体"/>
          <w:color w:val="auto"/>
          <w:w w:val="90"/>
          <w:sz w:val="24"/>
          <w:szCs w:val="24"/>
          <w:highlight w:val="none"/>
        </w:rPr>
        <w:t>______________________</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w w:val="90"/>
          <w:sz w:val="24"/>
          <w:szCs w:val="24"/>
          <w:highlight w:val="none"/>
        </w:rPr>
        <w:t>________年____月____日</w:t>
      </w:r>
    </w:p>
    <w:p>
      <w:pPr>
        <w:pStyle w:val="3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sectPr>
          <w:pgSz w:w="11907" w:h="16840"/>
          <w:pgMar w:top="1440" w:right="1117" w:bottom="1440" w:left="1440" w:header="720" w:footer="720" w:gutter="0"/>
          <w:pgBorders>
            <w:top w:val="none" w:sz="0" w:space="0"/>
            <w:left w:val="none" w:sz="0" w:space="0"/>
            <w:bottom w:val="none" w:sz="0" w:space="0"/>
            <w:right w:val="none" w:sz="0" w:space="0"/>
          </w:pgBorders>
          <w:cols w:space="720" w:num="1"/>
          <w:titlePg/>
          <w:docGrid w:linePitch="286" w:charSpace="0"/>
        </w:sectPr>
      </w:pPr>
      <w:r>
        <w:rPr>
          <w:rFonts w:hint="eastAsia" w:ascii="宋体" w:hAnsi="宋体" w:eastAsia="宋体" w:cs="宋体"/>
          <w:color w:val="auto"/>
          <w:sz w:val="24"/>
          <w:szCs w:val="24"/>
          <w:highlight w:val="none"/>
        </w:rPr>
        <w:t xml:space="preserve"> </w:t>
      </w:r>
    </w:p>
    <w:p>
      <w:pPr>
        <w:rPr>
          <w:rFonts w:hint="eastAsia"/>
          <w:color w:val="auto"/>
          <w:highlight w:val="none"/>
        </w:rPr>
      </w:pPr>
    </w:p>
    <w:p>
      <w:pPr>
        <w:pStyle w:val="6"/>
        <w:rPr>
          <w:rFonts w:hint="eastAsia" w:ascii="宋体" w:hAnsi="宋体" w:cs="宋体"/>
          <w:color w:val="auto"/>
          <w:highlight w:val="none"/>
        </w:rPr>
      </w:pPr>
      <w:r>
        <w:rPr>
          <w:rFonts w:hint="eastAsia" w:ascii="宋体" w:hAnsi="宋体" w:cs="宋体"/>
          <w:color w:val="auto"/>
          <w:highlight w:val="none"/>
        </w:rPr>
        <w:t>1.3具有独立承担民事责任能力的证明材料</w:t>
      </w:r>
    </w:p>
    <w:p>
      <w:pPr>
        <w:spacing w:line="360" w:lineRule="auto"/>
        <w:jc w:val="center"/>
        <w:rPr>
          <w:rFonts w:hint="eastAsia"/>
          <w:b/>
          <w:color w:val="auto"/>
          <w:sz w:val="44"/>
          <w:szCs w:val="44"/>
          <w:highlight w:val="none"/>
        </w:rPr>
      </w:pPr>
      <w:r>
        <w:rPr>
          <w:rFonts w:hint="eastAsia"/>
          <w:b/>
          <w:color w:val="auto"/>
          <w:sz w:val="44"/>
          <w:szCs w:val="44"/>
          <w:highlight w:val="none"/>
        </w:rPr>
        <w:t>企业法人营业执照</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pPr>
              <w:spacing w:line="276" w:lineRule="auto"/>
              <w:rPr>
                <w:rFonts w:hint="eastAsia"/>
                <w:b/>
                <w:color w:val="auto"/>
                <w:highlight w:val="none"/>
              </w:rPr>
            </w:pPr>
            <w:r>
              <w:rPr>
                <w:rFonts w:hint="eastAsia"/>
                <w:b/>
                <w:color w:val="auto"/>
                <w:highlight w:val="none"/>
              </w:rPr>
              <w:t>资格要求：具有独立承担民事责任能力</w:t>
            </w:r>
          </w:p>
          <w:p>
            <w:pPr>
              <w:spacing w:line="276" w:lineRule="auto"/>
              <w:rPr>
                <w:rFonts w:hint="eastAsia"/>
                <w:b/>
                <w:color w:val="auto"/>
                <w:highlight w:val="none"/>
              </w:rPr>
            </w:pPr>
          </w:p>
          <w:p>
            <w:pPr>
              <w:spacing w:line="276" w:lineRule="auto"/>
              <w:rPr>
                <w:rFonts w:hint="eastAsia"/>
                <w:color w:val="auto"/>
                <w:highlight w:val="none"/>
              </w:rPr>
            </w:pPr>
            <w:r>
              <w:rPr>
                <w:rFonts w:hint="eastAsia"/>
                <w:b/>
                <w:color w:val="auto"/>
                <w:highlight w:val="none"/>
              </w:rPr>
              <w:t>证明材料：</w:t>
            </w:r>
            <w:r>
              <w:rPr>
                <w:rFonts w:hint="eastAsia"/>
                <w:b/>
                <w:color w:val="auto"/>
                <w:highlight w:val="none"/>
                <w:u w:val="single"/>
              </w:rPr>
              <w:t>企业营业执照</w:t>
            </w:r>
            <w:r>
              <w:rPr>
                <w:rFonts w:hint="eastAsia"/>
                <w:color w:val="auto"/>
                <w:highlight w:val="none"/>
              </w:rPr>
              <w:t>（提供复制件加盖供应商公章）或</w:t>
            </w:r>
            <w:r>
              <w:rPr>
                <w:rFonts w:hint="eastAsia"/>
                <w:b/>
                <w:color w:val="auto"/>
                <w:highlight w:val="none"/>
                <w:u w:val="single"/>
              </w:rPr>
              <w:t>供应商为依法允许经营的事业单位的，应提交事业单位法人证书</w:t>
            </w:r>
            <w:r>
              <w:rPr>
                <w:rFonts w:hint="eastAsia"/>
                <w:color w:val="auto"/>
                <w:highlight w:val="none"/>
              </w:rPr>
              <w:t>（提供复制件加盖供应商公章）</w:t>
            </w:r>
          </w:p>
          <w:p>
            <w:pPr>
              <w:spacing w:line="276" w:lineRule="auto"/>
              <w:rPr>
                <w:rFonts w:hint="eastAsia"/>
                <w:color w:val="auto"/>
                <w:highlight w:val="none"/>
              </w:rPr>
            </w:pPr>
          </w:p>
          <w:p>
            <w:pPr>
              <w:spacing w:line="360" w:lineRule="auto"/>
              <w:rPr>
                <w:rFonts w:hint="eastAsia"/>
                <w:color w:val="auto"/>
                <w:highlight w:val="none"/>
              </w:rPr>
            </w:pPr>
            <w:r>
              <w:rPr>
                <w:rFonts w:hint="eastAsia"/>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spacing w:line="360" w:lineRule="auto"/>
        <w:rPr>
          <w:rFonts w:hint="eastAsia"/>
          <w:i/>
          <w:color w:val="auto"/>
          <w:sz w:val="22"/>
          <w:szCs w:val="22"/>
          <w:highlight w:val="none"/>
        </w:rPr>
      </w:pPr>
    </w:p>
    <w:p>
      <w:pPr>
        <w:pStyle w:val="6"/>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 xml:space="preserve">1法定代表人身份证明 </w:t>
      </w:r>
    </w:p>
    <w:p>
      <w:pPr>
        <w:spacing w:before="120" w:beforeLines="50" w:after="120" w:afterLines="50" w:line="360" w:lineRule="auto"/>
        <w:jc w:val="center"/>
        <w:rPr>
          <w:rFonts w:hint="eastAsia" w:ascii="宋体" w:hAnsi="宋体" w:cs="宋体"/>
          <w:b/>
          <w:color w:val="auto"/>
          <w:sz w:val="28"/>
          <w:szCs w:val="28"/>
          <w:highlight w:val="none"/>
        </w:rPr>
      </w:pPr>
      <w:bookmarkStart w:id="7" w:name="_Toc434942927"/>
      <w:bookmarkStart w:id="8" w:name="_Toc152047263"/>
      <w:bookmarkStart w:id="9" w:name="_Toc144974467"/>
      <w:r>
        <w:rPr>
          <w:rFonts w:hint="eastAsia" w:ascii="宋体" w:hAnsi="宋体" w:cs="宋体"/>
          <w:b/>
          <w:color w:val="auto"/>
          <w:sz w:val="28"/>
          <w:szCs w:val="28"/>
          <w:highlight w:val="none"/>
        </w:rPr>
        <w:t>法定代表人身份证明</w:t>
      </w:r>
      <w:bookmarkEnd w:id="7"/>
      <w:bookmarkEnd w:id="8"/>
      <w:bookmarkEnd w:id="9"/>
    </w:p>
    <w:p>
      <w:pPr>
        <w:spacing w:before="120" w:beforeLines="50" w:after="120" w:afterLines="50" w:line="360" w:lineRule="auto"/>
        <w:rPr>
          <w:rFonts w:hint="eastAsia" w:ascii="宋体" w:hAnsi="宋体" w:cs="宋体"/>
          <w:color w:val="auto"/>
          <w:sz w:val="22"/>
          <w:szCs w:val="22"/>
          <w:highlight w:val="none"/>
        </w:rPr>
      </w:pPr>
    </w:p>
    <w:p>
      <w:pPr>
        <w:topLinePunct/>
        <w:spacing w:before="120" w:beforeLines="50" w:after="120" w:afterLines="50" w:line="360" w:lineRule="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rPr>
        <w:t>投标人名称：</w:t>
      </w:r>
      <w:r>
        <w:rPr>
          <w:rFonts w:hint="eastAsia" w:ascii="宋体" w:hAnsi="宋体" w:cs="宋体"/>
          <w:bCs/>
          <w:color w:val="auto"/>
          <w:sz w:val="22"/>
          <w:szCs w:val="22"/>
          <w:highlight w:val="none"/>
          <w:u w:val="single"/>
        </w:rPr>
        <w:t xml:space="preserve">                 </w:t>
      </w:r>
    </w:p>
    <w:p>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单位性质：</w:t>
      </w:r>
      <w:r>
        <w:rPr>
          <w:rFonts w:hint="eastAsia" w:ascii="宋体" w:hAnsi="宋体" w:cs="宋体"/>
          <w:bCs/>
          <w:color w:val="auto"/>
          <w:sz w:val="22"/>
          <w:szCs w:val="22"/>
          <w:highlight w:val="none"/>
          <w:u w:val="single"/>
        </w:rPr>
        <w:t xml:space="preserve">                     </w:t>
      </w:r>
    </w:p>
    <w:p>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成立时间：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月</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日</w:t>
      </w:r>
    </w:p>
    <w:p>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经营期限：</w:t>
      </w:r>
      <w:r>
        <w:rPr>
          <w:rFonts w:hint="eastAsia" w:ascii="宋体" w:hAnsi="宋体" w:cs="宋体"/>
          <w:bCs/>
          <w:color w:val="auto"/>
          <w:sz w:val="22"/>
          <w:szCs w:val="22"/>
          <w:highlight w:val="none"/>
          <w:u w:val="single"/>
        </w:rPr>
        <w:t xml:space="preserve">          </w:t>
      </w:r>
    </w:p>
    <w:p>
      <w:pPr>
        <w:topLinePunct/>
        <w:spacing w:before="120" w:beforeLines="50" w:after="120" w:afterLines="50" w:line="360" w:lineRule="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rPr>
        <w:t>姓名：</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性别：</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年龄：</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职务：</w:t>
      </w:r>
      <w:r>
        <w:rPr>
          <w:rFonts w:hint="eastAsia" w:ascii="宋体" w:hAnsi="宋体" w:cs="宋体"/>
          <w:bCs/>
          <w:color w:val="auto"/>
          <w:sz w:val="22"/>
          <w:szCs w:val="22"/>
          <w:highlight w:val="none"/>
          <w:u w:val="single"/>
        </w:rPr>
        <w:t xml:space="preserve">      </w:t>
      </w:r>
    </w:p>
    <w:p>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系（投标人名称）的法定代表人。</w:t>
      </w:r>
    </w:p>
    <w:p>
      <w:pPr>
        <w:topLinePunct/>
        <w:spacing w:before="120" w:beforeLines="50" w:after="120" w:afterLines="50" w:line="360" w:lineRule="auto"/>
        <w:ind w:left="564" w:firstLine="420"/>
        <w:rPr>
          <w:rFonts w:hint="eastAsia" w:ascii="宋体" w:hAnsi="宋体" w:cs="宋体"/>
          <w:bCs/>
          <w:color w:val="auto"/>
          <w:sz w:val="22"/>
          <w:szCs w:val="22"/>
          <w:highlight w:val="none"/>
        </w:rPr>
      </w:pPr>
      <w:r>
        <w:rPr>
          <w:rFonts w:hint="eastAsia" w:ascii="宋体" w:hAnsi="宋体" w:cs="宋体"/>
          <w:bCs/>
          <w:color w:val="auto"/>
          <w:sz w:val="22"/>
          <w:szCs w:val="22"/>
          <w:highlight w:val="none"/>
        </w:rPr>
        <w:t>特此证明。</w:t>
      </w:r>
    </w:p>
    <w:p>
      <w:pPr>
        <w:topLinePunct/>
        <w:spacing w:before="120" w:beforeLines="50" w:after="120" w:afterLines="50" w:line="360" w:lineRule="auto"/>
        <w:rPr>
          <w:rFonts w:hint="eastAsia" w:ascii="宋体" w:hAnsi="宋体" w:cs="宋体"/>
          <w:bCs/>
          <w:color w:val="auto"/>
          <w:sz w:val="22"/>
          <w:szCs w:val="22"/>
          <w:highlight w:val="none"/>
        </w:rPr>
      </w:pPr>
    </w:p>
    <w:p>
      <w:pPr>
        <w:topLinePunct/>
        <w:spacing w:before="120" w:beforeLines="50" w:after="120" w:afterLines="50" w:line="360" w:lineRule="auto"/>
        <w:rPr>
          <w:rFonts w:hint="eastAsia" w:ascii="宋体" w:hAnsi="宋体" w:cs="宋体"/>
          <w:bCs/>
          <w:color w:val="auto"/>
          <w:sz w:val="22"/>
          <w:szCs w:val="22"/>
          <w:highlight w:val="none"/>
        </w:rPr>
      </w:pPr>
    </w:p>
    <w:p>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w:t>
      </w:r>
      <w:r>
        <w:rPr>
          <w:rFonts w:hint="eastAsia" w:ascii="宋体" w:hAnsi="宋体" w:cs="宋体"/>
          <w:bCs/>
          <w:color w:val="auto"/>
          <w:sz w:val="22"/>
          <w:szCs w:val="22"/>
          <w:highlight w:val="none"/>
          <w:u w:val="single"/>
        </w:rPr>
        <w:t xml:space="preserve">（盖单位电子公章）              </w:t>
      </w:r>
    </w:p>
    <w:p>
      <w:pPr>
        <w:topLinePunct/>
        <w:spacing w:before="120" w:beforeLines="50" w:after="120" w:afterLines="50" w:line="360" w:lineRule="auto"/>
        <w:ind w:left="564" w:firstLine="3990"/>
        <w:jc w:val="right"/>
        <w:rPr>
          <w:rFonts w:hint="eastAsia" w:ascii="宋体" w:hAnsi="宋体" w:cs="宋体"/>
          <w:bCs/>
          <w:color w:val="auto"/>
          <w:sz w:val="22"/>
          <w:szCs w:val="22"/>
          <w:highlight w:val="none"/>
        </w:rPr>
      </w:pP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月</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日</w:t>
      </w:r>
    </w:p>
    <w:p>
      <w:pPr>
        <w:pStyle w:val="30"/>
        <w:adjustRightInd w:val="0"/>
        <w:snapToGrid w:val="0"/>
        <w:spacing w:before="120" w:beforeLines="50" w:after="120" w:afterLines="50" w:line="360" w:lineRule="auto"/>
        <w:ind w:left="0" w:leftChars="0" w:firstLine="0" w:firstLineChars="0"/>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s="宋体"/>
          <w:color w:val="auto"/>
          <w:sz w:val="22"/>
          <w:szCs w:val="22"/>
          <w:highlight w:val="none"/>
        </w:rPr>
        <w:t>注：如为法定代表人参与的只须提供法定代表人身份证明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非法定代表人参加开标</w:t>
      </w:r>
      <w:r>
        <w:rPr>
          <w:rFonts w:hint="eastAsia" w:ascii="宋体" w:hAnsi="宋体" w:cs="宋体"/>
          <w:color w:val="auto"/>
          <w:sz w:val="22"/>
          <w:szCs w:val="22"/>
          <w:highlight w:val="none"/>
          <w:lang w:eastAsia="zh-CN"/>
        </w:rPr>
        <w:t>的</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则</w:t>
      </w:r>
      <w:r>
        <w:rPr>
          <w:rFonts w:hint="eastAsia" w:ascii="宋体" w:hAnsi="宋体" w:cs="宋体"/>
          <w:color w:val="auto"/>
          <w:sz w:val="22"/>
          <w:szCs w:val="22"/>
          <w:highlight w:val="none"/>
        </w:rPr>
        <w:t>无须提供。</w:t>
      </w:r>
      <w:r>
        <w:rPr>
          <w:rFonts w:hint="eastAsia" w:ascii="宋体" w:hAnsi="宋体" w:cs="宋体"/>
          <w:bCs/>
          <w:color w:val="auto"/>
          <w:sz w:val="22"/>
          <w:szCs w:val="22"/>
          <w:highlight w:val="none"/>
        </w:rPr>
        <w:t>）</w:t>
      </w:r>
    </w:p>
    <w:p>
      <w:pPr>
        <w:pStyle w:val="6"/>
        <w:rPr>
          <w:rFonts w:hint="eastAsia" w:ascii="宋体" w:hAnsi="宋体" w:cs="宋体"/>
          <w:color w:val="auto"/>
          <w:highlight w:val="none"/>
        </w:rPr>
        <w:sectPr>
          <w:headerReference r:id="rId13" w:type="first"/>
          <w:footerReference r:id="rId15" w:type="first"/>
          <w:headerReference r:id="rId12" w:type="default"/>
          <w:footerReference r:id="rId14" w:type="default"/>
          <w:pgSz w:w="11907" w:h="16840"/>
          <w:pgMar w:top="1440" w:right="1117" w:bottom="1440" w:left="1440" w:header="720" w:footer="720" w:gutter="0"/>
          <w:pgNumType w:fmt="decimal"/>
          <w:cols w:space="720" w:num="1"/>
          <w:titlePg/>
          <w:docGrid w:linePitch="286" w:charSpace="0"/>
        </w:sectPr>
      </w:pPr>
    </w:p>
    <w:p>
      <w:pPr>
        <w:pStyle w:val="6"/>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2 法定代表人授权书</w:t>
      </w:r>
    </w:p>
    <w:p>
      <w:pPr>
        <w:widowControl/>
        <w:autoSpaceDE w:val="0"/>
        <w:autoSpaceDN w:val="0"/>
        <w:snapToGrid w:val="0"/>
        <w:spacing w:line="460" w:lineRule="exact"/>
        <w:jc w:val="center"/>
        <w:rPr>
          <w:rFonts w:hint="eastAsia" w:ascii="宋体" w:hAnsi="宋体" w:cs="宋体"/>
          <w:b/>
          <w:color w:val="auto"/>
          <w:sz w:val="28"/>
          <w:highlight w:val="none"/>
        </w:rPr>
      </w:pPr>
      <w:r>
        <w:rPr>
          <w:rFonts w:hint="eastAsia" w:ascii="宋体" w:hAnsi="宋体" w:cs="宋体"/>
          <w:b/>
          <w:color w:val="auto"/>
          <w:sz w:val="28"/>
          <w:highlight w:val="none"/>
        </w:rPr>
        <w:t>法定代表人授权书</w:t>
      </w:r>
    </w:p>
    <w:p>
      <w:pPr>
        <w:widowControl/>
        <w:autoSpaceDE w:val="0"/>
        <w:autoSpaceDN w:val="0"/>
        <w:snapToGrid w:val="0"/>
        <w:spacing w:line="460" w:lineRule="exact"/>
        <w:jc w:val="left"/>
        <w:rPr>
          <w:rFonts w:hint="eastAsia" w:ascii="宋体" w:hAnsi="宋体" w:cs="宋体"/>
          <w:color w:val="auto"/>
          <w:sz w:val="24"/>
          <w:highlight w:val="none"/>
        </w:rPr>
      </w:pPr>
    </w:p>
    <w:p>
      <w:pPr>
        <w:widowControl/>
        <w:snapToGrid w:val="0"/>
        <w:spacing w:line="360" w:lineRule="auto"/>
        <w:jc w:val="left"/>
        <w:rPr>
          <w:rFonts w:hint="eastAsia" w:ascii="宋体" w:hAnsi="宋体" w:cs="宋体"/>
          <w:color w:val="auto"/>
          <w:highlight w:val="none"/>
          <w:u w:val="single"/>
        </w:rPr>
      </w:pPr>
    </w:p>
    <w:p>
      <w:pPr>
        <w:widowControl/>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u w:val="single"/>
          <w:lang w:eastAsia="zh-CN"/>
        </w:rPr>
        <w:t>平阳县水头镇人民政府</w:t>
      </w:r>
      <w:r>
        <w:rPr>
          <w:rFonts w:hint="eastAsia" w:ascii="宋体" w:hAnsi="宋体" w:cs="宋体"/>
          <w:color w:val="auto"/>
          <w:sz w:val="22"/>
          <w:highlight w:val="none"/>
        </w:rPr>
        <w:t>：</w:t>
      </w:r>
    </w:p>
    <w:p>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 xml:space="preserve">   （法定代表人姓名）   </w:t>
      </w:r>
      <w:r>
        <w:rPr>
          <w:rFonts w:hint="eastAsia" w:ascii="宋体" w:hAnsi="宋体" w:cs="宋体"/>
          <w:color w:val="auto"/>
          <w:sz w:val="22"/>
          <w:highlight w:val="none"/>
        </w:rPr>
        <w:t>系</w:t>
      </w:r>
      <w:r>
        <w:rPr>
          <w:rFonts w:hint="eastAsia" w:ascii="宋体" w:hAnsi="宋体" w:cs="宋体"/>
          <w:color w:val="auto"/>
          <w:sz w:val="22"/>
          <w:highlight w:val="none"/>
          <w:u w:val="single"/>
        </w:rPr>
        <w:t xml:space="preserve">   （供应商名 称）  </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 xml:space="preserve">  （单 位 名 称）   </w:t>
      </w:r>
      <w:r>
        <w:rPr>
          <w:rFonts w:hint="eastAsia" w:ascii="宋体" w:hAnsi="宋体" w:cs="宋体"/>
          <w:color w:val="auto"/>
          <w:sz w:val="22"/>
          <w:highlight w:val="none"/>
        </w:rPr>
        <w:t>的</w:t>
      </w:r>
      <w:r>
        <w:rPr>
          <w:rFonts w:hint="eastAsia" w:ascii="宋体" w:hAnsi="宋体" w:cs="宋体"/>
          <w:color w:val="auto"/>
          <w:sz w:val="22"/>
          <w:highlight w:val="none"/>
          <w:u w:val="single"/>
        </w:rPr>
        <w:t xml:space="preserve">  （授权代表姓名）  </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2024 年平阳县水头镇高标准农田改造提升示范项目（绿色农田建设项目）-土壤改良培肥</w:t>
      </w:r>
      <w:r>
        <w:rPr>
          <w:rFonts w:hint="eastAsia" w:ascii="宋体" w:hAnsi="宋体" w:cs="宋体"/>
          <w:color w:val="auto"/>
          <w:sz w:val="22"/>
          <w:highlight w:val="none"/>
          <w:u w:val="single"/>
        </w:rPr>
        <w:t>（项目编号：</w:t>
      </w:r>
      <w:r>
        <w:rPr>
          <w:rFonts w:hint="eastAsia" w:ascii="宋体" w:hAnsi="宋体" w:cs="宋体"/>
          <w:color w:val="auto"/>
          <w:sz w:val="22"/>
          <w:highlight w:val="none"/>
          <w:u w:val="single"/>
          <w:lang w:val="en-US" w:eastAsia="zh-CN"/>
        </w:rPr>
        <w:t xml:space="preserve">WZZDPYCG-        </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w:t>
      </w:r>
      <w:r>
        <w:rPr>
          <w:rFonts w:hint="eastAsia" w:ascii="宋体" w:hAnsi="宋体" w:cs="宋体"/>
          <w:color w:val="auto"/>
          <w:sz w:val="22"/>
          <w:highlight w:val="none"/>
          <w:lang w:eastAsia="zh-CN"/>
        </w:rPr>
        <w:t>响应文件</w:t>
      </w:r>
      <w:r>
        <w:rPr>
          <w:rFonts w:hint="eastAsia" w:ascii="宋体" w:hAnsi="宋体" w:cs="宋体"/>
          <w:color w:val="auto"/>
          <w:sz w:val="22"/>
          <w:highlight w:val="none"/>
        </w:rPr>
        <w:t>的内容。</w:t>
      </w:r>
    </w:p>
    <w:p>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授权代表无转授权，特此授权</w:t>
      </w:r>
    </w:p>
    <w:p>
      <w:pPr>
        <w:widowControl/>
        <w:snapToGrid w:val="0"/>
        <w:spacing w:line="360" w:lineRule="auto"/>
        <w:ind w:left="1260"/>
        <w:jc w:val="left"/>
        <w:rPr>
          <w:rFonts w:hint="eastAsia" w:ascii="宋体" w:hAnsi="宋体" w:cs="宋体"/>
          <w:color w:val="auto"/>
          <w:sz w:val="22"/>
          <w:highlight w:val="none"/>
        </w:rPr>
      </w:pPr>
    </w:p>
    <w:p>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性别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年龄：</w:t>
      </w:r>
      <w:r>
        <w:rPr>
          <w:rFonts w:hint="eastAsia" w:ascii="宋体" w:hAnsi="宋体" w:cs="宋体"/>
          <w:color w:val="auto"/>
          <w:sz w:val="22"/>
          <w:highlight w:val="none"/>
          <w:u w:val="single"/>
        </w:rPr>
        <w:t xml:space="preserve">    </w:t>
      </w:r>
    </w:p>
    <w:p>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身份证号码：</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职务：</w:t>
      </w:r>
      <w:r>
        <w:rPr>
          <w:rFonts w:hint="eastAsia" w:ascii="宋体" w:hAnsi="宋体" w:cs="宋体"/>
          <w:color w:val="auto"/>
          <w:sz w:val="22"/>
          <w:highlight w:val="none"/>
          <w:u w:val="single"/>
        </w:rPr>
        <w:t xml:space="preserve">      </w:t>
      </w:r>
    </w:p>
    <w:p>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邮政编码：</w:t>
      </w:r>
      <w:r>
        <w:rPr>
          <w:rFonts w:hint="eastAsia" w:ascii="宋体" w:hAnsi="宋体" w:cs="宋体"/>
          <w:color w:val="auto"/>
          <w:sz w:val="22"/>
          <w:highlight w:val="none"/>
          <w:u w:val="single"/>
        </w:rPr>
        <w:t xml:space="preserve">           </w:t>
      </w:r>
    </w:p>
    <w:p>
      <w:pPr>
        <w:widowControl/>
        <w:snapToGrid w:val="0"/>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传真：</w:t>
      </w:r>
      <w:r>
        <w:rPr>
          <w:rFonts w:hint="eastAsia" w:ascii="宋体" w:hAnsi="宋体" w:cs="宋体"/>
          <w:color w:val="auto"/>
          <w:sz w:val="22"/>
          <w:highlight w:val="none"/>
          <w:u w:val="single"/>
        </w:rPr>
        <w:t xml:space="preserve">                    </w:t>
      </w:r>
    </w:p>
    <w:p>
      <w:pPr>
        <w:widowControl/>
        <w:snapToGrid w:val="0"/>
        <w:ind w:left="2098" w:firstLine="959"/>
        <w:jc w:val="left"/>
        <w:rPr>
          <w:rFonts w:hint="eastAsia" w:ascii="宋体" w:hAnsi="宋体" w:cs="宋体"/>
          <w:color w:val="auto"/>
          <w:sz w:val="22"/>
          <w:highlight w:val="none"/>
        </w:rPr>
      </w:pPr>
      <w:r>
        <w:rPr>
          <w:rFonts w:hint="eastAsia" w:ascii="宋体" w:hAnsi="宋体" w:cs="宋体"/>
          <w:color w:val="auto"/>
          <w:sz w:val="22"/>
          <w:highlight w:val="none"/>
        </w:rPr>
        <w:t xml:space="preserve">                                </w:t>
      </w:r>
    </w:p>
    <w:p>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                                   （盖章）</w:t>
      </w:r>
    </w:p>
    <w:p>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 xml:space="preserve">                           （签字或盖章）</w:t>
      </w:r>
    </w:p>
    <w:p>
      <w:pPr>
        <w:widowControl/>
        <w:snapToGrid w:val="0"/>
        <w:spacing w:line="360" w:lineRule="auto"/>
        <w:jc w:val="left"/>
        <w:rPr>
          <w:rFonts w:hint="eastAsia" w:ascii="宋体" w:hAnsi="宋体" w:cs="宋体"/>
          <w:color w:val="auto"/>
          <w:sz w:val="22"/>
          <w:highlight w:val="none"/>
        </w:rPr>
      </w:pPr>
    </w:p>
    <w:p>
      <w:pPr>
        <w:widowControl/>
        <w:snapToGrid w:val="0"/>
        <w:spacing w:line="360" w:lineRule="auto"/>
        <w:ind w:left="2098" w:right="440" w:firstLine="959"/>
        <w:jc w:val="left"/>
        <w:rPr>
          <w:rFonts w:hint="eastAsia" w:ascii="宋体" w:hAnsi="宋体" w:cs="宋体"/>
          <w:color w:val="auto"/>
          <w:sz w:val="24"/>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年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p>
    <w:tbl>
      <w:tblPr>
        <w:tblStyle w:val="39"/>
        <w:tblW w:w="0" w:type="auto"/>
        <w:tblInd w:w="108" w:type="dxa"/>
        <w:tblLayout w:type="fixed"/>
        <w:tblCellMar>
          <w:top w:w="0" w:type="dxa"/>
          <w:left w:w="0" w:type="dxa"/>
          <w:bottom w:w="0" w:type="dxa"/>
          <w:right w:w="0" w:type="dxa"/>
        </w:tblCellMar>
      </w:tblPr>
      <w:tblGrid>
        <w:gridCol w:w="8657"/>
      </w:tblGrid>
      <w:tr>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center"/>
              <w:rPr>
                <w:rFonts w:hint="eastAsia" w:ascii="宋体" w:hAnsi="宋体" w:cs="宋体"/>
                <w:color w:val="auto"/>
                <w:sz w:val="24"/>
                <w:highlight w:val="none"/>
              </w:rPr>
            </w:pPr>
          </w:p>
          <w:p>
            <w:pPr>
              <w:widowControl/>
              <w:snapToGrid w:val="0"/>
              <w:spacing w:line="400" w:lineRule="exact"/>
              <w:jc w:val="center"/>
              <w:rPr>
                <w:rFonts w:hint="eastAsia" w:ascii="宋体" w:hAnsi="宋体" w:cs="宋体"/>
                <w:color w:val="auto"/>
                <w:sz w:val="24"/>
                <w:highlight w:val="none"/>
              </w:rPr>
            </w:pPr>
          </w:p>
          <w:p>
            <w:pPr>
              <w:widowControl/>
              <w:snapToGrid w:val="0"/>
              <w:spacing w:line="320" w:lineRule="atLeast"/>
              <w:jc w:val="center"/>
              <w:rPr>
                <w:rFonts w:hint="eastAsia" w:ascii="宋体" w:hAnsi="宋体" w:cs="宋体"/>
                <w:color w:val="auto"/>
                <w:sz w:val="22"/>
                <w:highlight w:val="none"/>
              </w:rPr>
            </w:pPr>
            <w:r>
              <w:rPr>
                <w:rFonts w:hint="eastAsia" w:ascii="宋体" w:hAnsi="宋体" w:cs="宋体"/>
                <w:color w:val="auto"/>
                <w:sz w:val="22"/>
                <w:highlight w:val="none"/>
              </w:rPr>
              <w:t>授权代表身份证复印件与影印件粘贴处</w:t>
            </w:r>
          </w:p>
          <w:p>
            <w:pPr>
              <w:widowControl/>
              <w:snapToGrid w:val="0"/>
              <w:spacing w:line="400" w:lineRule="exact"/>
              <w:jc w:val="center"/>
              <w:rPr>
                <w:rFonts w:hint="eastAsia" w:ascii="宋体" w:hAnsi="宋体" w:cs="宋体"/>
                <w:color w:val="auto"/>
                <w:sz w:val="24"/>
                <w:highlight w:val="none"/>
              </w:rPr>
            </w:pPr>
          </w:p>
          <w:p>
            <w:pPr>
              <w:widowControl/>
              <w:snapToGrid w:val="0"/>
              <w:spacing w:line="400" w:lineRule="exact"/>
              <w:jc w:val="center"/>
              <w:rPr>
                <w:rFonts w:hint="eastAsia" w:ascii="宋体" w:hAnsi="宋体" w:cs="宋体"/>
                <w:color w:val="auto"/>
                <w:sz w:val="24"/>
                <w:highlight w:val="none"/>
              </w:rPr>
            </w:pPr>
          </w:p>
          <w:p>
            <w:pPr>
              <w:widowControl/>
              <w:snapToGrid w:val="0"/>
              <w:spacing w:line="400" w:lineRule="exact"/>
              <w:jc w:val="center"/>
              <w:rPr>
                <w:rFonts w:hint="eastAsia" w:ascii="宋体" w:hAnsi="宋体" w:cs="宋体"/>
                <w:color w:val="auto"/>
                <w:sz w:val="24"/>
                <w:highlight w:val="none"/>
              </w:rPr>
            </w:pPr>
          </w:p>
          <w:p>
            <w:pPr>
              <w:widowControl/>
              <w:snapToGrid w:val="0"/>
              <w:spacing w:line="400" w:lineRule="exact"/>
              <w:jc w:val="center"/>
              <w:rPr>
                <w:rFonts w:hint="eastAsia" w:ascii="宋体" w:hAnsi="宋体" w:cs="宋体"/>
                <w:color w:val="auto"/>
                <w:sz w:val="24"/>
                <w:highlight w:val="none"/>
              </w:rPr>
            </w:pPr>
          </w:p>
          <w:p>
            <w:pPr>
              <w:widowControl/>
              <w:snapToGrid w:val="0"/>
              <w:spacing w:line="400" w:lineRule="exact"/>
              <w:jc w:val="center"/>
              <w:rPr>
                <w:rFonts w:hint="eastAsia" w:ascii="宋体" w:hAnsi="宋体" w:cs="宋体"/>
                <w:color w:val="auto"/>
                <w:sz w:val="36"/>
                <w:highlight w:val="none"/>
              </w:rPr>
            </w:pPr>
          </w:p>
        </w:tc>
      </w:tr>
    </w:tbl>
    <w:p>
      <w:pPr>
        <w:widowControl/>
        <w:tabs>
          <w:tab w:val="left" w:pos="360"/>
        </w:tabs>
        <w:snapToGrid w:val="0"/>
        <w:spacing w:line="580" w:lineRule="atLeast"/>
        <w:ind w:left="360"/>
        <w:jc w:val="left"/>
        <w:rPr>
          <w:rFonts w:hint="eastAsia" w:ascii="宋体" w:hAnsi="宋体" w:cs="宋体"/>
          <w:b/>
          <w:color w:val="auto"/>
          <w:sz w:val="22"/>
          <w:highlight w:val="none"/>
        </w:rPr>
      </w:pPr>
      <w:r>
        <w:rPr>
          <w:rFonts w:hint="eastAsia" w:ascii="宋体" w:hAnsi="宋体" w:cs="宋体"/>
          <w:b/>
          <w:color w:val="auto"/>
          <w:sz w:val="22"/>
          <w:highlight w:val="none"/>
        </w:rPr>
        <w:t>注：法定代表人必须签字或盖章，否则做无效标处理。如为法定代表人投标，则无需提供法定代表人授权书。</w:t>
      </w:r>
    </w:p>
    <w:p>
      <w:pPr>
        <w:rPr>
          <w:rFonts w:hint="eastAsia" w:ascii="宋体" w:hAnsi="宋体" w:cs="宋体"/>
          <w:color w:val="auto"/>
          <w:highlight w:val="none"/>
        </w:rPr>
        <w:sectPr>
          <w:pgSz w:w="11907" w:h="16840"/>
          <w:pgMar w:top="1440" w:right="1117" w:bottom="1440" w:left="1440" w:header="720" w:footer="720" w:gutter="0"/>
          <w:pgNumType w:fmt="decimal"/>
          <w:cols w:space="720" w:num="1"/>
          <w:titlePg/>
          <w:docGrid w:linePitch="286" w:charSpace="0"/>
        </w:sectPr>
      </w:pPr>
    </w:p>
    <w:p>
      <w:pPr>
        <w:pStyle w:val="7"/>
        <w:spacing w:before="0" w:after="0" w:line="460" w:lineRule="exact"/>
        <w:rPr>
          <w:color w:val="auto"/>
          <w:highlight w:val="none"/>
        </w:rPr>
      </w:pPr>
      <w:r>
        <w:rPr>
          <w:rFonts w:hint="eastAsia" w:ascii="宋体" w:hAnsi="宋体" w:cs="宋体"/>
          <w:b w:val="0"/>
          <w:bCs w:val="0"/>
          <w:color w:val="auto"/>
          <w:sz w:val="32"/>
          <w:szCs w:val="28"/>
          <w:highlight w:val="none"/>
        </w:rPr>
        <w:t xml:space="preserve"> </w:t>
      </w:r>
      <w:r>
        <w:rPr>
          <w:rFonts w:hint="eastAsia"/>
          <w:b w:val="0"/>
          <w:bCs w:val="0"/>
          <w:color w:val="auto"/>
          <w:sz w:val="32"/>
          <w:szCs w:val="28"/>
          <w:highlight w:val="none"/>
        </w:rPr>
        <w:t>1.</w:t>
      </w:r>
      <w:r>
        <w:rPr>
          <w:rFonts w:hint="eastAsia"/>
          <w:b w:val="0"/>
          <w:bCs w:val="0"/>
          <w:color w:val="auto"/>
          <w:sz w:val="32"/>
          <w:szCs w:val="28"/>
          <w:highlight w:val="none"/>
          <w:lang w:val="en-US" w:eastAsia="zh-CN"/>
        </w:rPr>
        <w:t xml:space="preserve">5 </w:t>
      </w:r>
      <w:r>
        <w:rPr>
          <w:rFonts w:hint="eastAsia" w:ascii="宋体" w:hAnsi="宋体" w:cs="Arial"/>
          <w:b w:val="0"/>
          <w:bCs w:val="0"/>
          <w:color w:val="auto"/>
          <w:sz w:val="28"/>
          <w:szCs w:val="28"/>
          <w:highlight w:val="none"/>
          <w:lang w:val="en-US" w:eastAsia="zh-CN"/>
        </w:rPr>
        <w:t>小微企业证明资料：</w:t>
      </w:r>
      <w:r>
        <w:rPr>
          <w:rFonts w:hint="eastAsia" w:ascii="宋体" w:hAnsi="宋体" w:cs="Arial"/>
          <w:b w:val="0"/>
          <w:bCs w:val="0"/>
          <w:color w:val="auto"/>
          <w:sz w:val="28"/>
          <w:szCs w:val="28"/>
          <w:highlight w:val="none"/>
        </w:rPr>
        <w:t>供应商须提供中小企业声明函或残疾人福利性单位声明函或省级以上监狱管理局、戒毒管理局（含新疆生产建设兵团）提供的属于监狱企业的证明文件。</w:t>
      </w:r>
    </w:p>
    <w:p>
      <w:pPr>
        <w:snapToGrid w:val="0"/>
        <w:spacing w:line="400" w:lineRule="exact"/>
        <w:jc w:val="center"/>
        <w:rPr>
          <w:rFonts w:hint="eastAsia"/>
          <w:b/>
          <w:color w:val="auto"/>
          <w:sz w:val="28"/>
          <w:szCs w:val="28"/>
          <w:highlight w:val="none"/>
        </w:rPr>
      </w:pPr>
      <w:r>
        <w:rPr>
          <w:rFonts w:hint="eastAsia"/>
          <w:b/>
          <w:color w:val="auto"/>
          <w:sz w:val="28"/>
          <w:szCs w:val="28"/>
          <w:highlight w:val="none"/>
        </w:rPr>
        <w:t>中小企业声明函及其相关的充分的证明材料</w:t>
      </w:r>
    </w:p>
    <w:p>
      <w:pPr>
        <w:snapToGrid w:val="0"/>
        <w:spacing w:line="400" w:lineRule="exact"/>
        <w:jc w:val="center"/>
        <w:rPr>
          <w:rFonts w:hint="eastAsia" w:eastAsia="宋体"/>
          <w:color w:val="auto"/>
          <w:sz w:val="28"/>
          <w:szCs w:val="28"/>
          <w:highlight w:val="none"/>
          <w:lang w:eastAsia="zh-CN"/>
        </w:rPr>
      </w:pPr>
      <w:r>
        <w:rPr>
          <w:rFonts w:hint="eastAsia"/>
          <w:b/>
          <w:bCs w:val="0"/>
          <w:color w:val="auto"/>
          <w:sz w:val="22"/>
          <w:szCs w:val="22"/>
          <w:highlight w:val="none"/>
          <w:lang w:eastAsia="zh-CN"/>
        </w:rPr>
        <w:t>（</w:t>
      </w:r>
      <w:r>
        <w:rPr>
          <w:b/>
          <w:bCs w:val="0"/>
          <w:color w:val="auto"/>
          <w:sz w:val="22"/>
          <w:szCs w:val="22"/>
          <w:highlight w:val="none"/>
        </w:rPr>
        <w:t>如中标，将在中标公示中将此</w:t>
      </w:r>
      <w:r>
        <w:rPr>
          <w:rFonts w:hint="eastAsia"/>
          <w:b/>
          <w:bCs w:val="0"/>
          <w:color w:val="auto"/>
          <w:sz w:val="22"/>
          <w:szCs w:val="22"/>
          <w:highlight w:val="none"/>
        </w:rPr>
        <w:t>中小企业声明函及其相关的证明材料</w:t>
      </w:r>
      <w:r>
        <w:rPr>
          <w:b/>
          <w:bCs w:val="0"/>
          <w:color w:val="auto"/>
          <w:sz w:val="22"/>
          <w:szCs w:val="22"/>
          <w:highlight w:val="none"/>
        </w:rPr>
        <w:t>予以公示</w:t>
      </w:r>
      <w:r>
        <w:rPr>
          <w:rFonts w:hint="eastAsia"/>
          <w:b/>
          <w:bCs w:val="0"/>
          <w:color w:val="auto"/>
          <w:sz w:val="22"/>
          <w:szCs w:val="22"/>
          <w:highlight w:val="none"/>
          <w:lang w:eastAsia="zh-CN"/>
        </w:rPr>
        <w:t>）</w:t>
      </w:r>
    </w:p>
    <w:p>
      <w:pPr>
        <w:snapToGrid w:val="0"/>
        <w:spacing w:line="400" w:lineRule="exact"/>
        <w:ind w:firstLine="442" w:firstLineChars="200"/>
        <w:jc w:val="center"/>
        <w:rPr>
          <w:rFonts w:ascii="宋体" w:hAnsi="宋体"/>
          <w:b/>
          <w:color w:val="auto"/>
          <w:sz w:val="22"/>
          <w:szCs w:val="22"/>
          <w:highlight w:val="none"/>
        </w:rPr>
      </w:pPr>
      <w:r>
        <w:rPr>
          <w:rFonts w:hint="eastAsia" w:ascii="宋体" w:hAnsi="宋体"/>
          <w:b/>
          <w:color w:val="auto"/>
          <w:sz w:val="22"/>
          <w:szCs w:val="22"/>
          <w:highlight w:val="none"/>
        </w:rPr>
        <w:t>【本项目专门面向</w:t>
      </w:r>
      <w:r>
        <w:rPr>
          <w:rFonts w:hint="eastAsia" w:ascii="宋体" w:hAnsi="宋体"/>
          <w:b/>
          <w:color w:val="auto"/>
          <w:sz w:val="22"/>
          <w:szCs w:val="22"/>
          <w:highlight w:val="none"/>
          <w:lang w:eastAsia="zh-CN"/>
        </w:rPr>
        <w:t>小微企业</w:t>
      </w:r>
      <w:r>
        <w:rPr>
          <w:rFonts w:hint="eastAsia" w:ascii="宋体" w:hAnsi="宋体"/>
          <w:b/>
          <w:color w:val="auto"/>
          <w:sz w:val="22"/>
          <w:szCs w:val="22"/>
          <w:highlight w:val="none"/>
        </w:rPr>
        <w:t>】</w:t>
      </w:r>
    </w:p>
    <w:p>
      <w:pPr>
        <w:snapToGrid w:val="0"/>
        <w:spacing w:line="420" w:lineRule="exact"/>
        <w:jc w:val="center"/>
        <w:rPr>
          <w:b/>
          <w:bCs/>
          <w:color w:val="auto"/>
          <w:sz w:val="32"/>
          <w:szCs w:val="36"/>
          <w:highlight w:val="none"/>
        </w:rPr>
      </w:pPr>
    </w:p>
    <w:p>
      <w:pPr>
        <w:snapToGrid w:val="0"/>
        <w:spacing w:line="440" w:lineRule="atLeast"/>
        <w:jc w:val="center"/>
        <w:rPr>
          <w:b/>
          <w:bCs/>
          <w:i w:val="0"/>
          <w:iCs w:val="0"/>
          <w:color w:val="auto"/>
          <w:sz w:val="40"/>
          <w:szCs w:val="40"/>
          <w:highlight w:val="none"/>
        </w:rPr>
      </w:pPr>
      <w:r>
        <w:rPr>
          <w:b/>
          <w:bCs/>
          <w:i w:val="0"/>
          <w:iCs w:val="0"/>
          <w:color w:val="auto"/>
          <w:sz w:val="40"/>
          <w:szCs w:val="40"/>
          <w:highlight w:val="none"/>
        </w:rPr>
        <w:t>中小企业声明函（</w:t>
      </w:r>
      <w:r>
        <w:rPr>
          <w:rFonts w:hint="eastAsia"/>
          <w:b/>
          <w:bCs/>
          <w:i w:val="0"/>
          <w:iCs w:val="0"/>
          <w:color w:val="auto"/>
          <w:sz w:val="40"/>
          <w:szCs w:val="40"/>
          <w:highlight w:val="none"/>
          <w:lang w:val="en-US" w:eastAsia="zh-CN"/>
        </w:rPr>
        <w:t>工程、</w:t>
      </w:r>
      <w:r>
        <w:rPr>
          <w:b/>
          <w:bCs/>
          <w:i w:val="0"/>
          <w:iCs w:val="0"/>
          <w:color w:val="auto"/>
          <w:sz w:val="40"/>
          <w:szCs w:val="40"/>
          <w:highlight w:val="none"/>
        </w:rPr>
        <w:t>服务）</w:t>
      </w:r>
    </w:p>
    <w:p>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rFonts w:hint="eastAsia"/>
          <w:color w:val="auto"/>
          <w:sz w:val="22"/>
          <w:szCs w:val="22"/>
          <w:highlight w:val="none"/>
        </w:rPr>
      </w:pPr>
      <w:r>
        <w:rPr>
          <w:color w:val="auto"/>
          <w:sz w:val="22"/>
          <w:szCs w:val="22"/>
          <w:highlight w:val="none"/>
        </w:rPr>
        <w:t>本公司（联合体）郑重声明，根据《政府采购促进中小 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采购活动，工程的施工单位全部为符合政策要求的</w:t>
      </w:r>
      <w:r>
        <w:rPr>
          <w:rFonts w:hint="eastAsia"/>
          <w:color w:val="auto"/>
          <w:sz w:val="22"/>
          <w:szCs w:val="22"/>
          <w:highlight w:val="none"/>
          <w:lang w:val="en-US" w:eastAsia="zh-CN"/>
        </w:rPr>
        <w:t>小微</w:t>
      </w:r>
      <w:r>
        <w:rPr>
          <w:color w:val="auto"/>
          <w:sz w:val="22"/>
          <w:szCs w:val="22"/>
          <w:highlight w:val="none"/>
        </w:rPr>
        <w:t>企业（或者：服务全部由符合政策要求的</w:t>
      </w:r>
      <w:r>
        <w:rPr>
          <w:rFonts w:hint="eastAsia"/>
          <w:color w:val="auto"/>
          <w:sz w:val="22"/>
          <w:szCs w:val="22"/>
          <w:highlight w:val="none"/>
          <w:lang w:val="en-US" w:eastAsia="zh-CN"/>
        </w:rPr>
        <w:t>小微</w:t>
      </w:r>
      <w:r>
        <w:rPr>
          <w:color w:val="auto"/>
          <w:sz w:val="22"/>
          <w:szCs w:val="22"/>
          <w:highlight w:val="none"/>
        </w:rPr>
        <w:t>企业承接）。相关企业</w:t>
      </w:r>
      <w:r>
        <w:rPr>
          <w:rFonts w:ascii="宋体" w:hAnsi="宋体"/>
          <w:b w:val="0"/>
          <w:bCs/>
          <w:color w:val="auto"/>
          <w:sz w:val="22"/>
          <w:szCs w:val="22"/>
          <w:highlight w:val="none"/>
        </w:rPr>
        <w:t>（含联合体中的</w:t>
      </w:r>
      <w:r>
        <w:rPr>
          <w:rFonts w:hint="eastAsia" w:ascii="Times New Roman" w:hAnsi="Times New Roman" w:eastAsia="宋体" w:cs="Times New Roman"/>
          <w:b w:val="0"/>
          <w:bCs/>
          <w:color w:val="auto"/>
          <w:kern w:val="0"/>
          <w:sz w:val="22"/>
          <w:szCs w:val="22"/>
          <w:highlight w:val="none"/>
          <w:lang w:val="en-US" w:eastAsia="zh-CN"/>
        </w:rPr>
        <w:t>小微</w:t>
      </w:r>
      <w:r>
        <w:rPr>
          <w:rFonts w:ascii="宋体" w:hAnsi="宋体"/>
          <w:b w:val="0"/>
          <w:bCs/>
          <w:color w:val="auto"/>
          <w:sz w:val="22"/>
          <w:szCs w:val="22"/>
          <w:highlight w:val="none"/>
        </w:rPr>
        <w:t>企业、签订分包意向协议的</w:t>
      </w:r>
      <w:r>
        <w:rPr>
          <w:rFonts w:hint="eastAsia" w:ascii="宋体" w:hAnsi="宋体"/>
          <w:b w:val="0"/>
          <w:bCs/>
          <w:color w:val="auto"/>
          <w:sz w:val="22"/>
          <w:szCs w:val="22"/>
          <w:highlight w:val="none"/>
          <w:lang w:val="en-US" w:eastAsia="zh-CN"/>
        </w:rPr>
        <w:t>小微</w:t>
      </w:r>
      <w:r>
        <w:rPr>
          <w:rFonts w:ascii="宋体" w:hAnsi="宋体"/>
          <w:b w:val="0"/>
          <w:bCs/>
          <w:color w:val="auto"/>
          <w:sz w:val="22"/>
          <w:szCs w:val="22"/>
          <w:highlight w:val="none"/>
        </w:rPr>
        <w:t>企业）</w:t>
      </w:r>
      <w:r>
        <w:rPr>
          <w:color w:val="auto"/>
          <w:sz w:val="22"/>
          <w:szCs w:val="22"/>
          <w:highlight w:val="none"/>
        </w:rPr>
        <w:t xml:space="preserve">的具体情况如下： </w:t>
      </w:r>
    </w:p>
    <w:p>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b/>
          <w:bCs/>
          <w:color w:val="auto"/>
          <w:sz w:val="22"/>
          <w:szCs w:val="22"/>
          <w:highlight w:val="none"/>
          <w:u w:val="single"/>
          <w:lang w:eastAsia="zh-CN"/>
        </w:rPr>
        <w:t>农、林、牧、渔业</w:t>
      </w:r>
      <w:r>
        <w:rPr>
          <w:rFonts w:hint="eastAsia"/>
          <w:b w:val="0"/>
          <w:bCs w:val="0"/>
          <w:color w:val="auto"/>
          <w:sz w:val="22"/>
          <w:szCs w:val="22"/>
          <w:highlight w:val="none"/>
          <w:u w:val="none"/>
          <w:lang w:val="en-US" w:eastAsia="zh-CN"/>
        </w:rPr>
        <w:t xml:space="preserve"> 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（小型企业、微型企业）</w:t>
      </w:r>
      <w:r>
        <w:rPr>
          <w:color w:val="auto"/>
          <w:sz w:val="22"/>
          <w:szCs w:val="22"/>
          <w:highlight w:val="none"/>
        </w:rPr>
        <w:t xml:space="preserve">； </w:t>
      </w:r>
    </w:p>
    <w:p>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rFonts w:hint="eastAsia"/>
          <w:color w:val="auto"/>
          <w:sz w:val="22"/>
          <w:szCs w:val="22"/>
          <w:highlight w:val="none"/>
        </w:rPr>
      </w:pPr>
      <w:r>
        <w:rPr>
          <w:color w:val="auto"/>
          <w:sz w:val="22"/>
          <w:szCs w:val="22"/>
          <w:highlight w:val="none"/>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val="0"/>
        <w:spacing w:line="360" w:lineRule="atLeast"/>
        <w:textAlignment w:val="auto"/>
        <w:rPr>
          <w:color w:val="auto"/>
          <w:sz w:val="22"/>
          <w:szCs w:val="22"/>
          <w:highlight w:val="none"/>
        </w:rPr>
      </w:pPr>
      <w:r>
        <w:rPr>
          <w:color w:val="auto"/>
          <w:sz w:val="22"/>
          <w:szCs w:val="22"/>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atLeast"/>
        <w:ind w:firstLine="440" w:firstLineChars="200"/>
        <w:textAlignment w:val="auto"/>
        <w:rPr>
          <w:rFonts w:hint="eastAsia"/>
          <w:color w:val="auto"/>
          <w:sz w:val="22"/>
          <w:szCs w:val="22"/>
          <w:highlight w:val="none"/>
        </w:rPr>
      </w:pPr>
      <w:r>
        <w:rPr>
          <w:color w:val="auto"/>
          <w:sz w:val="22"/>
          <w:szCs w:val="22"/>
          <w:highlight w:val="none"/>
        </w:rPr>
        <w:t xml:space="preserve">企业名称（盖章）： </w:t>
      </w:r>
    </w:p>
    <w:p>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tLeas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日期：   </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填写说明：</w:t>
      </w:r>
    </w:p>
    <w:p>
      <w:pPr>
        <w:keepNext w:val="0"/>
        <w:keepLines w:val="0"/>
        <w:pageBreakBefore w:val="0"/>
        <w:widowControl/>
        <w:kinsoku/>
        <w:wordWrap/>
        <w:overflowPunct/>
        <w:topLinePunct w:val="0"/>
        <w:autoSpaceDE/>
        <w:autoSpaceDN/>
        <w:bidi w:val="0"/>
        <w:adjustRightInd/>
        <w:spacing w:line="240" w:lineRule="auto"/>
        <w:textAlignment w:val="auto"/>
        <w:rPr>
          <w:rFonts w:hint="eastAsia"/>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w:t>
      </w:r>
    </w:p>
    <w:p>
      <w:pPr>
        <w:snapToGrid w:val="0"/>
        <w:spacing w:line="400" w:lineRule="exact"/>
        <w:ind w:firstLine="440" w:firstLineChars="200"/>
        <w:rPr>
          <w:color w:val="auto"/>
          <w:sz w:val="22"/>
          <w:szCs w:val="22"/>
          <w:highlight w:val="none"/>
        </w:rPr>
      </w:pPr>
      <w:r>
        <w:rPr>
          <w:rFonts w:hint="eastAsia"/>
          <w:color w:val="auto"/>
          <w:sz w:val="22"/>
          <w:szCs w:val="22"/>
          <w:highlight w:val="none"/>
        </w:rPr>
        <w:t>填写说明：</w:t>
      </w:r>
    </w:p>
    <w:p>
      <w:pPr>
        <w:pBdr>
          <w:bottom w:val="single" w:color="auto" w:sz="6" w:space="1"/>
        </w:pBdr>
        <w:snapToGrid w:val="0"/>
        <w:spacing w:line="320" w:lineRule="exact"/>
        <w:ind w:firstLine="482" w:firstLineChars="200"/>
        <w:rPr>
          <w:rFonts w:hint="eastAsia" w:ascii="宋体" w:hAnsi="宋体" w:eastAsia="宋体" w:cs="宋体"/>
          <w:b/>
          <w:bCs w:val="0"/>
          <w:color w:val="auto"/>
          <w:sz w:val="24"/>
          <w:szCs w:val="22"/>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color w:val="auto"/>
          <w:sz w:val="24"/>
          <w:szCs w:val="22"/>
          <w:highlight w:val="none"/>
        </w:rPr>
        <w:t>提示：磋商供应商应实事求是填写并提供本表</w:t>
      </w:r>
      <w:r>
        <w:rPr>
          <w:rFonts w:hint="eastAsia" w:ascii="宋体" w:hAnsi="宋体" w:eastAsia="宋体" w:cs="宋体"/>
          <w:b/>
          <w:bCs/>
          <w:color w:val="auto"/>
          <w:sz w:val="22"/>
          <w:szCs w:val="22"/>
          <w:highlight w:val="none"/>
        </w:rPr>
        <w:t>。</w:t>
      </w:r>
      <w:r>
        <w:rPr>
          <w:rFonts w:hint="eastAsia" w:ascii="宋体" w:hAnsi="宋体" w:eastAsia="宋体" w:cs="宋体"/>
          <w:b/>
          <w:bCs w:val="0"/>
          <w:color w:val="auto"/>
          <w:sz w:val="24"/>
          <w:szCs w:val="22"/>
          <w:highlight w:val="none"/>
        </w:rPr>
        <w:t>根据财政部 工业和信息化部 财库〔2020〕46号文件规定，《中小企业声明函》内容不实的，属于提供虚假资料谋求中标、成交，依照《中华人民共和国政府采购法》等有关规定追究相应责任。</w:t>
      </w:r>
    </w:p>
    <w:p>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省级以上监狱管理局、戒毒管理局（含新疆生产建设兵团）提供的属于监狱企业的证明文件。</w:t>
      </w:r>
    </w:p>
    <w:tbl>
      <w:tblPr>
        <w:tblStyle w:val="39"/>
        <w:tblW w:w="0" w:type="auto"/>
        <w:tblInd w:w="108" w:type="dxa"/>
        <w:tblLayout w:type="fixed"/>
        <w:tblCellMar>
          <w:top w:w="0" w:type="dxa"/>
          <w:left w:w="0" w:type="dxa"/>
          <w:bottom w:w="0" w:type="dxa"/>
          <w:right w:w="0" w:type="dxa"/>
        </w:tblCellMar>
      </w:tblPr>
      <w:tblGrid>
        <w:gridCol w:w="8980"/>
      </w:tblGrid>
      <w:tr>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left"/>
              <w:rPr>
                <w:color w:val="auto"/>
                <w:sz w:val="24"/>
                <w:highlight w:val="none"/>
              </w:rPr>
            </w:pPr>
            <w:r>
              <w:rPr>
                <w:rFonts w:hint="eastAsia"/>
                <w:color w:val="auto"/>
                <w:sz w:val="24"/>
                <w:highlight w:val="none"/>
              </w:rPr>
              <w:t>注：证明文件无固定格式要求，只需证明供应商为监狱企业且出具单位为省级以上监狱管理局、戒毒管理局（含新疆生产建设兵团）</w:t>
            </w: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36"/>
                <w:highlight w:val="none"/>
              </w:rPr>
            </w:pPr>
          </w:p>
        </w:tc>
      </w:tr>
    </w:tbl>
    <w:p>
      <w:pPr>
        <w:snapToGrid w:val="0"/>
        <w:spacing w:line="360" w:lineRule="auto"/>
        <w:jc w:val="center"/>
        <w:rPr>
          <w:rFonts w:hint="eastAsia"/>
          <w:b/>
          <w:color w:val="auto"/>
          <w:sz w:val="32"/>
          <w:szCs w:val="40"/>
          <w:highlight w:val="none"/>
        </w:rPr>
      </w:pPr>
    </w:p>
    <w:p>
      <w:pPr>
        <w:snapToGrid w:val="0"/>
        <w:spacing w:line="360" w:lineRule="auto"/>
        <w:rPr>
          <w:rFonts w:hint="eastAsia"/>
          <w:b/>
          <w:color w:val="auto"/>
          <w:spacing w:val="6"/>
          <w:highlight w:val="none"/>
        </w:rPr>
      </w:pPr>
    </w:p>
    <w:p>
      <w:pPr>
        <w:snapToGrid w:val="0"/>
        <w:spacing w:line="360" w:lineRule="auto"/>
        <w:rPr>
          <w:rFonts w:hint="eastAsia"/>
          <w:b/>
          <w:color w:val="auto"/>
          <w:spacing w:val="6"/>
          <w:highlight w:val="none"/>
        </w:rPr>
      </w:pPr>
    </w:p>
    <w:p>
      <w:pPr>
        <w:snapToGrid w:val="0"/>
        <w:spacing w:line="360" w:lineRule="auto"/>
        <w:jc w:val="center"/>
        <w:rPr>
          <w:rFonts w:hint="eastAsia"/>
          <w:b/>
          <w:color w:val="auto"/>
          <w:spacing w:val="6"/>
          <w:highlight w:val="none"/>
        </w:rPr>
        <w:sectPr>
          <w:headerReference r:id="rId16" w:type="default"/>
          <w:footerReference r:id="rId17" w:type="default"/>
          <w:pgSz w:w="11907" w:h="16840"/>
          <w:pgMar w:top="1440" w:right="1117" w:bottom="1440" w:left="1440" w:header="720" w:footer="720" w:gutter="0"/>
          <w:cols w:space="720" w:num="1"/>
          <w:titlePg/>
          <w:docGrid w:linePitch="286" w:charSpace="0"/>
        </w:sectPr>
      </w:pPr>
    </w:p>
    <w:p>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残疾人福利性单位声明函</w:t>
      </w:r>
    </w:p>
    <w:p>
      <w:pPr>
        <w:spacing w:line="360" w:lineRule="auto"/>
        <w:jc w:val="center"/>
        <w:rPr>
          <w:rFonts w:ascii="仿宋_GB2312" w:eastAsia="仿宋_GB2312"/>
          <w:b/>
          <w:color w:val="auto"/>
          <w:spacing w:val="6"/>
          <w:sz w:val="32"/>
          <w:szCs w:val="32"/>
          <w:highlight w:val="none"/>
        </w:rPr>
      </w:pPr>
    </w:p>
    <w:p>
      <w:pPr>
        <w:spacing w:line="360" w:lineRule="auto"/>
        <w:ind w:firstLine="584"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s="Arial"/>
          <w:b/>
          <w:color w:val="auto"/>
          <w:sz w:val="28"/>
          <w:szCs w:val="28"/>
          <w:highlight w:val="none"/>
          <w:u w:val="single"/>
        </w:rPr>
        <w:t xml:space="preserve">  （项目名称）（项目编号：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pPr>
        <w:spacing w:line="360" w:lineRule="auto"/>
        <w:ind w:firstLine="504" w:firstLineChars="200"/>
        <w:rPr>
          <w:rFonts w:ascii="仿宋" w:hAnsi="仿宋" w:eastAsia="仿宋"/>
          <w:color w:val="auto"/>
          <w:spacing w:val="6"/>
          <w:sz w:val="24"/>
          <w:highlight w:val="none"/>
        </w:rPr>
      </w:pPr>
    </w:p>
    <w:p>
      <w:pPr>
        <w:tabs>
          <w:tab w:val="left" w:pos="4860"/>
        </w:tabs>
        <w:spacing w:line="360" w:lineRule="auto"/>
        <w:ind w:right="1560"/>
        <w:jc w:val="left"/>
        <w:rPr>
          <w:rFonts w:hint="eastAsia"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pPr>
        <w:tabs>
          <w:tab w:val="left" w:pos="4860"/>
        </w:tabs>
        <w:spacing w:line="360" w:lineRule="auto"/>
        <w:ind w:right="1560"/>
        <w:jc w:val="left"/>
        <w:rPr>
          <w:rFonts w:ascii="仿宋" w:hAnsi="仿宋" w:eastAsia="仿宋"/>
          <w:color w:val="auto"/>
          <w:spacing w:val="6"/>
          <w:sz w:val="28"/>
          <w:highlight w:val="none"/>
        </w:rPr>
      </w:pPr>
    </w:p>
    <w:p>
      <w:pPr>
        <w:spacing w:line="360" w:lineRule="auto"/>
        <w:rPr>
          <w:rFonts w:hint="eastAsia"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pPr>
        <w:pStyle w:val="20"/>
        <w:rPr>
          <w:rFonts w:hint="eastAsia"/>
          <w:color w:val="auto"/>
          <w:highlight w:val="none"/>
        </w:rPr>
        <w:sectPr>
          <w:pgSz w:w="11907" w:h="16840"/>
          <w:pgMar w:top="1440" w:right="1117" w:bottom="1440" w:left="1440" w:header="720" w:footer="720" w:gutter="0"/>
          <w:pgNumType w:fmt="decimal"/>
          <w:cols w:space="720" w:num="1"/>
          <w:titlePg/>
          <w:docGrid w:linePitch="286" w:charSpace="0"/>
        </w:sectPr>
      </w:pPr>
      <w:r>
        <w:rPr>
          <w:rFonts w:hint="eastAsia" w:ascii="仿宋" w:hAnsi="仿宋" w:eastAsia="仿宋" w:cs="宋体"/>
          <w:b/>
          <w:color w:val="auto"/>
          <w:sz w:val="24"/>
          <w:szCs w:val="22"/>
          <w:highlight w:val="none"/>
        </w:rPr>
        <w:t>提示：磋商供应商应实事求是填写并提供本表。</w:t>
      </w:r>
    </w:p>
    <w:p>
      <w:pPr>
        <w:pStyle w:val="5"/>
        <w:rPr>
          <w:rFonts w:hint="eastAsia" w:ascii="宋体" w:hAnsi="宋体" w:cs="宋体"/>
          <w:color w:val="auto"/>
          <w:highlight w:val="none"/>
        </w:rPr>
      </w:pPr>
      <w:r>
        <w:rPr>
          <w:rFonts w:hint="eastAsia" w:ascii="宋体" w:hAnsi="宋体" w:cs="宋体"/>
          <w:color w:val="auto"/>
          <w:highlight w:val="none"/>
          <w:lang w:eastAsia="zh-CN"/>
        </w:rPr>
        <w:t>二</w:t>
      </w:r>
      <w:r>
        <w:rPr>
          <w:rFonts w:hint="eastAsia" w:ascii="宋体" w:hAnsi="宋体" w:cs="宋体"/>
          <w:color w:val="auto"/>
          <w:highlight w:val="none"/>
        </w:rPr>
        <w:t>、“商务技术文件”格式</w:t>
      </w:r>
    </w:p>
    <w:p>
      <w:pPr>
        <w:pStyle w:val="6"/>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.1 “商务技术文件”封面</w:t>
      </w:r>
    </w:p>
    <w:p>
      <w:pPr>
        <w:spacing w:line="360" w:lineRule="auto"/>
        <w:jc w:val="right"/>
        <w:rPr>
          <w:rFonts w:hint="eastAsia"/>
          <w:b/>
          <w:color w:val="auto"/>
          <w:sz w:val="32"/>
          <w:szCs w:val="22"/>
          <w:highlight w:val="none"/>
        </w:rPr>
      </w:pPr>
    </w:p>
    <w:p>
      <w:pPr>
        <w:spacing w:line="360" w:lineRule="auto"/>
        <w:jc w:val="center"/>
        <w:rPr>
          <w:rFonts w:hint="eastAsia" w:eastAsia="宋体"/>
          <w:b/>
          <w:color w:val="auto"/>
          <w:sz w:val="52"/>
          <w:szCs w:val="22"/>
          <w:highlight w:val="none"/>
          <w:lang w:eastAsia="zh-CN"/>
        </w:rPr>
      </w:pPr>
      <w:r>
        <w:rPr>
          <w:rFonts w:hint="eastAsia"/>
          <w:b/>
          <w:color w:val="auto"/>
          <w:w w:val="90"/>
          <w:sz w:val="44"/>
          <w:szCs w:val="22"/>
          <w:highlight w:val="none"/>
        </w:rPr>
        <w:t xml:space="preserve"> </w:t>
      </w:r>
      <w:r>
        <w:rPr>
          <w:rFonts w:hint="eastAsia"/>
          <w:b/>
          <w:color w:val="auto"/>
          <w:w w:val="90"/>
          <w:sz w:val="44"/>
          <w:szCs w:val="22"/>
          <w:highlight w:val="none"/>
          <w:lang w:eastAsia="zh-CN"/>
        </w:rPr>
        <w:t>2024 年平阳县水头镇高标准农田改造提升示范项目（绿色农田建设项目）-土壤改良培肥</w:t>
      </w:r>
    </w:p>
    <w:p>
      <w:pPr>
        <w:spacing w:line="276" w:lineRule="auto"/>
        <w:jc w:val="center"/>
        <w:rPr>
          <w:rFonts w:hint="eastAsia"/>
          <w:color w:val="auto"/>
          <w:sz w:val="96"/>
          <w:szCs w:val="22"/>
          <w:highlight w:val="none"/>
        </w:rPr>
      </w:pPr>
      <w:r>
        <w:rPr>
          <w:rFonts w:hint="eastAsia"/>
          <w:color w:val="auto"/>
          <w:sz w:val="96"/>
          <w:szCs w:val="22"/>
          <w:highlight w:val="none"/>
          <w:lang w:val="en-US" w:eastAsia="zh-CN"/>
        </w:rPr>
        <w:t>响 应</w:t>
      </w:r>
      <w:r>
        <w:rPr>
          <w:rFonts w:hint="eastAsia"/>
          <w:color w:val="auto"/>
          <w:sz w:val="96"/>
          <w:szCs w:val="22"/>
          <w:highlight w:val="none"/>
        </w:rPr>
        <w:t xml:space="preserve"> 文 件</w:t>
      </w:r>
    </w:p>
    <w:p>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pPr>
        <w:spacing w:line="360" w:lineRule="auto"/>
        <w:jc w:val="center"/>
        <w:rPr>
          <w:rFonts w:hint="eastAsia"/>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bl>
    <w:p>
      <w:pPr>
        <w:rPr>
          <w:rFonts w:hint="eastAsia"/>
          <w:color w:val="auto"/>
          <w:highlight w:val="none"/>
        </w:rPr>
      </w:pPr>
    </w:p>
    <w:p>
      <w:pPr>
        <w:pStyle w:val="6"/>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lang w:val="en-US" w:eastAsia="zh-CN"/>
        </w:rPr>
        <w:t>2</w:t>
      </w:r>
      <w:r>
        <w:rPr>
          <w:rFonts w:hint="eastAsia" w:ascii="宋体" w:hAnsi="宋体" w:cs="宋体"/>
          <w:color w:val="auto"/>
          <w:highlight w:val="none"/>
        </w:rPr>
        <w:t>.2供应商自评分指引表</w:t>
      </w:r>
    </w:p>
    <w:tbl>
      <w:tblPr>
        <w:tblStyle w:val="39"/>
        <w:tblW w:w="9905" w:type="dxa"/>
        <w:tblInd w:w="0" w:type="dxa"/>
        <w:tblLayout w:type="fixed"/>
        <w:tblCellMar>
          <w:top w:w="0" w:type="dxa"/>
          <w:left w:w="0" w:type="dxa"/>
          <w:bottom w:w="0" w:type="dxa"/>
          <w:right w:w="0" w:type="dxa"/>
        </w:tblCellMar>
      </w:tblPr>
      <w:tblGrid>
        <w:gridCol w:w="817"/>
        <w:gridCol w:w="7513"/>
        <w:gridCol w:w="1575"/>
      </w:tblGrid>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lang w:eastAsia="zh-CN"/>
              </w:rPr>
              <w:t>响应文件</w:t>
            </w:r>
            <w:r>
              <w:rPr>
                <w:rFonts w:hint="eastAsia"/>
                <w:color w:val="auto"/>
                <w:sz w:val="22"/>
                <w:highlight w:val="none"/>
              </w:rPr>
              <w:t>索引（页码）</w:t>
            </w: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bl>
    <w:p>
      <w:pPr>
        <w:rPr>
          <w:rFonts w:hint="eastAsia"/>
          <w:color w:val="auto"/>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sectPr>
          <w:pgSz w:w="11906" w:h="16838"/>
          <w:pgMar w:top="1440" w:right="1361" w:bottom="1440" w:left="1361" w:header="851" w:footer="992" w:gutter="0"/>
          <w:pgNumType w:fmt="decimal"/>
          <w:cols w:space="720" w:num="1"/>
          <w:docGrid w:linePitch="312" w:charSpace="0"/>
        </w:sectPr>
      </w:pPr>
    </w:p>
    <w:p>
      <w:pPr>
        <w:rPr>
          <w:rFonts w:hint="eastAsia"/>
          <w:color w:val="auto"/>
          <w:sz w:val="32"/>
          <w:highlight w:val="none"/>
        </w:rPr>
      </w:pPr>
      <w:r>
        <w:rPr>
          <w:rFonts w:hint="eastAsia"/>
          <w:color w:val="auto"/>
          <w:sz w:val="32"/>
          <w:highlight w:val="none"/>
          <w:lang w:val="en-US" w:eastAsia="zh-CN"/>
        </w:rPr>
        <w:t>2</w:t>
      </w:r>
      <w:r>
        <w:rPr>
          <w:rFonts w:hint="eastAsia"/>
          <w:color w:val="auto"/>
          <w:sz w:val="32"/>
          <w:highlight w:val="none"/>
        </w:rPr>
        <w:t>.3供应商参与政府采购活动投标资格声明函</w:t>
      </w:r>
    </w:p>
    <w:p>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39"/>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6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lang w:eastAsia="zh-CN"/>
              </w:rPr>
              <w:t>加盖公章</w:t>
            </w:r>
            <w:r>
              <w:rPr>
                <w:rFonts w:hint="eastAsia"/>
                <w:color w:val="auto"/>
                <w:sz w:val="22"/>
                <w:highlight w:val="none"/>
              </w:rPr>
              <w:t>）：</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签署日期：</w:t>
            </w:r>
          </w:p>
        </w:tc>
      </w:tr>
    </w:tbl>
    <w:p>
      <w:pPr>
        <w:snapToGrid w:val="0"/>
        <w:spacing w:line="460" w:lineRule="atLeast"/>
        <w:rPr>
          <w:rFonts w:hint="eastAsia"/>
          <w:color w:val="auto"/>
          <w:sz w:val="30"/>
          <w:highlight w:val="none"/>
        </w:rPr>
      </w:pPr>
    </w:p>
    <w:p>
      <w:pPr>
        <w:rPr>
          <w:rFonts w:hint="eastAsia"/>
          <w:color w:val="auto"/>
          <w:sz w:val="36"/>
          <w:highlight w:val="none"/>
        </w:rPr>
      </w:pPr>
    </w:p>
    <w:p>
      <w:pPr>
        <w:rPr>
          <w:rFonts w:hint="eastAsia"/>
          <w:color w:val="auto"/>
          <w:sz w:val="36"/>
          <w:highlight w:val="none"/>
        </w:rPr>
      </w:pPr>
    </w:p>
    <w:p>
      <w:pPr>
        <w:rPr>
          <w:rFonts w:hint="eastAsia"/>
          <w:color w:val="auto"/>
          <w:sz w:val="36"/>
          <w:highlight w:val="none"/>
        </w:rPr>
        <w:sectPr>
          <w:pgSz w:w="11906" w:h="16838"/>
          <w:pgMar w:top="1440" w:right="1361" w:bottom="1440" w:left="1361" w:header="851" w:footer="992" w:gutter="0"/>
          <w:pgNumType w:fmt="decimal"/>
          <w:cols w:space="720" w:num="1"/>
          <w:docGrid w:linePitch="312" w:charSpace="0"/>
        </w:sectPr>
      </w:pPr>
    </w:p>
    <w:p>
      <w:pPr>
        <w:pStyle w:val="2"/>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lang w:val="en-US" w:eastAsia="zh-CN"/>
        </w:rPr>
        <w:t>2</w:t>
      </w:r>
      <w:r>
        <w:rPr>
          <w:rFonts w:hint="eastAsia" w:hAnsi="宋体" w:cs="宋体"/>
          <w:color w:val="auto"/>
          <w:kern w:val="0"/>
          <w:sz w:val="32"/>
          <w:szCs w:val="24"/>
          <w:highlight w:val="none"/>
        </w:rPr>
        <w:t>.4</w:t>
      </w:r>
      <w:r>
        <w:rPr>
          <w:rFonts w:hint="eastAsia" w:hAnsi="宋体" w:cs="宋体"/>
          <w:color w:val="auto"/>
          <w:kern w:val="0"/>
          <w:sz w:val="32"/>
          <w:szCs w:val="24"/>
          <w:highlight w:val="none"/>
          <w:lang w:eastAsia="zh-CN"/>
        </w:rPr>
        <w:t xml:space="preserve">磋商函 </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2"/>
          <w:highlight w:val="none"/>
          <w:lang w:eastAsia="zh-CN"/>
        </w:rPr>
        <w:t>磋</w:t>
      </w:r>
      <w:r>
        <w:rPr>
          <w:rFonts w:hint="eastAsia" w:hAnsi="宋体" w:cs="宋体"/>
          <w:color w:val="auto"/>
          <w:sz w:val="32"/>
          <w:highlight w:val="none"/>
          <w:lang w:val="en-US" w:eastAsia="zh-CN"/>
        </w:rPr>
        <w:t xml:space="preserve">  </w:t>
      </w:r>
      <w:r>
        <w:rPr>
          <w:rFonts w:hint="eastAsia" w:hAnsi="宋体" w:cs="宋体"/>
          <w:color w:val="auto"/>
          <w:sz w:val="32"/>
          <w:highlight w:val="none"/>
          <w:lang w:eastAsia="zh-CN"/>
        </w:rPr>
        <w:t>商</w:t>
      </w:r>
      <w:r>
        <w:rPr>
          <w:rFonts w:hint="eastAsia" w:hAnsi="宋体" w:cs="宋体"/>
          <w:color w:val="auto"/>
          <w:sz w:val="36"/>
          <w:highlight w:val="none"/>
        </w:rPr>
        <w:t xml:space="preserve">  函</w:t>
      </w:r>
    </w:p>
    <w:p>
      <w:pPr>
        <w:pStyle w:val="2"/>
        <w:adjustRightInd w:val="0"/>
        <w:snapToGrid w:val="0"/>
        <w:spacing w:line="360" w:lineRule="atLeast"/>
        <w:rPr>
          <w:rFonts w:hint="eastAsia" w:hAnsi="宋体" w:cs="宋体"/>
          <w:color w:val="auto"/>
          <w:sz w:val="22"/>
          <w:szCs w:val="22"/>
          <w:highlight w:val="none"/>
          <w:u w:val="single"/>
        </w:rPr>
      </w:pPr>
      <w:r>
        <w:rPr>
          <w:rFonts w:hint="eastAsia" w:hAnsi="宋体" w:cs="宋体"/>
          <w:color w:val="auto"/>
          <w:sz w:val="22"/>
          <w:szCs w:val="22"/>
          <w:highlight w:val="none"/>
          <w:u w:val="single"/>
          <w:lang w:val="en-US" w:eastAsia="zh-CN"/>
        </w:rPr>
        <w:t>平阳县水头镇人民政府</w:t>
      </w:r>
      <w:r>
        <w:rPr>
          <w:rFonts w:hint="eastAsia" w:hAnsi="宋体" w:cs="宋体"/>
          <w:color w:val="auto"/>
          <w:sz w:val="22"/>
          <w:szCs w:val="22"/>
          <w:highlight w:val="none"/>
          <w:u w:val="single"/>
        </w:rPr>
        <w:t>：</w:t>
      </w:r>
    </w:p>
    <w:p>
      <w:pPr>
        <w:autoSpaceDE w:val="0"/>
        <w:autoSpaceDN w:val="0"/>
        <w:adjustRightInd w:val="0"/>
        <w:snapToGrid w:val="0"/>
        <w:spacing w:line="360" w:lineRule="atLeast"/>
        <w:rPr>
          <w:rFonts w:hint="eastAsia"/>
          <w:color w:val="auto"/>
          <w:sz w:val="22"/>
          <w:szCs w:val="22"/>
          <w:highlight w:val="none"/>
          <w:lang w:val="zh-CN"/>
        </w:rPr>
      </w:pPr>
      <w:r>
        <w:rPr>
          <w:rFonts w:hint="eastAsia"/>
          <w:color w:val="auto"/>
          <w:sz w:val="22"/>
          <w:szCs w:val="22"/>
          <w:highlight w:val="none"/>
        </w:rPr>
        <w:t xml:space="preserve">     </w:t>
      </w:r>
      <w:r>
        <w:rPr>
          <w:rFonts w:hint="eastAsia"/>
          <w:color w:val="auto"/>
          <w:sz w:val="22"/>
          <w:szCs w:val="22"/>
          <w:highlight w:val="none"/>
          <w:lang w:val="zh-CN"/>
        </w:rPr>
        <w:t xml:space="preserve"> </w:t>
      </w:r>
      <w:r>
        <w:rPr>
          <w:rFonts w:hint="eastAsia"/>
          <w:color w:val="auto"/>
          <w:sz w:val="22"/>
          <w:szCs w:val="22"/>
          <w:highlight w:val="none"/>
          <w:u w:val="single"/>
          <w:lang w:val="zh-CN"/>
        </w:rPr>
        <w:t xml:space="preserve">                    </w:t>
      </w:r>
      <w:r>
        <w:rPr>
          <w:rFonts w:hint="eastAsia"/>
          <w:color w:val="auto"/>
          <w:sz w:val="22"/>
          <w:szCs w:val="22"/>
          <w:highlight w:val="none"/>
          <w:lang w:val="zh-CN"/>
        </w:rPr>
        <w:t>（供应商全称）授权</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 （授权代表名称）</w:t>
      </w:r>
      <w:r>
        <w:rPr>
          <w:rFonts w:hint="eastAsia"/>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rFonts w:hint="eastAsia"/>
          <w:color w:val="auto"/>
          <w:sz w:val="22"/>
          <w:szCs w:val="22"/>
          <w:highlight w:val="none"/>
          <w:u w:val="single"/>
          <w:lang w:val="zh-CN"/>
        </w:rPr>
        <w:t xml:space="preserve">           </w:t>
      </w:r>
      <w:r>
        <w:rPr>
          <w:rFonts w:hint="eastAsia"/>
          <w:color w:val="auto"/>
          <w:sz w:val="22"/>
          <w:szCs w:val="22"/>
          <w:highlight w:val="none"/>
          <w:lang w:val="zh-CN"/>
        </w:rPr>
        <w:t>（采购项目名称）（括号内填投标编号）采购的有关活动，为此：并对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项目（采购项目名称）进行投标。   </w:t>
      </w:r>
    </w:p>
    <w:p>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1、提供供应商须知规定的全部响应文件</w:t>
      </w:r>
      <w:r>
        <w:rPr>
          <w:rFonts w:hint="eastAsia" w:ascii="宋体" w:hAnsi="宋体"/>
          <w:color w:val="auto"/>
          <w:sz w:val="22"/>
          <w:highlight w:val="none"/>
        </w:rPr>
        <w:t>。</w:t>
      </w:r>
    </w:p>
    <w:p>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2、保证遵守竞争性磋商文件中的有关规定和收费标准。</w:t>
      </w:r>
    </w:p>
    <w:p>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3、保证忠实地执行双方所签的合同，并承担合同规定的责任义务。</w:t>
      </w:r>
    </w:p>
    <w:p>
      <w:pPr>
        <w:widowControl/>
        <w:snapToGrid w:val="0"/>
        <w:spacing w:line="460" w:lineRule="atLeast"/>
        <w:ind w:firstLine="539"/>
        <w:jc w:val="left"/>
        <w:rPr>
          <w:rFonts w:ascii="宋体" w:hAnsi="宋体"/>
          <w:b/>
          <w:color w:val="auto"/>
          <w:sz w:val="22"/>
          <w:highlight w:val="none"/>
        </w:rPr>
      </w:pPr>
      <w:r>
        <w:rPr>
          <w:rFonts w:ascii="宋体" w:hAnsi="宋体"/>
          <w:b/>
          <w:color w:val="auto"/>
          <w:sz w:val="22"/>
          <w:highlight w:val="none"/>
        </w:rPr>
        <w:t>4、我单位承诺如我单位为成交供应商，我方根据采购人要求完成本项目。</w:t>
      </w:r>
    </w:p>
    <w:p>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6、愿意向贵方提供任何与该项采购有关的数据、情况和技术资料，完全理解贵方不一定接受最低价的响应文件或收到的任何响应文件。</w:t>
      </w:r>
    </w:p>
    <w:p>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7、利益冲突：近三年内直至目前，我公司与本项目的采购人、采购机构没有任何的</w:t>
      </w:r>
      <w:r>
        <w:rPr>
          <w:rFonts w:hint="eastAsia" w:ascii="宋体" w:hAnsi="宋体"/>
          <w:color w:val="auto"/>
          <w:sz w:val="22"/>
          <w:highlight w:val="none"/>
        </w:rPr>
        <w:t>利害</w:t>
      </w:r>
      <w:r>
        <w:rPr>
          <w:rFonts w:ascii="宋体" w:hAnsi="宋体"/>
          <w:color w:val="auto"/>
          <w:sz w:val="22"/>
          <w:highlight w:val="none"/>
        </w:rPr>
        <w:t>关系。</w:t>
      </w:r>
    </w:p>
    <w:p>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8、</w:t>
      </w:r>
      <w:r>
        <w:rPr>
          <w:rFonts w:hint="eastAsia" w:ascii="宋体" w:hAnsi="宋体" w:cs="仿宋_GB2312"/>
          <w:color w:val="auto"/>
          <w:sz w:val="22"/>
          <w:szCs w:val="22"/>
          <w:highlight w:val="none"/>
          <w:lang w:val="zh-CN"/>
        </w:rPr>
        <w:t>我公司近三年内没有行贿受贿记录；我公司没有被政府采购管理部门限制参加投标。</w:t>
      </w:r>
    </w:p>
    <w:p>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9、响应文件自递交磋商响应文件截止时间之日起90天内有效。</w:t>
      </w:r>
    </w:p>
    <w:p>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10、与本采购有关的一切往来通讯请寄：</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rFonts w:hint="eastAsia"/>
          <w:color w:val="auto"/>
          <w:sz w:val="22"/>
          <w:szCs w:val="22"/>
          <w:highlight w:val="none"/>
          <w:u w:val="single"/>
          <w:lang w:val="zh-CN"/>
        </w:rPr>
        <w:t xml:space="preserve">               </w:t>
      </w:r>
      <w:r>
        <w:rPr>
          <w:rFonts w:hint="eastAsia"/>
          <w:color w:val="auto"/>
          <w:sz w:val="22"/>
          <w:szCs w:val="22"/>
          <w:highlight w:val="none"/>
          <w:lang w:val="zh-CN"/>
        </w:rPr>
        <w:t>电话：</w:t>
      </w:r>
      <w:r>
        <w:rPr>
          <w:rFonts w:hint="eastAsia"/>
          <w:color w:val="auto"/>
          <w:sz w:val="22"/>
          <w:szCs w:val="22"/>
          <w:highlight w:val="none"/>
          <w:u w:val="single"/>
          <w:lang w:val="zh-CN"/>
        </w:rPr>
        <w:t xml:space="preserve">                 </w:t>
      </w:r>
      <w:r>
        <w:rPr>
          <w:rFonts w:hint="eastAsia"/>
          <w:color w:val="auto"/>
          <w:sz w:val="22"/>
          <w:szCs w:val="22"/>
          <w:highlight w:val="none"/>
          <w:lang w:val="zh-CN"/>
        </w:rPr>
        <w:t>传真：</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26" w:firstLineChars="12"/>
        <w:rPr>
          <w:rFonts w:hint="eastAsia"/>
          <w:color w:val="auto"/>
          <w:sz w:val="22"/>
          <w:szCs w:val="22"/>
          <w:highlight w:val="none"/>
          <w:lang w:val="zh-CN"/>
        </w:rPr>
      </w:pP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en-US" w:eastAsia="zh-CN"/>
        </w:rPr>
        <w:t>磋商</w:t>
      </w:r>
      <w:r>
        <w:rPr>
          <w:rFonts w:hint="eastAsia"/>
          <w:color w:val="auto"/>
          <w:sz w:val="22"/>
          <w:szCs w:val="22"/>
          <w:highlight w:val="none"/>
          <w:lang w:val="zh-CN"/>
        </w:rPr>
        <w:t>供应商（盖章）：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pPr>
        <w:autoSpaceDE w:val="0"/>
        <w:autoSpaceDN w:val="0"/>
        <w:adjustRightInd w:val="0"/>
        <w:snapToGrid w:val="0"/>
        <w:spacing w:line="360" w:lineRule="atLeast"/>
        <w:ind w:firstLine="627" w:firstLineChars="285"/>
        <w:rPr>
          <w:rFonts w:hint="eastAsia"/>
          <w:b/>
          <w:color w:val="auto"/>
          <w:sz w:val="22"/>
          <w:szCs w:val="22"/>
          <w:highlight w:val="none"/>
          <w:u w:val="single"/>
          <w:lang w:val="zh-CN"/>
        </w:rPr>
      </w:pPr>
      <w:r>
        <w:rPr>
          <w:rFonts w:hint="eastAsia"/>
          <w:color w:val="auto"/>
          <w:sz w:val="22"/>
          <w:szCs w:val="22"/>
          <w:highlight w:val="none"/>
        </w:rPr>
        <w:t>▲</w:t>
      </w:r>
      <w:r>
        <w:rPr>
          <w:rFonts w:hint="eastAsia"/>
          <w:b/>
          <w:color w:val="auto"/>
          <w:highlight w:val="none"/>
          <w:u w:val="single"/>
        </w:rPr>
        <w:t>不提供本函做无效投标处理。</w:t>
      </w:r>
    </w:p>
    <w:p>
      <w:pPr>
        <w:tabs>
          <w:tab w:val="left" w:pos="1080"/>
        </w:tabs>
        <w:autoSpaceDE w:val="0"/>
        <w:autoSpaceDN w:val="0"/>
        <w:adjustRightInd w:val="0"/>
        <w:spacing w:line="440" w:lineRule="atLeast"/>
        <w:outlineLvl w:val="0"/>
        <w:rPr>
          <w:rFonts w:hint="eastAsia"/>
          <w:color w:val="auto"/>
          <w:sz w:val="32"/>
          <w:highlight w:val="none"/>
        </w:rPr>
      </w:pPr>
    </w:p>
    <w:p>
      <w:pPr>
        <w:pStyle w:val="2"/>
        <w:adjustRightInd w:val="0"/>
        <w:snapToGrid w:val="0"/>
        <w:spacing w:line="320" w:lineRule="atLeast"/>
        <w:outlineLvl w:val="0"/>
        <w:rPr>
          <w:rFonts w:hint="eastAsia" w:hAnsi="宋体" w:cs="宋体"/>
          <w:color w:val="auto"/>
          <w:sz w:val="32"/>
          <w:highlight w:val="none"/>
        </w:rPr>
      </w:pPr>
      <w:r>
        <w:rPr>
          <w:color w:val="auto"/>
          <w:sz w:val="32"/>
          <w:highlight w:val="none"/>
        </w:rPr>
        <w:br w:type="page"/>
      </w:r>
      <w:r>
        <w:rPr>
          <w:rFonts w:hint="eastAsia"/>
          <w:color w:val="auto"/>
          <w:sz w:val="32"/>
          <w:highlight w:val="none"/>
          <w:lang w:val="en-US" w:eastAsia="zh-CN"/>
        </w:rPr>
        <w:t>2</w:t>
      </w:r>
      <w:r>
        <w:rPr>
          <w:rFonts w:hint="eastAsia"/>
          <w:color w:val="auto"/>
          <w:sz w:val="32"/>
          <w:highlight w:val="none"/>
        </w:rPr>
        <w:t>.5</w:t>
      </w:r>
      <w:r>
        <w:rPr>
          <w:rFonts w:hint="eastAsia" w:hAnsi="宋体" w:cs="宋体"/>
          <w:color w:val="auto"/>
          <w:sz w:val="32"/>
          <w:highlight w:val="none"/>
          <w:lang w:eastAsia="zh-CN"/>
        </w:rPr>
        <w:t>磋商供应商</w:t>
      </w:r>
      <w:r>
        <w:rPr>
          <w:rFonts w:hint="eastAsia" w:hAnsi="宋体" w:cs="宋体"/>
          <w:color w:val="auto"/>
          <w:sz w:val="32"/>
          <w:highlight w:val="none"/>
        </w:rPr>
        <w:t>情况声明</w:t>
      </w:r>
    </w:p>
    <w:p>
      <w:pPr>
        <w:pStyle w:val="2"/>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lang w:eastAsia="zh-CN"/>
        </w:rPr>
        <w:t>磋商供应商</w:t>
      </w:r>
      <w:r>
        <w:rPr>
          <w:rFonts w:hint="eastAsia" w:hAnsi="宋体" w:cs="宋体"/>
          <w:b/>
          <w:color w:val="auto"/>
          <w:sz w:val="36"/>
          <w:highlight w:val="none"/>
        </w:rPr>
        <w:t>情况声明</w:t>
      </w:r>
    </w:p>
    <w:p>
      <w:pPr>
        <w:spacing w:line="400" w:lineRule="exact"/>
        <w:outlineLvl w:val="0"/>
        <w:rPr>
          <w:rFonts w:hint="eastAsia"/>
          <w:color w:val="auto"/>
          <w:sz w:val="22"/>
          <w:highlight w:val="none"/>
        </w:rPr>
      </w:pPr>
      <w:r>
        <w:rPr>
          <w:rFonts w:hint="eastAsia"/>
          <w:color w:val="auto"/>
          <w:sz w:val="22"/>
          <w:highlight w:val="none"/>
        </w:rPr>
        <w:t>1. 名称及概况：</w:t>
      </w:r>
    </w:p>
    <w:p>
      <w:pPr>
        <w:spacing w:line="400" w:lineRule="exact"/>
        <w:rPr>
          <w:rFonts w:hint="eastAsia"/>
          <w:color w:val="auto"/>
          <w:sz w:val="22"/>
          <w:highlight w:val="none"/>
        </w:rPr>
      </w:pPr>
      <w:r>
        <w:rPr>
          <w:rFonts w:hint="eastAsia"/>
          <w:color w:val="auto"/>
          <w:sz w:val="22"/>
          <w:highlight w:val="none"/>
        </w:rPr>
        <w:t>（1）</w:t>
      </w:r>
      <w:r>
        <w:rPr>
          <w:rFonts w:hint="eastAsia"/>
          <w:color w:val="auto"/>
          <w:sz w:val="22"/>
          <w:highlight w:val="none"/>
          <w:lang w:val="en-US" w:eastAsia="zh-CN"/>
        </w:rPr>
        <w:t>磋商</w:t>
      </w:r>
      <w:r>
        <w:rPr>
          <w:rFonts w:hint="eastAsia"/>
          <w:color w:val="auto"/>
          <w:sz w:val="22"/>
          <w:highlight w:val="none"/>
        </w:rPr>
        <w:t>供应商名称：</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pPr>
        <w:spacing w:line="400" w:lineRule="exact"/>
        <w:rPr>
          <w:rFonts w:hint="eastAsia"/>
          <w:color w:val="auto"/>
          <w:sz w:val="22"/>
          <w:highlight w:val="none"/>
        </w:rPr>
      </w:pPr>
    </w:p>
    <w:p>
      <w:pPr>
        <w:spacing w:line="400" w:lineRule="exact"/>
        <w:rPr>
          <w:rFonts w:hint="eastAsia"/>
          <w:color w:val="auto"/>
          <w:sz w:val="22"/>
          <w:highlight w:val="none"/>
        </w:rPr>
      </w:pPr>
      <w:r>
        <w:rPr>
          <w:rFonts w:hint="eastAsia"/>
          <w:color w:val="auto"/>
          <w:sz w:val="22"/>
          <w:highlight w:val="none"/>
          <w:lang w:val="en-US" w:eastAsia="zh-CN"/>
        </w:rPr>
        <w:t>磋商</w:t>
      </w:r>
      <w:r>
        <w:rPr>
          <w:rFonts w:hint="eastAsia"/>
          <w:color w:val="auto"/>
          <w:sz w:val="22"/>
          <w:highlight w:val="none"/>
        </w:rPr>
        <w:t>供应商名称</w:t>
      </w:r>
      <w:r>
        <w:rPr>
          <w:rFonts w:hint="eastAsia"/>
          <w:color w:val="auto"/>
          <w:sz w:val="22"/>
          <w:highlight w:val="none"/>
          <w:u w:val="single"/>
        </w:rPr>
        <w:t xml:space="preserve">                               （盖章）</w:t>
      </w:r>
    </w:p>
    <w:p>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highlight w:val="none"/>
        </w:rPr>
        <w:t>法定代表人或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pPr>
        <w:pStyle w:val="2"/>
        <w:spacing w:line="400" w:lineRule="atLeast"/>
        <w:rPr>
          <w:rFonts w:hint="eastAsia" w:hAnsi="宋体" w:cs="宋体"/>
          <w:b/>
          <w:color w:val="auto"/>
          <w:sz w:val="32"/>
          <w:szCs w:val="32"/>
          <w:highlight w:val="none"/>
        </w:rPr>
      </w:pPr>
    </w:p>
    <w:p>
      <w:pPr>
        <w:pStyle w:val="2"/>
        <w:spacing w:line="400" w:lineRule="atLeast"/>
        <w:rPr>
          <w:rFonts w:hint="eastAsia" w:hAnsi="宋体" w:cs="宋体"/>
          <w:b/>
          <w:color w:val="auto"/>
          <w:sz w:val="32"/>
          <w:szCs w:val="32"/>
          <w:highlight w:val="none"/>
        </w:rPr>
      </w:pPr>
    </w:p>
    <w:p>
      <w:pPr>
        <w:pStyle w:val="2"/>
        <w:spacing w:line="400" w:lineRule="atLeast"/>
        <w:rPr>
          <w:rFonts w:hint="eastAsia" w:hAnsi="宋体" w:cs="宋体"/>
          <w:b/>
          <w:color w:val="auto"/>
          <w:sz w:val="32"/>
          <w:szCs w:val="32"/>
          <w:highlight w:val="none"/>
        </w:rPr>
      </w:pPr>
    </w:p>
    <w:p>
      <w:pPr>
        <w:pStyle w:val="2"/>
        <w:spacing w:line="400" w:lineRule="atLeast"/>
        <w:rPr>
          <w:rFonts w:hint="eastAsia" w:hAnsi="宋体" w:cs="宋体"/>
          <w:b/>
          <w:color w:val="auto"/>
          <w:sz w:val="32"/>
          <w:szCs w:val="32"/>
          <w:highlight w:val="none"/>
        </w:rPr>
      </w:pPr>
    </w:p>
    <w:p>
      <w:pPr>
        <w:pStyle w:val="2"/>
        <w:spacing w:line="400" w:lineRule="atLeast"/>
        <w:rPr>
          <w:rFonts w:hint="eastAsia" w:hAnsi="宋体" w:cs="宋体"/>
          <w:b/>
          <w:color w:val="auto"/>
          <w:sz w:val="32"/>
          <w:szCs w:val="32"/>
          <w:highlight w:val="none"/>
        </w:rPr>
      </w:pPr>
    </w:p>
    <w:p>
      <w:pPr>
        <w:autoSpaceDE w:val="0"/>
        <w:autoSpaceDN w:val="0"/>
        <w:adjustRightInd w:val="0"/>
        <w:rPr>
          <w:rFonts w:hint="eastAsia"/>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pacing w:val="20"/>
          <w:sz w:val="22"/>
          <w:szCs w:val="22"/>
          <w:highlight w:val="none"/>
        </w:rPr>
      </w:pPr>
      <w:r>
        <w:rPr>
          <w:rFonts w:hint="eastAsia"/>
          <w:color w:val="auto"/>
          <w:sz w:val="32"/>
          <w:highlight w:val="none"/>
          <w:lang w:val="en-US" w:eastAsia="zh-CN"/>
        </w:rPr>
        <w:t>2</w:t>
      </w:r>
      <w:r>
        <w:rPr>
          <w:rFonts w:hint="eastAsia"/>
          <w:color w:val="auto"/>
          <w:sz w:val="32"/>
          <w:highlight w:val="none"/>
        </w:rPr>
        <w:t>.</w:t>
      </w:r>
      <w:r>
        <w:rPr>
          <w:rFonts w:hint="eastAsia"/>
          <w:color w:val="auto"/>
          <w:sz w:val="32"/>
          <w:highlight w:val="none"/>
          <w:lang w:val="en-US" w:eastAsia="zh-CN"/>
        </w:rPr>
        <w:t xml:space="preserve">6 </w:t>
      </w:r>
      <w:r>
        <w:rPr>
          <w:rFonts w:hint="eastAsia" w:ascii="宋体" w:hAnsi="宋体" w:eastAsia="宋体" w:cs="宋体"/>
          <w:b/>
          <w:color w:val="auto"/>
          <w:sz w:val="28"/>
          <w:szCs w:val="28"/>
          <w:highlight w:val="none"/>
          <w:lang w:val="en-US" w:eastAsia="zh-CN"/>
        </w:rPr>
        <w:t>所投化肥</w:t>
      </w:r>
      <w:r>
        <w:rPr>
          <w:rFonts w:hint="eastAsia"/>
          <w:b/>
          <w:color w:val="auto"/>
          <w:sz w:val="28"/>
          <w:szCs w:val="28"/>
          <w:highlight w:val="none"/>
        </w:rPr>
        <w:t>数量、</w:t>
      </w:r>
      <w:r>
        <w:rPr>
          <w:rFonts w:hint="eastAsia"/>
          <w:b/>
          <w:color w:val="auto"/>
          <w:spacing w:val="20"/>
          <w:sz w:val="28"/>
          <w:szCs w:val="28"/>
          <w:highlight w:val="none"/>
        </w:rPr>
        <w:t>配置及主要技术参数表</w:t>
      </w:r>
    </w:p>
    <w:p>
      <w:pPr>
        <w:autoSpaceDE w:val="0"/>
        <w:autoSpaceDN w:val="0"/>
        <w:adjustRightInd w:val="0"/>
        <w:outlineLvl w:val="0"/>
        <w:rPr>
          <w:rFonts w:hint="eastAsia"/>
          <w:b/>
          <w:color w:val="auto"/>
          <w:spacing w:val="20"/>
          <w:sz w:val="22"/>
          <w:szCs w:val="22"/>
          <w:highlight w:val="none"/>
        </w:rPr>
      </w:pPr>
    </w:p>
    <w:p>
      <w:pPr>
        <w:jc w:val="center"/>
        <w:rPr>
          <w:rFonts w:hint="eastAsia" w:ascii="宋体" w:hAnsi="宋体" w:eastAsia="宋体" w:cs="宋体"/>
          <w:color w:val="auto"/>
          <w:spacing w:val="20"/>
          <w:highlight w:val="none"/>
        </w:rPr>
      </w:pPr>
      <w:r>
        <w:rPr>
          <w:rFonts w:hint="eastAsia" w:ascii="宋体" w:hAnsi="宋体" w:eastAsia="宋体" w:cs="宋体"/>
          <w:b/>
          <w:color w:val="auto"/>
          <w:spacing w:val="20"/>
          <w:sz w:val="32"/>
          <w:szCs w:val="32"/>
          <w:highlight w:val="none"/>
        </w:rPr>
        <w:t>所投化肥数量、配置及主要技术参数表</w:t>
      </w:r>
    </w:p>
    <w:p>
      <w:pPr>
        <w:spacing w:line="360" w:lineRule="auto"/>
        <w:jc w:val="left"/>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lang w:val="en-US" w:eastAsia="zh-CN"/>
        </w:rPr>
        <w:t>项目编号</w:t>
      </w:r>
      <w:r>
        <w:rPr>
          <w:rFonts w:hint="eastAsia" w:ascii="宋体" w:hAnsi="宋体" w:eastAsia="宋体" w:cs="宋体"/>
          <w:b/>
          <w:color w:val="auto"/>
          <w:spacing w:val="20"/>
          <w:highlight w:val="none"/>
        </w:rPr>
        <w:t>：</w:t>
      </w:r>
      <w:r>
        <w:rPr>
          <w:rFonts w:hint="eastAsia" w:ascii="宋体" w:hAnsi="宋体" w:eastAsia="宋体" w:cs="宋体"/>
          <w:b/>
          <w:color w:val="auto"/>
          <w:spacing w:val="20"/>
          <w:highlight w:val="none"/>
          <w:u w:val="single"/>
        </w:rPr>
        <w:t xml:space="preserve"> </w:t>
      </w:r>
      <w:r>
        <w:rPr>
          <w:rFonts w:hint="eastAsia" w:ascii="宋体" w:hAnsi="宋体" w:eastAsia="宋体" w:cs="宋体"/>
          <w:b/>
          <w:color w:val="auto"/>
          <w:spacing w:val="20"/>
          <w:highlight w:val="none"/>
          <w:u w:val="single"/>
          <w:lang w:val="en-US" w:eastAsia="zh-CN"/>
        </w:rPr>
        <w:t xml:space="preserve"> </w:t>
      </w:r>
      <w:r>
        <w:rPr>
          <w:rFonts w:hint="eastAsia" w:ascii="宋体" w:hAnsi="宋体" w:eastAsia="宋体" w:cs="宋体"/>
          <w:b/>
          <w:color w:val="auto"/>
          <w:spacing w:val="20"/>
          <w:highlight w:val="none"/>
          <w:u w:val="single"/>
          <w:lang w:val="zh-CN"/>
        </w:rPr>
        <w:t xml:space="preserve"> </w:t>
      </w:r>
      <w:r>
        <w:rPr>
          <w:rFonts w:hint="eastAsia" w:ascii="宋体" w:hAnsi="宋体" w:eastAsia="宋体" w:cs="宋体"/>
          <w:b/>
          <w:color w:val="auto"/>
          <w:spacing w:val="20"/>
          <w:highlight w:val="none"/>
          <w:u w:val="single"/>
        </w:rPr>
        <w:t xml:space="preserve"> </w:t>
      </w:r>
      <w:r>
        <w:rPr>
          <w:rFonts w:hint="eastAsia" w:ascii="宋体" w:hAnsi="宋体" w:eastAsia="宋体" w:cs="宋体"/>
          <w:b/>
          <w:color w:val="auto"/>
          <w:spacing w:val="20"/>
          <w:highlight w:val="none"/>
          <w:u w:val="single"/>
          <w:lang w:val="en-US" w:eastAsia="zh-CN"/>
        </w:rPr>
        <w:t xml:space="preserve">          </w:t>
      </w:r>
      <w:r>
        <w:rPr>
          <w:rFonts w:hint="eastAsia" w:ascii="宋体" w:hAnsi="宋体" w:eastAsia="宋体" w:cs="宋体"/>
          <w:b/>
          <w:color w:val="auto"/>
          <w:spacing w:val="20"/>
          <w:highlight w:val="none"/>
          <w:u w:val="single"/>
        </w:rPr>
        <w:t xml:space="preserve">       </w:t>
      </w:r>
      <w:r>
        <w:rPr>
          <w:rFonts w:hint="eastAsia" w:ascii="宋体" w:hAnsi="宋体" w:eastAsia="宋体" w:cs="宋体"/>
          <w:b/>
          <w:color w:val="auto"/>
          <w:spacing w:val="20"/>
          <w:highlight w:val="none"/>
        </w:rPr>
        <w:t xml:space="preserve"> </w:t>
      </w:r>
    </w:p>
    <w:p>
      <w:pPr>
        <w:spacing w:line="360" w:lineRule="auto"/>
        <w:jc w:val="left"/>
        <w:rPr>
          <w:rFonts w:hint="eastAsia" w:ascii="宋体" w:hAnsi="宋体" w:eastAsia="宋体" w:cs="宋体"/>
          <w:b/>
          <w:color w:val="auto"/>
          <w:spacing w:val="20"/>
          <w:highlight w:val="none"/>
          <w:u w:val="single"/>
          <w:lang w:val="en-US" w:eastAsia="zh-CN"/>
        </w:rPr>
      </w:pPr>
      <w:r>
        <w:rPr>
          <w:rFonts w:hint="eastAsia" w:ascii="宋体" w:hAnsi="宋体" w:eastAsia="宋体" w:cs="宋体"/>
          <w:b/>
          <w:color w:val="auto"/>
          <w:spacing w:val="20"/>
          <w:highlight w:val="none"/>
        </w:rPr>
        <w:t>项目名称：</w:t>
      </w:r>
      <w:r>
        <w:rPr>
          <w:rFonts w:hint="eastAsia" w:ascii="宋体" w:hAnsi="宋体" w:eastAsia="宋体" w:cs="宋体"/>
          <w:b/>
          <w:color w:val="auto"/>
          <w:spacing w:val="20"/>
          <w:highlight w:val="none"/>
          <w:u w:val="single"/>
          <w:lang w:val="en-US" w:eastAsia="zh-CN"/>
        </w:rPr>
        <w:t xml:space="preserve">                       </w:t>
      </w:r>
    </w:p>
    <w:p>
      <w:pPr>
        <w:spacing w:line="360" w:lineRule="auto"/>
        <w:jc w:val="left"/>
        <w:rPr>
          <w:rFonts w:hint="eastAsia" w:ascii="宋体" w:hAnsi="宋体" w:eastAsia="宋体" w:cs="宋体"/>
          <w:color w:val="auto"/>
          <w:highlight w:val="none"/>
          <w:u w:val="single"/>
        </w:rPr>
      </w:pPr>
      <w:r>
        <w:rPr>
          <w:rFonts w:hint="eastAsia" w:ascii="宋体" w:hAnsi="宋体" w:eastAsia="宋体" w:cs="宋体"/>
          <w:b/>
          <w:color w:val="auto"/>
          <w:spacing w:val="20"/>
          <w:highlight w:val="none"/>
        </w:rPr>
        <w:t>供应商名称：</w:t>
      </w:r>
      <w:r>
        <w:rPr>
          <w:rFonts w:hint="eastAsia" w:ascii="宋体" w:hAnsi="宋体" w:eastAsia="宋体" w:cs="宋体"/>
          <w:b/>
          <w:color w:val="auto"/>
          <w:spacing w:val="20"/>
          <w:highlight w:val="none"/>
          <w:u w:val="single"/>
          <w:lang w:val="en-US" w:eastAsia="zh-CN"/>
        </w:rPr>
        <w:t xml:space="preserve">                       </w:t>
      </w:r>
    </w:p>
    <w:tbl>
      <w:tblPr>
        <w:tblStyle w:val="3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881"/>
        <w:gridCol w:w="2400"/>
        <w:gridCol w:w="1132"/>
        <w:gridCol w:w="12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default" w:ascii="宋体" w:hAnsi="宋体" w:eastAsia="宋体" w:cs="宋体"/>
                <w:b/>
                <w:color w:val="auto"/>
                <w:spacing w:val="20"/>
                <w:highlight w:val="none"/>
                <w:lang w:val="en-US" w:eastAsia="zh-CN"/>
              </w:rPr>
            </w:pPr>
            <w:r>
              <w:rPr>
                <w:rFonts w:hint="eastAsia" w:ascii="宋体" w:hAnsi="宋体" w:eastAsia="宋体" w:cs="宋体"/>
                <w:b/>
                <w:color w:val="auto"/>
                <w:spacing w:val="20"/>
                <w:highlight w:val="none"/>
                <w:lang w:val="en-US" w:eastAsia="zh-CN"/>
              </w:rPr>
              <w:t>序号</w:t>
            </w:r>
          </w:p>
        </w:tc>
        <w:tc>
          <w:tcPr>
            <w:tcW w:w="1671" w:type="dxa"/>
            <w:noWrap w:val="0"/>
            <w:vAlign w:val="center"/>
          </w:tcPr>
          <w:p>
            <w:pPr>
              <w:jc w:val="center"/>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t>货物名称</w:t>
            </w:r>
          </w:p>
        </w:tc>
        <w:tc>
          <w:tcPr>
            <w:tcW w:w="1881" w:type="dxa"/>
            <w:noWrap w:val="0"/>
            <w:vAlign w:val="center"/>
          </w:tcPr>
          <w:p>
            <w:pPr>
              <w:jc w:val="center"/>
              <w:rPr>
                <w:rFonts w:hint="default" w:ascii="宋体" w:hAnsi="宋体" w:eastAsia="宋体" w:cs="宋体"/>
                <w:b/>
                <w:color w:val="auto"/>
                <w:spacing w:val="20"/>
                <w:highlight w:val="none"/>
                <w:lang w:val="en-US" w:eastAsia="zh-CN"/>
              </w:rPr>
            </w:pPr>
            <w:r>
              <w:rPr>
                <w:rFonts w:hint="eastAsia" w:ascii="宋体" w:hAnsi="宋体" w:eastAsia="宋体" w:cs="宋体"/>
                <w:b/>
                <w:color w:val="auto"/>
                <w:spacing w:val="20"/>
                <w:highlight w:val="none"/>
              </w:rPr>
              <w:t>品牌</w:t>
            </w:r>
            <w:r>
              <w:rPr>
                <w:rFonts w:hint="eastAsia" w:ascii="宋体" w:hAnsi="宋体" w:eastAsia="宋体" w:cs="宋体"/>
                <w:b/>
                <w:color w:val="auto"/>
                <w:spacing w:val="20"/>
                <w:highlight w:val="none"/>
                <w:lang w:eastAsia="zh-CN"/>
              </w:rPr>
              <w:t>、</w:t>
            </w:r>
            <w:r>
              <w:rPr>
                <w:rFonts w:hint="eastAsia" w:ascii="宋体" w:hAnsi="宋体" w:eastAsia="宋体" w:cs="宋体"/>
                <w:b/>
                <w:color w:val="auto"/>
                <w:spacing w:val="20"/>
                <w:highlight w:val="none"/>
                <w:lang w:val="en-US" w:eastAsia="zh-CN"/>
              </w:rPr>
              <w:t>厂家</w:t>
            </w:r>
          </w:p>
        </w:tc>
        <w:tc>
          <w:tcPr>
            <w:tcW w:w="2400" w:type="dxa"/>
            <w:noWrap w:val="0"/>
            <w:vAlign w:val="center"/>
          </w:tcPr>
          <w:p>
            <w:pPr>
              <w:jc w:val="center"/>
              <w:rPr>
                <w:rFonts w:hint="default" w:ascii="宋体" w:hAnsi="宋体" w:eastAsia="宋体" w:cs="宋体"/>
                <w:b/>
                <w:color w:val="auto"/>
                <w:spacing w:val="20"/>
                <w:highlight w:val="none"/>
                <w:lang w:val="en-US" w:eastAsia="zh-CN"/>
              </w:rPr>
            </w:pPr>
            <w:r>
              <w:rPr>
                <w:rFonts w:hint="eastAsia" w:ascii="宋体" w:hAnsi="宋体" w:eastAsia="宋体" w:cs="宋体"/>
                <w:b/>
                <w:color w:val="auto"/>
                <w:spacing w:val="20"/>
                <w:highlight w:val="none"/>
              </w:rPr>
              <w:t>主要规格、型号</w:t>
            </w:r>
            <w:r>
              <w:rPr>
                <w:rFonts w:hint="eastAsia" w:ascii="宋体" w:hAnsi="宋体" w:eastAsia="宋体" w:cs="宋体"/>
                <w:b/>
                <w:color w:val="auto"/>
                <w:spacing w:val="20"/>
                <w:highlight w:val="none"/>
                <w:lang w:eastAsia="zh-CN"/>
              </w:rPr>
              <w:t>、</w:t>
            </w:r>
            <w:r>
              <w:rPr>
                <w:rFonts w:hint="eastAsia" w:ascii="宋体" w:hAnsi="宋体" w:eastAsia="宋体" w:cs="宋体"/>
                <w:b/>
                <w:color w:val="auto"/>
                <w:spacing w:val="20"/>
                <w:highlight w:val="none"/>
                <w:lang w:val="en-US" w:eastAsia="zh-CN"/>
              </w:rPr>
              <w:t>参数</w:t>
            </w:r>
          </w:p>
        </w:tc>
        <w:tc>
          <w:tcPr>
            <w:tcW w:w="1132" w:type="dxa"/>
            <w:noWrap w:val="0"/>
            <w:vAlign w:val="center"/>
          </w:tcPr>
          <w:p>
            <w:pPr>
              <w:jc w:val="center"/>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t>数量</w:t>
            </w:r>
          </w:p>
        </w:tc>
        <w:tc>
          <w:tcPr>
            <w:tcW w:w="1244" w:type="dxa"/>
            <w:noWrap w:val="0"/>
            <w:vAlign w:val="center"/>
          </w:tcPr>
          <w:p>
            <w:pPr>
              <w:jc w:val="center"/>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lang w:val="en-US" w:eastAsia="zh-CN"/>
              </w:rPr>
            </w:pPr>
            <w:r>
              <w:rPr>
                <w:rFonts w:hint="eastAsia" w:ascii="宋体" w:hAnsi="宋体" w:eastAsia="宋体" w:cs="宋体"/>
                <w:color w:val="auto"/>
                <w:spacing w:val="20"/>
                <w:highlight w:val="none"/>
                <w:lang w:val="en-US" w:eastAsia="zh-CN"/>
              </w:rPr>
              <w:t>1</w:t>
            </w:r>
          </w:p>
        </w:tc>
        <w:tc>
          <w:tcPr>
            <w:tcW w:w="167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磷肥（钙镁磷肥）</w:t>
            </w: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lang w:val="en-US" w:eastAsia="zh-CN"/>
              </w:rPr>
            </w:pPr>
            <w:r>
              <w:rPr>
                <w:rFonts w:hint="eastAsia" w:ascii="宋体" w:hAnsi="宋体" w:eastAsia="宋体" w:cs="宋体"/>
                <w:color w:val="auto"/>
                <w:spacing w:val="20"/>
                <w:highlight w:val="none"/>
                <w:lang w:val="en-US" w:eastAsia="zh-CN"/>
              </w:rPr>
              <w:t>2</w:t>
            </w:r>
          </w:p>
        </w:tc>
        <w:tc>
          <w:tcPr>
            <w:tcW w:w="167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钾肥（氯化钾）</w:t>
            </w: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77" w:type="dxa"/>
            <w:noWrap w:val="0"/>
            <w:vAlign w:val="center"/>
          </w:tcPr>
          <w:p>
            <w:pPr>
              <w:jc w:val="center"/>
              <w:rPr>
                <w:rFonts w:hint="eastAsia" w:ascii="宋体" w:hAnsi="宋体" w:eastAsia="宋体" w:cs="宋体"/>
                <w:color w:val="auto"/>
                <w:spacing w:val="20"/>
                <w:highlight w:val="none"/>
                <w:lang w:val="en-US" w:eastAsia="zh-CN"/>
              </w:rPr>
            </w:pPr>
            <w:r>
              <w:rPr>
                <w:rFonts w:hint="eastAsia" w:ascii="宋体" w:hAnsi="宋体" w:eastAsia="宋体" w:cs="宋体"/>
                <w:color w:val="auto"/>
                <w:spacing w:val="20"/>
                <w:highlight w:val="none"/>
                <w:lang w:val="en-US" w:eastAsia="zh-CN"/>
              </w:rPr>
              <w:t>3</w:t>
            </w:r>
          </w:p>
        </w:tc>
        <w:tc>
          <w:tcPr>
            <w:tcW w:w="1671" w:type="dxa"/>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bCs/>
                <w:color w:val="auto"/>
                <w:sz w:val="22"/>
                <w:szCs w:val="22"/>
                <w:highlight w:val="none"/>
              </w:rPr>
              <w:t>改善PH值（生石灰）</w:t>
            </w: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lang w:val="en-US" w:eastAsia="zh-CN"/>
              </w:rPr>
            </w:pPr>
            <w:r>
              <w:rPr>
                <w:rFonts w:hint="eastAsia" w:ascii="宋体" w:hAnsi="宋体" w:eastAsia="宋体" w:cs="宋体"/>
                <w:color w:val="auto"/>
                <w:spacing w:val="20"/>
                <w:highlight w:val="none"/>
                <w:lang w:val="en-US" w:eastAsia="zh-CN"/>
              </w:rPr>
              <w:t>4</w:t>
            </w:r>
          </w:p>
        </w:tc>
        <w:tc>
          <w:tcPr>
            <w:tcW w:w="1671" w:type="dxa"/>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bCs/>
                <w:color w:val="auto"/>
                <w:sz w:val="22"/>
                <w:szCs w:val="22"/>
                <w:highlight w:val="none"/>
              </w:rPr>
              <w:t>有机肥</w:t>
            </w: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lang w:val="en-US" w:eastAsia="zh-CN"/>
              </w:rPr>
            </w:pPr>
            <w:r>
              <w:rPr>
                <w:rFonts w:hint="eastAsia" w:ascii="宋体" w:hAnsi="宋体" w:eastAsia="宋体" w:cs="宋体"/>
                <w:color w:val="auto"/>
                <w:spacing w:val="20"/>
                <w:highlight w:val="none"/>
                <w:lang w:val="en-US" w:eastAsia="zh-CN"/>
              </w:rPr>
              <w:t>5</w:t>
            </w:r>
          </w:p>
        </w:tc>
        <w:tc>
          <w:tcPr>
            <w:tcW w:w="167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配方肥</w:t>
            </w: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lang w:val="en-US" w:eastAsia="zh-CN"/>
              </w:rPr>
            </w:pPr>
            <w:r>
              <w:rPr>
                <w:rFonts w:hint="eastAsia" w:ascii="宋体" w:hAnsi="宋体" w:eastAsia="宋体" w:cs="宋体"/>
                <w:color w:val="auto"/>
                <w:spacing w:val="20"/>
                <w:highlight w:val="none"/>
                <w:lang w:val="en-US" w:eastAsia="zh-CN"/>
              </w:rPr>
              <w:t>6</w:t>
            </w:r>
          </w:p>
        </w:tc>
        <w:tc>
          <w:tcPr>
            <w:tcW w:w="167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种植绿肥（紫云英）</w:t>
            </w: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rPr>
            </w:pPr>
          </w:p>
        </w:tc>
        <w:tc>
          <w:tcPr>
            <w:tcW w:w="1671" w:type="dxa"/>
            <w:noWrap w:val="0"/>
            <w:vAlign w:val="center"/>
          </w:tcPr>
          <w:p>
            <w:pPr>
              <w:jc w:val="center"/>
              <w:rPr>
                <w:rFonts w:hint="eastAsia" w:ascii="宋体" w:hAnsi="宋体" w:eastAsia="宋体" w:cs="宋体"/>
                <w:color w:val="auto"/>
                <w:highlight w:val="none"/>
              </w:rPr>
            </w:pP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rPr>
            </w:pPr>
          </w:p>
        </w:tc>
        <w:tc>
          <w:tcPr>
            <w:tcW w:w="1671" w:type="dxa"/>
            <w:noWrap w:val="0"/>
            <w:vAlign w:val="center"/>
          </w:tcPr>
          <w:p>
            <w:pPr>
              <w:jc w:val="center"/>
              <w:rPr>
                <w:rFonts w:hint="eastAsia" w:ascii="宋体" w:hAnsi="宋体" w:eastAsia="宋体" w:cs="宋体"/>
                <w:color w:val="auto"/>
                <w:spacing w:val="20"/>
                <w:highlight w:val="none"/>
              </w:rPr>
            </w:pP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rPr>
            </w:pPr>
          </w:p>
        </w:tc>
        <w:tc>
          <w:tcPr>
            <w:tcW w:w="1671" w:type="dxa"/>
            <w:noWrap w:val="0"/>
            <w:vAlign w:val="center"/>
          </w:tcPr>
          <w:p>
            <w:pPr>
              <w:jc w:val="center"/>
              <w:rPr>
                <w:rFonts w:hint="eastAsia" w:ascii="宋体" w:hAnsi="宋体" w:eastAsia="宋体" w:cs="宋体"/>
                <w:color w:val="auto"/>
                <w:spacing w:val="20"/>
                <w:highlight w:val="none"/>
              </w:rPr>
            </w:pP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rPr>
            </w:pPr>
          </w:p>
        </w:tc>
        <w:tc>
          <w:tcPr>
            <w:tcW w:w="1671" w:type="dxa"/>
            <w:noWrap w:val="0"/>
            <w:vAlign w:val="top"/>
          </w:tcPr>
          <w:p>
            <w:pPr>
              <w:spacing w:line="400" w:lineRule="exact"/>
              <w:jc w:val="center"/>
              <w:rPr>
                <w:rFonts w:hint="eastAsia" w:ascii="宋体" w:hAnsi="宋体" w:eastAsia="宋体" w:cs="宋体"/>
                <w:color w:val="auto"/>
                <w:highlight w:val="none"/>
              </w:rPr>
            </w:pP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rPr>
            </w:pPr>
          </w:p>
        </w:tc>
        <w:tc>
          <w:tcPr>
            <w:tcW w:w="1671" w:type="dxa"/>
            <w:noWrap w:val="0"/>
            <w:vAlign w:val="top"/>
          </w:tcPr>
          <w:p>
            <w:pPr>
              <w:spacing w:line="400" w:lineRule="exact"/>
              <w:jc w:val="center"/>
              <w:rPr>
                <w:rFonts w:hint="eastAsia" w:ascii="宋体" w:hAnsi="宋体" w:eastAsia="宋体" w:cs="宋体"/>
                <w:color w:val="auto"/>
                <w:highlight w:val="none"/>
              </w:rPr>
            </w:pP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pPr>
              <w:jc w:val="center"/>
              <w:rPr>
                <w:rFonts w:hint="eastAsia" w:ascii="宋体" w:hAnsi="宋体" w:eastAsia="宋体" w:cs="宋体"/>
                <w:color w:val="auto"/>
                <w:spacing w:val="20"/>
                <w:highlight w:val="none"/>
              </w:rPr>
            </w:pPr>
          </w:p>
        </w:tc>
        <w:tc>
          <w:tcPr>
            <w:tcW w:w="1671" w:type="dxa"/>
            <w:noWrap w:val="0"/>
            <w:vAlign w:val="top"/>
          </w:tcPr>
          <w:p>
            <w:pPr>
              <w:spacing w:line="400" w:lineRule="exact"/>
              <w:jc w:val="center"/>
              <w:rPr>
                <w:rFonts w:hint="eastAsia" w:ascii="宋体" w:hAnsi="宋体" w:eastAsia="宋体" w:cs="宋体"/>
                <w:color w:val="auto"/>
                <w:highlight w:val="none"/>
              </w:rPr>
            </w:pPr>
          </w:p>
        </w:tc>
        <w:tc>
          <w:tcPr>
            <w:tcW w:w="1881" w:type="dxa"/>
            <w:noWrap w:val="0"/>
            <w:vAlign w:val="center"/>
          </w:tcPr>
          <w:p>
            <w:pPr>
              <w:jc w:val="center"/>
              <w:rPr>
                <w:rFonts w:hint="eastAsia" w:ascii="宋体" w:hAnsi="宋体" w:eastAsia="宋体" w:cs="宋体"/>
                <w:color w:val="auto"/>
                <w:spacing w:val="20"/>
                <w:highlight w:val="none"/>
              </w:rPr>
            </w:pPr>
          </w:p>
        </w:tc>
        <w:tc>
          <w:tcPr>
            <w:tcW w:w="2400" w:type="dxa"/>
            <w:noWrap w:val="0"/>
            <w:vAlign w:val="center"/>
          </w:tcPr>
          <w:p>
            <w:pPr>
              <w:jc w:val="center"/>
              <w:rPr>
                <w:rFonts w:hint="eastAsia" w:ascii="宋体" w:hAnsi="宋体" w:eastAsia="宋体" w:cs="宋体"/>
                <w:color w:val="auto"/>
                <w:spacing w:val="20"/>
                <w:highlight w:val="none"/>
              </w:rPr>
            </w:pPr>
          </w:p>
        </w:tc>
        <w:tc>
          <w:tcPr>
            <w:tcW w:w="1132" w:type="dxa"/>
            <w:noWrap w:val="0"/>
            <w:vAlign w:val="center"/>
          </w:tcPr>
          <w:p>
            <w:pPr>
              <w:jc w:val="center"/>
              <w:rPr>
                <w:rFonts w:hint="eastAsia" w:ascii="宋体" w:hAnsi="宋体" w:eastAsia="宋体" w:cs="宋体"/>
                <w:color w:val="auto"/>
                <w:spacing w:val="20"/>
                <w:highlight w:val="none"/>
              </w:rPr>
            </w:pPr>
          </w:p>
        </w:tc>
        <w:tc>
          <w:tcPr>
            <w:tcW w:w="1244" w:type="dxa"/>
            <w:noWrap w:val="0"/>
            <w:vAlign w:val="center"/>
          </w:tcPr>
          <w:p>
            <w:pPr>
              <w:jc w:val="center"/>
              <w:rPr>
                <w:rFonts w:hint="eastAsia" w:ascii="宋体" w:hAnsi="宋体" w:eastAsia="宋体" w:cs="宋体"/>
                <w:color w:val="auto"/>
                <w:spacing w:val="20"/>
                <w:highlight w:val="none"/>
              </w:rPr>
            </w:pPr>
          </w:p>
        </w:tc>
      </w:tr>
    </w:tbl>
    <w:p>
      <w:pPr>
        <w:spacing w:line="360" w:lineRule="auto"/>
        <w:rPr>
          <w:rFonts w:hint="eastAsia" w:ascii="宋体" w:hAnsi="宋体" w:eastAsia="宋体" w:cs="宋体"/>
          <w:b/>
          <w:color w:val="auto"/>
          <w:spacing w:val="20"/>
          <w:highlight w:val="none"/>
        </w:rPr>
      </w:pPr>
    </w:p>
    <w:p>
      <w:pPr>
        <w:spacing w:line="360" w:lineRule="auto"/>
        <w:rPr>
          <w:rFonts w:hint="eastAsia" w:ascii="宋体" w:hAnsi="宋体" w:eastAsia="宋体" w:cs="宋体"/>
          <w:color w:val="auto"/>
          <w:spacing w:val="20"/>
          <w:highlight w:val="none"/>
        </w:rPr>
      </w:pPr>
      <w:r>
        <w:rPr>
          <w:rFonts w:hint="eastAsia" w:ascii="宋体" w:hAnsi="宋体" w:eastAsia="宋体" w:cs="宋体"/>
          <w:b/>
          <w:color w:val="auto"/>
          <w:spacing w:val="20"/>
          <w:highlight w:val="none"/>
        </w:rPr>
        <w:t>供应商盖章</w:t>
      </w:r>
      <w:r>
        <w:rPr>
          <w:rFonts w:hint="eastAsia" w:ascii="宋体" w:hAnsi="宋体" w:eastAsia="宋体" w:cs="宋体"/>
          <w:color w:val="auto"/>
          <w:spacing w:val="20"/>
          <w:highlight w:val="none"/>
        </w:rPr>
        <w:t>：</w:t>
      </w:r>
      <w:r>
        <w:rPr>
          <w:rFonts w:hint="eastAsia" w:ascii="宋体" w:hAnsi="宋体" w:eastAsia="宋体" w:cs="宋体"/>
          <w:color w:val="auto"/>
          <w:spacing w:val="20"/>
          <w:highlight w:val="none"/>
          <w:u w:val="single"/>
        </w:rPr>
        <w:t xml:space="preserve">               </w:t>
      </w:r>
      <w:r>
        <w:rPr>
          <w:rFonts w:hint="eastAsia" w:ascii="宋体" w:hAnsi="宋体" w:eastAsia="宋体" w:cs="宋体"/>
          <w:color w:val="auto"/>
          <w:spacing w:val="20"/>
          <w:highlight w:val="none"/>
        </w:rPr>
        <w:t xml:space="preserve">   </w:t>
      </w:r>
    </w:p>
    <w:p>
      <w:pPr>
        <w:spacing w:line="360" w:lineRule="auto"/>
        <w:rPr>
          <w:rFonts w:hint="eastAsia" w:ascii="宋体" w:hAnsi="宋体" w:eastAsia="宋体" w:cs="宋体"/>
          <w:b/>
          <w:i/>
          <w:color w:val="auto"/>
          <w:spacing w:val="20"/>
          <w:highlight w:val="none"/>
        </w:rPr>
      </w:pPr>
      <w:r>
        <w:rPr>
          <w:rFonts w:hint="eastAsia" w:ascii="宋体" w:hAnsi="宋体" w:eastAsia="宋体" w:cs="宋体"/>
          <w:b/>
          <w:i/>
          <w:color w:val="auto"/>
          <w:spacing w:val="20"/>
          <w:highlight w:val="none"/>
        </w:rPr>
        <w:t>注：1、供应商在投标文件中必须注明所投</w:t>
      </w:r>
      <w:r>
        <w:rPr>
          <w:rFonts w:hint="eastAsia" w:ascii="宋体" w:hAnsi="宋体" w:eastAsia="宋体" w:cs="宋体"/>
          <w:b/>
          <w:i/>
          <w:color w:val="auto"/>
          <w:spacing w:val="20"/>
          <w:highlight w:val="none"/>
          <w:lang w:val="en-US" w:eastAsia="zh-CN"/>
        </w:rPr>
        <w:t>化肥</w:t>
      </w:r>
      <w:r>
        <w:rPr>
          <w:rFonts w:hint="eastAsia" w:ascii="宋体" w:hAnsi="宋体" w:eastAsia="宋体" w:cs="宋体"/>
          <w:b/>
          <w:i/>
          <w:color w:val="auto"/>
          <w:spacing w:val="20"/>
          <w:highlight w:val="none"/>
        </w:rPr>
        <w:t>的品牌及型号等。</w:t>
      </w:r>
    </w:p>
    <w:p>
      <w:pPr>
        <w:spacing w:line="360" w:lineRule="auto"/>
        <w:ind w:firstLine="502" w:firstLineChars="200"/>
        <w:rPr>
          <w:rFonts w:hint="eastAsia" w:ascii="宋体" w:hAnsi="宋体" w:eastAsia="宋体" w:cs="宋体"/>
          <w:b/>
          <w:i/>
          <w:color w:val="auto"/>
          <w:spacing w:val="20"/>
          <w:highlight w:val="none"/>
          <w:lang w:val="zh-CN"/>
        </w:rPr>
      </w:pPr>
      <w:r>
        <w:rPr>
          <w:rFonts w:hint="eastAsia" w:ascii="宋体" w:hAnsi="宋体" w:eastAsia="宋体" w:cs="宋体"/>
          <w:b/>
          <w:i/>
          <w:color w:val="auto"/>
          <w:spacing w:val="20"/>
          <w:highlight w:val="none"/>
          <w:lang w:val="en-US" w:eastAsia="zh-CN"/>
        </w:rPr>
        <w:t>2、</w:t>
      </w:r>
      <w:r>
        <w:rPr>
          <w:rFonts w:hint="eastAsia" w:ascii="宋体" w:hAnsi="宋体" w:eastAsia="宋体" w:cs="宋体"/>
          <w:b/>
          <w:i/>
          <w:color w:val="auto"/>
          <w:spacing w:val="20"/>
          <w:highlight w:val="none"/>
        </w:rPr>
        <w:t>详细配置、技术应另页描述。</w:t>
      </w:r>
    </w:p>
    <w:p>
      <w:pPr>
        <w:autoSpaceDE w:val="0"/>
        <w:autoSpaceDN w:val="0"/>
        <w:adjustRightInd w:val="0"/>
        <w:outlineLvl w:val="0"/>
        <w:rPr>
          <w:rFonts w:hint="eastAsia"/>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en-US" w:eastAsia="zh-CN"/>
        </w:rPr>
        <w:t xml:space="preserve">2.7 </w:t>
      </w:r>
      <w:r>
        <w:rPr>
          <w:rFonts w:hint="eastAsia"/>
          <w:b/>
          <w:color w:val="auto"/>
          <w:sz w:val="32"/>
          <w:highlight w:val="none"/>
          <w:lang w:val="zh-CN"/>
        </w:rPr>
        <w:t>商务偏离表、技术偏离表</w:t>
      </w:r>
    </w:p>
    <w:p>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pPr>
        <w:autoSpaceDE w:val="0"/>
        <w:autoSpaceDN w:val="0"/>
        <w:adjustRightInd w:val="0"/>
        <w:spacing w:line="440" w:lineRule="atLeast"/>
        <w:ind w:firstLine="3413"/>
        <w:rPr>
          <w:rFonts w:hint="eastAsia"/>
          <w:b/>
          <w:color w:val="auto"/>
          <w:sz w:val="36"/>
          <w:highlight w:val="none"/>
          <w:lang w:val="zh-CN"/>
        </w:rPr>
      </w:pPr>
    </w:p>
    <w:tbl>
      <w:tblPr>
        <w:tblStyle w:val="39"/>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bCs w:val="0"/>
                <w:color w:val="auto"/>
                <w:sz w:val="22"/>
                <w:szCs w:val="22"/>
                <w:highlight w:val="none"/>
                <w:lang w:val="zh-CN"/>
              </w:rPr>
            </w:pPr>
            <w:r>
              <w:rPr>
                <w:b/>
                <w:bCs w:val="0"/>
                <w:color w:val="auto"/>
                <w:sz w:val="22"/>
                <w:szCs w:val="22"/>
                <w:highlight w:val="none"/>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磋商响应文件</w:t>
            </w:r>
          </w:p>
          <w:p>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bCs w:val="0"/>
                <w:color w:val="auto"/>
                <w:sz w:val="22"/>
                <w:szCs w:val="22"/>
                <w:highlight w:val="none"/>
                <w:lang w:val="zh-CN"/>
              </w:rPr>
            </w:pPr>
          </w:p>
        </w:tc>
      </w:tr>
    </w:tbl>
    <w:p>
      <w:pPr>
        <w:widowControl/>
        <w:snapToGrid w:val="0"/>
        <w:spacing w:line="400" w:lineRule="exact"/>
        <w:jc w:val="left"/>
        <w:rPr>
          <w:color w:val="auto"/>
          <w:sz w:val="24"/>
          <w:highlight w:val="none"/>
        </w:rPr>
      </w:pPr>
      <w:r>
        <w:rPr>
          <w:rFonts w:hint="eastAsia"/>
          <w:color w:val="auto"/>
          <w:sz w:val="24"/>
          <w:highlight w:val="none"/>
        </w:rPr>
        <w:t>此表可延长。</w:t>
      </w:r>
    </w:p>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pPr>
        <w:autoSpaceDE w:val="0"/>
        <w:autoSpaceDN w:val="0"/>
        <w:adjustRightInd w:val="0"/>
        <w:spacing w:line="440" w:lineRule="atLeast"/>
        <w:rPr>
          <w:rFonts w:hint="eastAsia"/>
          <w:b/>
          <w:color w:val="auto"/>
          <w:sz w:val="32"/>
          <w:highlight w:val="none"/>
          <w:lang w:val="zh-CN"/>
        </w:rPr>
      </w:pPr>
    </w:p>
    <w:p>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39"/>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b/>
                <w:bCs w:val="0"/>
                <w:color w:val="auto"/>
                <w:sz w:val="22"/>
                <w:szCs w:val="22"/>
                <w:highlight w:val="none"/>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磋商响应文件</w:t>
            </w:r>
          </w:p>
          <w:p>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备 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bl>
    <w:p>
      <w:pPr>
        <w:widowControl/>
        <w:snapToGrid w:val="0"/>
        <w:spacing w:line="400" w:lineRule="exact"/>
        <w:jc w:val="left"/>
        <w:rPr>
          <w:color w:val="auto"/>
          <w:sz w:val="24"/>
          <w:highlight w:val="none"/>
        </w:rPr>
      </w:pPr>
      <w:r>
        <w:rPr>
          <w:rFonts w:hint="eastAsia"/>
          <w:color w:val="auto"/>
          <w:sz w:val="24"/>
          <w:highlight w:val="none"/>
        </w:rPr>
        <w:t>此表可延长。</w:t>
      </w:r>
    </w:p>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pPr>
        <w:autoSpaceDE w:val="0"/>
        <w:autoSpaceDN w:val="0"/>
        <w:adjustRightInd w:val="0"/>
        <w:rPr>
          <w:rFonts w:hint="eastAsia"/>
          <w:b/>
          <w:color w:val="auto"/>
          <w:sz w:val="32"/>
          <w:highlight w:val="none"/>
        </w:rPr>
        <w:sectPr>
          <w:pgSz w:w="11906" w:h="16838"/>
          <w:pgMar w:top="1440" w:right="1361" w:bottom="1440" w:left="1361" w:header="851" w:footer="992" w:gutter="0"/>
          <w:pgNumType w:fmt="decimal"/>
          <w:cols w:space="720" w:num="1"/>
          <w:docGrid w:linePitch="312" w:charSpace="0"/>
        </w:sectPr>
      </w:pPr>
    </w:p>
    <w:p>
      <w:pPr>
        <w:pStyle w:val="6"/>
        <w:rPr>
          <w:rFonts w:hint="eastAsia"/>
          <w:b w:val="0"/>
          <w:color w:val="auto"/>
          <w:sz w:val="36"/>
          <w:szCs w:val="36"/>
          <w:highlight w:val="none"/>
        </w:rPr>
      </w:pPr>
      <w:r>
        <w:rPr>
          <w:rFonts w:hint="eastAsia"/>
          <w:b/>
          <w:color w:val="auto"/>
          <w:sz w:val="32"/>
          <w:highlight w:val="none"/>
          <w:lang w:val="en-US" w:eastAsia="zh-CN"/>
        </w:rPr>
        <w:t xml:space="preserve">2.8 </w:t>
      </w:r>
      <w:r>
        <w:rPr>
          <w:rFonts w:hint="eastAsia"/>
          <w:color w:val="auto"/>
          <w:highlight w:val="none"/>
        </w:rPr>
        <w:t>项目</w:t>
      </w:r>
      <w:r>
        <w:rPr>
          <w:rFonts w:hint="eastAsia"/>
          <w:color w:val="auto"/>
          <w:highlight w:val="none"/>
          <w:lang w:val="en-US" w:eastAsia="zh-CN"/>
        </w:rPr>
        <w:t>服务</w:t>
      </w:r>
      <w:r>
        <w:rPr>
          <w:rFonts w:hint="eastAsia"/>
          <w:color w:val="auto"/>
          <w:highlight w:val="none"/>
        </w:rPr>
        <w:t>人员配置情况</w:t>
      </w:r>
    </w:p>
    <w:p>
      <w:pPr>
        <w:pStyle w:val="2"/>
        <w:adjustRightInd w:val="0"/>
        <w:snapToGrid w:val="0"/>
        <w:spacing w:line="440" w:lineRule="atLeast"/>
        <w:ind w:firstLine="480"/>
        <w:jc w:val="center"/>
        <w:outlineLvl w:val="0"/>
        <w:rPr>
          <w:rFonts w:hint="eastAsia" w:hAnsi="宋体"/>
          <w:b/>
          <w:color w:val="auto"/>
          <w:sz w:val="36"/>
          <w:szCs w:val="36"/>
          <w:highlight w:val="none"/>
        </w:rPr>
      </w:pPr>
      <w:bookmarkStart w:id="10" w:name="_Toc477340078"/>
      <w:r>
        <w:rPr>
          <w:rFonts w:hint="eastAsia" w:hAnsi="宋体"/>
          <w:b/>
          <w:color w:val="auto"/>
          <w:sz w:val="36"/>
          <w:szCs w:val="36"/>
          <w:highlight w:val="none"/>
        </w:rPr>
        <w:t>（一） 人员配置</w:t>
      </w:r>
      <w:bookmarkEnd w:id="10"/>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b/>
          <w:color w:val="auto"/>
          <w:sz w:val="24"/>
          <w:highlight w:val="none"/>
        </w:rPr>
      </w:pPr>
      <w:r>
        <w:rPr>
          <w:rFonts w:hint="eastAsia" w:ascii="宋体"/>
          <w:b/>
          <w:color w:val="auto"/>
          <w:sz w:val="24"/>
          <w:highlight w:val="none"/>
        </w:rPr>
        <w:t>项目主管人员、专业人员概况</w:t>
      </w:r>
    </w:p>
    <w:p>
      <w:pPr>
        <w:rPr>
          <w:rFonts w:hint="eastAsia" w:ascii="宋体"/>
          <w:b/>
          <w:color w:val="auto"/>
          <w:sz w:val="22"/>
          <w:szCs w:val="22"/>
          <w:highlight w:val="none"/>
        </w:rPr>
      </w:pPr>
      <w:r>
        <w:rPr>
          <w:rFonts w:hint="eastAsia" w:ascii="宋体"/>
          <w:b/>
          <w:color w:val="auto"/>
          <w:sz w:val="22"/>
          <w:szCs w:val="22"/>
          <w:highlight w:val="none"/>
        </w:rPr>
        <w:t xml:space="preserve">项目名称：                                          </w:t>
      </w:r>
      <w:r>
        <w:rPr>
          <w:rFonts w:hint="eastAsia" w:ascii="宋体"/>
          <w:b/>
          <w:color w:val="auto"/>
          <w:sz w:val="22"/>
          <w:szCs w:val="22"/>
          <w:highlight w:val="none"/>
          <w:lang w:eastAsia="zh-CN"/>
        </w:rPr>
        <w:t>项目编号</w:t>
      </w:r>
      <w:r>
        <w:rPr>
          <w:rFonts w:hint="eastAsia" w:ascii="宋体"/>
          <w:b/>
          <w:color w:val="auto"/>
          <w:sz w:val="22"/>
          <w:szCs w:val="22"/>
          <w:highlight w:val="none"/>
        </w:rPr>
        <w:t xml:space="preserve">： </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noWrap w:val="0"/>
            <w:vAlign w:val="center"/>
          </w:tcPr>
          <w:p>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序号</w:t>
            </w:r>
          </w:p>
        </w:tc>
        <w:tc>
          <w:tcPr>
            <w:tcW w:w="768" w:type="dxa"/>
            <w:noWrap w:val="0"/>
            <w:vAlign w:val="center"/>
          </w:tcPr>
          <w:p>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姓名</w:t>
            </w:r>
          </w:p>
        </w:tc>
        <w:tc>
          <w:tcPr>
            <w:tcW w:w="900" w:type="dxa"/>
            <w:noWrap w:val="0"/>
            <w:vAlign w:val="center"/>
          </w:tcPr>
          <w:p>
            <w:pPr>
              <w:spacing w:line="360" w:lineRule="auto"/>
              <w:jc w:val="center"/>
              <w:rPr>
                <w:rFonts w:hint="eastAsia" w:ascii="宋体"/>
                <w:b/>
                <w:color w:val="auto"/>
                <w:sz w:val="22"/>
                <w:szCs w:val="22"/>
                <w:highlight w:val="none"/>
              </w:rPr>
            </w:pPr>
            <w:r>
              <w:rPr>
                <w:rFonts w:hint="eastAsia" w:ascii="宋体"/>
                <w:b/>
                <w:color w:val="auto"/>
                <w:sz w:val="22"/>
                <w:szCs w:val="22"/>
                <w:highlight w:val="none"/>
              </w:rPr>
              <w:t>性别</w:t>
            </w:r>
          </w:p>
        </w:tc>
        <w:tc>
          <w:tcPr>
            <w:tcW w:w="720" w:type="dxa"/>
            <w:noWrap w:val="0"/>
            <w:vAlign w:val="center"/>
          </w:tcPr>
          <w:p>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年龄</w:t>
            </w:r>
          </w:p>
        </w:tc>
        <w:tc>
          <w:tcPr>
            <w:tcW w:w="720" w:type="dxa"/>
            <w:noWrap w:val="0"/>
            <w:vAlign w:val="center"/>
          </w:tcPr>
          <w:p>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学历</w:t>
            </w:r>
          </w:p>
        </w:tc>
        <w:tc>
          <w:tcPr>
            <w:tcW w:w="1080" w:type="dxa"/>
            <w:noWrap w:val="0"/>
            <w:vAlign w:val="center"/>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资格</w:t>
            </w:r>
          </w:p>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证书</w:t>
            </w:r>
          </w:p>
        </w:tc>
        <w:tc>
          <w:tcPr>
            <w:tcW w:w="720" w:type="dxa"/>
            <w:noWrap w:val="0"/>
            <w:vAlign w:val="center"/>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现任职务</w:t>
            </w:r>
          </w:p>
        </w:tc>
        <w:tc>
          <w:tcPr>
            <w:tcW w:w="2189" w:type="dxa"/>
            <w:noWrap w:val="0"/>
            <w:vAlign w:val="center"/>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从事类似项目简历、年限</w:t>
            </w:r>
          </w:p>
        </w:tc>
        <w:tc>
          <w:tcPr>
            <w:tcW w:w="1428" w:type="dxa"/>
            <w:noWrap w:val="0"/>
            <w:vAlign w:val="center"/>
          </w:tcPr>
          <w:p>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pPr>
              <w:spacing w:line="360" w:lineRule="auto"/>
              <w:jc w:val="center"/>
              <w:rPr>
                <w:rFonts w:hint="eastAsia" w:ascii="宋体"/>
                <w:b/>
                <w:color w:val="auto"/>
                <w:sz w:val="22"/>
                <w:szCs w:val="22"/>
                <w:highlight w:val="none"/>
              </w:rPr>
            </w:pPr>
          </w:p>
        </w:tc>
        <w:tc>
          <w:tcPr>
            <w:tcW w:w="768" w:type="dxa"/>
            <w:noWrap w:val="0"/>
            <w:vAlign w:val="center"/>
          </w:tcPr>
          <w:p>
            <w:pPr>
              <w:spacing w:line="360" w:lineRule="auto"/>
              <w:jc w:val="center"/>
              <w:rPr>
                <w:rFonts w:hint="eastAsia" w:ascii="宋体"/>
                <w:b/>
                <w:color w:val="auto"/>
                <w:sz w:val="22"/>
                <w:szCs w:val="22"/>
                <w:highlight w:val="none"/>
              </w:rPr>
            </w:pPr>
          </w:p>
        </w:tc>
        <w:tc>
          <w:tcPr>
            <w:tcW w:w="90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108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2189" w:type="dxa"/>
            <w:noWrap w:val="0"/>
            <w:vAlign w:val="top"/>
          </w:tcPr>
          <w:p>
            <w:pPr>
              <w:spacing w:line="360" w:lineRule="auto"/>
              <w:jc w:val="center"/>
              <w:rPr>
                <w:rFonts w:hint="eastAsia" w:ascii="宋体"/>
                <w:b/>
                <w:color w:val="auto"/>
                <w:sz w:val="22"/>
                <w:szCs w:val="22"/>
                <w:highlight w:val="none"/>
              </w:rPr>
            </w:pPr>
          </w:p>
        </w:tc>
        <w:tc>
          <w:tcPr>
            <w:tcW w:w="1428" w:type="dxa"/>
            <w:noWrap w:val="0"/>
            <w:vAlign w:val="center"/>
          </w:tcPr>
          <w:p>
            <w:pPr>
              <w:spacing w:line="360" w:lineRule="auto"/>
              <w:jc w:val="center"/>
              <w:rPr>
                <w:rFonts w:hint="eastAsia"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pPr>
              <w:spacing w:line="360" w:lineRule="auto"/>
              <w:jc w:val="center"/>
              <w:rPr>
                <w:rFonts w:hint="eastAsia" w:ascii="宋体"/>
                <w:b/>
                <w:color w:val="auto"/>
                <w:sz w:val="22"/>
                <w:szCs w:val="22"/>
                <w:highlight w:val="none"/>
              </w:rPr>
            </w:pPr>
          </w:p>
        </w:tc>
        <w:tc>
          <w:tcPr>
            <w:tcW w:w="768" w:type="dxa"/>
            <w:noWrap w:val="0"/>
            <w:vAlign w:val="center"/>
          </w:tcPr>
          <w:p>
            <w:pPr>
              <w:spacing w:line="360" w:lineRule="auto"/>
              <w:jc w:val="center"/>
              <w:rPr>
                <w:rFonts w:hint="eastAsia" w:ascii="宋体"/>
                <w:b/>
                <w:color w:val="auto"/>
                <w:sz w:val="22"/>
                <w:szCs w:val="22"/>
                <w:highlight w:val="none"/>
              </w:rPr>
            </w:pPr>
          </w:p>
        </w:tc>
        <w:tc>
          <w:tcPr>
            <w:tcW w:w="90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108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2189" w:type="dxa"/>
            <w:noWrap w:val="0"/>
            <w:vAlign w:val="top"/>
          </w:tcPr>
          <w:p>
            <w:pPr>
              <w:spacing w:line="360" w:lineRule="auto"/>
              <w:jc w:val="center"/>
              <w:rPr>
                <w:rFonts w:hint="eastAsia" w:ascii="宋体"/>
                <w:b/>
                <w:color w:val="auto"/>
                <w:sz w:val="22"/>
                <w:szCs w:val="22"/>
                <w:highlight w:val="none"/>
              </w:rPr>
            </w:pPr>
          </w:p>
        </w:tc>
        <w:tc>
          <w:tcPr>
            <w:tcW w:w="1428" w:type="dxa"/>
            <w:noWrap w:val="0"/>
            <w:vAlign w:val="center"/>
          </w:tcPr>
          <w:p>
            <w:pPr>
              <w:spacing w:line="360" w:lineRule="auto"/>
              <w:jc w:val="center"/>
              <w:rPr>
                <w:rFonts w:hint="eastAsia"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pPr>
              <w:spacing w:line="360" w:lineRule="auto"/>
              <w:jc w:val="center"/>
              <w:rPr>
                <w:rFonts w:hint="eastAsia" w:ascii="宋体"/>
                <w:b/>
                <w:color w:val="auto"/>
                <w:sz w:val="22"/>
                <w:szCs w:val="22"/>
                <w:highlight w:val="none"/>
              </w:rPr>
            </w:pPr>
          </w:p>
        </w:tc>
        <w:tc>
          <w:tcPr>
            <w:tcW w:w="768" w:type="dxa"/>
            <w:noWrap w:val="0"/>
            <w:vAlign w:val="center"/>
          </w:tcPr>
          <w:p>
            <w:pPr>
              <w:spacing w:line="360" w:lineRule="auto"/>
              <w:jc w:val="center"/>
              <w:rPr>
                <w:rFonts w:hint="eastAsia" w:ascii="宋体"/>
                <w:b/>
                <w:color w:val="auto"/>
                <w:sz w:val="22"/>
                <w:szCs w:val="22"/>
                <w:highlight w:val="none"/>
              </w:rPr>
            </w:pPr>
          </w:p>
        </w:tc>
        <w:tc>
          <w:tcPr>
            <w:tcW w:w="90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108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2189" w:type="dxa"/>
            <w:noWrap w:val="0"/>
            <w:vAlign w:val="top"/>
          </w:tcPr>
          <w:p>
            <w:pPr>
              <w:spacing w:line="360" w:lineRule="auto"/>
              <w:jc w:val="center"/>
              <w:rPr>
                <w:rFonts w:hint="eastAsia" w:ascii="宋体"/>
                <w:b/>
                <w:color w:val="auto"/>
                <w:sz w:val="22"/>
                <w:szCs w:val="22"/>
                <w:highlight w:val="none"/>
              </w:rPr>
            </w:pPr>
          </w:p>
        </w:tc>
        <w:tc>
          <w:tcPr>
            <w:tcW w:w="1428" w:type="dxa"/>
            <w:noWrap w:val="0"/>
            <w:vAlign w:val="center"/>
          </w:tcPr>
          <w:p>
            <w:pPr>
              <w:spacing w:line="360" w:lineRule="auto"/>
              <w:jc w:val="center"/>
              <w:rPr>
                <w:rFonts w:hint="eastAsia"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pPr>
              <w:spacing w:line="360" w:lineRule="auto"/>
              <w:jc w:val="center"/>
              <w:rPr>
                <w:rFonts w:hint="eastAsia" w:ascii="宋体"/>
                <w:b/>
                <w:color w:val="auto"/>
                <w:sz w:val="22"/>
                <w:szCs w:val="22"/>
                <w:highlight w:val="none"/>
              </w:rPr>
            </w:pPr>
          </w:p>
        </w:tc>
        <w:tc>
          <w:tcPr>
            <w:tcW w:w="768" w:type="dxa"/>
            <w:noWrap w:val="0"/>
            <w:vAlign w:val="center"/>
          </w:tcPr>
          <w:p>
            <w:pPr>
              <w:spacing w:line="360" w:lineRule="auto"/>
              <w:jc w:val="center"/>
              <w:rPr>
                <w:rFonts w:hint="eastAsia" w:ascii="宋体"/>
                <w:b/>
                <w:color w:val="auto"/>
                <w:sz w:val="22"/>
                <w:szCs w:val="22"/>
                <w:highlight w:val="none"/>
              </w:rPr>
            </w:pPr>
          </w:p>
        </w:tc>
        <w:tc>
          <w:tcPr>
            <w:tcW w:w="90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108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2189" w:type="dxa"/>
            <w:noWrap w:val="0"/>
            <w:vAlign w:val="top"/>
          </w:tcPr>
          <w:p>
            <w:pPr>
              <w:spacing w:line="360" w:lineRule="auto"/>
              <w:jc w:val="center"/>
              <w:rPr>
                <w:rFonts w:hint="eastAsia" w:ascii="宋体"/>
                <w:b/>
                <w:color w:val="auto"/>
                <w:sz w:val="22"/>
                <w:szCs w:val="22"/>
                <w:highlight w:val="none"/>
              </w:rPr>
            </w:pPr>
          </w:p>
        </w:tc>
        <w:tc>
          <w:tcPr>
            <w:tcW w:w="1428" w:type="dxa"/>
            <w:noWrap w:val="0"/>
            <w:vAlign w:val="center"/>
          </w:tcPr>
          <w:p>
            <w:pPr>
              <w:spacing w:line="360" w:lineRule="auto"/>
              <w:jc w:val="center"/>
              <w:rPr>
                <w:rFonts w:hint="eastAsia"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pPr>
              <w:spacing w:line="360" w:lineRule="auto"/>
              <w:jc w:val="center"/>
              <w:rPr>
                <w:rFonts w:hint="eastAsia" w:ascii="宋体"/>
                <w:b/>
                <w:color w:val="auto"/>
                <w:sz w:val="22"/>
                <w:szCs w:val="22"/>
                <w:highlight w:val="none"/>
              </w:rPr>
            </w:pPr>
          </w:p>
        </w:tc>
        <w:tc>
          <w:tcPr>
            <w:tcW w:w="768" w:type="dxa"/>
            <w:noWrap w:val="0"/>
            <w:vAlign w:val="center"/>
          </w:tcPr>
          <w:p>
            <w:pPr>
              <w:spacing w:line="360" w:lineRule="auto"/>
              <w:jc w:val="center"/>
              <w:rPr>
                <w:rFonts w:hint="eastAsia" w:ascii="宋体"/>
                <w:b/>
                <w:color w:val="auto"/>
                <w:sz w:val="22"/>
                <w:szCs w:val="22"/>
                <w:highlight w:val="none"/>
              </w:rPr>
            </w:pPr>
          </w:p>
        </w:tc>
        <w:tc>
          <w:tcPr>
            <w:tcW w:w="90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108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2189" w:type="dxa"/>
            <w:noWrap w:val="0"/>
            <w:vAlign w:val="top"/>
          </w:tcPr>
          <w:p>
            <w:pPr>
              <w:spacing w:line="360" w:lineRule="auto"/>
              <w:jc w:val="center"/>
              <w:rPr>
                <w:rFonts w:hint="eastAsia" w:ascii="宋体"/>
                <w:b/>
                <w:color w:val="auto"/>
                <w:sz w:val="22"/>
                <w:szCs w:val="22"/>
                <w:highlight w:val="none"/>
              </w:rPr>
            </w:pPr>
          </w:p>
        </w:tc>
        <w:tc>
          <w:tcPr>
            <w:tcW w:w="1428" w:type="dxa"/>
            <w:noWrap w:val="0"/>
            <w:vAlign w:val="center"/>
          </w:tcPr>
          <w:p>
            <w:pPr>
              <w:spacing w:line="360" w:lineRule="auto"/>
              <w:jc w:val="center"/>
              <w:rPr>
                <w:rFonts w:hint="eastAsia"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pPr>
              <w:spacing w:line="360" w:lineRule="auto"/>
              <w:jc w:val="center"/>
              <w:rPr>
                <w:rFonts w:hint="eastAsia" w:ascii="宋体"/>
                <w:b/>
                <w:color w:val="auto"/>
                <w:sz w:val="22"/>
                <w:szCs w:val="22"/>
                <w:highlight w:val="none"/>
              </w:rPr>
            </w:pPr>
          </w:p>
        </w:tc>
        <w:tc>
          <w:tcPr>
            <w:tcW w:w="768" w:type="dxa"/>
            <w:noWrap w:val="0"/>
            <w:vAlign w:val="center"/>
          </w:tcPr>
          <w:p>
            <w:pPr>
              <w:spacing w:line="360" w:lineRule="auto"/>
              <w:jc w:val="center"/>
              <w:rPr>
                <w:rFonts w:hint="eastAsia" w:ascii="宋体"/>
                <w:b/>
                <w:color w:val="auto"/>
                <w:sz w:val="22"/>
                <w:szCs w:val="22"/>
                <w:highlight w:val="none"/>
              </w:rPr>
            </w:pPr>
          </w:p>
        </w:tc>
        <w:tc>
          <w:tcPr>
            <w:tcW w:w="90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1080" w:type="dxa"/>
            <w:noWrap w:val="0"/>
            <w:vAlign w:val="center"/>
          </w:tcPr>
          <w:p>
            <w:pPr>
              <w:spacing w:line="360" w:lineRule="auto"/>
              <w:jc w:val="center"/>
              <w:rPr>
                <w:rFonts w:hint="eastAsia" w:ascii="宋体"/>
                <w:b/>
                <w:color w:val="auto"/>
                <w:sz w:val="22"/>
                <w:szCs w:val="22"/>
                <w:highlight w:val="none"/>
              </w:rPr>
            </w:pPr>
          </w:p>
        </w:tc>
        <w:tc>
          <w:tcPr>
            <w:tcW w:w="720" w:type="dxa"/>
            <w:noWrap w:val="0"/>
            <w:vAlign w:val="center"/>
          </w:tcPr>
          <w:p>
            <w:pPr>
              <w:spacing w:line="360" w:lineRule="auto"/>
              <w:jc w:val="center"/>
              <w:rPr>
                <w:rFonts w:hint="eastAsia" w:ascii="宋体"/>
                <w:b/>
                <w:color w:val="auto"/>
                <w:sz w:val="22"/>
                <w:szCs w:val="22"/>
                <w:highlight w:val="none"/>
              </w:rPr>
            </w:pPr>
          </w:p>
        </w:tc>
        <w:tc>
          <w:tcPr>
            <w:tcW w:w="2189" w:type="dxa"/>
            <w:noWrap w:val="0"/>
            <w:vAlign w:val="top"/>
          </w:tcPr>
          <w:p>
            <w:pPr>
              <w:spacing w:line="360" w:lineRule="auto"/>
              <w:jc w:val="center"/>
              <w:rPr>
                <w:rFonts w:hint="eastAsia" w:ascii="宋体"/>
                <w:b/>
                <w:color w:val="auto"/>
                <w:sz w:val="22"/>
                <w:szCs w:val="22"/>
                <w:highlight w:val="none"/>
              </w:rPr>
            </w:pPr>
          </w:p>
        </w:tc>
        <w:tc>
          <w:tcPr>
            <w:tcW w:w="1428" w:type="dxa"/>
            <w:noWrap w:val="0"/>
            <w:vAlign w:val="center"/>
          </w:tcPr>
          <w:p>
            <w:pPr>
              <w:spacing w:line="360" w:lineRule="auto"/>
              <w:jc w:val="center"/>
              <w:rPr>
                <w:rFonts w:hint="eastAsia" w:ascii="宋体"/>
                <w:b/>
                <w:color w:val="auto"/>
                <w:sz w:val="22"/>
                <w:szCs w:val="22"/>
                <w:highlight w:val="none"/>
              </w:rPr>
            </w:pPr>
          </w:p>
        </w:tc>
      </w:tr>
    </w:tbl>
    <w:p>
      <w:pPr>
        <w:pStyle w:val="2"/>
        <w:spacing w:line="400" w:lineRule="atLeast"/>
        <w:ind w:left="663" w:hanging="663" w:hangingChars="300"/>
        <w:rPr>
          <w:rFonts w:hint="eastAsia" w:hAnsi="宋体"/>
          <w:b/>
          <w:color w:val="auto"/>
          <w:sz w:val="22"/>
          <w:szCs w:val="22"/>
          <w:highlight w:val="none"/>
        </w:rPr>
      </w:pPr>
      <w:r>
        <w:rPr>
          <w:rFonts w:hint="eastAsia" w:hAnsi="宋体"/>
          <w:b/>
          <w:color w:val="auto"/>
          <w:sz w:val="22"/>
          <w:szCs w:val="22"/>
          <w:highlight w:val="none"/>
        </w:rPr>
        <w:t>注：1、此表仅提供了表格形式，供应商可按此表格复制。</w:t>
      </w:r>
    </w:p>
    <w:p>
      <w:pPr>
        <w:pStyle w:val="2"/>
        <w:spacing w:line="360" w:lineRule="exact"/>
        <w:ind w:left="663" w:hanging="663" w:hangingChars="300"/>
        <w:rPr>
          <w:rFonts w:hint="eastAsia" w:hAnsi="宋体"/>
          <w:b/>
          <w:color w:val="auto"/>
          <w:sz w:val="22"/>
          <w:szCs w:val="22"/>
          <w:highlight w:val="none"/>
        </w:rPr>
      </w:pPr>
      <w:r>
        <w:rPr>
          <w:rFonts w:hint="eastAsia" w:hAnsi="宋体"/>
          <w:b/>
          <w:color w:val="auto"/>
          <w:sz w:val="22"/>
          <w:szCs w:val="22"/>
          <w:highlight w:val="none"/>
        </w:rPr>
        <w:t xml:space="preserve">                                        </w:t>
      </w:r>
    </w:p>
    <w:p>
      <w:pPr>
        <w:pStyle w:val="2"/>
        <w:spacing w:line="360" w:lineRule="exact"/>
        <w:ind w:left="663" w:hanging="663" w:hangingChars="300"/>
        <w:rPr>
          <w:rFonts w:hint="eastAsia" w:hAnsi="宋体"/>
          <w:b/>
          <w:color w:val="auto"/>
          <w:sz w:val="22"/>
          <w:highlight w:val="none"/>
        </w:rPr>
      </w:pPr>
      <w:r>
        <w:rPr>
          <w:rFonts w:hint="eastAsia" w:hAnsi="宋体"/>
          <w:b/>
          <w:color w:val="auto"/>
          <w:sz w:val="22"/>
          <w:highlight w:val="none"/>
        </w:rPr>
        <w:t xml:space="preserve">磋商供应商名称（盖章）：                   </w:t>
      </w:r>
    </w:p>
    <w:p>
      <w:pPr>
        <w:pStyle w:val="2"/>
        <w:spacing w:line="360" w:lineRule="exact"/>
        <w:ind w:left="663" w:hanging="663" w:hangingChars="300"/>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pPr>
        <w:pStyle w:val="2"/>
        <w:spacing w:line="360" w:lineRule="exact"/>
        <w:ind w:left="663" w:hanging="663" w:hangingChars="300"/>
        <w:rPr>
          <w:rFonts w:hint="eastAsia" w:hAnsi="宋体"/>
          <w:b/>
          <w:color w:val="auto"/>
          <w:sz w:val="22"/>
          <w:highlight w:val="none"/>
        </w:rPr>
      </w:pPr>
      <w:r>
        <w:rPr>
          <w:rFonts w:hint="eastAsia" w:hAnsi="宋体"/>
          <w:b/>
          <w:color w:val="auto"/>
          <w:sz w:val="22"/>
          <w:highlight w:val="none"/>
        </w:rPr>
        <w:t>日    期：</w:t>
      </w: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tabs>
          <w:tab w:val="left" w:pos="0"/>
          <w:tab w:val="left" w:pos="540"/>
        </w:tabs>
        <w:spacing w:line="360" w:lineRule="exact"/>
        <w:rPr>
          <w:rFonts w:hint="eastAsia" w:hAnsi="宋体"/>
          <w:b/>
          <w:color w:val="auto"/>
          <w:sz w:val="22"/>
          <w:highlight w:val="none"/>
        </w:rPr>
      </w:pPr>
    </w:p>
    <w:p>
      <w:pPr>
        <w:pStyle w:val="2"/>
        <w:adjustRightInd w:val="0"/>
        <w:snapToGrid w:val="0"/>
        <w:spacing w:line="440" w:lineRule="atLeast"/>
        <w:ind w:firstLine="2461" w:firstLineChars="681"/>
        <w:outlineLvl w:val="0"/>
        <w:rPr>
          <w:rFonts w:hint="eastAsia" w:hAnsi="宋体"/>
          <w:b/>
          <w:color w:val="auto"/>
          <w:sz w:val="36"/>
          <w:szCs w:val="36"/>
          <w:highlight w:val="none"/>
        </w:rPr>
      </w:pPr>
      <w:bookmarkStart w:id="11" w:name="_Toc477340079"/>
      <w:r>
        <w:rPr>
          <w:rFonts w:hint="eastAsia" w:hAnsi="宋体"/>
          <w:b/>
          <w:color w:val="auto"/>
          <w:sz w:val="36"/>
          <w:szCs w:val="36"/>
          <w:highlight w:val="none"/>
        </w:rPr>
        <w:t>（二） 项目主要人简历表</w:t>
      </w:r>
      <w:bookmarkEnd w:id="11"/>
    </w:p>
    <w:p>
      <w:pPr>
        <w:rPr>
          <w:rFonts w:hint="eastAsia" w:ascii="宋体"/>
          <w:b/>
          <w:color w:val="auto"/>
          <w:szCs w:val="28"/>
          <w:highlight w:val="none"/>
        </w:rPr>
      </w:pPr>
    </w:p>
    <w:p>
      <w:pPr>
        <w:jc w:val="center"/>
        <w:rPr>
          <w:rFonts w:hint="eastAsia" w:ascii="宋体"/>
          <w:b/>
          <w:color w:val="auto"/>
          <w:sz w:val="24"/>
          <w:highlight w:val="none"/>
        </w:rPr>
      </w:pPr>
      <w:r>
        <w:rPr>
          <w:rFonts w:hint="eastAsia" w:ascii="宋体"/>
          <w:b/>
          <w:color w:val="auto"/>
          <w:sz w:val="24"/>
          <w:highlight w:val="none"/>
        </w:rPr>
        <w:t>项目主要负责人简历表</w:t>
      </w:r>
    </w:p>
    <w:p>
      <w:pPr>
        <w:pStyle w:val="2"/>
        <w:spacing w:line="400" w:lineRule="atLeast"/>
        <w:ind w:left="663" w:hanging="663" w:hangingChars="300"/>
        <w:rPr>
          <w:rFonts w:hint="eastAsia" w:hAnsi="宋体"/>
          <w:b/>
          <w:color w:val="auto"/>
          <w:sz w:val="22"/>
          <w:highlight w:val="none"/>
        </w:rPr>
      </w:pPr>
      <w:r>
        <w:rPr>
          <w:rFonts w:hint="eastAsia" w:hAnsi="宋体"/>
          <w:b/>
          <w:color w:val="auto"/>
          <w:sz w:val="22"/>
          <w:highlight w:val="none"/>
        </w:rPr>
        <w:t xml:space="preserve">项目名称：                                            </w:t>
      </w:r>
      <w:r>
        <w:rPr>
          <w:rFonts w:hint="eastAsia"/>
          <w:b/>
          <w:color w:val="auto"/>
          <w:sz w:val="22"/>
          <w:szCs w:val="22"/>
          <w:highlight w:val="none"/>
          <w:lang w:eastAsia="zh-CN"/>
        </w:rPr>
        <w:t>项目编号</w:t>
      </w:r>
      <w:r>
        <w:rPr>
          <w:rFonts w:hint="eastAsia" w:hAnsi="宋体"/>
          <w:b/>
          <w:color w:val="auto"/>
          <w:sz w:val="22"/>
          <w:highlight w:val="none"/>
        </w:rPr>
        <w:t>：</w:t>
      </w:r>
    </w:p>
    <w:tbl>
      <w:tblPr>
        <w:tblStyle w:val="3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姓 名</w:t>
            </w:r>
          </w:p>
        </w:tc>
        <w:tc>
          <w:tcPr>
            <w:tcW w:w="1654" w:type="dxa"/>
            <w:tcBorders>
              <w:top w:val="single" w:color="auto" w:sz="12"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p>
        </w:tc>
        <w:tc>
          <w:tcPr>
            <w:tcW w:w="1650" w:type="dxa"/>
            <w:tcBorders>
              <w:top w:val="single" w:color="auto" w:sz="12"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性 别</w:t>
            </w:r>
          </w:p>
        </w:tc>
        <w:tc>
          <w:tcPr>
            <w:tcW w:w="1764" w:type="dxa"/>
            <w:tcBorders>
              <w:top w:val="single" w:color="auto" w:sz="12"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年 龄</w:t>
            </w:r>
          </w:p>
        </w:tc>
        <w:tc>
          <w:tcPr>
            <w:tcW w:w="1526" w:type="dxa"/>
            <w:tcBorders>
              <w:top w:val="single" w:color="auto" w:sz="12" w:space="0"/>
              <w:left w:val="single" w:color="auto" w:sz="6" w:space="0"/>
              <w:bottom w:val="single" w:color="auto" w:sz="6" w:space="0"/>
              <w:right w:val="single" w:color="auto" w:sz="12"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学 历</w:t>
            </w:r>
          </w:p>
        </w:tc>
        <w:tc>
          <w:tcPr>
            <w:tcW w:w="1654" w:type="dxa"/>
            <w:tcBorders>
              <w:top w:val="single" w:color="auto" w:sz="6"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职 称</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职 务</w:t>
            </w:r>
          </w:p>
        </w:tc>
        <w:tc>
          <w:tcPr>
            <w:tcW w:w="1526" w:type="dxa"/>
            <w:tcBorders>
              <w:top w:val="single" w:color="auto" w:sz="6" w:space="0"/>
              <w:left w:val="single" w:color="auto" w:sz="6" w:space="0"/>
              <w:bottom w:val="single" w:color="auto" w:sz="6" w:space="0"/>
              <w:right w:val="single" w:color="auto" w:sz="12"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手 机</w:t>
            </w:r>
          </w:p>
        </w:tc>
        <w:tc>
          <w:tcPr>
            <w:tcW w:w="3174" w:type="dxa"/>
            <w:gridSpan w:val="2"/>
            <w:tcBorders>
              <w:top w:val="single" w:color="auto" w:sz="6" w:space="0"/>
              <w:left w:val="single" w:color="auto" w:sz="6" w:space="0"/>
              <w:bottom w:val="single" w:color="auto" w:sz="6" w:space="0"/>
              <w:right w:val="single" w:color="auto" w:sz="12" w:space="0"/>
            </w:tcBorders>
            <w:noWrap w:val="0"/>
            <w:vAlign w:val="center"/>
          </w:tcPr>
          <w:p>
            <w:pPr>
              <w:pStyle w:val="2"/>
              <w:spacing w:line="400" w:lineRule="atLeast"/>
              <w:ind w:left="663" w:hanging="663" w:hangingChars="300"/>
              <w:rPr>
                <w:rFonts w:hint="eastAsia" w:hAnsi="宋体"/>
                <w:b/>
                <w:color w:val="auto"/>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noWrap w:val="0"/>
            <w:vAlign w:val="top"/>
          </w:tcPr>
          <w:p>
            <w:pPr>
              <w:pStyle w:val="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近五年从事相关工作经历及业绩：</w:t>
            </w:r>
          </w:p>
        </w:tc>
      </w:tr>
    </w:tbl>
    <w:p>
      <w:pPr>
        <w:pStyle w:val="2"/>
        <w:spacing w:line="360" w:lineRule="exact"/>
        <w:jc w:val="left"/>
        <w:rPr>
          <w:rFonts w:hint="eastAsia" w:hAnsi="宋体"/>
          <w:b/>
          <w:color w:val="auto"/>
          <w:sz w:val="22"/>
          <w:highlight w:val="none"/>
        </w:rPr>
      </w:pPr>
      <w:r>
        <w:rPr>
          <w:rFonts w:hint="eastAsia" w:hAnsi="宋体"/>
          <w:b/>
          <w:color w:val="auto"/>
          <w:sz w:val="22"/>
          <w:highlight w:val="none"/>
        </w:rPr>
        <w:t>磋商供应商名称（盖章）：</w:t>
      </w:r>
    </w:p>
    <w:p>
      <w:pPr>
        <w:pStyle w:val="2"/>
        <w:spacing w:line="360" w:lineRule="exact"/>
        <w:jc w:val="left"/>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pPr>
        <w:pStyle w:val="2"/>
        <w:spacing w:line="360" w:lineRule="exact"/>
        <w:jc w:val="left"/>
        <w:rPr>
          <w:rFonts w:hint="eastAsia" w:hAnsi="宋体"/>
          <w:b/>
          <w:color w:val="auto"/>
          <w:sz w:val="22"/>
          <w:highlight w:val="none"/>
        </w:rPr>
      </w:pPr>
      <w:r>
        <w:rPr>
          <w:rFonts w:hint="eastAsia" w:hAnsi="宋体"/>
          <w:b/>
          <w:color w:val="auto"/>
          <w:sz w:val="22"/>
          <w:highlight w:val="none"/>
        </w:rPr>
        <w:t xml:space="preserve">日    期：    </w:t>
      </w:r>
    </w:p>
    <w:p>
      <w:pPr>
        <w:pStyle w:val="2"/>
        <w:tabs>
          <w:tab w:val="left" w:pos="0"/>
          <w:tab w:val="left" w:pos="540"/>
        </w:tabs>
        <w:spacing w:line="360" w:lineRule="exact"/>
        <w:jc w:val="left"/>
        <w:rPr>
          <w:rFonts w:hint="eastAsia" w:hAnsi="宋体"/>
          <w:color w:val="auto"/>
          <w:sz w:val="22"/>
          <w:highlight w:val="none"/>
        </w:rPr>
      </w:pPr>
    </w:p>
    <w:p>
      <w:pPr>
        <w:pStyle w:val="2"/>
        <w:tabs>
          <w:tab w:val="left" w:pos="0"/>
          <w:tab w:val="left" w:pos="540"/>
        </w:tabs>
        <w:spacing w:line="360" w:lineRule="exact"/>
        <w:jc w:val="left"/>
        <w:rPr>
          <w:rFonts w:hint="eastAsia" w:hAnsi="宋体"/>
          <w:color w:val="auto"/>
          <w:sz w:val="22"/>
          <w:highlight w:val="none"/>
        </w:rPr>
      </w:pPr>
    </w:p>
    <w:p>
      <w:pPr>
        <w:pStyle w:val="2"/>
        <w:tabs>
          <w:tab w:val="left" w:pos="0"/>
          <w:tab w:val="left" w:pos="540"/>
        </w:tabs>
        <w:spacing w:line="360" w:lineRule="exact"/>
        <w:jc w:val="left"/>
        <w:rPr>
          <w:rFonts w:hint="eastAsia" w:hAnsi="宋体"/>
          <w:color w:val="auto"/>
          <w:sz w:val="22"/>
          <w:highlight w:val="none"/>
        </w:rPr>
      </w:pPr>
    </w:p>
    <w:p>
      <w:pPr>
        <w:pStyle w:val="2"/>
        <w:tabs>
          <w:tab w:val="left" w:pos="0"/>
          <w:tab w:val="left" w:pos="540"/>
        </w:tabs>
        <w:spacing w:line="360" w:lineRule="exact"/>
        <w:jc w:val="left"/>
        <w:rPr>
          <w:rFonts w:hint="eastAsia" w:hAnsi="宋体"/>
          <w:color w:val="auto"/>
          <w:sz w:val="22"/>
          <w:highlight w:val="none"/>
        </w:rPr>
      </w:pPr>
    </w:p>
    <w:p>
      <w:pPr>
        <w:pStyle w:val="2"/>
        <w:tabs>
          <w:tab w:val="left" w:pos="0"/>
          <w:tab w:val="left" w:pos="540"/>
        </w:tabs>
        <w:spacing w:line="360" w:lineRule="exact"/>
        <w:jc w:val="left"/>
        <w:rPr>
          <w:rFonts w:hint="eastAsia" w:hAnsi="宋体"/>
          <w:color w:val="auto"/>
          <w:sz w:val="22"/>
          <w:highlight w:val="none"/>
        </w:rPr>
      </w:pPr>
    </w:p>
    <w:p>
      <w:pPr>
        <w:pStyle w:val="2"/>
        <w:tabs>
          <w:tab w:val="left" w:pos="0"/>
          <w:tab w:val="left" w:pos="540"/>
        </w:tabs>
        <w:spacing w:line="360" w:lineRule="exact"/>
        <w:jc w:val="left"/>
        <w:rPr>
          <w:rFonts w:hint="eastAsia" w:hAnsi="宋体"/>
          <w:color w:val="auto"/>
          <w:sz w:val="22"/>
          <w:highlight w:val="none"/>
        </w:rPr>
      </w:pPr>
    </w:p>
    <w:p>
      <w:pPr>
        <w:pStyle w:val="2"/>
        <w:tabs>
          <w:tab w:val="left" w:pos="0"/>
          <w:tab w:val="left" w:pos="540"/>
        </w:tabs>
        <w:spacing w:line="360" w:lineRule="exact"/>
        <w:jc w:val="left"/>
        <w:rPr>
          <w:rFonts w:hint="eastAsia" w:hAnsi="宋体"/>
          <w:color w:val="auto"/>
          <w:sz w:val="22"/>
          <w:highlight w:val="none"/>
        </w:rPr>
      </w:pPr>
    </w:p>
    <w:p>
      <w:pPr>
        <w:pStyle w:val="2"/>
        <w:tabs>
          <w:tab w:val="left" w:pos="0"/>
          <w:tab w:val="left" w:pos="540"/>
        </w:tabs>
        <w:spacing w:line="360" w:lineRule="exact"/>
        <w:jc w:val="left"/>
        <w:rPr>
          <w:rFonts w:hint="eastAsia" w:hAnsi="宋体"/>
          <w:color w:val="auto"/>
          <w:sz w:val="22"/>
          <w:highlight w:val="none"/>
        </w:rPr>
      </w:pPr>
    </w:p>
    <w:p>
      <w:pPr>
        <w:pStyle w:val="2"/>
        <w:tabs>
          <w:tab w:val="left" w:pos="0"/>
          <w:tab w:val="left" w:pos="540"/>
        </w:tabs>
        <w:spacing w:line="360" w:lineRule="exact"/>
        <w:jc w:val="left"/>
        <w:rPr>
          <w:rFonts w:hint="eastAsia" w:hAnsi="宋体"/>
          <w:color w:val="auto"/>
          <w:sz w:val="22"/>
          <w:highlight w:val="none"/>
        </w:rPr>
        <w:sectPr>
          <w:headerReference r:id="rId18" w:type="default"/>
          <w:footerReference r:id="rId19" w:type="default"/>
          <w:pgSz w:w="11906" w:h="16838"/>
          <w:pgMar w:top="1440" w:right="1117" w:bottom="1440" w:left="1157" w:header="851" w:footer="992" w:gutter="0"/>
          <w:cols w:space="720" w:num="1"/>
          <w:docGrid w:linePitch="312" w:charSpace="0"/>
        </w:sectPr>
      </w:pPr>
    </w:p>
    <w:p>
      <w:pPr>
        <w:pStyle w:val="3"/>
        <w:rPr>
          <w:rFonts w:hint="eastAsia"/>
          <w:color w:val="auto"/>
          <w:highlight w:val="none"/>
        </w:rPr>
      </w:pPr>
    </w:p>
    <w:p>
      <w:pPr>
        <w:pStyle w:val="2"/>
        <w:adjustRightInd w:val="0"/>
        <w:snapToGrid w:val="0"/>
        <w:spacing w:line="440" w:lineRule="atLeast"/>
        <w:ind w:firstLine="1738" w:firstLineChars="481"/>
        <w:outlineLvl w:val="0"/>
        <w:rPr>
          <w:rFonts w:hint="eastAsia" w:hAnsi="宋体"/>
          <w:b/>
          <w:color w:val="auto"/>
          <w:sz w:val="36"/>
          <w:szCs w:val="36"/>
          <w:highlight w:val="none"/>
        </w:rPr>
      </w:pPr>
      <w:bookmarkStart w:id="12" w:name="_Toc477340080"/>
      <w:r>
        <w:rPr>
          <w:rFonts w:hint="eastAsia" w:hAnsi="宋体"/>
          <w:b/>
          <w:color w:val="auto"/>
          <w:sz w:val="36"/>
          <w:szCs w:val="36"/>
          <w:highlight w:val="none"/>
        </w:rPr>
        <w:t>（三） 岗位员工配置计划表</w:t>
      </w:r>
      <w:bookmarkEnd w:id="12"/>
    </w:p>
    <w:p>
      <w:pPr>
        <w:jc w:val="center"/>
        <w:rPr>
          <w:rFonts w:hint="eastAsia" w:ascii="宋体"/>
          <w:b/>
          <w:color w:val="auto"/>
          <w:sz w:val="24"/>
          <w:highlight w:val="none"/>
        </w:rPr>
      </w:pPr>
      <w:r>
        <w:rPr>
          <w:rFonts w:hint="eastAsia" w:ascii="宋体"/>
          <w:b/>
          <w:color w:val="auto"/>
          <w:sz w:val="24"/>
          <w:highlight w:val="none"/>
        </w:rPr>
        <w:t>岗位员工配置计划表</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center"/>
          </w:tcPr>
          <w:p>
            <w:pPr>
              <w:jc w:val="center"/>
              <w:rPr>
                <w:rFonts w:hint="eastAsia" w:ascii="宋体"/>
                <w:b/>
                <w:color w:val="auto"/>
                <w:sz w:val="22"/>
                <w:szCs w:val="22"/>
                <w:highlight w:val="none"/>
              </w:rPr>
            </w:pPr>
            <w:r>
              <w:rPr>
                <w:rFonts w:hint="eastAsia" w:ascii="宋体"/>
                <w:b/>
                <w:color w:val="auto"/>
                <w:sz w:val="22"/>
                <w:szCs w:val="22"/>
                <w:highlight w:val="none"/>
              </w:rPr>
              <w:t>岗位</w:t>
            </w:r>
          </w:p>
        </w:tc>
        <w:tc>
          <w:tcPr>
            <w:tcW w:w="2049" w:type="dxa"/>
            <w:noWrap w:val="0"/>
            <w:vAlign w:val="center"/>
          </w:tcPr>
          <w:p>
            <w:pPr>
              <w:jc w:val="center"/>
              <w:rPr>
                <w:rFonts w:hint="eastAsia" w:ascii="宋体"/>
                <w:b/>
                <w:color w:val="auto"/>
                <w:sz w:val="22"/>
                <w:szCs w:val="22"/>
                <w:highlight w:val="none"/>
              </w:rPr>
            </w:pPr>
            <w:r>
              <w:rPr>
                <w:rFonts w:hint="eastAsia" w:ascii="宋体"/>
                <w:b/>
                <w:color w:val="auto"/>
                <w:sz w:val="22"/>
                <w:szCs w:val="22"/>
                <w:highlight w:val="none"/>
              </w:rPr>
              <w:t>人数</w:t>
            </w:r>
          </w:p>
        </w:tc>
        <w:tc>
          <w:tcPr>
            <w:tcW w:w="2917" w:type="dxa"/>
            <w:noWrap w:val="0"/>
            <w:vAlign w:val="center"/>
          </w:tcPr>
          <w:p>
            <w:pPr>
              <w:jc w:val="center"/>
              <w:rPr>
                <w:rFonts w:hint="eastAsia" w:ascii="宋体"/>
                <w:b/>
                <w:color w:val="auto"/>
                <w:sz w:val="22"/>
                <w:szCs w:val="22"/>
                <w:highlight w:val="none"/>
              </w:rPr>
            </w:pPr>
            <w:r>
              <w:rPr>
                <w:rFonts w:hint="eastAsia" w:ascii="宋体"/>
                <w:b/>
                <w:color w:val="auto"/>
                <w:sz w:val="22"/>
                <w:szCs w:val="22"/>
                <w:highlight w:val="none"/>
              </w:rPr>
              <w:t>现 场 承 担 工 作</w:t>
            </w:r>
          </w:p>
        </w:tc>
        <w:tc>
          <w:tcPr>
            <w:tcW w:w="2299" w:type="dxa"/>
            <w:noWrap w:val="0"/>
            <w:vAlign w:val="center"/>
          </w:tcPr>
          <w:p>
            <w:pPr>
              <w:jc w:val="center"/>
              <w:rPr>
                <w:rFonts w:hint="eastAsia" w:ascii="宋体"/>
                <w:b/>
                <w:color w:val="auto"/>
                <w:sz w:val="22"/>
                <w:szCs w:val="22"/>
                <w:highlight w:val="none"/>
              </w:rPr>
            </w:pPr>
            <w:r>
              <w:rPr>
                <w:rFonts w:hint="eastAsia" w:ascii="宋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spacing w:line="480" w:lineRule="auto"/>
              <w:rPr>
                <w:rFonts w:hint="eastAsia" w:ascii="宋体"/>
                <w:b/>
                <w:color w:val="auto"/>
                <w:sz w:val="24"/>
                <w:highlight w:val="none"/>
              </w:rPr>
            </w:pPr>
          </w:p>
        </w:tc>
        <w:tc>
          <w:tcPr>
            <w:tcW w:w="2049" w:type="dxa"/>
            <w:noWrap w:val="0"/>
            <w:vAlign w:val="top"/>
          </w:tcPr>
          <w:p>
            <w:pPr>
              <w:spacing w:line="480" w:lineRule="auto"/>
              <w:rPr>
                <w:rFonts w:hint="eastAsia" w:ascii="宋体"/>
                <w:b/>
                <w:color w:val="auto"/>
                <w:sz w:val="24"/>
                <w:highlight w:val="none"/>
              </w:rPr>
            </w:pPr>
          </w:p>
        </w:tc>
        <w:tc>
          <w:tcPr>
            <w:tcW w:w="2917" w:type="dxa"/>
            <w:noWrap w:val="0"/>
            <w:vAlign w:val="top"/>
          </w:tcPr>
          <w:p>
            <w:pPr>
              <w:spacing w:line="480" w:lineRule="auto"/>
              <w:rPr>
                <w:rFonts w:hint="eastAsia" w:ascii="宋体"/>
                <w:b/>
                <w:color w:val="auto"/>
                <w:sz w:val="24"/>
                <w:highlight w:val="none"/>
              </w:rPr>
            </w:pPr>
          </w:p>
        </w:tc>
        <w:tc>
          <w:tcPr>
            <w:tcW w:w="2299" w:type="dxa"/>
            <w:noWrap w:val="0"/>
            <w:vAlign w:val="top"/>
          </w:tcPr>
          <w:p>
            <w:pPr>
              <w:spacing w:line="480" w:lineRule="auto"/>
              <w:rPr>
                <w:rFonts w:hint="eastAsia" w:ascii="宋体"/>
                <w:b/>
                <w:color w:val="auto"/>
                <w:sz w:val="24"/>
                <w:highlight w:val="none"/>
              </w:rPr>
            </w:pPr>
          </w:p>
        </w:tc>
      </w:tr>
    </w:tbl>
    <w:p>
      <w:pPr>
        <w:pStyle w:val="2"/>
        <w:tabs>
          <w:tab w:val="left" w:pos="0"/>
          <w:tab w:val="left" w:pos="540"/>
        </w:tabs>
        <w:spacing w:line="300" w:lineRule="auto"/>
        <w:rPr>
          <w:rFonts w:hint="eastAsia" w:hAnsi="宋体"/>
          <w:b/>
          <w:color w:val="auto"/>
          <w:sz w:val="28"/>
          <w:szCs w:val="28"/>
          <w:highlight w:val="none"/>
        </w:rPr>
      </w:pPr>
      <w:r>
        <w:rPr>
          <w:rFonts w:hint="eastAsia" w:hAnsi="宋体"/>
          <w:b/>
          <w:color w:val="auto"/>
          <w:sz w:val="22"/>
          <w:szCs w:val="22"/>
          <w:highlight w:val="none"/>
        </w:rPr>
        <w:t>注：此表仅提供了表格形式，供应商可按此表格复制。</w:t>
      </w:r>
    </w:p>
    <w:p>
      <w:pPr>
        <w:pStyle w:val="2"/>
        <w:spacing w:line="400" w:lineRule="exact"/>
        <w:rPr>
          <w:rFonts w:hint="eastAsia" w:hAnsi="宋体"/>
          <w:b/>
          <w:color w:val="auto"/>
          <w:sz w:val="22"/>
          <w:highlight w:val="none"/>
        </w:rPr>
      </w:pPr>
    </w:p>
    <w:p>
      <w:pPr>
        <w:pStyle w:val="2"/>
        <w:spacing w:line="400" w:lineRule="exact"/>
        <w:rPr>
          <w:rFonts w:hint="eastAsia" w:hAnsi="宋体"/>
          <w:b/>
          <w:color w:val="auto"/>
          <w:sz w:val="22"/>
          <w:highlight w:val="none"/>
        </w:rPr>
      </w:pPr>
      <w:r>
        <w:rPr>
          <w:rFonts w:hint="eastAsia" w:hAnsi="宋体"/>
          <w:b/>
          <w:color w:val="auto"/>
          <w:sz w:val="22"/>
          <w:highlight w:val="none"/>
        </w:rPr>
        <w:t>磋商供应商名称（盖章）：</w:t>
      </w:r>
    </w:p>
    <w:p>
      <w:pPr>
        <w:pStyle w:val="2"/>
        <w:spacing w:line="400" w:lineRule="exact"/>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pPr>
        <w:spacing w:line="500" w:lineRule="exact"/>
        <w:rPr>
          <w:rFonts w:hint="eastAsia" w:ascii="宋体"/>
          <w:b/>
          <w:bCs/>
          <w:color w:val="auto"/>
          <w:sz w:val="22"/>
          <w:szCs w:val="22"/>
          <w:highlight w:val="none"/>
        </w:rPr>
      </w:pPr>
      <w:r>
        <w:rPr>
          <w:rFonts w:hint="eastAsia" w:hAnsi="宋体"/>
          <w:b/>
          <w:color w:val="auto"/>
          <w:sz w:val="22"/>
          <w:highlight w:val="none"/>
        </w:rPr>
        <w:t>日    期：</w:t>
      </w:r>
      <w:r>
        <w:rPr>
          <w:rFonts w:hint="eastAsia" w:ascii="宋体"/>
          <w:b/>
          <w:color w:val="auto"/>
          <w:sz w:val="22"/>
          <w:highlight w:val="none"/>
        </w:rPr>
        <w:t xml:space="preserve"> </w:t>
      </w:r>
    </w:p>
    <w:p>
      <w:pPr>
        <w:pStyle w:val="2"/>
        <w:spacing w:line="400" w:lineRule="atLeast"/>
        <w:rPr>
          <w:rFonts w:hint="eastAsia" w:hAnsi="宋体"/>
          <w:b/>
          <w:color w:val="auto"/>
          <w:sz w:val="22"/>
          <w:highlight w:val="none"/>
        </w:rPr>
      </w:pPr>
      <w:r>
        <w:rPr>
          <w:rFonts w:hint="eastAsia" w:hAnsi="宋体"/>
          <w:b/>
          <w:color w:val="auto"/>
          <w:sz w:val="22"/>
          <w:highlight w:val="none"/>
        </w:rPr>
        <w:t>项目负责人及主要管理人员与《</w:t>
      </w:r>
      <w:r>
        <w:rPr>
          <w:rFonts w:hint="eastAsia" w:hAnsi="宋体"/>
          <w:b/>
          <w:color w:val="auto"/>
          <w:sz w:val="22"/>
          <w:szCs w:val="22"/>
          <w:highlight w:val="none"/>
        </w:rPr>
        <w:t>岗位员工配置计划表</w:t>
      </w:r>
      <w:r>
        <w:rPr>
          <w:rFonts w:hint="eastAsia" w:hAnsi="宋体"/>
          <w:b/>
          <w:color w:val="auto"/>
          <w:sz w:val="22"/>
          <w:highlight w:val="none"/>
        </w:rPr>
        <w:t>》一致。如确需变更的，经业主审核同意后方可变更。</w:t>
      </w:r>
    </w:p>
    <w:p>
      <w:pPr>
        <w:rPr>
          <w:rFonts w:hint="eastAsia"/>
          <w:color w:val="auto"/>
          <w:sz w:val="36"/>
          <w:szCs w:val="36"/>
          <w:highlight w:val="none"/>
        </w:rPr>
      </w:pPr>
    </w:p>
    <w:p>
      <w:pPr>
        <w:rPr>
          <w:rFonts w:hint="eastAsia"/>
          <w:color w:val="auto"/>
          <w:sz w:val="36"/>
          <w:szCs w:val="36"/>
          <w:highlight w:val="none"/>
        </w:rPr>
        <w:sectPr>
          <w:pgSz w:w="11906" w:h="16838"/>
          <w:pgMar w:top="1440" w:right="1117" w:bottom="1440" w:left="1157" w:header="851" w:footer="992" w:gutter="0"/>
          <w:cols w:space="720" w:num="1"/>
          <w:docGrid w:linePitch="312" w:charSpace="0"/>
        </w:sectPr>
      </w:pPr>
    </w:p>
    <w:p>
      <w:pPr>
        <w:pStyle w:val="2"/>
        <w:adjustRightInd w:val="0"/>
        <w:snapToGrid w:val="0"/>
        <w:spacing w:line="440" w:lineRule="atLeast"/>
        <w:jc w:val="both"/>
        <w:outlineLvl w:val="0"/>
        <w:rPr>
          <w:rFonts w:hint="default" w:hAnsi="Times New Roman" w:eastAsia="宋体"/>
          <w:b/>
          <w:bCs/>
          <w:color w:val="auto"/>
          <w:kern w:val="0"/>
          <w:sz w:val="36"/>
          <w:szCs w:val="36"/>
          <w:highlight w:val="none"/>
          <w:lang w:val="en-US" w:eastAsia="zh-CN" w:bidi="ar-SA"/>
        </w:rPr>
      </w:pPr>
      <w:r>
        <w:rPr>
          <w:rFonts w:hint="eastAsia"/>
          <w:b/>
          <w:color w:val="auto"/>
          <w:sz w:val="32"/>
          <w:highlight w:val="none"/>
          <w:lang w:val="en-US" w:eastAsia="zh-CN"/>
        </w:rPr>
        <w:t>2.9</w:t>
      </w:r>
      <w:r>
        <w:rPr>
          <w:rFonts w:hint="eastAsia" w:ascii="宋体" w:hAnsi="宋体"/>
          <w:b/>
          <w:color w:val="auto"/>
          <w:sz w:val="30"/>
          <w:szCs w:val="30"/>
          <w:highlight w:val="none"/>
        </w:rPr>
        <w:t>进场机具、设备、耗材明细表</w:t>
      </w:r>
      <w:r>
        <w:rPr>
          <w:rFonts w:hint="eastAsia" w:hAnsi="宋体"/>
          <w:b/>
          <w:color w:val="auto"/>
          <w:sz w:val="30"/>
          <w:szCs w:val="30"/>
          <w:highlight w:val="none"/>
          <w:lang w:eastAsia="zh-CN"/>
        </w:rPr>
        <w:t>（</w:t>
      </w:r>
      <w:r>
        <w:rPr>
          <w:rFonts w:hint="eastAsia" w:hAnsi="宋体"/>
          <w:b/>
          <w:color w:val="auto"/>
          <w:sz w:val="30"/>
          <w:szCs w:val="30"/>
          <w:highlight w:val="none"/>
          <w:lang w:val="en-US" w:eastAsia="zh-CN"/>
        </w:rPr>
        <w:t>如有）</w:t>
      </w:r>
    </w:p>
    <w:p>
      <w:pPr>
        <w:jc w:val="center"/>
        <w:rPr>
          <w:rFonts w:hint="eastAsia" w:ascii="宋体"/>
          <w:b w:val="0"/>
          <w:bCs/>
          <w:color w:val="auto"/>
          <w:sz w:val="36"/>
          <w:szCs w:val="36"/>
          <w:highlight w:val="none"/>
        </w:rPr>
      </w:pPr>
      <w:r>
        <w:rPr>
          <w:rFonts w:hint="eastAsia" w:ascii="宋体"/>
          <w:b w:val="0"/>
          <w:bCs/>
          <w:color w:val="auto"/>
          <w:sz w:val="36"/>
          <w:szCs w:val="36"/>
          <w:highlight w:val="none"/>
        </w:rPr>
        <w:t>进场机具、设备明细表</w:t>
      </w:r>
    </w:p>
    <w:tbl>
      <w:tblPr>
        <w:tblStyle w:val="39"/>
        <w:tblpPr w:leftFromText="180" w:rightFromText="180" w:vertAnchor="text" w:horzAnchor="margin" w:tblpX="108" w:tblpY="5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83"/>
        <w:gridCol w:w="1260"/>
        <w:gridCol w:w="1455"/>
        <w:gridCol w:w="1247"/>
        <w:gridCol w:w="1247"/>
        <w:gridCol w:w="831"/>
        <w:gridCol w:w="1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jc w:val="center"/>
              <w:rPr>
                <w:rFonts w:hint="eastAsia" w:ascii="宋体"/>
                <w:b/>
                <w:color w:val="auto"/>
                <w:sz w:val="22"/>
                <w:szCs w:val="22"/>
                <w:highlight w:val="none"/>
              </w:rPr>
            </w:pPr>
            <w:r>
              <w:rPr>
                <w:rFonts w:hint="eastAsia" w:ascii="宋体"/>
                <w:b/>
                <w:color w:val="auto"/>
                <w:sz w:val="22"/>
                <w:szCs w:val="22"/>
                <w:highlight w:val="none"/>
              </w:rPr>
              <w:t>序号</w:t>
            </w:r>
          </w:p>
        </w:tc>
        <w:tc>
          <w:tcPr>
            <w:tcW w:w="1183" w:type="dxa"/>
            <w:noWrap w:val="0"/>
            <w:vAlign w:val="center"/>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设备名称</w:t>
            </w:r>
          </w:p>
        </w:tc>
        <w:tc>
          <w:tcPr>
            <w:tcW w:w="1260" w:type="dxa"/>
            <w:noWrap w:val="0"/>
            <w:vAlign w:val="center"/>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规格型号</w:t>
            </w:r>
          </w:p>
        </w:tc>
        <w:tc>
          <w:tcPr>
            <w:tcW w:w="1455" w:type="dxa"/>
            <w:noWrap w:val="0"/>
            <w:vAlign w:val="center"/>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品牌/产地</w:t>
            </w:r>
          </w:p>
        </w:tc>
        <w:tc>
          <w:tcPr>
            <w:tcW w:w="1247" w:type="dxa"/>
            <w:noWrap w:val="0"/>
            <w:vAlign w:val="center"/>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已使用</w:t>
            </w:r>
          </w:p>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年限</w:t>
            </w:r>
          </w:p>
        </w:tc>
        <w:tc>
          <w:tcPr>
            <w:tcW w:w="1247" w:type="dxa"/>
            <w:noWrap w:val="0"/>
            <w:vAlign w:val="top"/>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核定载重量（kg）</w:t>
            </w:r>
          </w:p>
        </w:tc>
        <w:tc>
          <w:tcPr>
            <w:tcW w:w="831" w:type="dxa"/>
            <w:noWrap w:val="0"/>
            <w:vAlign w:val="center"/>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数量（台）</w:t>
            </w:r>
          </w:p>
        </w:tc>
        <w:tc>
          <w:tcPr>
            <w:tcW w:w="1200" w:type="dxa"/>
            <w:noWrap w:val="0"/>
            <w:vAlign w:val="center"/>
          </w:tcPr>
          <w:p>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 xml:space="preserve"> 价格(元)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color w:val="auto"/>
                <w:sz w:val="22"/>
                <w:szCs w:val="22"/>
                <w:highlight w:val="none"/>
              </w:rPr>
            </w:pPr>
          </w:p>
        </w:tc>
        <w:tc>
          <w:tcPr>
            <w:tcW w:w="1183" w:type="dxa"/>
            <w:noWrap w:val="0"/>
            <w:vAlign w:val="center"/>
          </w:tcPr>
          <w:p>
            <w:pPr>
              <w:spacing w:line="360" w:lineRule="auto"/>
              <w:jc w:val="center"/>
              <w:rPr>
                <w:rFonts w:hint="eastAsia" w:ascii="宋体"/>
                <w:b/>
                <w:color w:val="auto"/>
                <w:sz w:val="22"/>
                <w:szCs w:val="22"/>
                <w:highlight w:val="none"/>
              </w:rPr>
            </w:pPr>
          </w:p>
        </w:tc>
        <w:tc>
          <w:tcPr>
            <w:tcW w:w="1260" w:type="dxa"/>
            <w:noWrap w:val="0"/>
            <w:vAlign w:val="top"/>
          </w:tcPr>
          <w:p>
            <w:pPr>
              <w:spacing w:line="360" w:lineRule="auto"/>
              <w:jc w:val="center"/>
              <w:rPr>
                <w:rFonts w:hint="eastAsia" w:ascii="宋体"/>
                <w:b/>
                <w:color w:val="auto"/>
                <w:sz w:val="22"/>
                <w:szCs w:val="22"/>
                <w:highlight w:val="none"/>
              </w:rPr>
            </w:pPr>
          </w:p>
        </w:tc>
        <w:tc>
          <w:tcPr>
            <w:tcW w:w="1455"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top"/>
          </w:tcPr>
          <w:p>
            <w:pPr>
              <w:spacing w:line="360" w:lineRule="auto"/>
              <w:jc w:val="center"/>
              <w:rPr>
                <w:rFonts w:hint="eastAsia" w:ascii="宋体"/>
                <w:b/>
                <w:color w:val="auto"/>
                <w:sz w:val="22"/>
                <w:szCs w:val="22"/>
                <w:highlight w:val="none"/>
              </w:rPr>
            </w:pPr>
          </w:p>
        </w:tc>
        <w:tc>
          <w:tcPr>
            <w:tcW w:w="831" w:type="dxa"/>
            <w:noWrap w:val="0"/>
            <w:vAlign w:val="top"/>
          </w:tcPr>
          <w:p>
            <w:pPr>
              <w:spacing w:line="360" w:lineRule="auto"/>
              <w:jc w:val="center"/>
              <w:rPr>
                <w:rFonts w:hint="eastAsia" w:ascii="宋体"/>
                <w:b/>
                <w:color w:val="auto"/>
                <w:sz w:val="22"/>
                <w:szCs w:val="22"/>
                <w:highlight w:val="none"/>
              </w:rPr>
            </w:pPr>
          </w:p>
        </w:tc>
        <w:tc>
          <w:tcPr>
            <w:tcW w:w="1200" w:type="dxa"/>
            <w:noWrap w:val="0"/>
            <w:vAlign w:val="center"/>
          </w:tcPr>
          <w:p>
            <w:pPr>
              <w:spacing w:line="360" w:lineRule="auto"/>
              <w:jc w:val="center"/>
              <w:rPr>
                <w:rFonts w:hint="eastAsia"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color w:val="auto"/>
                <w:sz w:val="22"/>
                <w:szCs w:val="22"/>
                <w:highlight w:val="none"/>
              </w:rPr>
            </w:pPr>
          </w:p>
        </w:tc>
        <w:tc>
          <w:tcPr>
            <w:tcW w:w="1183" w:type="dxa"/>
            <w:noWrap w:val="0"/>
            <w:vAlign w:val="center"/>
          </w:tcPr>
          <w:p>
            <w:pPr>
              <w:spacing w:line="360" w:lineRule="auto"/>
              <w:jc w:val="center"/>
              <w:rPr>
                <w:rFonts w:hint="eastAsia" w:ascii="宋体"/>
                <w:b/>
                <w:color w:val="auto"/>
                <w:sz w:val="22"/>
                <w:szCs w:val="22"/>
                <w:highlight w:val="none"/>
              </w:rPr>
            </w:pPr>
          </w:p>
        </w:tc>
        <w:tc>
          <w:tcPr>
            <w:tcW w:w="1260" w:type="dxa"/>
            <w:noWrap w:val="0"/>
            <w:vAlign w:val="top"/>
          </w:tcPr>
          <w:p>
            <w:pPr>
              <w:spacing w:line="360" w:lineRule="auto"/>
              <w:jc w:val="center"/>
              <w:rPr>
                <w:rFonts w:hint="eastAsia" w:ascii="宋体"/>
                <w:b/>
                <w:color w:val="auto"/>
                <w:sz w:val="22"/>
                <w:szCs w:val="22"/>
                <w:highlight w:val="none"/>
              </w:rPr>
            </w:pPr>
          </w:p>
        </w:tc>
        <w:tc>
          <w:tcPr>
            <w:tcW w:w="1455"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top"/>
          </w:tcPr>
          <w:p>
            <w:pPr>
              <w:spacing w:line="360" w:lineRule="auto"/>
              <w:jc w:val="center"/>
              <w:rPr>
                <w:rFonts w:hint="eastAsia" w:ascii="宋体"/>
                <w:b/>
                <w:color w:val="auto"/>
                <w:sz w:val="22"/>
                <w:szCs w:val="22"/>
                <w:highlight w:val="none"/>
              </w:rPr>
            </w:pPr>
          </w:p>
        </w:tc>
        <w:tc>
          <w:tcPr>
            <w:tcW w:w="831" w:type="dxa"/>
            <w:noWrap w:val="0"/>
            <w:vAlign w:val="top"/>
          </w:tcPr>
          <w:p>
            <w:pPr>
              <w:spacing w:line="360" w:lineRule="auto"/>
              <w:jc w:val="center"/>
              <w:rPr>
                <w:rFonts w:hint="eastAsia" w:ascii="宋体"/>
                <w:b/>
                <w:color w:val="auto"/>
                <w:sz w:val="22"/>
                <w:szCs w:val="22"/>
                <w:highlight w:val="none"/>
              </w:rPr>
            </w:pPr>
          </w:p>
        </w:tc>
        <w:tc>
          <w:tcPr>
            <w:tcW w:w="1200" w:type="dxa"/>
            <w:noWrap w:val="0"/>
            <w:vAlign w:val="center"/>
          </w:tcPr>
          <w:p>
            <w:pPr>
              <w:spacing w:line="360" w:lineRule="auto"/>
              <w:jc w:val="center"/>
              <w:rPr>
                <w:rFonts w:hint="eastAsia"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color w:val="auto"/>
                <w:sz w:val="22"/>
                <w:szCs w:val="22"/>
                <w:highlight w:val="none"/>
              </w:rPr>
            </w:pPr>
          </w:p>
        </w:tc>
        <w:tc>
          <w:tcPr>
            <w:tcW w:w="1183" w:type="dxa"/>
            <w:noWrap w:val="0"/>
            <w:vAlign w:val="center"/>
          </w:tcPr>
          <w:p>
            <w:pPr>
              <w:spacing w:line="360" w:lineRule="auto"/>
              <w:jc w:val="center"/>
              <w:rPr>
                <w:rFonts w:hint="eastAsia" w:ascii="宋体"/>
                <w:b/>
                <w:color w:val="auto"/>
                <w:sz w:val="22"/>
                <w:szCs w:val="22"/>
                <w:highlight w:val="none"/>
              </w:rPr>
            </w:pPr>
          </w:p>
        </w:tc>
        <w:tc>
          <w:tcPr>
            <w:tcW w:w="1260" w:type="dxa"/>
            <w:noWrap w:val="0"/>
            <w:vAlign w:val="top"/>
          </w:tcPr>
          <w:p>
            <w:pPr>
              <w:spacing w:line="360" w:lineRule="auto"/>
              <w:jc w:val="center"/>
              <w:rPr>
                <w:rFonts w:hint="eastAsia" w:ascii="宋体"/>
                <w:b/>
                <w:color w:val="auto"/>
                <w:sz w:val="22"/>
                <w:szCs w:val="22"/>
                <w:highlight w:val="none"/>
              </w:rPr>
            </w:pPr>
          </w:p>
        </w:tc>
        <w:tc>
          <w:tcPr>
            <w:tcW w:w="1455"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top"/>
          </w:tcPr>
          <w:p>
            <w:pPr>
              <w:spacing w:line="360" w:lineRule="auto"/>
              <w:jc w:val="center"/>
              <w:rPr>
                <w:rFonts w:hint="eastAsia" w:ascii="宋体"/>
                <w:b/>
                <w:color w:val="auto"/>
                <w:sz w:val="22"/>
                <w:szCs w:val="22"/>
                <w:highlight w:val="none"/>
              </w:rPr>
            </w:pPr>
          </w:p>
        </w:tc>
        <w:tc>
          <w:tcPr>
            <w:tcW w:w="831" w:type="dxa"/>
            <w:noWrap w:val="0"/>
            <w:vAlign w:val="top"/>
          </w:tcPr>
          <w:p>
            <w:pPr>
              <w:spacing w:line="360" w:lineRule="auto"/>
              <w:jc w:val="center"/>
              <w:rPr>
                <w:rFonts w:hint="eastAsia" w:ascii="宋体"/>
                <w:b/>
                <w:color w:val="auto"/>
                <w:sz w:val="22"/>
                <w:szCs w:val="22"/>
                <w:highlight w:val="none"/>
              </w:rPr>
            </w:pPr>
          </w:p>
        </w:tc>
        <w:tc>
          <w:tcPr>
            <w:tcW w:w="1200" w:type="dxa"/>
            <w:noWrap w:val="0"/>
            <w:vAlign w:val="center"/>
          </w:tcPr>
          <w:p>
            <w:pPr>
              <w:spacing w:line="360" w:lineRule="auto"/>
              <w:jc w:val="center"/>
              <w:rPr>
                <w:rFonts w:hint="eastAsia"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color w:val="auto"/>
                <w:sz w:val="22"/>
                <w:szCs w:val="22"/>
                <w:highlight w:val="none"/>
              </w:rPr>
            </w:pPr>
          </w:p>
        </w:tc>
        <w:tc>
          <w:tcPr>
            <w:tcW w:w="1183" w:type="dxa"/>
            <w:noWrap w:val="0"/>
            <w:vAlign w:val="center"/>
          </w:tcPr>
          <w:p>
            <w:pPr>
              <w:spacing w:line="360" w:lineRule="auto"/>
              <w:jc w:val="center"/>
              <w:rPr>
                <w:rFonts w:hint="eastAsia" w:ascii="宋体"/>
                <w:b/>
                <w:color w:val="auto"/>
                <w:sz w:val="22"/>
                <w:szCs w:val="22"/>
                <w:highlight w:val="none"/>
              </w:rPr>
            </w:pPr>
          </w:p>
        </w:tc>
        <w:tc>
          <w:tcPr>
            <w:tcW w:w="1260" w:type="dxa"/>
            <w:noWrap w:val="0"/>
            <w:vAlign w:val="top"/>
          </w:tcPr>
          <w:p>
            <w:pPr>
              <w:spacing w:line="360" w:lineRule="auto"/>
              <w:jc w:val="center"/>
              <w:rPr>
                <w:rFonts w:hint="eastAsia" w:ascii="宋体"/>
                <w:b/>
                <w:color w:val="auto"/>
                <w:sz w:val="22"/>
                <w:szCs w:val="22"/>
                <w:highlight w:val="none"/>
              </w:rPr>
            </w:pPr>
          </w:p>
        </w:tc>
        <w:tc>
          <w:tcPr>
            <w:tcW w:w="1455"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top"/>
          </w:tcPr>
          <w:p>
            <w:pPr>
              <w:spacing w:line="360" w:lineRule="auto"/>
              <w:jc w:val="center"/>
              <w:rPr>
                <w:rFonts w:hint="eastAsia" w:ascii="宋体"/>
                <w:b/>
                <w:color w:val="auto"/>
                <w:sz w:val="22"/>
                <w:szCs w:val="22"/>
                <w:highlight w:val="none"/>
              </w:rPr>
            </w:pPr>
          </w:p>
        </w:tc>
        <w:tc>
          <w:tcPr>
            <w:tcW w:w="831" w:type="dxa"/>
            <w:noWrap w:val="0"/>
            <w:vAlign w:val="top"/>
          </w:tcPr>
          <w:p>
            <w:pPr>
              <w:spacing w:line="360" w:lineRule="auto"/>
              <w:jc w:val="center"/>
              <w:rPr>
                <w:rFonts w:hint="eastAsia" w:ascii="宋体"/>
                <w:b/>
                <w:color w:val="auto"/>
                <w:sz w:val="22"/>
                <w:szCs w:val="22"/>
                <w:highlight w:val="none"/>
              </w:rPr>
            </w:pPr>
          </w:p>
        </w:tc>
        <w:tc>
          <w:tcPr>
            <w:tcW w:w="1200" w:type="dxa"/>
            <w:noWrap w:val="0"/>
            <w:vAlign w:val="center"/>
          </w:tcPr>
          <w:p>
            <w:pPr>
              <w:spacing w:line="360" w:lineRule="auto"/>
              <w:jc w:val="center"/>
              <w:rPr>
                <w:rFonts w:hint="eastAsia"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color w:val="auto"/>
                <w:sz w:val="22"/>
                <w:szCs w:val="22"/>
                <w:highlight w:val="none"/>
              </w:rPr>
            </w:pPr>
          </w:p>
        </w:tc>
        <w:tc>
          <w:tcPr>
            <w:tcW w:w="1183" w:type="dxa"/>
            <w:noWrap w:val="0"/>
            <w:vAlign w:val="center"/>
          </w:tcPr>
          <w:p>
            <w:pPr>
              <w:spacing w:line="360" w:lineRule="auto"/>
              <w:jc w:val="center"/>
              <w:rPr>
                <w:rFonts w:hint="eastAsia" w:ascii="宋体"/>
                <w:b/>
                <w:color w:val="auto"/>
                <w:sz w:val="22"/>
                <w:szCs w:val="22"/>
                <w:highlight w:val="none"/>
              </w:rPr>
            </w:pPr>
          </w:p>
        </w:tc>
        <w:tc>
          <w:tcPr>
            <w:tcW w:w="1260" w:type="dxa"/>
            <w:noWrap w:val="0"/>
            <w:vAlign w:val="top"/>
          </w:tcPr>
          <w:p>
            <w:pPr>
              <w:spacing w:line="360" w:lineRule="auto"/>
              <w:jc w:val="center"/>
              <w:rPr>
                <w:rFonts w:hint="eastAsia" w:ascii="宋体"/>
                <w:b/>
                <w:color w:val="auto"/>
                <w:sz w:val="22"/>
                <w:szCs w:val="22"/>
                <w:highlight w:val="none"/>
              </w:rPr>
            </w:pPr>
          </w:p>
        </w:tc>
        <w:tc>
          <w:tcPr>
            <w:tcW w:w="1455"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center"/>
          </w:tcPr>
          <w:p>
            <w:pPr>
              <w:spacing w:line="360" w:lineRule="auto"/>
              <w:jc w:val="center"/>
              <w:rPr>
                <w:rFonts w:hint="eastAsia" w:ascii="宋体"/>
                <w:b/>
                <w:color w:val="auto"/>
                <w:sz w:val="22"/>
                <w:szCs w:val="22"/>
                <w:highlight w:val="none"/>
              </w:rPr>
            </w:pPr>
          </w:p>
        </w:tc>
        <w:tc>
          <w:tcPr>
            <w:tcW w:w="1247" w:type="dxa"/>
            <w:noWrap w:val="0"/>
            <w:vAlign w:val="top"/>
          </w:tcPr>
          <w:p>
            <w:pPr>
              <w:spacing w:line="360" w:lineRule="auto"/>
              <w:jc w:val="center"/>
              <w:rPr>
                <w:rFonts w:hint="eastAsia" w:ascii="宋体"/>
                <w:b/>
                <w:color w:val="auto"/>
                <w:sz w:val="22"/>
                <w:szCs w:val="22"/>
                <w:highlight w:val="none"/>
              </w:rPr>
            </w:pPr>
          </w:p>
        </w:tc>
        <w:tc>
          <w:tcPr>
            <w:tcW w:w="831" w:type="dxa"/>
            <w:noWrap w:val="0"/>
            <w:vAlign w:val="top"/>
          </w:tcPr>
          <w:p>
            <w:pPr>
              <w:spacing w:line="360" w:lineRule="auto"/>
              <w:jc w:val="center"/>
              <w:rPr>
                <w:rFonts w:hint="eastAsia" w:ascii="宋体"/>
                <w:b/>
                <w:color w:val="auto"/>
                <w:sz w:val="22"/>
                <w:szCs w:val="22"/>
                <w:highlight w:val="none"/>
              </w:rPr>
            </w:pPr>
          </w:p>
        </w:tc>
        <w:tc>
          <w:tcPr>
            <w:tcW w:w="1200" w:type="dxa"/>
            <w:noWrap w:val="0"/>
            <w:vAlign w:val="center"/>
          </w:tcPr>
          <w:p>
            <w:pPr>
              <w:spacing w:line="360" w:lineRule="auto"/>
              <w:jc w:val="center"/>
              <w:rPr>
                <w:rFonts w:hint="eastAsia" w:ascii="宋体"/>
                <w:b/>
                <w:color w:val="auto"/>
                <w:sz w:val="22"/>
                <w:szCs w:val="22"/>
                <w:highlight w:val="none"/>
              </w:rPr>
            </w:pPr>
          </w:p>
        </w:tc>
      </w:tr>
    </w:tbl>
    <w:p>
      <w:pPr>
        <w:spacing w:line="400" w:lineRule="exact"/>
        <w:rPr>
          <w:rFonts w:hint="eastAsia" w:ascii="宋体"/>
          <w:b/>
          <w:color w:val="auto"/>
          <w:sz w:val="22"/>
          <w:szCs w:val="22"/>
          <w:highlight w:val="none"/>
        </w:rPr>
      </w:pPr>
      <w:r>
        <w:rPr>
          <w:rFonts w:hint="eastAsia" w:ascii="宋体"/>
          <w:b/>
          <w:color w:val="auto"/>
          <w:sz w:val="22"/>
          <w:szCs w:val="22"/>
          <w:highlight w:val="none"/>
        </w:rPr>
        <w:t xml:space="preserve">项目名称：                                          </w:t>
      </w:r>
      <w:r>
        <w:rPr>
          <w:rFonts w:hint="eastAsia" w:ascii="宋体"/>
          <w:b/>
          <w:color w:val="auto"/>
          <w:sz w:val="22"/>
          <w:szCs w:val="22"/>
          <w:highlight w:val="none"/>
          <w:lang w:eastAsia="zh-CN"/>
        </w:rPr>
        <w:t>项目编号</w:t>
      </w:r>
      <w:r>
        <w:rPr>
          <w:rFonts w:hint="eastAsia" w:ascii="宋体"/>
          <w:b/>
          <w:color w:val="auto"/>
          <w:sz w:val="22"/>
          <w:szCs w:val="22"/>
          <w:highlight w:val="none"/>
        </w:rPr>
        <w:t>：</w:t>
      </w:r>
    </w:p>
    <w:p>
      <w:pPr>
        <w:pStyle w:val="2"/>
        <w:spacing w:line="440" w:lineRule="exact"/>
        <w:rPr>
          <w:rFonts w:hint="eastAsia" w:hAnsi="宋体"/>
          <w:b/>
          <w:color w:val="auto"/>
          <w:sz w:val="22"/>
          <w:szCs w:val="22"/>
          <w:highlight w:val="none"/>
        </w:rPr>
      </w:pPr>
      <w:r>
        <w:rPr>
          <w:rFonts w:hint="eastAsia" w:hAnsi="宋体"/>
          <w:b/>
          <w:color w:val="auto"/>
          <w:sz w:val="22"/>
          <w:szCs w:val="22"/>
          <w:highlight w:val="none"/>
        </w:rPr>
        <w:t>注：1、本表所列为供应商拟投入的作业机具、设备清单。</w:t>
      </w:r>
    </w:p>
    <w:p>
      <w:pPr>
        <w:pStyle w:val="2"/>
        <w:spacing w:line="440" w:lineRule="exact"/>
        <w:ind w:left="437" w:leftChars="208"/>
        <w:rPr>
          <w:rFonts w:hint="eastAsia" w:hAnsi="宋体"/>
          <w:b/>
          <w:color w:val="auto"/>
          <w:sz w:val="22"/>
          <w:szCs w:val="22"/>
          <w:highlight w:val="none"/>
        </w:rPr>
      </w:pPr>
      <w:r>
        <w:rPr>
          <w:rFonts w:hint="eastAsia" w:hAnsi="宋体"/>
          <w:b/>
          <w:color w:val="auto"/>
          <w:sz w:val="22"/>
          <w:szCs w:val="22"/>
          <w:highlight w:val="none"/>
        </w:rPr>
        <w:t>2、本表所列设备价格不计入投标总价，但应在投标价格中考虑机具、设备的损耗、折旧及有关费用。</w:t>
      </w:r>
    </w:p>
    <w:p>
      <w:pPr>
        <w:pStyle w:val="2"/>
        <w:spacing w:line="440" w:lineRule="exact"/>
        <w:ind w:firstLine="442" w:firstLineChars="200"/>
        <w:rPr>
          <w:rFonts w:hint="eastAsia" w:hAnsi="宋体"/>
          <w:b/>
          <w:color w:val="auto"/>
          <w:sz w:val="22"/>
          <w:szCs w:val="22"/>
          <w:highlight w:val="none"/>
        </w:rPr>
      </w:pPr>
      <w:r>
        <w:rPr>
          <w:rFonts w:hint="eastAsia" w:hAnsi="宋体"/>
          <w:b/>
          <w:color w:val="auto"/>
          <w:sz w:val="22"/>
          <w:szCs w:val="22"/>
          <w:highlight w:val="none"/>
        </w:rPr>
        <w:t>3、此表仅提供了表格形式，供应商可按此表格编制。</w:t>
      </w:r>
    </w:p>
    <w:p>
      <w:pPr>
        <w:pStyle w:val="2"/>
        <w:spacing w:line="440" w:lineRule="exact"/>
        <w:ind w:left="657" w:leftChars="313"/>
        <w:rPr>
          <w:rFonts w:hint="eastAsia" w:hAnsi="宋体"/>
          <w:b/>
          <w:color w:val="auto"/>
          <w:sz w:val="22"/>
          <w:szCs w:val="22"/>
          <w:highlight w:val="none"/>
        </w:rPr>
      </w:pPr>
    </w:p>
    <w:p>
      <w:pPr>
        <w:pStyle w:val="2"/>
        <w:spacing w:line="440" w:lineRule="exact"/>
        <w:ind w:firstLine="442" w:firstLineChars="200"/>
        <w:jc w:val="left"/>
        <w:rPr>
          <w:rFonts w:hint="eastAsia" w:hAnsi="宋体"/>
          <w:b/>
          <w:color w:val="auto"/>
          <w:sz w:val="22"/>
          <w:szCs w:val="22"/>
          <w:highlight w:val="none"/>
        </w:rPr>
      </w:pPr>
      <w:r>
        <w:rPr>
          <w:rFonts w:hint="eastAsia" w:hAnsi="宋体"/>
          <w:b/>
          <w:color w:val="auto"/>
          <w:sz w:val="22"/>
          <w:szCs w:val="22"/>
          <w:highlight w:val="none"/>
        </w:rPr>
        <w:t>供应商名称（盖章）：</w:t>
      </w:r>
    </w:p>
    <w:p>
      <w:pPr>
        <w:pStyle w:val="2"/>
        <w:spacing w:line="440" w:lineRule="exact"/>
        <w:ind w:firstLine="442" w:firstLineChars="200"/>
        <w:jc w:val="left"/>
        <w:rPr>
          <w:rFonts w:hint="eastAsia" w:hAnsi="宋体"/>
          <w:b/>
          <w:color w:val="auto"/>
          <w:sz w:val="22"/>
          <w:szCs w:val="22"/>
          <w:highlight w:val="none"/>
        </w:rPr>
      </w:pPr>
      <w:r>
        <w:rPr>
          <w:rFonts w:hint="eastAsia" w:hAnsi="宋体"/>
          <w:b/>
          <w:color w:val="auto"/>
          <w:sz w:val="22"/>
          <w:szCs w:val="22"/>
          <w:highlight w:val="none"/>
        </w:rPr>
        <w:t>法定代表人或授权代表（</w:t>
      </w:r>
      <w:r>
        <w:rPr>
          <w:rFonts w:hint="eastAsia" w:hAnsi="宋体"/>
          <w:b/>
          <w:color w:val="auto"/>
          <w:sz w:val="22"/>
          <w:highlight w:val="none"/>
        </w:rPr>
        <w:t>签字</w:t>
      </w:r>
      <w:r>
        <w:rPr>
          <w:rFonts w:hint="eastAsia" w:hAnsi="宋体"/>
          <w:b/>
          <w:color w:val="auto"/>
          <w:sz w:val="22"/>
          <w:highlight w:val="none"/>
          <w:lang w:eastAsia="zh-CN"/>
        </w:rPr>
        <w:t>或盖章</w:t>
      </w:r>
      <w:r>
        <w:rPr>
          <w:rFonts w:hint="eastAsia" w:hAnsi="宋体"/>
          <w:b/>
          <w:color w:val="auto"/>
          <w:sz w:val="22"/>
          <w:szCs w:val="22"/>
          <w:highlight w:val="none"/>
        </w:rPr>
        <w:t>）：</w:t>
      </w:r>
    </w:p>
    <w:p>
      <w:pPr>
        <w:pStyle w:val="2"/>
        <w:spacing w:line="440" w:lineRule="exact"/>
        <w:ind w:firstLine="442" w:firstLineChars="200"/>
        <w:jc w:val="left"/>
        <w:rPr>
          <w:rFonts w:hint="eastAsia" w:hAnsi="宋体"/>
          <w:b/>
          <w:color w:val="auto"/>
          <w:sz w:val="22"/>
          <w:szCs w:val="22"/>
          <w:highlight w:val="none"/>
        </w:rPr>
      </w:pPr>
      <w:r>
        <w:rPr>
          <w:rFonts w:hint="eastAsia" w:hAnsi="宋体"/>
          <w:b/>
          <w:color w:val="auto"/>
          <w:sz w:val="22"/>
          <w:szCs w:val="22"/>
          <w:highlight w:val="none"/>
        </w:rPr>
        <w:t xml:space="preserve">日    期：   </w:t>
      </w:r>
    </w:p>
    <w:p>
      <w:pPr>
        <w:widowControl/>
        <w:autoSpaceDE w:val="0"/>
        <w:autoSpaceDN w:val="0"/>
        <w:adjustRightInd w:val="0"/>
        <w:spacing w:line="460" w:lineRule="atLeast"/>
        <w:textAlignment w:val="bottom"/>
        <w:rPr>
          <w:rFonts w:hint="eastAsia" w:ascii="宋体"/>
          <w:bCs/>
          <w:color w:val="auto"/>
          <w:sz w:val="22"/>
          <w:szCs w:val="22"/>
          <w:highlight w:val="none"/>
        </w:rPr>
      </w:pPr>
    </w:p>
    <w:p>
      <w:pPr>
        <w:widowControl/>
        <w:autoSpaceDE w:val="0"/>
        <w:autoSpaceDN w:val="0"/>
        <w:adjustRightInd w:val="0"/>
        <w:spacing w:line="460" w:lineRule="atLeast"/>
        <w:textAlignment w:val="bottom"/>
        <w:rPr>
          <w:rFonts w:hint="eastAsia" w:ascii="宋体"/>
          <w:bCs/>
          <w:color w:val="auto"/>
          <w:sz w:val="22"/>
          <w:szCs w:val="22"/>
          <w:highlight w:val="none"/>
        </w:rPr>
      </w:pPr>
    </w:p>
    <w:p>
      <w:pPr>
        <w:widowControl/>
        <w:autoSpaceDE w:val="0"/>
        <w:autoSpaceDN w:val="0"/>
        <w:adjustRightInd w:val="0"/>
        <w:spacing w:line="460" w:lineRule="atLeast"/>
        <w:textAlignment w:val="bottom"/>
        <w:rPr>
          <w:rFonts w:hint="eastAsia" w:ascii="宋体"/>
          <w:bCs/>
          <w:color w:val="auto"/>
          <w:sz w:val="22"/>
          <w:szCs w:val="22"/>
          <w:highlight w:val="none"/>
        </w:rPr>
      </w:pPr>
    </w:p>
    <w:p>
      <w:pPr>
        <w:widowControl/>
        <w:autoSpaceDE w:val="0"/>
        <w:autoSpaceDN w:val="0"/>
        <w:adjustRightInd w:val="0"/>
        <w:spacing w:line="460" w:lineRule="atLeast"/>
        <w:textAlignment w:val="bottom"/>
        <w:rPr>
          <w:rFonts w:hint="eastAsia" w:ascii="宋体"/>
          <w:bCs/>
          <w:color w:val="auto"/>
          <w:sz w:val="22"/>
          <w:szCs w:val="22"/>
          <w:highlight w:val="none"/>
        </w:rPr>
      </w:pPr>
    </w:p>
    <w:p>
      <w:pPr>
        <w:widowControl/>
        <w:autoSpaceDE w:val="0"/>
        <w:autoSpaceDN w:val="0"/>
        <w:adjustRightInd w:val="0"/>
        <w:spacing w:line="460" w:lineRule="atLeast"/>
        <w:textAlignment w:val="bottom"/>
        <w:rPr>
          <w:rFonts w:hint="eastAsia" w:ascii="宋体"/>
          <w:bCs/>
          <w:color w:val="auto"/>
          <w:sz w:val="22"/>
          <w:szCs w:val="22"/>
          <w:highlight w:val="none"/>
        </w:rPr>
      </w:pPr>
    </w:p>
    <w:p>
      <w:pPr>
        <w:widowControl/>
        <w:autoSpaceDE w:val="0"/>
        <w:autoSpaceDN w:val="0"/>
        <w:adjustRightInd w:val="0"/>
        <w:spacing w:line="460" w:lineRule="atLeast"/>
        <w:textAlignment w:val="bottom"/>
        <w:rPr>
          <w:rFonts w:hint="eastAsia" w:ascii="宋体"/>
          <w:bCs/>
          <w:color w:val="auto"/>
          <w:sz w:val="22"/>
          <w:szCs w:val="22"/>
          <w:highlight w:val="none"/>
        </w:rPr>
      </w:pPr>
    </w:p>
    <w:p>
      <w:pPr>
        <w:widowControl/>
        <w:autoSpaceDE w:val="0"/>
        <w:autoSpaceDN w:val="0"/>
        <w:adjustRightInd w:val="0"/>
        <w:spacing w:line="460" w:lineRule="atLeast"/>
        <w:textAlignment w:val="bottom"/>
        <w:rPr>
          <w:rFonts w:hint="eastAsia" w:ascii="宋体"/>
          <w:bCs/>
          <w:color w:val="auto"/>
          <w:sz w:val="22"/>
          <w:szCs w:val="22"/>
          <w:highlight w:val="none"/>
        </w:rPr>
      </w:pPr>
    </w:p>
    <w:p>
      <w:pPr>
        <w:widowControl/>
        <w:autoSpaceDE w:val="0"/>
        <w:autoSpaceDN w:val="0"/>
        <w:adjustRightInd w:val="0"/>
        <w:spacing w:line="460" w:lineRule="atLeast"/>
        <w:textAlignment w:val="bottom"/>
        <w:rPr>
          <w:rFonts w:hint="eastAsia" w:ascii="宋体"/>
          <w:bCs/>
          <w:color w:val="auto"/>
          <w:sz w:val="22"/>
          <w:szCs w:val="22"/>
          <w:highlight w:val="none"/>
        </w:rPr>
      </w:pPr>
    </w:p>
    <w:p>
      <w:pPr>
        <w:widowControl/>
        <w:autoSpaceDE w:val="0"/>
        <w:autoSpaceDN w:val="0"/>
        <w:adjustRightInd w:val="0"/>
        <w:spacing w:line="460" w:lineRule="atLeast"/>
        <w:textAlignment w:val="bottom"/>
        <w:rPr>
          <w:rFonts w:hint="eastAsia" w:ascii="宋体"/>
          <w:bCs/>
          <w:color w:val="auto"/>
          <w:sz w:val="22"/>
          <w:szCs w:val="22"/>
          <w:highlight w:val="none"/>
        </w:rPr>
      </w:pPr>
    </w:p>
    <w:p>
      <w:pPr>
        <w:widowControl/>
        <w:autoSpaceDE w:val="0"/>
        <w:autoSpaceDN w:val="0"/>
        <w:adjustRightInd w:val="0"/>
        <w:spacing w:line="460" w:lineRule="atLeast"/>
        <w:textAlignment w:val="bottom"/>
        <w:rPr>
          <w:rFonts w:hint="eastAsia" w:ascii="宋体"/>
          <w:bCs/>
          <w:color w:val="auto"/>
          <w:sz w:val="22"/>
          <w:szCs w:val="22"/>
          <w:highlight w:val="none"/>
        </w:rPr>
      </w:pPr>
    </w:p>
    <w:p>
      <w:pPr>
        <w:jc w:val="center"/>
        <w:rPr>
          <w:rFonts w:hint="eastAsia" w:ascii="宋体"/>
          <w:b w:val="0"/>
          <w:bCs/>
          <w:color w:val="auto"/>
          <w:sz w:val="36"/>
          <w:szCs w:val="36"/>
          <w:highlight w:val="none"/>
        </w:rPr>
      </w:pPr>
      <w:r>
        <w:rPr>
          <w:rFonts w:hint="eastAsia" w:ascii="宋体"/>
          <w:b w:val="0"/>
          <w:bCs/>
          <w:color w:val="auto"/>
          <w:sz w:val="36"/>
          <w:szCs w:val="36"/>
          <w:highlight w:val="none"/>
        </w:rPr>
        <w:t>耗材配备明细表</w:t>
      </w:r>
    </w:p>
    <w:tbl>
      <w:tblPr>
        <w:tblStyle w:val="39"/>
        <w:tblpPr w:leftFromText="180" w:rightFromText="180" w:vertAnchor="text" w:horzAnchor="margin" w:tblpXSpec="center" w:tblpY="533"/>
        <w:tblW w:w="0" w:type="auto"/>
        <w:tblInd w:w="-4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932"/>
        <w:gridCol w:w="1680"/>
        <w:gridCol w:w="1892"/>
        <w:gridCol w:w="1295"/>
        <w:gridCol w:w="13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824" w:type="dxa"/>
            <w:noWrap w:val="0"/>
            <w:vAlign w:val="center"/>
          </w:tcPr>
          <w:p>
            <w:pPr>
              <w:jc w:val="center"/>
              <w:rPr>
                <w:rFonts w:hint="eastAsia" w:ascii="宋体"/>
                <w:b/>
                <w:color w:val="auto"/>
                <w:sz w:val="22"/>
                <w:highlight w:val="none"/>
              </w:rPr>
            </w:pPr>
            <w:r>
              <w:rPr>
                <w:rFonts w:hint="eastAsia" w:ascii="宋体"/>
                <w:b/>
                <w:color w:val="auto"/>
                <w:sz w:val="22"/>
                <w:highlight w:val="none"/>
              </w:rPr>
              <w:t>序号</w:t>
            </w:r>
          </w:p>
        </w:tc>
        <w:tc>
          <w:tcPr>
            <w:tcW w:w="1932" w:type="dxa"/>
            <w:noWrap w:val="0"/>
            <w:vAlign w:val="center"/>
          </w:tcPr>
          <w:p>
            <w:pPr>
              <w:jc w:val="center"/>
              <w:rPr>
                <w:rFonts w:hint="eastAsia" w:ascii="宋体"/>
                <w:b/>
                <w:color w:val="auto"/>
                <w:sz w:val="22"/>
                <w:highlight w:val="none"/>
              </w:rPr>
            </w:pPr>
            <w:r>
              <w:rPr>
                <w:rFonts w:hint="eastAsia" w:ascii="宋体"/>
                <w:b/>
                <w:color w:val="auto"/>
                <w:sz w:val="22"/>
                <w:highlight w:val="none"/>
              </w:rPr>
              <w:t>耗材名称</w:t>
            </w:r>
          </w:p>
        </w:tc>
        <w:tc>
          <w:tcPr>
            <w:tcW w:w="1680" w:type="dxa"/>
            <w:noWrap w:val="0"/>
            <w:vAlign w:val="center"/>
          </w:tcPr>
          <w:p>
            <w:pPr>
              <w:jc w:val="center"/>
              <w:rPr>
                <w:rFonts w:hint="eastAsia" w:ascii="宋体"/>
                <w:b/>
                <w:color w:val="auto"/>
                <w:sz w:val="22"/>
                <w:highlight w:val="none"/>
              </w:rPr>
            </w:pPr>
            <w:r>
              <w:rPr>
                <w:rFonts w:hint="eastAsia" w:ascii="宋体"/>
                <w:b/>
                <w:color w:val="auto"/>
                <w:sz w:val="22"/>
                <w:highlight w:val="none"/>
              </w:rPr>
              <w:t>规格型号</w:t>
            </w:r>
          </w:p>
        </w:tc>
        <w:tc>
          <w:tcPr>
            <w:tcW w:w="1892" w:type="dxa"/>
            <w:noWrap w:val="0"/>
            <w:vAlign w:val="center"/>
          </w:tcPr>
          <w:p>
            <w:pPr>
              <w:jc w:val="center"/>
              <w:rPr>
                <w:rFonts w:hint="eastAsia" w:ascii="宋体"/>
                <w:b/>
                <w:color w:val="auto"/>
                <w:sz w:val="22"/>
                <w:highlight w:val="none"/>
              </w:rPr>
            </w:pPr>
            <w:r>
              <w:rPr>
                <w:rFonts w:hint="eastAsia" w:ascii="宋体"/>
                <w:b/>
                <w:color w:val="auto"/>
                <w:sz w:val="22"/>
                <w:highlight w:val="none"/>
              </w:rPr>
              <w:t>品牌/产地</w:t>
            </w:r>
          </w:p>
        </w:tc>
        <w:tc>
          <w:tcPr>
            <w:tcW w:w="1295" w:type="dxa"/>
            <w:noWrap w:val="0"/>
            <w:vAlign w:val="center"/>
          </w:tcPr>
          <w:p>
            <w:pPr>
              <w:spacing w:line="280" w:lineRule="exact"/>
              <w:jc w:val="center"/>
              <w:rPr>
                <w:rFonts w:hint="eastAsia" w:ascii="宋体"/>
                <w:b/>
                <w:color w:val="auto"/>
                <w:sz w:val="22"/>
                <w:highlight w:val="none"/>
              </w:rPr>
            </w:pPr>
            <w:r>
              <w:rPr>
                <w:rFonts w:hint="eastAsia" w:ascii="宋体"/>
                <w:b/>
                <w:color w:val="auto"/>
                <w:sz w:val="22"/>
                <w:highlight w:val="none"/>
              </w:rPr>
              <w:t>数量</w:t>
            </w:r>
          </w:p>
        </w:tc>
        <w:tc>
          <w:tcPr>
            <w:tcW w:w="1358" w:type="dxa"/>
            <w:noWrap w:val="0"/>
            <w:vAlign w:val="center"/>
          </w:tcPr>
          <w:p>
            <w:pPr>
              <w:jc w:val="center"/>
              <w:rPr>
                <w:rFonts w:hint="eastAsia" w:ascii="宋体"/>
                <w:b/>
                <w:color w:val="auto"/>
                <w:sz w:val="22"/>
                <w:highlight w:val="none"/>
              </w:rPr>
            </w:pPr>
            <w:r>
              <w:rPr>
                <w:rFonts w:hint="eastAsia" w:ascii="宋体"/>
                <w:b/>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4" w:type="dxa"/>
            <w:noWrap w:val="0"/>
            <w:vAlign w:val="center"/>
          </w:tcPr>
          <w:p>
            <w:pPr>
              <w:spacing w:line="360" w:lineRule="auto"/>
              <w:jc w:val="center"/>
              <w:rPr>
                <w:rFonts w:hint="eastAsia" w:ascii="宋体"/>
                <w:color w:val="auto"/>
                <w:sz w:val="22"/>
                <w:highlight w:val="none"/>
              </w:rPr>
            </w:pPr>
          </w:p>
        </w:tc>
        <w:tc>
          <w:tcPr>
            <w:tcW w:w="1932" w:type="dxa"/>
            <w:noWrap w:val="0"/>
            <w:vAlign w:val="center"/>
          </w:tcPr>
          <w:p>
            <w:pPr>
              <w:spacing w:line="360" w:lineRule="auto"/>
              <w:jc w:val="center"/>
              <w:rPr>
                <w:rFonts w:hint="eastAsia" w:ascii="宋体"/>
                <w:b/>
                <w:color w:val="auto"/>
                <w:sz w:val="22"/>
                <w:highlight w:val="none"/>
              </w:rPr>
            </w:pPr>
          </w:p>
        </w:tc>
        <w:tc>
          <w:tcPr>
            <w:tcW w:w="1680" w:type="dxa"/>
            <w:noWrap w:val="0"/>
            <w:vAlign w:val="top"/>
          </w:tcPr>
          <w:p>
            <w:pPr>
              <w:spacing w:line="360" w:lineRule="auto"/>
              <w:jc w:val="center"/>
              <w:rPr>
                <w:rFonts w:hint="eastAsia" w:ascii="宋体"/>
                <w:b/>
                <w:color w:val="auto"/>
                <w:sz w:val="22"/>
                <w:highlight w:val="none"/>
              </w:rPr>
            </w:pPr>
          </w:p>
        </w:tc>
        <w:tc>
          <w:tcPr>
            <w:tcW w:w="1892" w:type="dxa"/>
            <w:noWrap w:val="0"/>
            <w:vAlign w:val="center"/>
          </w:tcPr>
          <w:p>
            <w:pPr>
              <w:spacing w:line="360" w:lineRule="auto"/>
              <w:jc w:val="center"/>
              <w:rPr>
                <w:rFonts w:hint="eastAsia" w:ascii="宋体"/>
                <w:b/>
                <w:color w:val="auto"/>
                <w:sz w:val="22"/>
                <w:highlight w:val="none"/>
              </w:rPr>
            </w:pPr>
          </w:p>
        </w:tc>
        <w:tc>
          <w:tcPr>
            <w:tcW w:w="1295" w:type="dxa"/>
            <w:noWrap w:val="0"/>
            <w:vAlign w:val="top"/>
          </w:tcPr>
          <w:p>
            <w:pPr>
              <w:spacing w:line="360" w:lineRule="auto"/>
              <w:jc w:val="center"/>
              <w:rPr>
                <w:rFonts w:hint="eastAsia" w:ascii="宋体"/>
                <w:b/>
                <w:color w:val="auto"/>
                <w:sz w:val="22"/>
                <w:highlight w:val="none"/>
              </w:rPr>
            </w:pPr>
          </w:p>
        </w:tc>
        <w:tc>
          <w:tcPr>
            <w:tcW w:w="1358" w:type="dxa"/>
            <w:noWrap w:val="0"/>
            <w:vAlign w:val="top"/>
          </w:tcPr>
          <w:p>
            <w:pPr>
              <w:rPr>
                <w:rFonts w:hint="eastAsia"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4" w:type="dxa"/>
            <w:noWrap w:val="0"/>
            <w:vAlign w:val="center"/>
          </w:tcPr>
          <w:p>
            <w:pPr>
              <w:spacing w:line="360" w:lineRule="auto"/>
              <w:jc w:val="center"/>
              <w:rPr>
                <w:rFonts w:hint="eastAsia" w:ascii="宋体"/>
                <w:color w:val="auto"/>
                <w:sz w:val="22"/>
                <w:highlight w:val="none"/>
              </w:rPr>
            </w:pPr>
          </w:p>
        </w:tc>
        <w:tc>
          <w:tcPr>
            <w:tcW w:w="1932" w:type="dxa"/>
            <w:noWrap w:val="0"/>
            <w:vAlign w:val="center"/>
          </w:tcPr>
          <w:p>
            <w:pPr>
              <w:spacing w:line="360" w:lineRule="auto"/>
              <w:jc w:val="center"/>
              <w:rPr>
                <w:rFonts w:hint="eastAsia" w:ascii="宋体"/>
                <w:b/>
                <w:color w:val="auto"/>
                <w:sz w:val="22"/>
                <w:highlight w:val="none"/>
              </w:rPr>
            </w:pPr>
          </w:p>
        </w:tc>
        <w:tc>
          <w:tcPr>
            <w:tcW w:w="1680" w:type="dxa"/>
            <w:noWrap w:val="0"/>
            <w:vAlign w:val="top"/>
          </w:tcPr>
          <w:p>
            <w:pPr>
              <w:spacing w:line="360" w:lineRule="auto"/>
              <w:jc w:val="center"/>
              <w:rPr>
                <w:rFonts w:hint="eastAsia" w:ascii="宋体"/>
                <w:b/>
                <w:color w:val="auto"/>
                <w:sz w:val="22"/>
                <w:highlight w:val="none"/>
              </w:rPr>
            </w:pPr>
          </w:p>
        </w:tc>
        <w:tc>
          <w:tcPr>
            <w:tcW w:w="1892" w:type="dxa"/>
            <w:noWrap w:val="0"/>
            <w:vAlign w:val="center"/>
          </w:tcPr>
          <w:p>
            <w:pPr>
              <w:spacing w:line="360" w:lineRule="auto"/>
              <w:jc w:val="center"/>
              <w:rPr>
                <w:rFonts w:hint="eastAsia" w:ascii="宋体"/>
                <w:b/>
                <w:color w:val="auto"/>
                <w:sz w:val="22"/>
                <w:highlight w:val="none"/>
              </w:rPr>
            </w:pPr>
          </w:p>
        </w:tc>
        <w:tc>
          <w:tcPr>
            <w:tcW w:w="1295" w:type="dxa"/>
            <w:noWrap w:val="0"/>
            <w:vAlign w:val="top"/>
          </w:tcPr>
          <w:p>
            <w:pPr>
              <w:spacing w:line="360" w:lineRule="auto"/>
              <w:jc w:val="center"/>
              <w:rPr>
                <w:rFonts w:hint="eastAsia" w:ascii="宋体"/>
                <w:b/>
                <w:color w:val="auto"/>
                <w:sz w:val="22"/>
                <w:highlight w:val="none"/>
              </w:rPr>
            </w:pPr>
          </w:p>
        </w:tc>
        <w:tc>
          <w:tcPr>
            <w:tcW w:w="1358" w:type="dxa"/>
            <w:noWrap w:val="0"/>
            <w:vAlign w:val="top"/>
          </w:tcPr>
          <w:p>
            <w:pPr>
              <w:rPr>
                <w:rFonts w:hint="eastAsia"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4" w:type="dxa"/>
            <w:noWrap w:val="0"/>
            <w:vAlign w:val="center"/>
          </w:tcPr>
          <w:p>
            <w:pPr>
              <w:spacing w:line="360" w:lineRule="auto"/>
              <w:jc w:val="center"/>
              <w:rPr>
                <w:rFonts w:hint="eastAsia" w:ascii="宋体"/>
                <w:color w:val="auto"/>
                <w:sz w:val="22"/>
                <w:highlight w:val="none"/>
              </w:rPr>
            </w:pPr>
          </w:p>
        </w:tc>
        <w:tc>
          <w:tcPr>
            <w:tcW w:w="1932" w:type="dxa"/>
            <w:noWrap w:val="0"/>
            <w:vAlign w:val="center"/>
          </w:tcPr>
          <w:p>
            <w:pPr>
              <w:spacing w:line="360" w:lineRule="auto"/>
              <w:jc w:val="center"/>
              <w:rPr>
                <w:rFonts w:hint="eastAsia" w:ascii="宋体"/>
                <w:b/>
                <w:color w:val="auto"/>
                <w:sz w:val="22"/>
                <w:highlight w:val="none"/>
              </w:rPr>
            </w:pPr>
          </w:p>
        </w:tc>
        <w:tc>
          <w:tcPr>
            <w:tcW w:w="1680" w:type="dxa"/>
            <w:noWrap w:val="0"/>
            <w:vAlign w:val="top"/>
          </w:tcPr>
          <w:p>
            <w:pPr>
              <w:spacing w:line="360" w:lineRule="auto"/>
              <w:jc w:val="center"/>
              <w:rPr>
                <w:rFonts w:hint="eastAsia" w:ascii="宋体"/>
                <w:b/>
                <w:color w:val="auto"/>
                <w:sz w:val="22"/>
                <w:highlight w:val="none"/>
              </w:rPr>
            </w:pPr>
          </w:p>
        </w:tc>
        <w:tc>
          <w:tcPr>
            <w:tcW w:w="1892" w:type="dxa"/>
            <w:noWrap w:val="0"/>
            <w:vAlign w:val="center"/>
          </w:tcPr>
          <w:p>
            <w:pPr>
              <w:spacing w:line="360" w:lineRule="auto"/>
              <w:jc w:val="center"/>
              <w:rPr>
                <w:rFonts w:hint="eastAsia" w:ascii="宋体"/>
                <w:b/>
                <w:color w:val="auto"/>
                <w:sz w:val="22"/>
                <w:highlight w:val="none"/>
              </w:rPr>
            </w:pPr>
          </w:p>
        </w:tc>
        <w:tc>
          <w:tcPr>
            <w:tcW w:w="1295" w:type="dxa"/>
            <w:noWrap w:val="0"/>
            <w:vAlign w:val="top"/>
          </w:tcPr>
          <w:p>
            <w:pPr>
              <w:spacing w:line="360" w:lineRule="auto"/>
              <w:jc w:val="center"/>
              <w:rPr>
                <w:rFonts w:hint="eastAsia" w:ascii="宋体"/>
                <w:b/>
                <w:color w:val="auto"/>
                <w:sz w:val="22"/>
                <w:highlight w:val="none"/>
              </w:rPr>
            </w:pPr>
          </w:p>
        </w:tc>
        <w:tc>
          <w:tcPr>
            <w:tcW w:w="1358" w:type="dxa"/>
            <w:noWrap w:val="0"/>
            <w:vAlign w:val="top"/>
          </w:tcPr>
          <w:p>
            <w:pPr>
              <w:rPr>
                <w:rFonts w:hint="eastAsia"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4" w:type="dxa"/>
            <w:noWrap w:val="0"/>
            <w:vAlign w:val="center"/>
          </w:tcPr>
          <w:p>
            <w:pPr>
              <w:spacing w:line="360" w:lineRule="auto"/>
              <w:jc w:val="center"/>
              <w:rPr>
                <w:rFonts w:hint="eastAsia" w:ascii="宋体"/>
                <w:color w:val="auto"/>
                <w:sz w:val="22"/>
                <w:highlight w:val="none"/>
              </w:rPr>
            </w:pPr>
          </w:p>
        </w:tc>
        <w:tc>
          <w:tcPr>
            <w:tcW w:w="1932" w:type="dxa"/>
            <w:noWrap w:val="0"/>
            <w:vAlign w:val="center"/>
          </w:tcPr>
          <w:p>
            <w:pPr>
              <w:spacing w:line="360" w:lineRule="auto"/>
              <w:jc w:val="center"/>
              <w:rPr>
                <w:rFonts w:hint="eastAsia" w:ascii="宋体"/>
                <w:b/>
                <w:color w:val="auto"/>
                <w:sz w:val="22"/>
                <w:highlight w:val="none"/>
              </w:rPr>
            </w:pPr>
          </w:p>
        </w:tc>
        <w:tc>
          <w:tcPr>
            <w:tcW w:w="1680" w:type="dxa"/>
            <w:noWrap w:val="0"/>
            <w:vAlign w:val="top"/>
          </w:tcPr>
          <w:p>
            <w:pPr>
              <w:spacing w:line="360" w:lineRule="auto"/>
              <w:jc w:val="center"/>
              <w:rPr>
                <w:rFonts w:hint="eastAsia" w:ascii="宋体"/>
                <w:b/>
                <w:color w:val="auto"/>
                <w:sz w:val="22"/>
                <w:highlight w:val="none"/>
              </w:rPr>
            </w:pPr>
          </w:p>
        </w:tc>
        <w:tc>
          <w:tcPr>
            <w:tcW w:w="1892" w:type="dxa"/>
            <w:noWrap w:val="0"/>
            <w:vAlign w:val="center"/>
          </w:tcPr>
          <w:p>
            <w:pPr>
              <w:spacing w:line="360" w:lineRule="auto"/>
              <w:jc w:val="center"/>
              <w:rPr>
                <w:rFonts w:hint="eastAsia" w:ascii="宋体"/>
                <w:b/>
                <w:color w:val="auto"/>
                <w:sz w:val="22"/>
                <w:highlight w:val="none"/>
              </w:rPr>
            </w:pPr>
          </w:p>
        </w:tc>
        <w:tc>
          <w:tcPr>
            <w:tcW w:w="1295" w:type="dxa"/>
            <w:noWrap w:val="0"/>
            <w:vAlign w:val="top"/>
          </w:tcPr>
          <w:p>
            <w:pPr>
              <w:spacing w:line="360" w:lineRule="auto"/>
              <w:jc w:val="center"/>
              <w:rPr>
                <w:rFonts w:hint="eastAsia" w:ascii="宋体"/>
                <w:b/>
                <w:color w:val="auto"/>
                <w:sz w:val="22"/>
                <w:highlight w:val="none"/>
              </w:rPr>
            </w:pPr>
          </w:p>
        </w:tc>
        <w:tc>
          <w:tcPr>
            <w:tcW w:w="1358" w:type="dxa"/>
            <w:noWrap w:val="0"/>
            <w:vAlign w:val="top"/>
          </w:tcPr>
          <w:p>
            <w:pPr>
              <w:rPr>
                <w:rFonts w:hint="eastAsia"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4" w:type="dxa"/>
            <w:noWrap w:val="0"/>
            <w:vAlign w:val="center"/>
          </w:tcPr>
          <w:p>
            <w:pPr>
              <w:spacing w:line="360" w:lineRule="auto"/>
              <w:jc w:val="center"/>
              <w:rPr>
                <w:rFonts w:hint="eastAsia" w:ascii="宋体"/>
                <w:color w:val="auto"/>
                <w:sz w:val="22"/>
                <w:highlight w:val="none"/>
              </w:rPr>
            </w:pPr>
          </w:p>
        </w:tc>
        <w:tc>
          <w:tcPr>
            <w:tcW w:w="1932" w:type="dxa"/>
            <w:noWrap w:val="0"/>
            <w:vAlign w:val="center"/>
          </w:tcPr>
          <w:p>
            <w:pPr>
              <w:spacing w:line="360" w:lineRule="auto"/>
              <w:jc w:val="center"/>
              <w:rPr>
                <w:rFonts w:hint="eastAsia" w:ascii="宋体"/>
                <w:b/>
                <w:color w:val="auto"/>
                <w:sz w:val="22"/>
                <w:highlight w:val="none"/>
              </w:rPr>
            </w:pPr>
          </w:p>
        </w:tc>
        <w:tc>
          <w:tcPr>
            <w:tcW w:w="1680" w:type="dxa"/>
            <w:noWrap w:val="0"/>
            <w:vAlign w:val="top"/>
          </w:tcPr>
          <w:p>
            <w:pPr>
              <w:spacing w:line="360" w:lineRule="auto"/>
              <w:jc w:val="center"/>
              <w:rPr>
                <w:rFonts w:hint="eastAsia" w:ascii="宋体"/>
                <w:b/>
                <w:color w:val="auto"/>
                <w:sz w:val="22"/>
                <w:highlight w:val="none"/>
              </w:rPr>
            </w:pPr>
          </w:p>
        </w:tc>
        <w:tc>
          <w:tcPr>
            <w:tcW w:w="1892" w:type="dxa"/>
            <w:noWrap w:val="0"/>
            <w:vAlign w:val="center"/>
          </w:tcPr>
          <w:p>
            <w:pPr>
              <w:spacing w:line="360" w:lineRule="auto"/>
              <w:jc w:val="center"/>
              <w:rPr>
                <w:rFonts w:hint="eastAsia" w:ascii="宋体"/>
                <w:b/>
                <w:color w:val="auto"/>
                <w:sz w:val="22"/>
                <w:highlight w:val="none"/>
              </w:rPr>
            </w:pPr>
          </w:p>
        </w:tc>
        <w:tc>
          <w:tcPr>
            <w:tcW w:w="1295" w:type="dxa"/>
            <w:noWrap w:val="0"/>
            <w:vAlign w:val="top"/>
          </w:tcPr>
          <w:p>
            <w:pPr>
              <w:spacing w:line="360" w:lineRule="auto"/>
              <w:jc w:val="center"/>
              <w:rPr>
                <w:rFonts w:hint="eastAsia" w:ascii="宋体"/>
                <w:b/>
                <w:color w:val="auto"/>
                <w:sz w:val="22"/>
                <w:highlight w:val="none"/>
              </w:rPr>
            </w:pPr>
          </w:p>
        </w:tc>
        <w:tc>
          <w:tcPr>
            <w:tcW w:w="1358" w:type="dxa"/>
            <w:noWrap w:val="0"/>
            <w:vAlign w:val="top"/>
          </w:tcPr>
          <w:p>
            <w:pPr>
              <w:rPr>
                <w:rFonts w:hint="eastAsia"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4" w:type="dxa"/>
            <w:noWrap w:val="0"/>
            <w:vAlign w:val="center"/>
          </w:tcPr>
          <w:p>
            <w:pPr>
              <w:spacing w:line="360" w:lineRule="auto"/>
              <w:jc w:val="center"/>
              <w:rPr>
                <w:rFonts w:hint="eastAsia" w:ascii="宋体"/>
                <w:color w:val="auto"/>
                <w:sz w:val="22"/>
                <w:highlight w:val="none"/>
              </w:rPr>
            </w:pPr>
          </w:p>
        </w:tc>
        <w:tc>
          <w:tcPr>
            <w:tcW w:w="1932" w:type="dxa"/>
            <w:noWrap w:val="0"/>
            <w:vAlign w:val="center"/>
          </w:tcPr>
          <w:p>
            <w:pPr>
              <w:spacing w:line="360" w:lineRule="auto"/>
              <w:jc w:val="center"/>
              <w:rPr>
                <w:rFonts w:hint="eastAsia" w:ascii="宋体"/>
                <w:b/>
                <w:color w:val="auto"/>
                <w:sz w:val="22"/>
                <w:highlight w:val="none"/>
              </w:rPr>
            </w:pPr>
          </w:p>
        </w:tc>
        <w:tc>
          <w:tcPr>
            <w:tcW w:w="1680" w:type="dxa"/>
            <w:noWrap w:val="0"/>
            <w:vAlign w:val="top"/>
          </w:tcPr>
          <w:p>
            <w:pPr>
              <w:spacing w:line="360" w:lineRule="auto"/>
              <w:jc w:val="center"/>
              <w:rPr>
                <w:rFonts w:hint="eastAsia" w:ascii="宋体"/>
                <w:b/>
                <w:color w:val="auto"/>
                <w:sz w:val="22"/>
                <w:highlight w:val="none"/>
              </w:rPr>
            </w:pPr>
          </w:p>
        </w:tc>
        <w:tc>
          <w:tcPr>
            <w:tcW w:w="1892" w:type="dxa"/>
            <w:noWrap w:val="0"/>
            <w:vAlign w:val="center"/>
          </w:tcPr>
          <w:p>
            <w:pPr>
              <w:spacing w:line="360" w:lineRule="auto"/>
              <w:jc w:val="center"/>
              <w:rPr>
                <w:rFonts w:hint="eastAsia" w:ascii="宋体"/>
                <w:b/>
                <w:color w:val="auto"/>
                <w:sz w:val="22"/>
                <w:highlight w:val="none"/>
              </w:rPr>
            </w:pPr>
          </w:p>
        </w:tc>
        <w:tc>
          <w:tcPr>
            <w:tcW w:w="1295" w:type="dxa"/>
            <w:noWrap w:val="0"/>
            <w:vAlign w:val="top"/>
          </w:tcPr>
          <w:p>
            <w:pPr>
              <w:spacing w:line="360" w:lineRule="auto"/>
              <w:jc w:val="center"/>
              <w:rPr>
                <w:rFonts w:hint="eastAsia" w:ascii="宋体"/>
                <w:b/>
                <w:color w:val="auto"/>
                <w:sz w:val="22"/>
                <w:highlight w:val="none"/>
              </w:rPr>
            </w:pPr>
          </w:p>
        </w:tc>
        <w:tc>
          <w:tcPr>
            <w:tcW w:w="1358" w:type="dxa"/>
            <w:noWrap w:val="0"/>
            <w:vAlign w:val="top"/>
          </w:tcPr>
          <w:p>
            <w:pPr>
              <w:rPr>
                <w:rFonts w:hint="eastAsia"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4" w:type="dxa"/>
            <w:noWrap w:val="0"/>
            <w:vAlign w:val="center"/>
          </w:tcPr>
          <w:p>
            <w:pPr>
              <w:spacing w:line="360" w:lineRule="auto"/>
              <w:jc w:val="center"/>
              <w:rPr>
                <w:rFonts w:hint="eastAsia" w:ascii="宋体"/>
                <w:color w:val="auto"/>
                <w:sz w:val="22"/>
                <w:highlight w:val="none"/>
              </w:rPr>
            </w:pPr>
          </w:p>
        </w:tc>
        <w:tc>
          <w:tcPr>
            <w:tcW w:w="1932" w:type="dxa"/>
            <w:noWrap w:val="0"/>
            <w:vAlign w:val="center"/>
          </w:tcPr>
          <w:p>
            <w:pPr>
              <w:spacing w:line="360" w:lineRule="auto"/>
              <w:jc w:val="center"/>
              <w:rPr>
                <w:rFonts w:hint="eastAsia" w:ascii="宋体"/>
                <w:b/>
                <w:color w:val="auto"/>
                <w:sz w:val="22"/>
                <w:highlight w:val="none"/>
              </w:rPr>
            </w:pPr>
          </w:p>
        </w:tc>
        <w:tc>
          <w:tcPr>
            <w:tcW w:w="1680" w:type="dxa"/>
            <w:noWrap w:val="0"/>
            <w:vAlign w:val="top"/>
          </w:tcPr>
          <w:p>
            <w:pPr>
              <w:spacing w:line="360" w:lineRule="auto"/>
              <w:jc w:val="center"/>
              <w:rPr>
                <w:rFonts w:hint="eastAsia" w:ascii="宋体"/>
                <w:b/>
                <w:color w:val="auto"/>
                <w:sz w:val="22"/>
                <w:highlight w:val="none"/>
              </w:rPr>
            </w:pPr>
          </w:p>
        </w:tc>
        <w:tc>
          <w:tcPr>
            <w:tcW w:w="1892" w:type="dxa"/>
            <w:noWrap w:val="0"/>
            <w:vAlign w:val="center"/>
          </w:tcPr>
          <w:p>
            <w:pPr>
              <w:spacing w:line="360" w:lineRule="auto"/>
              <w:jc w:val="center"/>
              <w:rPr>
                <w:rFonts w:hint="eastAsia" w:ascii="宋体"/>
                <w:b/>
                <w:color w:val="auto"/>
                <w:sz w:val="22"/>
                <w:highlight w:val="none"/>
              </w:rPr>
            </w:pPr>
          </w:p>
        </w:tc>
        <w:tc>
          <w:tcPr>
            <w:tcW w:w="1295" w:type="dxa"/>
            <w:noWrap w:val="0"/>
            <w:vAlign w:val="top"/>
          </w:tcPr>
          <w:p>
            <w:pPr>
              <w:spacing w:line="360" w:lineRule="auto"/>
              <w:jc w:val="center"/>
              <w:rPr>
                <w:rFonts w:hint="eastAsia" w:ascii="宋体"/>
                <w:b/>
                <w:color w:val="auto"/>
                <w:sz w:val="22"/>
                <w:highlight w:val="none"/>
              </w:rPr>
            </w:pPr>
          </w:p>
        </w:tc>
        <w:tc>
          <w:tcPr>
            <w:tcW w:w="1358" w:type="dxa"/>
            <w:noWrap w:val="0"/>
            <w:vAlign w:val="top"/>
          </w:tcPr>
          <w:p>
            <w:pPr>
              <w:rPr>
                <w:rFonts w:hint="eastAsia"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4" w:type="dxa"/>
            <w:noWrap w:val="0"/>
            <w:vAlign w:val="center"/>
          </w:tcPr>
          <w:p>
            <w:pPr>
              <w:spacing w:line="360" w:lineRule="auto"/>
              <w:jc w:val="center"/>
              <w:rPr>
                <w:rFonts w:hint="eastAsia" w:ascii="宋体"/>
                <w:color w:val="auto"/>
                <w:sz w:val="22"/>
                <w:highlight w:val="none"/>
              </w:rPr>
            </w:pPr>
          </w:p>
        </w:tc>
        <w:tc>
          <w:tcPr>
            <w:tcW w:w="1932" w:type="dxa"/>
            <w:noWrap w:val="0"/>
            <w:vAlign w:val="center"/>
          </w:tcPr>
          <w:p>
            <w:pPr>
              <w:spacing w:line="360" w:lineRule="auto"/>
              <w:jc w:val="center"/>
              <w:rPr>
                <w:rFonts w:hint="eastAsia" w:ascii="宋体"/>
                <w:b/>
                <w:color w:val="auto"/>
                <w:sz w:val="22"/>
                <w:highlight w:val="none"/>
              </w:rPr>
            </w:pPr>
          </w:p>
        </w:tc>
        <w:tc>
          <w:tcPr>
            <w:tcW w:w="1680" w:type="dxa"/>
            <w:noWrap w:val="0"/>
            <w:vAlign w:val="top"/>
          </w:tcPr>
          <w:p>
            <w:pPr>
              <w:spacing w:line="360" w:lineRule="auto"/>
              <w:jc w:val="center"/>
              <w:rPr>
                <w:rFonts w:hint="eastAsia" w:ascii="宋体"/>
                <w:b/>
                <w:color w:val="auto"/>
                <w:sz w:val="22"/>
                <w:highlight w:val="none"/>
              </w:rPr>
            </w:pPr>
          </w:p>
        </w:tc>
        <w:tc>
          <w:tcPr>
            <w:tcW w:w="1892" w:type="dxa"/>
            <w:noWrap w:val="0"/>
            <w:vAlign w:val="center"/>
          </w:tcPr>
          <w:p>
            <w:pPr>
              <w:spacing w:line="360" w:lineRule="auto"/>
              <w:jc w:val="center"/>
              <w:rPr>
                <w:rFonts w:hint="eastAsia" w:ascii="宋体"/>
                <w:b/>
                <w:color w:val="auto"/>
                <w:sz w:val="22"/>
                <w:highlight w:val="none"/>
              </w:rPr>
            </w:pPr>
          </w:p>
        </w:tc>
        <w:tc>
          <w:tcPr>
            <w:tcW w:w="1295" w:type="dxa"/>
            <w:noWrap w:val="0"/>
            <w:vAlign w:val="top"/>
          </w:tcPr>
          <w:p>
            <w:pPr>
              <w:spacing w:line="360" w:lineRule="auto"/>
              <w:jc w:val="center"/>
              <w:rPr>
                <w:rFonts w:hint="eastAsia" w:ascii="宋体"/>
                <w:b/>
                <w:color w:val="auto"/>
                <w:sz w:val="22"/>
                <w:highlight w:val="none"/>
              </w:rPr>
            </w:pPr>
          </w:p>
        </w:tc>
        <w:tc>
          <w:tcPr>
            <w:tcW w:w="1358" w:type="dxa"/>
            <w:noWrap w:val="0"/>
            <w:vAlign w:val="top"/>
          </w:tcPr>
          <w:p>
            <w:pPr>
              <w:rPr>
                <w:rFonts w:hint="eastAsia" w:ascii="宋体"/>
                <w:color w:val="auto"/>
                <w:sz w:val="22"/>
                <w:highlight w:val="none"/>
              </w:rPr>
            </w:pPr>
          </w:p>
        </w:tc>
      </w:tr>
    </w:tbl>
    <w:p>
      <w:pPr>
        <w:spacing w:line="400" w:lineRule="exact"/>
        <w:rPr>
          <w:rFonts w:hint="eastAsia" w:ascii="宋体"/>
          <w:b/>
          <w:color w:val="auto"/>
          <w:sz w:val="22"/>
          <w:szCs w:val="22"/>
          <w:highlight w:val="none"/>
        </w:rPr>
      </w:pPr>
      <w:r>
        <w:rPr>
          <w:rFonts w:hint="eastAsia" w:ascii="宋体"/>
          <w:b/>
          <w:color w:val="auto"/>
          <w:sz w:val="22"/>
          <w:szCs w:val="22"/>
          <w:highlight w:val="none"/>
        </w:rPr>
        <w:t xml:space="preserve">项目名称：                                          </w:t>
      </w:r>
      <w:r>
        <w:rPr>
          <w:rFonts w:hint="eastAsia" w:ascii="宋体"/>
          <w:b/>
          <w:color w:val="auto"/>
          <w:sz w:val="22"/>
          <w:szCs w:val="22"/>
          <w:highlight w:val="none"/>
          <w:lang w:eastAsia="zh-CN"/>
        </w:rPr>
        <w:t>项目编号</w:t>
      </w:r>
      <w:r>
        <w:rPr>
          <w:rFonts w:hint="eastAsia" w:ascii="宋体"/>
          <w:b/>
          <w:color w:val="auto"/>
          <w:sz w:val="22"/>
          <w:szCs w:val="22"/>
          <w:highlight w:val="none"/>
        </w:rPr>
        <w:t>：</w:t>
      </w:r>
    </w:p>
    <w:p>
      <w:pPr>
        <w:pStyle w:val="20"/>
        <w:rPr>
          <w:rFonts w:hint="eastAsia"/>
          <w:color w:val="auto"/>
          <w:highlight w:val="none"/>
        </w:rPr>
      </w:pPr>
    </w:p>
    <w:p>
      <w:pPr>
        <w:pStyle w:val="2"/>
        <w:spacing w:line="320" w:lineRule="exact"/>
        <w:ind w:left="660" w:leftChars="104" w:hanging="442" w:hangingChars="200"/>
        <w:rPr>
          <w:rFonts w:hint="eastAsia" w:hAnsi="宋体"/>
          <w:b/>
          <w:color w:val="auto"/>
          <w:sz w:val="22"/>
          <w:highlight w:val="none"/>
        </w:rPr>
      </w:pPr>
      <w:r>
        <w:rPr>
          <w:rFonts w:hint="eastAsia" w:hAnsi="宋体"/>
          <w:b/>
          <w:color w:val="auto"/>
          <w:sz w:val="22"/>
          <w:highlight w:val="none"/>
        </w:rPr>
        <w:t>注：1、本表所列为投标供应商拟投入的消耗材料清单。</w:t>
      </w:r>
    </w:p>
    <w:p>
      <w:pPr>
        <w:pStyle w:val="2"/>
        <w:spacing w:line="320" w:lineRule="exact"/>
        <w:ind w:left="988" w:leftChars="313" w:hanging="331" w:hangingChars="150"/>
        <w:rPr>
          <w:rFonts w:hint="eastAsia" w:hAnsi="宋体"/>
          <w:b/>
          <w:color w:val="auto"/>
          <w:sz w:val="22"/>
          <w:highlight w:val="none"/>
        </w:rPr>
      </w:pPr>
      <w:r>
        <w:rPr>
          <w:rFonts w:hint="eastAsia" w:hAnsi="宋体"/>
          <w:b/>
          <w:color w:val="auto"/>
          <w:sz w:val="22"/>
          <w:highlight w:val="none"/>
        </w:rPr>
        <w:t>2、本表所列耗材价格应计入投标总价。</w:t>
      </w:r>
    </w:p>
    <w:p>
      <w:pPr>
        <w:pStyle w:val="2"/>
        <w:spacing w:line="320" w:lineRule="exact"/>
        <w:ind w:left="657" w:leftChars="313"/>
        <w:rPr>
          <w:rFonts w:hint="eastAsia" w:hAnsi="宋体"/>
          <w:b/>
          <w:color w:val="auto"/>
          <w:sz w:val="22"/>
          <w:highlight w:val="none"/>
        </w:rPr>
      </w:pPr>
      <w:r>
        <w:rPr>
          <w:rFonts w:hint="eastAsia" w:hAnsi="宋体"/>
          <w:b/>
          <w:color w:val="auto"/>
          <w:sz w:val="22"/>
          <w:highlight w:val="none"/>
        </w:rPr>
        <w:t>3、此表仅提供了表格形式，供应商可按此表格编制。</w:t>
      </w:r>
    </w:p>
    <w:p>
      <w:pPr>
        <w:pStyle w:val="2"/>
        <w:spacing w:line="320" w:lineRule="exact"/>
        <w:ind w:left="657" w:leftChars="313"/>
        <w:rPr>
          <w:rFonts w:hint="eastAsia" w:hAnsi="宋体"/>
          <w:b/>
          <w:color w:val="auto"/>
          <w:sz w:val="22"/>
          <w:highlight w:val="none"/>
        </w:rPr>
      </w:pPr>
    </w:p>
    <w:p>
      <w:pPr>
        <w:pStyle w:val="2"/>
        <w:spacing w:line="360" w:lineRule="exact"/>
        <w:ind w:left="655" w:leftChars="312"/>
        <w:rPr>
          <w:rFonts w:hint="eastAsia" w:hAnsi="宋体"/>
          <w:b/>
          <w:color w:val="auto"/>
          <w:sz w:val="22"/>
          <w:highlight w:val="none"/>
        </w:rPr>
      </w:pPr>
      <w:r>
        <w:rPr>
          <w:rFonts w:hint="eastAsia" w:hAnsi="宋体"/>
          <w:b/>
          <w:color w:val="auto"/>
          <w:sz w:val="22"/>
          <w:highlight w:val="none"/>
        </w:rPr>
        <w:t>供应商名称（盖章）：</w:t>
      </w:r>
    </w:p>
    <w:p>
      <w:pPr>
        <w:pStyle w:val="2"/>
        <w:spacing w:line="360" w:lineRule="exact"/>
        <w:ind w:left="655" w:leftChars="312"/>
        <w:rPr>
          <w:rFonts w:hint="eastAsia" w:hAnsi="宋体"/>
          <w:b/>
          <w:color w:val="auto"/>
          <w:sz w:val="22"/>
          <w:highlight w:val="none"/>
        </w:rPr>
      </w:pPr>
      <w:r>
        <w:rPr>
          <w:rFonts w:hint="eastAsia" w:hAnsi="宋体"/>
          <w:b/>
          <w:color w:val="auto"/>
          <w:sz w:val="22"/>
          <w:highlight w:val="none"/>
        </w:rPr>
        <w:t>法定代表人或授权代表（签字</w:t>
      </w:r>
      <w:r>
        <w:rPr>
          <w:rFonts w:hint="eastAsia" w:hAnsi="宋体"/>
          <w:b/>
          <w:color w:val="auto"/>
          <w:sz w:val="22"/>
          <w:highlight w:val="none"/>
          <w:lang w:eastAsia="zh-CN"/>
        </w:rPr>
        <w:t>或盖章</w:t>
      </w:r>
      <w:r>
        <w:rPr>
          <w:rFonts w:hint="eastAsia" w:hAnsi="宋体"/>
          <w:b/>
          <w:color w:val="auto"/>
          <w:sz w:val="22"/>
          <w:highlight w:val="none"/>
        </w:rPr>
        <w:t>）：</w:t>
      </w:r>
    </w:p>
    <w:p>
      <w:pPr>
        <w:pStyle w:val="2"/>
        <w:spacing w:line="360" w:lineRule="exact"/>
        <w:ind w:left="663" w:hanging="663" w:hangingChars="300"/>
        <w:rPr>
          <w:rFonts w:hint="eastAsia" w:hAnsi="宋体"/>
          <w:b/>
          <w:color w:val="auto"/>
          <w:sz w:val="22"/>
          <w:highlight w:val="none"/>
        </w:rPr>
      </w:pPr>
      <w:r>
        <w:rPr>
          <w:rFonts w:hint="eastAsia"/>
          <w:b/>
          <w:color w:val="auto"/>
          <w:sz w:val="22"/>
          <w:highlight w:val="none"/>
        </w:rPr>
        <w:t xml:space="preserve">      </w:t>
      </w:r>
      <w:r>
        <w:rPr>
          <w:rFonts w:hint="eastAsia" w:hAnsi="宋体"/>
          <w:b/>
          <w:color w:val="auto"/>
          <w:sz w:val="22"/>
          <w:highlight w:val="none"/>
        </w:rPr>
        <w:t xml:space="preserve">日    期：    </w:t>
      </w:r>
    </w:p>
    <w:p>
      <w:pPr>
        <w:spacing w:line="360" w:lineRule="auto"/>
        <w:rPr>
          <w:rFonts w:hint="eastAsia"/>
          <w:b/>
          <w:color w:val="auto"/>
          <w:sz w:val="32"/>
          <w:highlight w:val="none"/>
          <w:lang w:val="zh-CN"/>
        </w:rPr>
      </w:pPr>
    </w:p>
    <w:p>
      <w:pPr>
        <w:autoSpaceDE w:val="0"/>
        <w:autoSpaceDN w:val="0"/>
        <w:adjustRightInd w:val="0"/>
        <w:outlineLvl w:val="0"/>
        <w:rPr>
          <w:rFonts w:hint="eastAsia"/>
          <w:b/>
          <w:color w:val="auto"/>
          <w:sz w:val="32"/>
          <w:highlight w:val="none"/>
          <w:lang w:val="en-US" w:eastAsia="zh-CN"/>
        </w:rPr>
        <w:sectPr>
          <w:footerReference r:id="rId23" w:type="first"/>
          <w:headerReference r:id="rId20" w:type="default"/>
          <w:footerReference r:id="rId21" w:type="default"/>
          <w:footerReference r:id="rId22" w:type="even"/>
          <w:pgSz w:w="11906" w:h="16838"/>
          <w:pgMar w:top="1440" w:right="1361" w:bottom="1440" w:left="1361" w:header="720" w:footer="720"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en-US" w:eastAsia="zh-CN"/>
        </w:rPr>
        <w:t xml:space="preserve">2.10   </w:t>
      </w:r>
      <w:r>
        <w:rPr>
          <w:rFonts w:hint="eastAsia"/>
          <w:b/>
          <w:color w:val="auto"/>
          <w:sz w:val="32"/>
          <w:highlight w:val="none"/>
          <w:lang w:val="zh-CN"/>
        </w:rPr>
        <w:t>20</w:t>
      </w:r>
      <w:r>
        <w:rPr>
          <w:rFonts w:hint="eastAsia"/>
          <w:b/>
          <w:color w:val="auto"/>
          <w:sz w:val="32"/>
          <w:highlight w:val="none"/>
          <w:lang w:val="en-US" w:eastAsia="zh-CN"/>
        </w:rPr>
        <w:t>21</w:t>
      </w:r>
      <w:r>
        <w:rPr>
          <w:rFonts w:hint="eastAsia"/>
          <w:b/>
          <w:color w:val="auto"/>
          <w:sz w:val="32"/>
          <w:highlight w:val="none"/>
          <w:lang w:val="zh-CN"/>
        </w:rPr>
        <w:t>年1月1日以来的类似项目业绩证明</w:t>
      </w:r>
    </w:p>
    <w:p>
      <w:pPr>
        <w:pStyle w:val="48"/>
        <w:rPr>
          <w:rFonts w:hint="eastAsia"/>
          <w:color w:val="auto"/>
          <w:highlight w:val="none"/>
          <w:lang w:val="zh-CN"/>
        </w:rPr>
      </w:pPr>
    </w:p>
    <w:p>
      <w:pPr>
        <w:pStyle w:val="2"/>
        <w:adjustRightInd w:val="0"/>
        <w:snapToGrid w:val="0"/>
        <w:spacing w:line="400" w:lineRule="exact"/>
        <w:ind w:firstLine="1440" w:firstLineChars="400"/>
        <w:jc w:val="left"/>
        <w:rPr>
          <w:rFonts w:hint="eastAsia" w:hAnsi="宋体" w:cs="宋体"/>
          <w:color w:val="auto"/>
          <w:sz w:val="36"/>
          <w:szCs w:val="36"/>
          <w:highlight w:val="none"/>
        </w:rPr>
      </w:pPr>
      <w:r>
        <w:rPr>
          <w:rFonts w:hint="eastAsia" w:hAnsi="宋体" w:cs="宋体"/>
          <w:color w:val="auto"/>
          <w:sz w:val="36"/>
          <w:szCs w:val="36"/>
          <w:highlight w:val="none"/>
          <w:lang w:eastAsia="zh-CN"/>
        </w:rPr>
        <w:t>20</w:t>
      </w:r>
      <w:r>
        <w:rPr>
          <w:rFonts w:hint="eastAsia" w:hAnsi="宋体" w:cs="宋体"/>
          <w:color w:val="auto"/>
          <w:sz w:val="36"/>
          <w:szCs w:val="36"/>
          <w:highlight w:val="none"/>
          <w:lang w:val="en-US" w:eastAsia="zh-CN"/>
        </w:rPr>
        <w:t>21</w:t>
      </w:r>
      <w:r>
        <w:rPr>
          <w:rFonts w:hint="eastAsia" w:hAnsi="宋体" w:cs="宋体"/>
          <w:color w:val="auto"/>
          <w:sz w:val="36"/>
          <w:szCs w:val="36"/>
          <w:highlight w:val="none"/>
        </w:rPr>
        <w:t>年1月1日以来的类似项目业绩证明</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30"/>
        <w:gridCol w:w="1222"/>
        <w:gridCol w:w="1408"/>
        <w:gridCol w:w="1134"/>
        <w:gridCol w:w="1214"/>
        <w:gridCol w:w="1990"/>
        <w:gridCol w:w="1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序号</w:t>
            </w:r>
          </w:p>
        </w:tc>
        <w:tc>
          <w:tcPr>
            <w:tcW w:w="1222" w:type="dxa"/>
            <w:noWrap w:val="0"/>
            <w:vAlign w:val="center"/>
          </w:tcPr>
          <w:p>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项目名称</w:t>
            </w:r>
          </w:p>
        </w:tc>
        <w:tc>
          <w:tcPr>
            <w:tcW w:w="1408" w:type="dxa"/>
            <w:noWrap w:val="0"/>
            <w:vAlign w:val="center"/>
          </w:tcPr>
          <w:p>
            <w:pPr>
              <w:autoSpaceDE w:val="0"/>
              <w:autoSpaceDN w:val="0"/>
              <w:adjustRightInd w:val="0"/>
              <w:jc w:val="center"/>
              <w:rPr>
                <w:rFonts w:hint="default" w:ascii="宋体" w:eastAsia="宋体"/>
                <w:b/>
                <w:color w:val="auto"/>
                <w:sz w:val="22"/>
                <w:szCs w:val="22"/>
                <w:highlight w:val="none"/>
                <w:lang w:val="en-US" w:eastAsia="zh-CN"/>
              </w:rPr>
            </w:pPr>
            <w:r>
              <w:rPr>
                <w:rFonts w:hint="eastAsia" w:ascii="宋体"/>
                <w:b/>
                <w:color w:val="auto"/>
                <w:sz w:val="22"/>
                <w:szCs w:val="22"/>
                <w:highlight w:val="none"/>
                <w:lang w:val="en-US" w:eastAsia="zh-CN"/>
              </w:rPr>
              <w:t>合同内容</w:t>
            </w:r>
          </w:p>
        </w:tc>
        <w:tc>
          <w:tcPr>
            <w:tcW w:w="1134" w:type="dxa"/>
            <w:noWrap w:val="0"/>
            <w:vAlign w:val="center"/>
          </w:tcPr>
          <w:p>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合同总价</w:t>
            </w:r>
          </w:p>
        </w:tc>
        <w:tc>
          <w:tcPr>
            <w:tcW w:w="1214" w:type="dxa"/>
            <w:noWrap w:val="0"/>
            <w:vAlign w:val="center"/>
          </w:tcPr>
          <w:p>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签约日期</w:t>
            </w:r>
          </w:p>
        </w:tc>
        <w:tc>
          <w:tcPr>
            <w:tcW w:w="1990" w:type="dxa"/>
            <w:tcBorders>
              <w:right w:val="single" w:color="auto" w:sz="4" w:space="0"/>
            </w:tcBorders>
            <w:noWrap w:val="0"/>
            <w:vAlign w:val="center"/>
          </w:tcPr>
          <w:p>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lang w:eastAsia="zh-CN"/>
              </w:rPr>
              <w:t>采购人</w:t>
            </w:r>
            <w:r>
              <w:rPr>
                <w:rFonts w:hint="eastAsia" w:ascii="宋体"/>
                <w:b/>
                <w:color w:val="auto"/>
                <w:sz w:val="22"/>
                <w:szCs w:val="22"/>
                <w:highlight w:val="none"/>
              </w:rPr>
              <w:t>联系人</w:t>
            </w:r>
          </w:p>
        </w:tc>
        <w:tc>
          <w:tcPr>
            <w:tcW w:w="1378" w:type="dxa"/>
            <w:tcBorders>
              <w:left w:val="single" w:color="auto" w:sz="4" w:space="0"/>
              <w:right w:val="single" w:color="auto" w:sz="4" w:space="0"/>
            </w:tcBorders>
            <w:noWrap w:val="0"/>
            <w:vAlign w:val="center"/>
          </w:tcPr>
          <w:p>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pPr>
              <w:autoSpaceDE w:val="0"/>
              <w:autoSpaceDN w:val="0"/>
              <w:adjustRightInd w:val="0"/>
              <w:jc w:val="center"/>
              <w:rPr>
                <w:rFonts w:hint="eastAsia" w:ascii="宋体"/>
                <w:color w:val="auto"/>
                <w:highlight w:val="none"/>
              </w:rPr>
            </w:pPr>
          </w:p>
        </w:tc>
        <w:tc>
          <w:tcPr>
            <w:tcW w:w="1222" w:type="dxa"/>
            <w:noWrap w:val="0"/>
            <w:vAlign w:val="center"/>
          </w:tcPr>
          <w:p>
            <w:pPr>
              <w:autoSpaceDE w:val="0"/>
              <w:autoSpaceDN w:val="0"/>
              <w:adjustRightInd w:val="0"/>
              <w:jc w:val="center"/>
              <w:rPr>
                <w:rFonts w:hint="eastAsia" w:ascii="宋体"/>
                <w:color w:val="auto"/>
                <w:highlight w:val="none"/>
              </w:rPr>
            </w:pPr>
          </w:p>
        </w:tc>
        <w:tc>
          <w:tcPr>
            <w:tcW w:w="1408" w:type="dxa"/>
            <w:noWrap w:val="0"/>
            <w:vAlign w:val="center"/>
          </w:tcPr>
          <w:p>
            <w:pPr>
              <w:autoSpaceDE w:val="0"/>
              <w:autoSpaceDN w:val="0"/>
              <w:adjustRightInd w:val="0"/>
              <w:jc w:val="center"/>
              <w:rPr>
                <w:rFonts w:hint="eastAsia" w:ascii="宋体"/>
                <w:color w:val="auto"/>
                <w:highlight w:val="none"/>
              </w:rPr>
            </w:pPr>
          </w:p>
        </w:tc>
        <w:tc>
          <w:tcPr>
            <w:tcW w:w="1134" w:type="dxa"/>
            <w:noWrap w:val="0"/>
            <w:vAlign w:val="center"/>
          </w:tcPr>
          <w:p>
            <w:pPr>
              <w:autoSpaceDE w:val="0"/>
              <w:autoSpaceDN w:val="0"/>
              <w:adjustRightInd w:val="0"/>
              <w:jc w:val="center"/>
              <w:rPr>
                <w:rFonts w:hint="eastAsia" w:ascii="宋体"/>
                <w:color w:val="auto"/>
                <w:highlight w:val="none"/>
              </w:rPr>
            </w:pPr>
          </w:p>
        </w:tc>
        <w:tc>
          <w:tcPr>
            <w:tcW w:w="1214" w:type="dxa"/>
            <w:noWrap w:val="0"/>
            <w:vAlign w:val="center"/>
          </w:tcPr>
          <w:p>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pPr>
              <w:autoSpaceDE w:val="0"/>
              <w:autoSpaceDN w:val="0"/>
              <w:adjustRightInd w:val="0"/>
              <w:jc w:val="center"/>
              <w:rPr>
                <w:rFonts w:hint="eastAsia" w:ascii="宋体"/>
                <w:color w:val="auto"/>
                <w:highlight w:val="none"/>
              </w:rPr>
            </w:pPr>
          </w:p>
        </w:tc>
        <w:tc>
          <w:tcPr>
            <w:tcW w:w="1222" w:type="dxa"/>
            <w:noWrap w:val="0"/>
            <w:vAlign w:val="center"/>
          </w:tcPr>
          <w:p>
            <w:pPr>
              <w:autoSpaceDE w:val="0"/>
              <w:autoSpaceDN w:val="0"/>
              <w:adjustRightInd w:val="0"/>
              <w:jc w:val="center"/>
              <w:rPr>
                <w:rFonts w:hint="eastAsia" w:ascii="宋体"/>
                <w:color w:val="auto"/>
                <w:highlight w:val="none"/>
              </w:rPr>
            </w:pPr>
          </w:p>
        </w:tc>
        <w:tc>
          <w:tcPr>
            <w:tcW w:w="1408" w:type="dxa"/>
            <w:noWrap w:val="0"/>
            <w:vAlign w:val="center"/>
          </w:tcPr>
          <w:p>
            <w:pPr>
              <w:autoSpaceDE w:val="0"/>
              <w:autoSpaceDN w:val="0"/>
              <w:adjustRightInd w:val="0"/>
              <w:jc w:val="center"/>
              <w:rPr>
                <w:rFonts w:hint="eastAsia" w:ascii="宋体"/>
                <w:color w:val="auto"/>
                <w:highlight w:val="none"/>
              </w:rPr>
            </w:pPr>
          </w:p>
        </w:tc>
        <w:tc>
          <w:tcPr>
            <w:tcW w:w="1134" w:type="dxa"/>
            <w:noWrap w:val="0"/>
            <w:vAlign w:val="center"/>
          </w:tcPr>
          <w:p>
            <w:pPr>
              <w:autoSpaceDE w:val="0"/>
              <w:autoSpaceDN w:val="0"/>
              <w:adjustRightInd w:val="0"/>
              <w:jc w:val="center"/>
              <w:rPr>
                <w:rFonts w:hint="eastAsia" w:ascii="宋体"/>
                <w:color w:val="auto"/>
                <w:highlight w:val="none"/>
              </w:rPr>
            </w:pPr>
          </w:p>
        </w:tc>
        <w:tc>
          <w:tcPr>
            <w:tcW w:w="1214" w:type="dxa"/>
            <w:noWrap w:val="0"/>
            <w:vAlign w:val="center"/>
          </w:tcPr>
          <w:p>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pPr>
              <w:autoSpaceDE w:val="0"/>
              <w:autoSpaceDN w:val="0"/>
              <w:adjustRightInd w:val="0"/>
              <w:jc w:val="center"/>
              <w:rPr>
                <w:rFonts w:hint="eastAsia" w:ascii="宋体"/>
                <w:color w:val="auto"/>
                <w:highlight w:val="none"/>
              </w:rPr>
            </w:pPr>
          </w:p>
        </w:tc>
        <w:tc>
          <w:tcPr>
            <w:tcW w:w="1222" w:type="dxa"/>
            <w:noWrap w:val="0"/>
            <w:vAlign w:val="center"/>
          </w:tcPr>
          <w:p>
            <w:pPr>
              <w:autoSpaceDE w:val="0"/>
              <w:autoSpaceDN w:val="0"/>
              <w:adjustRightInd w:val="0"/>
              <w:jc w:val="center"/>
              <w:rPr>
                <w:rFonts w:hint="eastAsia" w:ascii="宋体"/>
                <w:color w:val="auto"/>
                <w:highlight w:val="none"/>
              </w:rPr>
            </w:pPr>
          </w:p>
        </w:tc>
        <w:tc>
          <w:tcPr>
            <w:tcW w:w="1408" w:type="dxa"/>
            <w:noWrap w:val="0"/>
            <w:vAlign w:val="center"/>
          </w:tcPr>
          <w:p>
            <w:pPr>
              <w:autoSpaceDE w:val="0"/>
              <w:autoSpaceDN w:val="0"/>
              <w:adjustRightInd w:val="0"/>
              <w:jc w:val="center"/>
              <w:rPr>
                <w:rFonts w:hint="eastAsia" w:ascii="宋体"/>
                <w:color w:val="auto"/>
                <w:highlight w:val="none"/>
              </w:rPr>
            </w:pPr>
          </w:p>
        </w:tc>
        <w:tc>
          <w:tcPr>
            <w:tcW w:w="1134" w:type="dxa"/>
            <w:noWrap w:val="0"/>
            <w:vAlign w:val="center"/>
          </w:tcPr>
          <w:p>
            <w:pPr>
              <w:autoSpaceDE w:val="0"/>
              <w:autoSpaceDN w:val="0"/>
              <w:adjustRightInd w:val="0"/>
              <w:jc w:val="center"/>
              <w:rPr>
                <w:rFonts w:hint="eastAsia" w:ascii="宋体"/>
                <w:color w:val="auto"/>
                <w:highlight w:val="none"/>
              </w:rPr>
            </w:pPr>
          </w:p>
        </w:tc>
        <w:tc>
          <w:tcPr>
            <w:tcW w:w="1214" w:type="dxa"/>
            <w:noWrap w:val="0"/>
            <w:vAlign w:val="center"/>
          </w:tcPr>
          <w:p>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pPr>
              <w:autoSpaceDE w:val="0"/>
              <w:autoSpaceDN w:val="0"/>
              <w:adjustRightInd w:val="0"/>
              <w:jc w:val="center"/>
              <w:rPr>
                <w:rFonts w:hint="eastAsia" w:ascii="宋体"/>
                <w:color w:val="auto"/>
                <w:highlight w:val="none"/>
              </w:rPr>
            </w:pPr>
          </w:p>
        </w:tc>
        <w:tc>
          <w:tcPr>
            <w:tcW w:w="1222" w:type="dxa"/>
            <w:noWrap w:val="0"/>
            <w:vAlign w:val="center"/>
          </w:tcPr>
          <w:p>
            <w:pPr>
              <w:autoSpaceDE w:val="0"/>
              <w:autoSpaceDN w:val="0"/>
              <w:adjustRightInd w:val="0"/>
              <w:jc w:val="center"/>
              <w:rPr>
                <w:rFonts w:hint="eastAsia" w:ascii="宋体"/>
                <w:color w:val="auto"/>
                <w:highlight w:val="none"/>
              </w:rPr>
            </w:pPr>
          </w:p>
        </w:tc>
        <w:tc>
          <w:tcPr>
            <w:tcW w:w="1408" w:type="dxa"/>
            <w:noWrap w:val="0"/>
            <w:vAlign w:val="center"/>
          </w:tcPr>
          <w:p>
            <w:pPr>
              <w:autoSpaceDE w:val="0"/>
              <w:autoSpaceDN w:val="0"/>
              <w:adjustRightInd w:val="0"/>
              <w:jc w:val="center"/>
              <w:rPr>
                <w:rFonts w:hint="eastAsia" w:ascii="宋体"/>
                <w:color w:val="auto"/>
                <w:highlight w:val="none"/>
              </w:rPr>
            </w:pPr>
          </w:p>
        </w:tc>
        <w:tc>
          <w:tcPr>
            <w:tcW w:w="1134" w:type="dxa"/>
            <w:noWrap w:val="0"/>
            <w:vAlign w:val="center"/>
          </w:tcPr>
          <w:p>
            <w:pPr>
              <w:autoSpaceDE w:val="0"/>
              <w:autoSpaceDN w:val="0"/>
              <w:adjustRightInd w:val="0"/>
              <w:jc w:val="center"/>
              <w:rPr>
                <w:rFonts w:hint="eastAsia" w:ascii="宋体"/>
                <w:color w:val="auto"/>
                <w:highlight w:val="none"/>
              </w:rPr>
            </w:pPr>
          </w:p>
        </w:tc>
        <w:tc>
          <w:tcPr>
            <w:tcW w:w="1214" w:type="dxa"/>
            <w:noWrap w:val="0"/>
            <w:vAlign w:val="center"/>
          </w:tcPr>
          <w:p>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pPr>
              <w:autoSpaceDE w:val="0"/>
              <w:autoSpaceDN w:val="0"/>
              <w:adjustRightInd w:val="0"/>
              <w:jc w:val="center"/>
              <w:rPr>
                <w:rFonts w:hint="eastAsia" w:ascii="宋体"/>
                <w:color w:val="auto"/>
                <w:highlight w:val="none"/>
              </w:rPr>
            </w:pPr>
          </w:p>
        </w:tc>
        <w:tc>
          <w:tcPr>
            <w:tcW w:w="1222" w:type="dxa"/>
            <w:noWrap w:val="0"/>
            <w:vAlign w:val="center"/>
          </w:tcPr>
          <w:p>
            <w:pPr>
              <w:autoSpaceDE w:val="0"/>
              <w:autoSpaceDN w:val="0"/>
              <w:adjustRightInd w:val="0"/>
              <w:jc w:val="center"/>
              <w:rPr>
                <w:rFonts w:hint="eastAsia" w:ascii="宋体"/>
                <w:color w:val="auto"/>
                <w:highlight w:val="none"/>
              </w:rPr>
            </w:pPr>
          </w:p>
        </w:tc>
        <w:tc>
          <w:tcPr>
            <w:tcW w:w="1408" w:type="dxa"/>
            <w:noWrap w:val="0"/>
            <w:vAlign w:val="center"/>
          </w:tcPr>
          <w:p>
            <w:pPr>
              <w:autoSpaceDE w:val="0"/>
              <w:autoSpaceDN w:val="0"/>
              <w:adjustRightInd w:val="0"/>
              <w:jc w:val="center"/>
              <w:rPr>
                <w:rFonts w:hint="eastAsia" w:ascii="宋体"/>
                <w:color w:val="auto"/>
                <w:highlight w:val="none"/>
              </w:rPr>
            </w:pPr>
          </w:p>
        </w:tc>
        <w:tc>
          <w:tcPr>
            <w:tcW w:w="1134" w:type="dxa"/>
            <w:noWrap w:val="0"/>
            <w:vAlign w:val="center"/>
          </w:tcPr>
          <w:p>
            <w:pPr>
              <w:autoSpaceDE w:val="0"/>
              <w:autoSpaceDN w:val="0"/>
              <w:adjustRightInd w:val="0"/>
              <w:jc w:val="center"/>
              <w:rPr>
                <w:rFonts w:hint="eastAsia" w:ascii="宋体"/>
                <w:color w:val="auto"/>
                <w:highlight w:val="none"/>
              </w:rPr>
            </w:pPr>
          </w:p>
        </w:tc>
        <w:tc>
          <w:tcPr>
            <w:tcW w:w="1214" w:type="dxa"/>
            <w:noWrap w:val="0"/>
            <w:vAlign w:val="center"/>
          </w:tcPr>
          <w:p>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pPr>
              <w:autoSpaceDE w:val="0"/>
              <w:autoSpaceDN w:val="0"/>
              <w:adjustRightInd w:val="0"/>
              <w:jc w:val="center"/>
              <w:rPr>
                <w:rFonts w:hint="eastAsia" w:ascii="宋体"/>
                <w:color w:val="auto"/>
                <w:highlight w:val="none"/>
              </w:rPr>
            </w:pPr>
          </w:p>
        </w:tc>
        <w:tc>
          <w:tcPr>
            <w:tcW w:w="1222" w:type="dxa"/>
            <w:noWrap w:val="0"/>
            <w:vAlign w:val="center"/>
          </w:tcPr>
          <w:p>
            <w:pPr>
              <w:autoSpaceDE w:val="0"/>
              <w:autoSpaceDN w:val="0"/>
              <w:adjustRightInd w:val="0"/>
              <w:jc w:val="center"/>
              <w:rPr>
                <w:rFonts w:hint="eastAsia" w:ascii="宋体"/>
                <w:color w:val="auto"/>
                <w:highlight w:val="none"/>
              </w:rPr>
            </w:pPr>
          </w:p>
        </w:tc>
        <w:tc>
          <w:tcPr>
            <w:tcW w:w="1408" w:type="dxa"/>
            <w:noWrap w:val="0"/>
            <w:vAlign w:val="center"/>
          </w:tcPr>
          <w:p>
            <w:pPr>
              <w:autoSpaceDE w:val="0"/>
              <w:autoSpaceDN w:val="0"/>
              <w:adjustRightInd w:val="0"/>
              <w:jc w:val="center"/>
              <w:rPr>
                <w:rFonts w:hint="eastAsia" w:ascii="宋体"/>
                <w:color w:val="auto"/>
                <w:highlight w:val="none"/>
              </w:rPr>
            </w:pPr>
          </w:p>
        </w:tc>
        <w:tc>
          <w:tcPr>
            <w:tcW w:w="1134" w:type="dxa"/>
            <w:noWrap w:val="0"/>
            <w:vAlign w:val="center"/>
          </w:tcPr>
          <w:p>
            <w:pPr>
              <w:autoSpaceDE w:val="0"/>
              <w:autoSpaceDN w:val="0"/>
              <w:adjustRightInd w:val="0"/>
              <w:jc w:val="center"/>
              <w:rPr>
                <w:rFonts w:hint="eastAsia" w:ascii="宋体"/>
                <w:color w:val="auto"/>
                <w:highlight w:val="none"/>
              </w:rPr>
            </w:pPr>
          </w:p>
        </w:tc>
        <w:tc>
          <w:tcPr>
            <w:tcW w:w="1214" w:type="dxa"/>
            <w:noWrap w:val="0"/>
            <w:vAlign w:val="center"/>
          </w:tcPr>
          <w:p>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58" w:hRule="exact"/>
          <w:jc w:val="center"/>
        </w:trPr>
        <w:tc>
          <w:tcPr>
            <w:tcW w:w="630" w:type="dxa"/>
            <w:noWrap w:val="0"/>
            <w:vAlign w:val="center"/>
          </w:tcPr>
          <w:p>
            <w:pPr>
              <w:autoSpaceDE w:val="0"/>
              <w:autoSpaceDN w:val="0"/>
              <w:adjustRightInd w:val="0"/>
              <w:jc w:val="center"/>
              <w:rPr>
                <w:rFonts w:hint="eastAsia" w:ascii="宋体"/>
                <w:color w:val="auto"/>
                <w:highlight w:val="none"/>
              </w:rPr>
            </w:pPr>
          </w:p>
        </w:tc>
        <w:tc>
          <w:tcPr>
            <w:tcW w:w="1222" w:type="dxa"/>
            <w:noWrap w:val="0"/>
            <w:vAlign w:val="center"/>
          </w:tcPr>
          <w:p>
            <w:pPr>
              <w:autoSpaceDE w:val="0"/>
              <w:autoSpaceDN w:val="0"/>
              <w:adjustRightInd w:val="0"/>
              <w:jc w:val="center"/>
              <w:rPr>
                <w:rFonts w:hint="eastAsia" w:ascii="宋体"/>
                <w:color w:val="auto"/>
                <w:highlight w:val="none"/>
              </w:rPr>
            </w:pPr>
          </w:p>
        </w:tc>
        <w:tc>
          <w:tcPr>
            <w:tcW w:w="1408" w:type="dxa"/>
            <w:noWrap w:val="0"/>
            <w:vAlign w:val="center"/>
          </w:tcPr>
          <w:p>
            <w:pPr>
              <w:autoSpaceDE w:val="0"/>
              <w:autoSpaceDN w:val="0"/>
              <w:adjustRightInd w:val="0"/>
              <w:jc w:val="center"/>
              <w:rPr>
                <w:rFonts w:hint="eastAsia" w:ascii="宋体"/>
                <w:color w:val="auto"/>
                <w:highlight w:val="none"/>
              </w:rPr>
            </w:pPr>
          </w:p>
        </w:tc>
        <w:tc>
          <w:tcPr>
            <w:tcW w:w="1134" w:type="dxa"/>
            <w:noWrap w:val="0"/>
            <w:vAlign w:val="center"/>
          </w:tcPr>
          <w:p>
            <w:pPr>
              <w:autoSpaceDE w:val="0"/>
              <w:autoSpaceDN w:val="0"/>
              <w:adjustRightInd w:val="0"/>
              <w:jc w:val="center"/>
              <w:rPr>
                <w:rFonts w:hint="eastAsia" w:ascii="宋体"/>
                <w:color w:val="auto"/>
                <w:highlight w:val="none"/>
              </w:rPr>
            </w:pPr>
          </w:p>
        </w:tc>
        <w:tc>
          <w:tcPr>
            <w:tcW w:w="1214" w:type="dxa"/>
            <w:noWrap w:val="0"/>
            <w:vAlign w:val="center"/>
          </w:tcPr>
          <w:p>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pPr>
              <w:autoSpaceDE w:val="0"/>
              <w:autoSpaceDN w:val="0"/>
              <w:adjustRightInd w:val="0"/>
              <w:jc w:val="center"/>
              <w:rPr>
                <w:rFonts w:hint="eastAsia" w:ascii="宋体"/>
                <w:color w:val="auto"/>
                <w:highlight w:val="none"/>
              </w:rPr>
            </w:pPr>
          </w:p>
        </w:tc>
      </w:tr>
    </w:tbl>
    <w:p>
      <w:pPr>
        <w:pStyle w:val="3"/>
        <w:rPr>
          <w:rFonts w:hint="eastAsia"/>
          <w:color w:val="auto"/>
          <w:highlight w:val="none"/>
        </w:rPr>
      </w:pPr>
    </w:p>
    <w:p>
      <w:pPr>
        <w:rPr>
          <w:rFonts w:hint="eastAsia"/>
          <w:b/>
          <w:color w:val="auto"/>
          <w:sz w:val="22"/>
          <w:szCs w:val="22"/>
          <w:highlight w:val="none"/>
        </w:rPr>
      </w:pPr>
      <w:r>
        <w:rPr>
          <w:rFonts w:hint="eastAsia"/>
          <w:b/>
          <w:color w:val="auto"/>
          <w:sz w:val="22"/>
          <w:szCs w:val="22"/>
          <w:highlight w:val="none"/>
        </w:rPr>
        <w:t>注：1、按评标细则要求提供（复印件加盖公章），须附在商务技术</w:t>
      </w:r>
      <w:r>
        <w:rPr>
          <w:rFonts w:hint="eastAsia"/>
          <w:b/>
          <w:color w:val="auto"/>
          <w:sz w:val="22"/>
          <w:szCs w:val="22"/>
          <w:highlight w:val="none"/>
          <w:lang w:eastAsia="zh-CN"/>
        </w:rPr>
        <w:t>响应文件</w:t>
      </w:r>
      <w:r>
        <w:rPr>
          <w:rFonts w:hint="eastAsia"/>
          <w:b/>
          <w:color w:val="auto"/>
          <w:sz w:val="22"/>
          <w:szCs w:val="22"/>
          <w:highlight w:val="none"/>
        </w:rPr>
        <w:t>中</w:t>
      </w:r>
      <w:r>
        <w:rPr>
          <w:rFonts w:hint="eastAsia"/>
          <w:color w:val="auto"/>
          <w:sz w:val="22"/>
          <w:szCs w:val="22"/>
          <w:highlight w:val="none"/>
        </w:rPr>
        <w:t>。</w:t>
      </w:r>
    </w:p>
    <w:p>
      <w:pPr>
        <w:pStyle w:val="2"/>
        <w:spacing w:line="400" w:lineRule="atLeast"/>
        <w:rPr>
          <w:rFonts w:hint="eastAsia" w:hAnsi="宋体" w:cs="宋体"/>
          <w:b/>
          <w:color w:val="auto"/>
          <w:sz w:val="22"/>
          <w:szCs w:val="22"/>
          <w:highlight w:val="none"/>
        </w:rPr>
      </w:pPr>
    </w:p>
    <w:p>
      <w:pPr>
        <w:pStyle w:val="2"/>
        <w:spacing w:line="400" w:lineRule="atLeast"/>
        <w:rPr>
          <w:rFonts w:hint="eastAsia" w:hAnsi="宋体" w:cs="宋体"/>
          <w:b/>
          <w:color w:val="auto"/>
          <w:sz w:val="22"/>
          <w:szCs w:val="22"/>
          <w:highlight w:val="none"/>
        </w:rPr>
      </w:pPr>
    </w:p>
    <w:p>
      <w:pPr>
        <w:pStyle w:val="2"/>
        <w:spacing w:line="400" w:lineRule="exact"/>
        <w:rPr>
          <w:rFonts w:hint="eastAsia" w:hAnsi="宋体" w:cs="宋体"/>
          <w:b/>
          <w:color w:val="auto"/>
          <w:sz w:val="22"/>
          <w:highlight w:val="none"/>
        </w:rPr>
      </w:pPr>
      <w:r>
        <w:rPr>
          <w:rFonts w:hint="eastAsia" w:hAnsi="宋体" w:cs="宋体"/>
          <w:b/>
          <w:color w:val="auto"/>
          <w:sz w:val="22"/>
          <w:highlight w:val="none"/>
        </w:rPr>
        <w:t>供应商名称（盖章）：</w:t>
      </w:r>
    </w:p>
    <w:p>
      <w:pPr>
        <w:pStyle w:val="2"/>
        <w:spacing w:line="400" w:lineRule="exact"/>
        <w:rPr>
          <w:rFonts w:hint="eastAsia" w:hAnsi="宋体" w:cs="宋体"/>
          <w:b/>
          <w:color w:val="auto"/>
          <w:sz w:val="22"/>
          <w:highlight w:val="none"/>
        </w:rPr>
      </w:pPr>
      <w:r>
        <w:rPr>
          <w:rFonts w:hint="eastAsia" w:hAnsi="宋体" w:cs="宋体"/>
          <w:b/>
          <w:color w:val="auto"/>
          <w:sz w:val="22"/>
          <w:highlight w:val="none"/>
        </w:rPr>
        <w:t>法定代表人或授权代表（签字或盖章）：</w:t>
      </w:r>
    </w:p>
    <w:p>
      <w:pPr>
        <w:pStyle w:val="2"/>
        <w:spacing w:line="400" w:lineRule="exact"/>
        <w:rPr>
          <w:rFonts w:hint="eastAsia" w:hAnsi="宋体" w:cs="宋体"/>
          <w:b/>
          <w:color w:val="auto"/>
          <w:sz w:val="22"/>
          <w:highlight w:val="none"/>
        </w:rPr>
      </w:pPr>
      <w:r>
        <w:rPr>
          <w:rFonts w:hint="eastAsia" w:hAnsi="宋体" w:cs="宋体"/>
          <w:b/>
          <w:color w:val="auto"/>
          <w:sz w:val="22"/>
          <w:highlight w:val="none"/>
        </w:rPr>
        <w:t>日    期：</w:t>
      </w:r>
    </w:p>
    <w:p>
      <w:pPr>
        <w:pStyle w:val="2"/>
        <w:spacing w:line="400" w:lineRule="exact"/>
        <w:rPr>
          <w:rFonts w:hint="eastAsia" w:hAnsi="宋体" w:cs="宋体"/>
          <w:b/>
          <w:color w:val="auto"/>
          <w:sz w:val="22"/>
          <w:highlight w:val="none"/>
        </w:rPr>
      </w:pPr>
    </w:p>
    <w:p>
      <w:pPr>
        <w:spacing w:line="360" w:lineRule="auto"/>
        <w:rPr>
          <w:rFonts w:hint="eastAsia"/>
          <w:color w:val="auto"/>
          <w:szCs w:val="21"/>
          <w:highlight w:val="none"/>
          <w:u w:val="single"/>
        </w:rPr>
      </w:pPr>
    </w:p>
    <w:p>
      <w:pPr>
        <w:tabs>
          <w:tab w:val="left" w:pos="1575"/>
        </w:tabs>
        <w:adjustRightInd w:val="0"/>
        <w:snapToGrid w:val="0"/>
        <w:spacing w:line="360" w:lineRule="auto"/>
        <w:jc w:val="center"/>
        <w:rPr>
          <w:rFonts w:hint="eastAsia"/>
          <w:b/>
          <w:color w:val="auto"/>
          <w:sz w:val="36"/>
          <w:szCs w:val="36"/>
          <w:highlight w:val="none"/>
        </w:rPr>
      </w:pPr>
    </w:p>
    <w:p>
      <w:pPr>
        <w:pStyle w:val="6"/>
        <w:rPr>
          <w:color w:val="auto"/>
          <w:highlight w:val="none"/>
        </w:rPr>
      </w:pPr>
      <w:r>
        <w:rPr>
          <w:b/>
          <w:color w:val="auto"/>
          <w:sz w:val="36"/>
          <w:szCs w:val="36"/>
          <w:highlight w:val="none"/>
        </w:rPr>
        <w:br w:type="page"/>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 xml:space="preserve">11 </w:t>
      </w:r>
      <w:r>
        <w:rPr>
          <w:rFonts w:hint="eastAsia"/>
          <w:color w:val="auto"/>
          <w:highlight w:val="none"/>
          <w:lang w:eastAsia="zh-CN"/>
        </w:rPr>
        <w:t>磋商供应商认为有必要提供的其他材料或说明</w:t>
      </w:r>
      <w:r>
        <w:rPr>
          <w:rFonts w:hint="eastAsia"/>
          <w:color w:val="auto"/>
          <w:highlight w:val="none"/>
        </w:rPr>
        <w:t>（如有）</w:t>
      </w:r>
    </w:p>
    <w:p>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磋商供应商认为有必要提供的其他材料或说明</w:t>
      </w:r>
    </w:p>
    <w:p>
      <w:pPr>
        <w:spacing w:line="360" w:lineRule="auto"/>
        <w:jc w:val="left"/>
        <w:rPr>
          <w:rFonts w:hint="eastAsia" w:ascii="仿宋" w:hAnsi="仿宋" w:eastAsia="仿宋" w:cs="Arial"/>
          <w:b/>
          <w:color w:val="auto"/>
          <w:sz w:val="24"/>
          <w:szCs w:val="22"/>
          <w:highlight w:val="none"/>
          <w:u w:val="single"/>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2024 年平阳县水头镇高标准农田改造提升示范项目（绿色农田建设项目）-土壤改良培肥</w:t>
      </w:r>
    </w:p>
    <w:p>
      <w:pPr>
        <w:spacing w:line="360" w:lineRule="auto"/>
        <w:rPr>
          <w:rFonts w:hint="eastAsia" w:ascii="仿宋" w:hAnsi="仿宋" w:eastAsia="仿宋" w:cs="Arial"/>
          <w:b/>
          <w:color w:val="auto"/>
          <w:sz w:val="24"/>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r>
        <w:rPr>
          <w:rFonts w:hint="eastAsia" w:ascii="仿宋" w:hAnsi="仿宋" w:eastAsia="仿宋" w:cs="Arial"/>
          <w:b/>
          <w:color w:val="auto"/>
          <w:sz w:val="24"/>
          <w:highlight w:val="none"/>
          <w:u w:val="single"/>
        </w:rPr>
        <w:t xml:space="preserve"> </w:t>
      </w:r>
    </w:p>
    <w:tbl>
      <w:tblPr>
        <w:tblStyle w:val="3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noWrap w:val="0"/>
            <w:vAlign w:val="top"/>
          </w:tcPr>
          <w:p>
            <w:pPr>
              <w:spacing w:line="360" w:lineRule="auto"/>
              <w:rPr>
                <w:rFonts w:ascii="Arial" w:hAnsi="新宋体" w:eastAsia="新宋体" w:cs="Arial"/>
                <w:color w:val="auto"/>
                <w:szCs w:val="21"/>
                <w:highlight w:val="none"/>
              </w:rPr>
            </w:pPr>
          </w:p>
        </w:tc>
      </w:tr>
    </w:tbl>
    <w:p>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sz w:val="24"/>
          <w:highlight w:val="none"/>
        </w:rPr>
        <w:t>____________________________________________</w:t>
      </w:r>
    </w:p>
    <w:p>
      <w:pPr>
        <w:snapToGrid w:val="0"/>
        <w:spacing w:line="360" w:lineRule="auto"/>
        <w:rPr>
          <w:rFonts w:hint="eastAsia"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pPr>
        <w:spacing w:line="360" w:lineRule="auto"/>
        <w:rPr>
          <w:rFonts w:ascii="Arial" w:hAnsi="Arial" w:eastAsia="新宋体" w:cs="Arial"/>
          <w:b/>
          <w:bCs/>
          <w:i w:val="0"/>
          <w:iCs w:val="0"/>
          <w:color w:val="auto"/>
          <w:szCs w:val="21"/>
          <w:highlight w:val="none"/>
          <w:u w:val="single"/>
        </w:rPr>
      </w:pPr>
      <w:r>
        <w:rPr>
          <w:rFonts w:hint="eastAsia" w:ascii="仿宋" w:hAnsi="仿宋" w:eastAsia="仿宋" w:cs="Arial"/>
          <w:b/>
          <w:bCs/>
          <w:i w:val="0"/>
          <w:iCs w:val="0"/>
          <w:color w:val="auto"/>
          <w:sz w:val="24"/>
          <w:highlight w:val="none"/>
        </w:rPr>
        <w:t>日期：</w:t>
      </w:r>
      <w:r>
        <w:rPr>
          <w:rFonts w:ascii="仿宋" w:hAnsi="仿宋" w:eastAsia="仿宋" w:cs="Arial"/>
          <w:b/>
          <w:bCs/>
          <w:i w:val="0"/>
          <w:iCs w:val="0"/>
          <w:color w:val="auto"/>
          <w:sz w:val="24"/>
          <w:highlight w:val="none"/>
        </w:rPr>
        <w:t>________</w:t>
      </w:r>
      <w:r>
        <w:rPr>
          <w:rFonts w:hint="eastAsia" w:ascii="仿宋" w:hAnsi="仿宋" w:eastAsia="仿宋" w:cs="Arial"/>
          <w:b/>
          <w:bCs/>
          <w:i w:val="0"/>
          <w:iCs w:val="0"/>
          <w:color w:val="auto"/>
          <w:sz w:val="24"/>
          <w:highlight w:val="none"/>
        </w:rPr>
        <w:t>年</w:t>
      </w:r>
      <w:r>
        <w:rPr>
          <w:rFonts w:ascii="仿宋" w:hAnsi="仿宋" w:eastAsia="仿宋" w:cs="Arial"/>
          <w:b/>
          <w:bCs/>
          <w:i w:val="0"/>
          <w:iCs w:val="0"/>
          <w:color w:val="auto"/>
          <w:sz w:val="24"/>
          <w:highlight w:val="none"/>
        </w:rPr>
        <w:t>____</w:t>
      </w:r>
      <w:r>
        <w:rPr>
          <w:rFonts w:hint="eastAsia" w:ascii="仿宋" w:hAnsi="仿宋" w:eastAsia="仿宋" w:cs="Arial"/>
          <w:b/>
          <w:bCs/>
          <w:i w:val="0"/>
          <w:iCs w:val="0"/>
          <w:color w:val="auto"/>
          <w:sz w:val="24"/>
          <w:highlight w:val="none"/>
        </w:rPr>
        <w:t>月</w:t>
      </w:r>
      <w:r>
        <w:rPr>
          <w:rFonts w:ascii="仿宋" w:hAnsi="仿宋" w:eastAsia="仿宋" w:cs="Arial"/>
          <w:b/>
          <w:bCs/>
          <w:i w:val="0"/>
          <w:iCs w:val="0"/>
          <w:color w:val="auto"/>
          <w:sz w:val="24"/>
          <w:highlight w:val="none"/>
        </w:rPr>
        <w:t>____</w:t>
      </w:r>
      <w:r>
        <w:rPr>
          <w:rFonts w:hint="eastAsia" w:ascii="仿宋" w:hAnsi="仿宋" w:eastAsia="仿宋" w:cs="Arial"/>
          <w:b/>
          <w:bCs/>
          <w:i w:val="0"/>
          <w:iCs w:val="0"/>
          <w:color w:val="auto"/>
          <w:sz w:val="24"/>
          <w:highlight w:val="none"/>
        </w:rPr>
        <w:t>日</w:t>
      </w:r>
    </w:p>
    <w:p>
      <w:pPr>
        <w:tabs>
          <w:tab w:val="left" w:pos="1575"/>
        </w:tabs>
        <w:adjustRightInd w:val="0"/>
        <w:snapToGrid w:val="0"/>
        <w:spacing w:line="360" w:lineRule="auto"/>
        <w:jc w:val="left"/>
        <w:rPr>
          <w:rFonts w:hint="eastAsia"/>
          <w:b/>
          <w:bCs/>
          <w:i w:val="0"/>
          <w:iCs w:val="0"/>
          <w:color w:val="auto"/>
          <w:sz w:val="32"/>
          <w:szCs w:val="32"/>
          <w:highlight w:val="none"/>
          <w:lang w:val="en-US" w:eastAsia="zh-CN"/>
        </w:rPr>
        <w:sectPr>
          <w:footerReference r:id="rId26" w:type="first"/>
          <w:headerReference r:id="rId24" w:type="default"/>
          <w:footerReference r:id="rId25" w:type="default"/>
          <w:pgSz w:w="11907" w:h="16840"/>
          <w:pgMar w:top="1440" w:right="1117" w:bottom="1440" w:left="1440" w:header="720" w:footer="720" w:gutter="0"/>
          <w:cols w:space="720" w:num="1"/>
          <w:titlePg/>
          <w:docGrid w:linePitch="286" w:charSpace="0"/>
        </w:sectPr>
      </w:pPr>
    </w:p>
    <w:p>
      <w:pPr>
        <w:tabs>
          <w:tab w:val="left" w:pos="1575"/>
        </w:tabs>
        <w:adjustRightInd w:val="0"/>
        <w:snapToGrid w:val="0"/>
        <w:spacing w:line="360" w:lineRule="auto"/>
        <w:jc w:val="left"/>
        <w:rPr>
          <w:rFonts w:hint="eastAsia"/>
          <w:b/>
          <w:bCs/>
          <w:i w:val="0"/>
          <w:iCs w:val="0"/>
          <w:color w:val="auto"/>
          <w:sz w:val="36"/>
          <w:szCs w:val="36"/>
          <w:highlight w:val="none"/>
          <w:lang w:val="en-US" w:eastAsia="zh-CN"/>
        </w:rPr>
      </w:pPr>
      <w:r>
        <w:rPr>
          <w:rFonts w:hint="eastAsia"/>
          <w:b/>
          <w:bCs/>
          <w:i w:val="0"/>
          <w:iCs w:val="0"/>
          <w:color w:val="auto"/>
          <w:sz w:val="32"/>
          <w:szCs w:val="32"/>
          <w:highlight w:val="none"/>
          <w:lang w:val="en-US" w:eastAsia="zh-CN"/>
        </w:rPr>
        <w:t>2.12 质量服务承诺书、诚信投标承诺书</w:t>
      </w:r>
    </w:p>
    <w:p>
      <w:pPr>
        <w:tabs>
          <w:tab w:val="left" w:pos="1575"/>
        </w:tabs>
        <w:adjustRightInd w:val="0"/>
        <w:snapToGrid w:val="0"/>
        <w:spacing w:line="360" w:lineRule="auto"/>
        <w:jc w:val="center"/>
        <w:rPr>
          <w:rFonts w:hint="eastAsia"/>
          <w:b/>
          <w:color w:val="auto"/>
          <w:sz w:val="36"/>
          <w:szCs w:val="36"/>
          <w:highlight w:val="none"/>
        </w:rPr>
      </w:pPr>
      <w:r>
        <w:rPr>
          <w:rFonts w:hint="eastAsia"/>
          <w:b/>
          <w:color w:val="auto"/>
          <w:sz w:val="36"/>
          <w:szCs w:val="36"/>
          <w:highlight w:val="none"/>
        </w:rPr>
        <w:t>质量服务承诺书</w:t>
      </w:r>
    </w:p>
    <w:p>
      <w:pPr>
        <w:spacing w:line="360" w:lineRule="auto"/>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（采购人）：</w:t>
      </w:r>
    </w:p>
    <w:p>
      <w:pPr>
        <w:spacing w:line="360" w:lineRule="auto"/>
        <w:ind w:firstLine="420" w:firstLineChars="200"/>
        <w:rPr>
          <w:rFonts w:hint="eastAsia"/>
          <w:color w:val="auto"/>
          <w:highlight w:val="none"/>
        </w:rPr>
      </w:pPr>
      <w:r>
        <w:rPr>
          <w:rFonts w:hint="eastAsia"/>
          <w:color w:val="auto"/>
          <w:highlight w:val="none"/>
        </w:rPr>
        <w:t>本公司</w:t>
      </w:r>
      <w:r>
        <w:rPr>
          <w:rFonts w:hint="eastAsia"/>
          <w:color w:val="auto"/>
          <w:highlight w:val="none"/>
          <w:u w:val="single"/>
        </w:rPr>
        <w:t xml:space="preserve">       </w:t>
      </w:r>
      <w:r>
        <w:rPr>
          <w:rFonts w:hint="eastAsia"/>
          <w:color w:val="auto"/>
          <w:highlight w:val="none"/>
        </w:rPr>
        <w:t>（供应商）对</w:t>
      </w:r>
      <w:r>
        <w:rPr>
          <w:rFonts w:hint="eastAsia"/>
          <w:color w:val="auto"/>
          <w:highlight w:val="none"/>
          <w:u w:val="single"/>
        </w:rPr>
        <w:t xml:space="preserve">            </w:t>
      </w:r>
      <w:r>
        <w:rPr>
          <w:rFonts w:hint="eastAsia"/>
          <w:color w:val="auto"/>
          <w:highlight w:val="none"/>
        </w:rPr>
        <w:t>（项目名称）项目做出如下承诺。</w:t>
      </w:r>
    </w:p>
    <w:p>
      <w:pPr>
        <w:spacing w:line="360" w:lineRule="auto"/>
        <w:rPr>
          <w:rFonts w:hint="eastAsia"/>
          <w:color w:val="auto"/>
          <w:highlight w:val="none"/>
        </w:rPr>
      </w:pPr>
      <w:r>
        <w:rPr>
          <w:rFonts w:hint="eastAsia"/>
          <w:color w:val="auto"/>
          <w:highlight w:val="none"/>
        </w:rPr>
        <w:t xml:space="preserve">    如果我公司有幸成为</w:t>
      </w:r>
      <w:r>
        <w:rPr>
          <w:rFonts w:hint="eastAsia"/>
          <w:color w:val="auto"/>
          <w:highlight w:val="none"/>
          <w:u w:val="single"/>
        </w:rPr>
        <w:t xml:space="preserve">          </w:t>
      </w:r>
      <w:r>
        <w:rPr>
          <w:rFonts w:hint="eastAsia"/>
          <w:color w:val="auto"/>
          <w:highlight w:val="none"/>
        </w:rPr>
        <w:t>（项目名称）项目的中标供应商，将做出以下承诺：</w:t>
      </w:r>
    </w:p>
    <w:p>
      <w:pPr>
        <w:spacing w:line="360" w:lineRule="auto"/>
        <w:ind w:firstLine="420" w:firstLineChars="200"/>
        <w:rPr>
          <w:rFonts w:hint="eastAsia"/>
          <w:color w:val="auto"/>
          <w:highlight w:val="none"/>
        </w:rPr>
      </w:pPr>
    </w:p>
    <w:p>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一、本公司所提供的工程（或服务）都是质量合格的；</w:t>
      </w:r>
    </w:p>
    <w:p>
      <w:pPr>
        <w:spacing w:line="360" w:lineRule="auto"/>
        <w:ind w:firstLine="420" w:firstLineChars="200"/>
        <w:rPr>
          <w:rFonts w:hAnsi="新宋体" w:eastAsia="新宋体"/>
          <w:color w:val="auto"/>
          <w:highlight w:val="none"/>
        </w:rPr>
      </w:pPr>
    </w:p>
    <w:p>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w:t>
      </w:r>
      <w:r>
        <w:rPr>
          <w:rFonts w:hint="eastAsia" w:hAnsi="新宋体" w:eastAsia="新宋体"/>
          <w:color w:val="auto"/>
          <w:highlight w:val="none"/>
          <w:lang w:eastAsia="zh-CN"/>
        </w:rPr>
        <w:t>采购文件</w:t>
      </w:r>
      <w:r>
        <w:rPr>
          <w:rFonts w:hint="eastAsia" w:hAnsi="新宋体" w:eastAsia="新宋体"/>
          <w:color w:val="auto"/>
          <w:highlight w:val="none"/>
        </w:rPr>
        <w:t>要求的服务期内，对有质量问题的工程（或服务）进行无条件技术服务直至满足使用方的项目使用需求；</w:t>
      </w:r>
    </w:p>
    <w:p>
      <w:pPr>
        <w:spacing w:line="360" w:lineRule="auto"/>
        <w:ind w:firstLine="420" w:firstLineChars="200"/>
        <w:rPr>
          <w:rFonts w:eastAsia="新宋体"/>
          <w:color w:val="auto"/>
          <w:highlight w:val="none"/>
        </w:rPr>
      </w:pPr>
    </w:p>
    <w:p>
      <w:pPr>
        <w:spacing w:line="360" w:lineRule="auto"/>
        <w:rPr>
          <w:rFonts w:eastAsia="新宋体"/>
          <w:color w:val="auto"/>
          <w:highlight w:val="none"/>
        </w:rPr>
      </w:pPr>
    </w:p>
    <w:p>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w:t>
      </w:r>
      <w:r>
        <w:rPr>
          <w:rFonts w:hint="eastAsia" w:hAnsi="新宋体" w:eastAsia="新宋体"/>
          <w:color w:val="auto"/>
          <w:highlight w:val="none"/>
          <w:lang w:eastAsia="zh-CN"/>
        </w:rPr>
        <w:t>采购</w:t>
      </w:r>
      <w:r>
        <w:rPr>
          <w:rFonts w:hint="eastAsia" w:hAnsi="新宋体" w:eastAsia="新宋体"/>
          <w:color w:val="auto"/>
          <w:highlight w:val="none"/>
        </w:rPr>
        <w:t>方与中标方合同结束之日均有效。</w:t>
      </w: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p>
    <w:p>
      <w:pPr>
        <w:snapToGrid w:val="0"/>
        <w:spacing w:line="360" w:lineRule="auto"/>
        <w:ind w:right="480"/>
        <w:rPr>
          <w:rFonts w:hint="eastAsia"/>
          <w:color w:val="auto"/>
          <w:highlight w:val="none"/>
        </w:rPr>
      </w:pPr>
      <w:r>
        <w:rPr>
          <w:rFonts w:hint="eastAsia"/>
          <w:color w:val="auto"/>
          <w:highlight w:val="none"/>
        </w:rPr>
        <w:t>地址：</w:t>
      </w:r>
      <w:r>
        <w:rPr>
          <w:rFonts w:hint="eastAsia"/>
          <w:color w:val="auto"/>
          <w:highlight w:val="none"/>
          <w:u w:val="single"/>
        </w:rPr>
        <w:t>　　　　　　　　　　</w:t>
      </w:r>
      <w:r>
        <w:rPr>
          <w:rFonts w:hint="eastAsia"/>
          <w:color w:val="auto"/>
          <w:highlight w:val="none"/>
        </w:rPr>
        <w:t>　　　　　邮编：</w:t>
      </w:r>
      <w:r>
        <w:rPr>
          <w:rFonts w:hint="eastAsia"/>
          <w:color w:val="auto"/>
          <w:highlight w:val="none"/>
          <w:u w:val="single"/>
        </w:rPr>
        <w:t>　　　　　　　</w:t>
      </w:r>
    </w:p>
    <w:p>
      <w:pPr>
        <w:snapToGrid w:val="0"/>
        <w:spacing w:line="360" w:lineRule="auto"/>
        <w:ind w:right="480"/>
        <w:rPr>
          <w:rFonts w:hint="eastAsia"/>
          <w:color w:val="auto"/>
          <w:highlight w:val="none"/>
        </w:rPr>
      </w:pPr>
      <w:r>
        <w:rPr>
          <w:rFonts w:hint="eastAsia"/>
          <w:color w:val="auto"/>
          <w:highlight w:val="none"/>
        </w:rPr>
        <w:t>电话：</w:t>
      </w:r>
      <w:r>
        <w:rPr>
          <w:rFonts w:hint="eastAsia"/>
          <w:color w:val="auto"/>
          <w:highlight w:val="none"/>
          <w:u w:val="single"/>
        </w:rPr>
        <w:t>　　　　　　　　</w:t>
      </w:r>
      <w:r>
        <w:rPr>
          <w:rFonts w:hint="eastAsia"/>
          <w:color w:val="auto"/>
          <w:highlight w:val="none"/>
        </w:rPr>
        <w:t>　　　传真：</w:t>
      </w:r>
      <w:r>
        <w:rPr>
          <w:rFonts w:hint="eastAsia"/>
          <w:color w:val="auto"/>
          <w:highlight w:val="none"/>
          <w:u w:val="single"/>
        </w:rPr>
        <w:t>　　　　　　</w:t>
      </w:r>
      <w:r>
        <w:rPr>
          <w:rFonts w:hint="eastAsia"/>
          <w:color w:val="auto"/>
          <w:highlight w:val="none"/>
        </w:rPr>
        <w:t>　　</w:t>
      </w:r>
    </w:p>
    <w:p>
      <w:pPr>
        <w:snapToGrid w:val="0"/>
        <w:spacing w:line="360" w:lineRule="auto"/>
        <w:ind w:right="480"/>
        <w:rPr>
          <w:rFonts w:hint="eastAsia"/>
          <w:color w:val="auto"/>
          <w:highlight w:val="none"/>
        </w:rPr>
      </w:pPr>
      <w:r>
        <w:rPr>
          <w:rFonts w:hint="eastAsia"/>
          <w:color w:val="auto"/>
          <w:highlight w:val="none"/>
        </w:rPr>
        <w:t>供应商授权代表姓名职务：</w:t>
      </w:r>
      <w:r>
        <w:rPr>
          <w:rFonts w:hint="eastAsia"/>
          <w:color w:val="auto"/>
          <w:highlight w:val="none"/>
          <w:u w:val="single"/>
        </w:rPr>
        <w:t>　　　　　　</w:t>
      </w:r>
      <w:r>
        <w:rPr>
          <w:rFonts w:hint="eastAsia"/>
          <w:color w:val="auto"/>
          <w:highlight w:val="none"/>
        </w:rPr>
        <w:t>　　</w:t>
      </w:r>
    </w:p>
    <w:p>
      <w:pPr>
        <w:tabs>
          <w:tab w:val="left" w:pos="1260"/>
        </w:tabs>
        <w:spacing w:line="360" w:lineRule="auto"/>
        <w:ind w:right="480"/>
        <w:rPr>
          <w:rFonts w:hint="eastAsia"/>
          <w:color w:val="auto"/>
          <w:highlight w:val="none"/>
          <w:u w:val="single"/>
        </w:rPr>
      </w:pPr>
      <w:r>
        <w:rPr>
          <w:rFonts w:hint="eastAsia"/>
          <w:color w:val="auto"/>
          <w:highlight w:val="none"/>
        </w:rPr>
        <w:t>供应商名称（公章）：</w:t>
      </w:r>
      <w:r>
        <w:rPr>
          <w:rFonts w:hint="eastAsia"/>
          <w:color w:val="auto"/>
          <w:highlight w:val="none"/>
          <w:u w:val="single"/>
        </w:rPr>
        <w:t>　　　　　　</w:t>
      </w:r>
    </w:p>
    <w:p>
      <w:pPr>
        <w:tabs>
          <w:tab w:val="left" w:pos="1260"/>
        </w:tabs>
        <w:spacing w:line="360" w:lineRule="auto"/>
        <w:ind w:right="480"/>
        <w:rPr>
          <w:rFonts w:hint="eastAsia"/>
          <w:color w:val="auto"/>
          <w:highlight w:val="none"/>
        </w:rPr>
      </w:pPr>
      <w:r>
        <w:rPr>
          <w:rFonts w:hint="eastAsia"/>
          <w:color w:val="auto"/>
          <w:highlight w:val="none"/>
        </w:rPr>
        <w:t>法定代表人或授权代表（签字或盖章）：</w:t>
      </w:r>
    </w:p>
    <w:p>
      <w:pPr>
        <w:pStyle w:val="2"/>
        <w:adjustRightInd w:val="0"/>
        <w:snapToGrid w:val="0"/>
        <w:spacing w:line="400" w:lineRule="exact"/>
        <w:rPr>
          <w:rFonts w:hint="eastAsia" w:hAnsi="宋体" w:cs="宋体"/>
          <w:color w:val="auto"/>
          <w:sz w:val="24"/>
          <w:highlight w:val="none"/>
        </w:rPr>
      </w:pPr>
    </w:p>
    <w:p>
      <w:pPr>
        <w:pStyle w:val="2"/>
        <w:adjustRightInd w:val="0"/>
        <w:snapToGrid w:val="0"/>
        <w:spacing w:line="400" w:lineRule="exact"/>
        <w:rPr>
          <w:rFonts w:hint="eastAsia" w:hAnsi="宋体" w:cs="宋体"/>
          <w:color w:val="auto"/>
          <w:sz w:val="24"/>
          <w:highlight w:val="none"/>
        </w:rPr>
      </w:pPr>
    </w:p>
    <w:p>
      <w:pPr>
        <w:pStyle w:val="2"/>
        <w:adjustRightInd w:val="0"/>
        <w:snapToGrid w:val="0"/>
        <w:spacing w:line="400" w:lineRule="exact"/>
        <w:rPr>
          <w:rFonts w:hint="eastAsia" w:hAnsi="宋体" w:cs="宋体"/>
          <w:color w:val="auto"/>
          <w:sz w:val="24"/>
          <w:highlight w:val="none"/>
        </w:rPr>
      </w:pPr>
    </w:p>
    <w:p>
      <w:pPr>
        <w:pStyle w:val="2"/>
        <w:adjustRightInd w:val="0"/>
        <w:snapToGrid w:val="0"/>
        <w:spacing w:line="400" w:lineRule="exact"/>
        <w:rPr>
          <w:rFonts w:hint="eastAsia" w:hAnsi="宋体" w:cs="宋体"/>
          <w:color w:val="auto"/>
          <w:sz w:val="24"/>
          <w:highlight w:val="none"/>
        </w:rPr>
      </w:pPr>
    </w:p>
    <w:p>
      <w:pPr>
        <w:pStyle w:val="2"/>
        <w:adjustRightInd w:val="0"/>
        <w:snapToGrid w:val="0"/>
        <w:spacing w:line="400" w:lineRule="exact"/>
        <w:rPr>
          <w:rFonts w:hint="eastAsia" w:hAnsi="宋体" w:cs="宋体"/>
          <w:color w:val="auto"/>
          <w:sz w:val="24"/>
          <w:highlight w:val="none"/>
        </w:rPr>
      </w:pPr>
    </w:p>
    <w:p>
      <w:pPr>
        <w:pStyle w:val="2"/>
        <w:adjustRightInd w:val="0"/>
        <w:snapToGrid w:val="0"/>
        <w:spacing w:line="400" w:lineRule="exact"/>
        <w:rPr>
          <w:rFonts w:hint="eastAsia" w:hAnsi="宋体" w:cs="宋体"/>
          <w:color w:val="auto"/>
          <w:sz w:val="24"/>
          <w:highlight w:val="none"/>
        </w:rPr>
      </w:pPr>
    </w:p>
    <w:p>
      <w:pPr>
        <w:pStyle w:val="2"/>
        <w:adjustRightInd w:val="0"/>
        <w:snapToGrid w:val="0"/>
        <w:spacing w:line="400" w:lineRule="exact"/>
        <w:rPr>
          <w:rFonts w:hint="eastAsia" w:hAnsi="宋体" w:cs="宋体"/>
          <w:color w:val="auto"/>
          <w:sz w:val="24"/>
          <w:highlight w:val="none"/>
        </w:rPr>
      </w:pPr>
    </w:p>
    <w:p>
      <w:pPr>
        <w:pStyle w:val="2"/>
        <w:adjustRightInd w:val="0"/>
        <w:snapToGrid w:val="0"/>
        <w:spacing w:line="400" w:lineRule="exact"/>
        <w:rPr>
          <w:rFonts w:hint="eastAsia" w:hAnsi="宋体" w:cs="宋体"/>
          <w:color w:val="auto"/>
          <w:sz w:val="24"/>
          <w:highlight w:val="none"/>
        </w:rPr>
      </w:pPr>
    </w:p>
    <w:p>
      <w:pPr>
        <w:pStyle w:val="2"/>
        <w:adjustRightInd w:val="0"/>
        <w:snapToGrid w:val="0"/>
        <w:spacing w:line="400" w:lineRule="exact"/>
        <w:rPr>
          <w:rFonts w:hint="eastAsia" w:hAnsi="宋体" w:cs="宋体"/>
          <w:color w:val="auto"/>
          <w:sz w:val="24"/>
          <w:highlight w:val="none"/>
        </w:rPr>
      </w:pPr>
    </w:p>
    <w:p>
      <w:pPr>
        <w:pStyle w:val="2"/>
        <w:adjustRightInd w:val="0"/>
        <w:snapToGrid w:val="0"/>
        <w:spacing w:line="400" w:lineRule="exact"/>
        <w:rPr>
          <w:rFonts w:hint="eastAsia" w:hAnsi="宋体" w:cs="宋体"/>
          <w:color w:val="auto"/>
          <w:sz w:val="24"/>
          <w:highlight w:val="none"/>
        </w:rPr>
      </w:pPr>
    </w:p>
    <w:p>
      <w:pPr>
        <w:spacing w:line="360" w:lineRule="auto"/>
        <w:jc w:val="center"/>
        <w:rPr>
          <w:rFonts w:hint="eastAsia"/>
          <w:b/>
          <w:color w:val="auto"/>
          <w:sz w:val="28"/>
          <w:szCs w:val="28"/>
          <w:highlight w:val="none"/>
        </w:rPr>
        <w:sectPr>
          <w:pgSz w:w="11907" w:h="16840"/>
          <w:pgMar w:top="1440" w:right="1117" w:bottom="1440" w:left="1440" w:header="720" w:footer="720" w:gutter="0"/>
          <w:cols w:space="720" w:num="1"/>
          <w:titlePg/>
          <w:docGrid w:linePitch="286" w:charSpace="0"/>
        </w:sectPr>
      </w:pPr>
    </w:p>
    <w:p>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pPr>
        <w:spacing w:line="520" w:lineRule="exact"/>
        <w:ind w:right="-153" w:rightChars="-73"/>
        <w:rPr>
          <w:rFonts w:hint="eastAsia"/>
          <w:color w:val="auto"/>
          <w:sz w:val="22"/>
          <w:szCs w:val="22"/>
          <w:highlight w:val="none"/>
        </w:rPr>
      </w:pPr>
      <w:r>
        <w:rPr>
          <w:rFonts w:hint="eastAsia"/>
          <w:color w:val="auto"/>
          <w:sz w:val="22"/>
          <w:szCs w:val="22"/>
          <w:highlight w:val="none"/>
        </w:rPr>
        <w:t>本企业郑重承诺：</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 </w:t>
      </w:r>
      <w:r>
        <w:rPr>
          <w:rFonts w:hint="eastAsia"/>
          <w:color w:val="auto"/>
          <w:sz w:val="22"/>
          <w:szCs w:val="22"/>
          <w:highlight w:val="none"/>
          <w:lang w:eastAsia="zh-CN"/>
        </w:rPr>
        <w:t>采购</w:t>
      </w:r>
      <w:r>
        <w:rPr>
          <w:rFonts w:hint="eastAsia"/>
          <w:color w:val="auto"/>
          <w:sz w:val="22"/>
          <w:szCs w:val="22"/>
          <w:highlight w:val="none"/>
        </w:rPr>
        <w:t>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w:t>
      </w:r>
      <w:r>
        <w:rPr>
          <w:rFonts w:hint="eastAsia"/>
          <w:color w:val="auto"/>
          <w:sz w:val="22"/>
          <w:szCs w:val="22"/>
          <w:highlight w:val="none"/>
          <w:lang w:eastAsia="zh-CN"/>
        </w:rPr>
        <w:t>采购</w:t>
      </w:r>
      <w:r>
        <w:rPr>
          <w:rFonts w:hint="eastAsia"/>
          <w:color w:val="auto"/>
          <w:sz w:val="22"/>
          <w:szCs w:val="22"/>
          <w:highlight w:val="none"/>
        </w:rPr>
        <w:t>文件规定的方式进行投标，不隐瞒本单位投标资质的真实情况，投标资质符合规定。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w:t>
      </w:r>
      <w:r>
        <w:rPr>
          <w:rFonts w:hint="eastAsia"/>
          <w:color w:val="auto"/>
          <w:sz w:val="22"/>
          <w:szCs w:val="22"/>
          <w:highlight w:val="none"/>
          <w:lang w:eastAsia="zh-CN"/>
        </w:rPr>
        <w:t>采购</w:t>
      </w:r>
      <w:r>
        <w:rPr>
          <w:rFonts w:hint="eastAsia"/>
          <w:color w:val="auto"/>
          <w:sz w:val="22"/>
          <w:szCs w:val="22"/>
          <w:highlight w:val="none"/>
        </w:rPr>
        <w:t>的人员的配偶、子女分包此次</w:t>
      </w:r>
      <w:r>
        <w:rPr>
          <w:rFonts w:hint="eastAsia"/>
          <w:color w:val="auto"/>
          <w:sz w:val="22"/>
          <w:szCs w:val="22"/>
          <w:highlight w:val="none"/>
          <w:lang w:eastAsia="zh-CN"/>
        </w:rPr>
        <w:t>采购</w:t>
      </w:r>
      <w:r>
        <w:rPr>
          <w:rFonts w:hint="eastAsia"/>
          <w:color w:val="auto"/>
          <w:sz w:val="22"/>
          <w:szCs w:val="22"/>
          <w:highlight w:val="none"/>
        </w:rPr>
        <w:t>项目。</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w:t>
      </w:r>
      <w:r>
        <w:rPr>
          <w:rFonts w:hint="eastAsia"/>
          <w:color w:val="auto"/>
          <w:sz w:val="22"/>
          <w:szCs w:val="22"/>
          <w:highlight w:val="none"/>
          <w:lang w:eastAsia="zh-CN"/>
        </w:rPr>
        <w:t>采购</w:t>
      </w:r>
      <w:r>
        <w:rPr>
          <w:rFonts w:hint="eastAsia"/>
          <w:color w:val="auto"/>
          <w:sz w:val="22"/>
          <w:szCs w:val="22"/>
          <w:highlight w:val="none"/>
        </w:rPr>
        <w:t>过程中的索要财物等不廉洁行为，坚决予以抵制，并及时向有关纪检监察部门举报。</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pPr>
        <w:snapToGrid w:val="0"/>
        <w:spacing w:line="500" w:lineRule="exact"/>
        <w:ind w:firstLine="385" w:firstLineChars="175"/>
        <w:rPr>
          <w:rFonts w:hint="eastAsia"/>
          <w:color w:val="auto"/>
          <w:sz w:val="22"/>
          <w:szCs w:val="22"/>
          <w:highlight w:val="none"/>
        </w:rPr>
      </w:pP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pStyle w:val="2"/>
        <w:adjustRightInd w:val="0"/>
        <w:snapToGrid w:val="0"/>
        <w:spacing w:line="400" w:lineRule="exact"/>
        <w:jc w:val="center"/>
        <w:rPr>
          <w:rFonts w:hint="eastAsia" w:hAnsi="宋体" w:cs="宋体"/>
          <w:color w:val="auto"/>
          <w:sz w:val="24"/>
          <w:highlight w:val="none"/>
        </w:rPr>
      </w:pPr>
    </w:p>
    <w:p>
      <w:pPr>
        <w:shd w:val="clear" w:color="auto" w:fill="FFFFFF"/>
        <w:snapToGrid w:val="0"/>
        <w:spacing w:line="360" w:lineRule="auto"/>
        <w:jc w:val="center"/>
        <w:rPr>
          <w:rFonts w:hint="eastAsia"/>
          <w:color w:val="auto"/>
          <w:highlight w:val="none"/>
        </w:rPr>
      </w:pPr>
    </w:p>
    <w:p>
      <w:pPr>
        <w:widowControl/>
        <w:autoSpaceDE w:val="0"/>
        <w:autoSpaceDN w:val="0"/>
        <w:snapToGrid w:val="0"/>
        <w:spacing w:line="460" w:lineRule="exact"/>
        <w:jc w:val="center"/>
        <w:rPr>
          <w:rFonts w:hint="eastAsia"/>
          <w:color w:val="auto"/>
          <w:highlight w:val="none"/>
        </w:rPr>
        <w:sectPr>
          <w:pgSz w:w="11907" w:h="16840"/>
          <w:pgMar w:top="1440" w:right="1117" w:bottom="1440" w:left="1440" w:header="720" w:footer="720" w:gutter="0"/>
          <w:cols w:space="720" w:num="1"/>
          <w:titlePg/>
          <w:docGrid w:linePitch="286" w:charSpace="0"/>
        </w:sectPr>
      </w:pPr>
    </w:p>
    <w:p>
      <w:pPr>
        <w:pStyle w:val="5"/>
        <w:rPr>
          <w:rFonts w:hint="eastAsia" w:ascii="宋体" w:hAnsi="宋体" w:cs="宋体"/>
          <w:color w:val="auto"/>
          <w:highlight w:val="none"/>
        </w:rPr>
      </w:pPr>
      <w:r>
        <w:rPr>
          <w:rFonts w:hint="eastAsia" w:ascii="宋体" w:hAnsi="宋体" w:cs="宋体"/>
          <w:color w:val="auto"/>
          <w:highlight w:val="none"/>
          <w:lang w:eastAsia="zh-CN"/>
        </w:rPr>
        <w:t>三</w:t>
      </w:r>
      <w:r>
        <w:rPr>
          <w:rFonts w:hint="eastAsia" w:ascii="宋体" w:hAnsi="宋体" w:cs="宋体"/>
          <w:color w:val="auto"/>
          <w:highlight w:val="none"/>
        </w:rPr>
        <w:t>、“报价文件”格式</w:t>
      </w:r>
    </w:p>
    <w:p>
      <w:pPr>
        <w:pStyle w:val="7"/>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.1 “报价文件”封面</w:t>
      </w:r>
    </w:p>
    <w:p>
      <w:pPr>
        <w:spacing w:line="276" w:lineRule="auto"/>
        <w:jc w:val="center"/>
        <w:rPr>
          <w:rFonts w:hint="eastAsia" w:eastAsia="宋体"/>
          <w:b/>
          <w:color w:val="auto"/>
          <w:w w:val="80"/>
          <w:sz w:val="52"/>
          <w:szCs w:val="22"/>
          <w:highlight w:val="none"/>
          <w:lang w:eastAsia="zh-CN"/>
        </w:rPr>
      </w:pPr>
      <w:r>
        <w:rPr>
          <w:rFonts w:hint="eastAsia"/>
          <w:b/>
          <w:color w:val="auto"/>
          <w:w w:val="90"/>
          <w:sz w:val="44"/>
          <w:szCs w:val="22"/>
          <w:highlight w:val="none"/>
        </w:rPr>
        <w:t xml:space="preserve"> </w:t>
      </w:r>
      <w:r>
        <w:rPr>
          <w:rFonts w:hint="eastAsia"/>
          <w:b/>
          <w:color w:val="auto"/>
          <w:w w:val="90"/>
          <w:sz w:val="44"/>
          <w:szCs w:val="22"/>
          <w:highlight w:val="none"/>
          <w:lang w:eastAsia="zh-CN"/>
        </w:rPr>
        <w:t>2024 年平阳县水头镇高标准农田改造提升示范项目（绿色农田建设项目）-土壤改良培肥</w:t>
      </w:r>
    </w:p>
    <w:p>
      <w:pPr>
        <w:spacing w:line="360" w:lineRule="auto"/>
        <w:jc w:val="center"/>
        <w:rPr>
          <w:rFonts w:hint="eastAsia"/>
          <w:b/>
          <w:color w:val="auto"/>
          <w:sz w:val="52"/>
          <w:szCs w:val="22"/>
          <w:highlight w:val="none"/>
        </w:rPr>
      </w:pPr>
    </w:p>
    <w:p>
      <w:pPr>
        <w:spacing w:line="276" w:lineRule="auto"/>
        <w:jc w:val="center"/>
        <w:rPr>
          <w:rFonts w:hint="eastAsia"/>
          <w:color w:val="auto"/>
          <w:sz w:val="96"/>
          <w:szCs w:val="22"/>
          <w:highlight w:val="none"/>
        </w:rPr>
      </w:pPr>
      <w:r>
        <w:rPr>
          <w:rFonts w:hint="eastAsia"/>
          <w:color w:val="auto"/>
          <w:sz w:val="96"/>
          <w:szCs w:val="22"/>
          <w:highlight w:val="none"/>
          <w:lang w:val="en-US" w:eastAsia="zh-CN"/>
        </w:rPr>
        <w:t>响 应</w:t>
      </w:r>
      <w:r>
        <w:rPr>
          <w:rFonts w:hint="eastAsia"/>
          <w:color w:val="auto"/>
          <w:sz w:val="96"/>
          <w:szCs w:val="22"/>
          <w:highlight w:val="none"/>
        </w:rPr>
        <w:t xml:space="preserve"> 文 件</w:t>
      </w:r>
    </w:p>
    <w:p>
      <w:pPr>
        <w:spacing w:line="360" w:lineRule="auto"/>
        <w:jc w:val="center"/>
        <w:rPr>
          <w:rFonts w:hint="eastAsia"/>
          <w:b/>
          <w:color w:val="auto"/>
          <w:sz w:val="52"/>
          <w:szCs w:val="22"/>
          <w:highlight w:val="none"/>
        </w:rPr>
      </w:pPr>
      <w:r>
        <w:rPr>
          <w:rFonts w:hint="eastAsia"/>
          <w:b/>
          <w:color w:val="auto"/>
          <w:sz w:val="52"/>
          <w:szCs w:val="22"/>
          <w:highlight w:val="none"/>
        </w:rPr>
        <w:t>（报价文件）</w:t>
      </w:r>
    </w:p>
    <w:p>
      <w:pPr>
        <w:spacing w:line="360" w:lineRule="auto"/>
        <w:jc w:val="center"/>
        <w:rPr>
          <w:rFonts w:hint="eastAsia"/>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r>
        <w:tblPrEx>
          <w:tblCellMar>
            <w:top w:w="0" w:type="dxa"/>
            <w:left w:w="108" w:type="dxa"/>
            <w:bottom w:w="0" w:type="dxa"/>
            <w:right w:w="108" w:type="dxa"/>
          </w:tblCellMar>
        </w:tblPrEx>
        <w:trPr>
          <w:trHeight w:val="680" w:hRule="atLeast"/>
        </w:trPr>
        <w:tc>
          <w:tcPr>
            <w:tcW w:w="8789" w:type="dxa"/>
            <w:noWrap w:val="0"/>
            <w:vAlign w:val="center"/>
          </w:tcPr>
          <w:p>
            <w:pPr>
              <w:jc w:val="center"/>
              <w:rPr>
                <w:rFonts w:hint="eastAsia"/>
                <w:b/>
                <w:color w:val="auto"/>
                <w:sz w:val="28"/>
                <w:szCs w:val="28"/>
                <w:highlight w:val="none"/>
              </w:rPr>
            </w:pPr>
            <w:r>
              <w:rPr>
                <w:rFonts w:hint="eastAsia"/>
                <w:b/>
                <w:color w:val="auto"/>
                <w:sz w:val="28"/>
                <w:szCs w:val="28"/>
                <w:highlight w:val="none"/>
              </w:rPr>
              <w:t>开标前不得启封</w:t>
            </w:r>
          </w:p>
        </w:tc>
      </w:tr>
    </w:tbl>
    <w:p>
      <w:pPr>
        <w:pStyle w:val="2"/>
        <w:adjustRightInd w:val="0"/>
        <w:snapToGrid w:val="0"/>
        <w:spacing w:line="500" w:lineRule="exact"/>
        <w:rPr>
          <w:rFonts w:hint="eastAsia" w:hAnsi="宋体" w:cs="宋体"/>
          <w:color w:val="auto"/>
          <w:sz w:val="30"/>
          <w:highlight w:val="none"/>
        </w:rPr>
      </w:pPr>
    </w:p>
    <w:p>
      <w:pPr>
        <w:autoSpaceDE w:val="0"/>
        <w:autoSpaceDN w:val="0"/>
        <w:adjustRightInd w:val="0"/>
        <w:snapToGrid w:val="0"/>
        <w:spacing w:line="360" w:lineRule="atLeast"/>
        <w:rPr>
          <w:rFonts w:hint="eastAsia"/>
          <w:color w:val="auto"/>
          <w:highlight w:val="none"/>
        </w:rPr>
        <w:sectPr>
          <w:pgSz w:w="11906" w:h="16838"/>
          <w:pgMar w:top="1440" w:right="1361" w:bottom="1440" w:left="1361" w:header="720" w:footer="720" w:gutter="0"/>
          <w:pgNumType w:fmt="decimal"/>
          <w:cols w:space="720" w:num="1"/>
          <w:titlePg/>
          <w:docGrid w:linePitch="286" w:charSpace="-3831"/>
        </w:sectPr>
      </w:pPr>
    </w:p>
    <w:p>
      <w:pPr>
        <w:pStyle w:val="2"/>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lang w:val="en-US" w:eastAsia="zh-CN"/>
        </w:rPr>
        <w:t>3</w:t>
      </w:r>
      <w:r>
        <w:rPr>
          <w:rFonts w:hint="eastAsia" w:hAnsi="宋体" w:cs="宋体"/>
          <w:color w:val="auto"/>
          <w:sz w:val="36"/>
          <w:szCs w:val="36"/>
          <w:highlight w:val="none"/>
        </w:rPr>
        <w:t>.2开标一览表</w:t>
      </w:r>
      <w:r>
        <w:rPr>
          <w:rFonts w:hint="eastAsia" w:hAnsi="宋体" w:cs="宋体"/>
          <w:color w:val="auto"/>
          <w:sz w:val="36"/>
          <w:szCs w:val="36"/>
          <w:highlight w:val="none"/>
          <w:lang w:eastAsia="zh-CN"/>
        </w:rPr>
        <w:t>（初次报价表）</w:t>
      </w:r>
      <w:r>
        <w:rPr>
          <w:rFonts w:hint="eastAsia" w:hAnsi="宋体" w:cs="宋体"/>
          <w:color w:val="auto"/>
          <w:sz w:val="36"/>
          <w:szCs w:val="36"/>
          <w:highlight w:val="none"/>
        </w:rPr>
        <w:t xml:space="preserve">    </w:t>
      </w:r>
    </w:p>
    <w:p>
      <w:pPr>
        <w:pStyle w:val="20"/>
        <w:rPr>
          <w:rFonts w:hint="eastAsia"/>
          <w:color w:val="auto"/>
          <w:highlight w:val="none"/>
          <w:lang w:eastAsia="zh-CN"/>
        </w:rPr>
      </w:pPr>
    </w:p>
    <w:p>
      <w:pPr>
        <w:widowControl/>
        <w:snapToGrid w:val="0"/>
        <w:spacing w:line="400" w:lineRule="exact"/>
        <w:jc w:val="center"/>
        <w:rPr>
          <w:color w:val="auto"/>
          <w:sz w:val="36"/>
          <w:highlight w:val="none"/>
        </w:rPr>
      </w:pPr>
      <w:r>
        <w:rPr>
          <w:rFonts w:hint="eastAsia"/>
          <w:color w:val="auto"/>
          <w:sz w:val="36"/>
          <w:highlight w:val="none"/>
        </w:rPr>
        <w:t>开标</w:t>
      </w:r>
      <w:r>
        <w:rPr>
          <w:color w:val="auto"/>
          <w:sz w:val="36"/>
          <w:highlight w:val="none"/>
        </w:rPr>
        <w:t>一览表</w:t>
      </w:r>
      <w:r>
        <w:rPr>
          <w:rFonts w:hint="eastAsia" w:hAnsi="宋体" w:cs="宋体"/>
          <w:color w:val="auto"/>
          <w:sz w:val="36"/>
          <w:szCs w:val="36"/>
          <w:highlight w:val="none"/>
          <w:lang w:eastAsia="zh-CN"/>
        </w:rPr>
        <w:t>（初次报价表）</w:t>
      </w:r>
    </w:p>
    <w:p>
      <w:pPr>
        <w:widowControl/>
        <w:snapToGrid w:val="0"/>
        <w:spacing w:line="400" w:lineRule="exact"/>
        <w:jc w:val="left"/>
        <w:rPr>
          <w:color w:val="auto"/>
          <w:sz w:val="36"/>
          <w:highlight w:val="none"/>
        </w:rPr>
      </w:pPr>
    </w:p>
    <w:p>
      <w:pPr>
        <w:pStyle w:val="2"/>
        <w:adjustRightInd w:val="0"/>
        <w:snapToGrid w:val="0"/>
        <w:spacing w:line="400" w:lineRule="exact"/>
        <w:rPr>
          <w:rFonts w:hint="eastAsia"/>
          <w:bCs/>
          <w:color w:val="auto"/>
          <w:sz w:val="22"/>
          <w:szCs w:val="22"/>
          <w:highlight w:val="none"/>
        </w:rPr>
      </w:pPr>
      <w:r>
        <w:rPr>
          <w:rFonts w:hint="eastAsia" w:hAnsi="宋体" w:cs="宋体"/>
          <w:color w:val="auto"/>
          <w:sz w:val="22"/>
          <w:szCs w:val="22"/>
          <w:highlight w:val="none"/>
        </w:rPr>
        <w:t xml:space="preserve">供应商名称：             </w:t>
      </w:r>
      <w:r>
        <w:rPr>
          <w:rFonts w:hint="eastAsia" w:hAnsi="宋体" w:cs="宋体"/>
          <w:color w:val="auto"/>
          <w:sz w:val="22"/>
          <w:szCs w:val="22"/>
          <w:highlight w:val="none"/>
          <w:lang w:val="en-US" w:eastAsia="zh-CN"/>
        </w:rPr>
        <w:t xml:space="preserve">                 项目</w:t>
      </w:r>
      <w:r>
        <w:rPr>
          <w:rFonts w:hint="eastAsia" w:hAnsi="宋体" w:cs="宋体"/>
          <w:color w:val="auto"/>
          <w:sz w:val="22"/>
          <w:szCs w:val="22"/>
          <w:highlight w:val="none"/>
        </w:rPr>
        <w:t xml:space="preserve">编号：       </w:t>
      </w:r>
      <w:r>
        <w:rPr>
          <w:rFonts w:hint="eastAsia" w:hAnsi="宋体" w:cs="宋体"/>
          <w:color w:val="auto"/>
          <w:sz w:val="22"/>
          <w:szCs w:val="22"/>
          <w:highlight w:val="none"/>
          <w:lang w:val="en-US" w:eastAsia="zh-CN"/>
        </w:rPr>
        <w:t xml:space="preserve">     </w:t>
      </w:r>
      <w:r>
        <w:rPr>
          <w:rFonts w:hint="eastAsia" w:hAnsi="宋体" w:cs="宋体"/>
          <w:color w:val="auto"/>
          <w:sz w:val="22"/>
          <w:szCs w:val="22"/>
          <w:highlight w:val="none"/>
        </w:rPr>
        <w:t xml:space="preserve">  </w:t>
      </w:r>
      <w:r>
        <w:rPr>
          <w:bCs/>
          <w:color w:val="auto"/>
          <w:sz w:val="22"/>
          <w:szCs w:val="22"/>
          <w:highlight w:val="none"/>
        </w:rPr>
        <w:t xml:space="preserve">          </w:t>
      </w:r>
    </w:p>
    <w:tbl>
      <w:tblPr>
        <w:tblStyle w:val="39"/>
        <w:tblW w:w="9555" w:type="dxa"/>
        <w:tblInd w:w="-4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1"/>
        <w:gridCol w:w="283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161" w:type="dxa"/>
            <w:noWrap w:val="0"/>
            <w:vAlign w:val="top"/>
          </w:tcPr>
          <w:p>
            <w:pPr>
              <w:pStyle w:val="149"/>
              <w:spacing w:before="169"/>
              <w:ind w:left="688" w:right="680"/>
              <w:jc w:val="center"/>
              <w:rPr>
                <w:rFonts w:hint="eastAsia" w:eastAsia="宋体"/>
                <w:color w:val="auto"/>
                <w:sz w:val="22"/>
                <w:szCs w:val="22"/>
                <w:highlight w:val="none"/>
                <w:lang w:val="en-US" w:eastAsia="zh-CN"/>
              </w:rPr>
            </w:pPr>
            <w:r>
              <w:rPr>
                <w:color w:val="auto"/>
                <w:sz w:val="22"/>
                <w:szCs w:val="22"/>
                <w:highlight w:val="none"/>
              </w:rPr>
              <w:t>项目</w:t>
            </w:r>
            <w:r>
              <w:rPr>
                <w:rFonts w:hint="eastAsia"/>
                <w:color w:val="auto"/>
                <w:sz w:val="22"/>
                <w:szCs w:val="22"/>
                <w:highlight w:val="none"/>
                <w:lang w:val="en-US" w:eastAsia="zh-CN"/>
              </w:rPr>
              <w:t>名称</w:t>
            </w:r>
          </w:p>
        </w:tc>
        <w:tc>
          <w:tcPr>
            <w:tcW w:w="2835" w:type="dxa"/>
            <w:tcBorders>
              <w:right w:val="single" w:color="auto" w:sz="4" w:space="0"/>
            </w:tcBorders>
            <w:noWrap w:val="0"/>
            <w:vAlign w:val="top"/>
          </w:tcPr>
          <w:p>
            <w:pPr>
              <w:pStyle w:val="149"/>
              <w:spacing w:before="169"/>
              <w:ind w:left="283"/>
              <w:jc w:val="center"/>
              <w:rPr>
                <w:color w:val="auto"/>
                <w:sz w:val="22"/>
                <w:szCs w:val="22"/>
                <w:highlight w:val="none"/>
              </w:rPr>
            </w:pPr>
            <w:r>
              <w:rPr>
                <w:rFonts w:hint="eastAsia"/>
                <w:color w:val="auto"/>
                <w:sz w:val="22"/>
                <w:szCs w:val="22"/>
                <w:highlight w:val="none"/>
              </w:rPr>
              <w:t>统一</w:t>
            </w:r>
            <w:r>
              <w:rPr>
                <w:rFonts w:hint="eastAsia"/>
                <w:color w:val="auto"/>
                <w:sz w:val="22"/>
                <w:szCs w:val="22"/>
                <w:highlight w:val="none"/>
                <w:lang w:eastAsia="zh-CN"/>
              </w:rPr>
              <w:t>单价</w:t>
            </w:r>
            <w:r>
              <w:rPr>
                <w:color w:val="auto"/>
                <w:sz w:val="22"/>
                <w:szCs w:val="22"/>
                <w:highlight w:val="none"/>
              </w:rPr>
              <w:t>折扣率</w:t>
            </w:r>
          </w:p>
        </w:tc>
        <w:tc>
          <w:tcPr>
            <w:tcW w:w="1559" w:type="dxa"/>
            <w:tcBorders>
              <w:left w:val="single" w:color="auto" w:sz="4" w:space="0"/>
            </w:tcBorders>
            <w:noWrap w:val="0"/>
            <w:vAlign w:val="top"/>
          </w:tcPr>
          <w:p>
            <w:pPr>
              <w:pStyle w:val="149"/>
              <w:spacing w:before="169"/>
              <w:jc w:val="center"/>
              <w:rPr>
                <w:color w:val="auto"/>
                <w:sz w:val="22"/>
                <w:szCs w:val="22"/>
                <w:highlight w:val="none"/>
              </w:rPr>
            </w:pPr>
            <w:r>
              <w:rPr>
                <w:rFonts w:hint="eastAsia"/>
                <w:color w:val="auto"/>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5161" w:type="dxa"/>
            <w:noWrap w:val="0"/>
            <w:vAlign w:val="center"/>
          </w:tcPr>
          <w:p>
            <w:pPr>
              <w:pStyle w:val="149"/>
              <w:jc w:val="center"/>
              <w:rPr>
                <w:rFonts w:hint="eastAsia" w:eastAsia="宋体"/>
                <w:color w:val="auto"/>
                <w:sz w:val="22"/>
                <w:szCs w:val="22"/>
                <w:highlight w:val="none"/>
                <w:lang w:eastAsia="zh-CN"/>
              </w:rPr>
            </w:pPr>
            <w:r>
              <w:rPr>
                <w:rFonts w:hint="eastAsia"/>
                <w:color w:val="auto"/>
                <w:sz w:val="22"/>
                <w:szCs w:val="22"/>
                <w:highlight w:val="none"/>
                <w:lang w:eastAsia="zh-CN"/>
              </w:rPr>
              <w:t>2024 年平阳县水头镇高标准农田改造提升示范项目（绿色农田建设项目）-土壤改良培肥</w:t>
            </w:r>
          </w:p>
        </w:tc>
        <w:tc>
          <w:tcPr>
            <w:tcW w:w="2835" w:type="dxa"/>
            <w:tcBorders>
              <w:right w:val="single" w:color="auto" w:sz="4" w:space="0"/>
            </w:tcBorders>
            <w:noWrap w:val="0"/>
            <w:vAlign w:val="center"/>
          </w:tcPr>
          <w:p>
            <w:pPr>
              <w:pStyle w:val="149"/>
              <w:spacing w:before="169"/>
              <w:ind w:left="283"/>
              <w:jc w:val="center"/>
              <w:rPr>
                <w:color w:val="auto"/>
                <w:sz w:val="22"/>
                <w:szCs w:val="22"/>
                <w:highlight w:val="none"/>
              </w:rPr>
            </w:pPr>
            <w:r>
              <w:rPr>
                <w:rFonts w:hint="eastAsia"/>
                <w:color w:val="auto"/>
                <w:sz w:val="22"/>
                <w:szCs w:val="22"/>
                <w:highlight w:val="none"/>
                <w:u w:val="single"/>
                <w:lang w:val="en-US" w:eastAsia="zh-CN"/>
              </w:rPr>
              <w:t xml:space="preserve">       </w:t>
            </w:r>
            <w:r>
              <w:rPr>
                <w:color w:val="auto"/>
                <w:sz w:val="22"/>
                <w:szCs w:val="22"/>
                <w:highlight w:val="none"/>
              </w:rPr>
              <w:t>%</w:t>
            </w:r>
          </w:p>
        </w:tc>
        <w:tc>
          <w:tcPr>
            <w:tcW w:w="1559" w:type="dxa"/>
            <w:tcBorders>
              <w:left w:val="single" w:color="auto" w:sz="4" w:space="0"/>
            </w:tcBorders>
            <w:noWrap w:val="0"/>
            <w:vAlign w:val="center"/>
          </w:tcPr>
          <w:p>
            <w:pPr>
              <w:pStyle w:val="149"/>
              <w:spacing w:before="169"/>
              <w:jc w:val="center"/>
              <w:rPr>
                <w:color w:val="auto"/>
                <w:sz w:val="22"/>
                <w:szCs w:val="22"/>
                <w:highlight w:val="none"/>
              </w:rPr>
            </w:pPr>
          </w:p>
        </w:tc>
      </w:tr>
    </w:tbl>
    <w:p>
      <w:pPr>
        <w:spacing w:line="400" w:lineRule="exact"/>
        <w:rPr>
          <w:bCs/>
          <w:color w:val="auto"/>
          <w:sz w:val="22"/>
          <w:szCs w:val="22"/>
          <w:highlight w:val="none"/>
        </w:rPr>
      </w:pPr>
      <w:r>
        <w:rPr>
          <w:bCs/>
          <w:color w:val="auto"/>
          <w:sz w:val="22"/>
          <w:szCs w:val="22"/>
          <w:highlight w:val="none"/>
        </w:rPr>
        <w:t>备注:</w:t>
      </w:r>
    </w:p>
    <w:p>
      <w:pPr>
        <w:spacing w:line="400" w:lineRule="exact"/>
        <w:ind w:firstLine="440" w:firstLineChars="200"/>
        <w:rPr>
          <w:color w:val="auto"/>
          <w:sz w:val="22"/>
          <w:szCs w:val="22"/>
          <w:highlight w:val="none"/>
        </w:rPr>
      </w:pPr>
      <w:r>
        <w:rPr>
          <w:rFonts w:hint="eastAsia"/>
          <w:color w:val="auto"/>
          <w:sz w:val="22"/>
          <w:szCs w:val="22"/>
          <w:highlight w:val="none"/>
        </w:rPr>
        <w:t>▲1.此表不得自行增减</w:t>
      </w:r>
      <w:r>
        <w:rPr>
          <w:rFonts w:hint="eastAsia"/>
          <w:color w:val="auto"/>
          <w:sz w:val="22"/>
          <w:szCs w:val="22"/>
          <w:highlight w:val="none"/>
          <w:lang w:eastAsia="zh-CN"/>
        </w:rPr>
        <w:t>格式</w:t>
      </w:r>
      <w:r>
        <w:rPr>
          <w:rFonts w:hint="eastAsia"/>
          <w:color w:val="auto"/>
          <w:sz w:val="22"/>
          <w:szCs w:val="22"/>
          <w:highlight w:val="none"/>
        </w:rPr>
        <w:t>，不提供此表格将被视为没有实质性响应采购文件,其响应文件作无效标处理。</w:t>
      </w:r>
    </w:p>
    <w:p>
      <w:pPr>
        <w:autoSpaceDE w:val="0"/>
        <w:autoSpaceDN w:val="0"/>
        <w:adjustRightInd w:val="0"/>
        <w:spacing w:line="440" w:lineRule="atLeast"/>
        <w:ind w:firstLine="440" w:firstLineChars="200"/>
        <w:rPr>
          <w:rFonts w:ascii="宋体"/>
          <w:b/>
          <w:color w:val="auto"/>
          <w:sz w:val="22"/>
          <w:szCs w:val="22"/>
          <w:highlight w:val="none"/>
        </w:rPr>
      </w:pPr>
      <w:r>
        <w:rPr>
          <w:rFonts w:hint="eastAsia"/>
          <w:color w:val="auto"/>
          <w:sz w:val="22"/>
          <w:szCs w:val="22"/>
          <w:highlight w:val="none"/>
        </w:rPr>
        <w:t>▲2.本项目采用单价统一折扣率报价，</w:t>
      </w:r>
      <w:r>
        <w:rPr>
          <w:rFonts w:hint="eastAsia" w:ascii="宋体"/>
          <w:b/>
          <w:color w:val="auto"/>
          <w:sz w:val="22"/>
          <w:szCs w:val="22"/>
          <w:highlight w:val="none"/>
        </w:rPr>
        <w:t>折扣率大于100%或小于0的做无效投标处理。</w:t>
      </w:r>
    </w:p>
    <w:p>
      <w:pPr>
        <w:widowControl/>
        <w:snapToGrid w:val="0"/>
        <w:spacing w:line="400" w:lineRule="exact"/>
        <w:ind w:firstLine="440" w:firstLineChars="200"/>
        <w:jc w:val="left"/>
        <w:rPr>
          <w:color w:val="auto"/>
          <w:sz w:val="24"/>
          <w:highlight w:val="none"/>
        </w:rPr>
      </w:pPr>
      <w:r>
        <w:rPr>
          <w:rFonts w:ascii="Arial" w:hAnsi="Arial" w:cs="Arial"/>
          <w:color w:val="auto"/>
          <w:sz w:val="22"/>
          <w:highlight w:val="none"/>
        </w:rPr>
        <w:t>▲</w:t>
      </w:r>
      <w:r>
        <w:rPr>
          <w:rFonts w:hint="eastAsia" w:ascii="Arial" w:hAnsi="Arial" w:cs="Arial"/>
          <w:color w:val="auto"/>
          <w:sz w:val="22"/>
          <w:highlight w:val="none"/>
        </w:rPr>
        <w:t>3.</w:t>
      </w:r>
      <w:r>
        <w:rPr>
          <w:rFonts w:hint="eastAsia"/>
          <w:color w:val="auto"/>
          <w:sz w:val="22"/>
          <w:szCs w:val="22"/>
          <w:highlight w:val="none"/>
        </w:rPr>
        <w:t>开标</w:t>
      </w:r>
      <w:r>
        <w:rPr>
          <w:color w:val="auto"/>
          <w:sz w:val="22"/>
          <w:szCs w:val="22"/>
          <w:highlight w:val="none"/>
        </w:rPr>
        <w:t>一览表中</w:t>
      </w:r>
      <w:r>
        <w:rPr>
          <w:rFonts w:hint="eastAsia"/>
          <w:color w:val="auto"/>
          <w:sz w:val="22"/>
          <w:szCs w:val="22"/>
          <w:highlight w:val="none"/>
        </w:rPr>
        <w:t>投标报价应包括</w:t>
      </w:r>
      <w:r>
        <w:rPr>
          <w:rFonts w:hint="eastAsia"/>
          <w:b w:val="0"/>
          <w:bCs/>
          <w:color w:val="auto"/>
          <w:sz w:val="22"/>
          <w:highlight w:val="none"/>
        </w:rPr>
        <w:t>人工费、所需肥料、器材费、机械</w:t>
      </w:r>
      <w:r>
        <w:rPr>
          <w:rFonts w:hint="eastAsia"/>
          <w:b w:val="0"/>
          <w:bCs/>
          <w:color w:val="auto"/>
          <w:sz w:val="22"/>
          <w:highlight w:val="none"/>
          <w:lang w:val="en-US" w:eastAsia="zh-CN"/>
        </w:rPr>
        <w:t>费</w:t>
      </w:r>
      <w:r>
        <w:rPr>
          <w:rFonts w:hint="eastAsia"/>
          <w:b w:val="0"/>
          <w:bCs/>
          <w:color w:val="auto"/>
          <w:sz w:val="22"/>
          <w:highlight w:val="none"/>
          <w:lang w:eastAsia="zh-CN"/>
        </w:rPr>
        <w:t>、</w:t>
      </w:r>
      <w:r>
        <w:rPr>
          <w:rFonts w:hint="eastAsia"/>
          <w:b w:val="0"/>
          <w:bCs/>
          <w:color w:val="auto"/>
          <w:sz w:val="22"/>
          <w:highlight w:val="none"/>
        </w:rPr>
        <w:t>随机工具、随机附件、运输费、</w:t>
      </w:r>
      <w:r>
        <w:rPr>
          <w:rFonts w:hint="eastAsia"/>
          <w:b w:val="0"/>
          <w:bCs/>
          <w:color w:val="auto"/>
          <w:sz w:val="22"/>
          <w:highlight w:val="none"/>
          <w:lang w:val="en-US" w:eastAsia="zh-CN"/>
        </w:rPr>
        <w:t>存储费、履约</w:t>
      </w:r>
      <w:r>
        <w:rPr>
          <w:rFonts w:hint="eastAsia"/>
          <w:b w:val="0"/>
          <w:bCs/>
          <w:color w:val="auto"/>
          <w:sz w:val="22"/>
          <w:highlight w:val="none"/>
        </w:rPr>
        <w:t>验收费</w:t>
      </w:r>
      <w:r>
        <w:rPr>
          <w:rFonts w:hint="eastAsia"/>
          <w:b w:val="0"/>
          <w:bCs/>
          <w:color w:val="auto"/>
          <w:sz w:val="22"/>
          <w:highlight w:val="none"/>
          <w:lang w:val="en-US" w:eastAsia="zh-CN"/>
        </w:rPr>
        <w:t>、</w:t>
      </w:r>
      <w:r>
        <w:rPr>
          <w:rFonts w:ascii="新宋体" w:hAnsi="新宋体" w:eastAsia="新宋体"/>
          <w:b w:val="0"/>
          <w:bCs/>
          <w:color w:val="auto"/>
          <w:sz w:val="22"/>
          <w:highlight w:val="none"/>
        </w:rPr>
        <w:t>利润、税费、采购代理服务费等完成本项目所需的一切本身和不可或缺的所有工作开支、政策性文件规定及合同包含的所有风险、责任等各项全部费用</w:t>
      </w:r>
      <w:r>
        <w:rPr>
          <w:rFonts w:hint="eastAsia"/>
          <w:b w:val="0"/>
          <w:bCs/>
          <w:color w:val="auto"/>
          <w:sz w:val="22"/>
          <w:szCs w:val="22"/>
          <w:highlight w:val="none"/>
        </w:rPr>
        <w:t>，采购人不再另外支付其他费用。</w:t>
      </w:r>
    </w:p>
    <w:p>
      <w:pPr>
        <w:pStyle w:val="11"/>
        <w:rPr>
          <w:rFonts w:hint="eastAsia"/>
          <w:color w:val="auto"/>
          <w:highlight w:val="none"/>
          <w:lang w:eastAsia="zh-CN"/>
        </w:rPr>
      </w:pPr>
    </w:p>
    <w:p>
      <w:pPr>
        <w:pStyle w:val="19"/>
        <w:rPr>
          <w:rFonts w:hint="eastAsia"/>
          <w:color w:val="auto"/>
          <w:sz w:val="22"/>
          <w:szCs w:val="22"/>
          <w:highlight w:val="none"/>
          <w:lang w:val="zh-CN"/>
        </w:rPr>
      </w:pPr>
    </w:p>
    <w:p>
      <w:pPr>
        <w:pStyle w:val="20"/>
        <w:rPr>
          <w:rFonts w:hint="eastAsia"/>
          <w:color w:val="auto"/>
          <w:highlight w:val="none"/>
          <w:lang w:val="zh-CN"/>
        </w:rPr>
      </w:pP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pacing w:line="460" w:lineRule="atLeast"/>
        <w:rPr>
          <w:rFonts w:hint="eastAsia"/>
          <w:b/>
          <w:color w:val="auto"/>
          <w:sz w:val="30"/>
          <w:highlight w:val="none"/>
          <w:lang w:val="zh-CN"/>
        </w:rPr>
      </w:pPr>
    </w:p>
    <w:p>
      <w:pPr>
        <w:pStyle w:val="23"/>
        <w:rPr>
          <w:rFonts w:hint="eastAsia"/>
          <w:b/>
          <w:color w:val="auto"/>
          <w:sz w:val="30"/>
          <w:highlight w:val="none"/>
          <w:lang w:val="zh-CN"/>
        </w:rPr>
        <w:sectPr>
          <w:pgSz w:w="11906" w:h="16838"/>
          <w:pgMar w:top="1440" w:right="1622" w:bottom="1440" w:left="1287" w:header="851" w:footer="992" w:gutter="0"/>
          <w:pgBorders>
            <w:top w:val="none" w:sz="0" w:space="0"/>
            <w:left w:val="none" w:sz="0" w:space="0"/>
            <w:bottom w:val="none" w:sz="0" w:space="0"/>
            <w:right w:val="none" w:sz="0" w:space="0"/>
          </w:pgBorders>
          <w:cols w:space="720" w:num="1"/>
          <w:docGrid w:linePitch="312" w:charSpace="0"/>
        </w:sectPr>
      </w:pPr>
    </w:p>
    <w:p>
      <w:pPr>
        <w:keepNext w:val="0"/>
        <w:keepLines w:val="0"/>
        <w:pageBreakBefore w:val="0"/>
        <w:widowControl/>
        <w:kinsoku/>
        <w:wordWrap/>
        <w:overflowPunct/>
        <w:topLinePunct w:val="0"/>
        <w:autoSpaceDE w:val="0"/>
        <w:autoSpaceDN w:val="0"/>
        <w:bidi w:val="0"/>
        <w:adjustRightInd w:val="0"/>
        <w:snapToGrid w:val="0"/>
        <w:spacing w:line="480" w:lineRule="auto"/>
        <w:jc w:val="center"/>
        <w:textAlignment w:val="bottom"/>
        <w:rPr>
          <w:rFonts w:hint="eastAsia"/>
          <w:color w:val="auto"/>
          <w:sz w:val="36"/>
          <w:highlight w:val="none"/>
        </w:rPr>
      </w:pPr>
      <w:r>
        <w:rPr>
          <w:rFonts w:hint="eastAsia"/>
          <w:color w:val="auto"/>
          <w:sz w:val="36"/>
          <w:highlight w:val="none"/>
        </w:rPr>
        <w:t>第七部分   评标办法</w:t>
      </w:r>
    </w:p>
    <w:p>
      <w:pPr>
        <w:widowControl/>
        <w:snapToGrid w:val="0"/>
        <w:spacing w:line="460" w:lineRule="atLeast"/>
        <w:ind w:firstLine="540"/>
        <w:jc w:val="left"/>
        <w:rPr>
          <w:color w:val="auto"/>
          <w:sz w:val="22"/>
          <w:highlight w:val="none"/>
        </w:rPr>
      </w:pPr>
      <w:r>
        <w:rPr>
          <w:color w:val="auto"/>
          <w:sz w:val="22"/>
          <w:highlight w:val="none"/>
        </w:rPr>
        <w:t>根据《中华人民共和国政府采购法》等有关政府采购法规，结合本次所要采购服务的实际，按照公平、公正、科学、择优的原则选择成交单位，特制定本评审办法。</w:t>
      </w:r>
    </w:p>
    <w:p>
      <w:pPr>
        <w:widowControl/>
        <w:snapToGrid w:val="0"/>
        <w:spacing w:line="460" w:lineRule="atLeast"/>
        <w:ind w:firstLine="3795"/>
        <w:jc w:val="left"/>
        <w:rPr>
          <w:color w:val="auto"/>
          <w:sz w:val="22"/>
          <w:highlight w:val="none"/>
        </w:rPr>
      </w:pPr>
      <w:r>
        <w:rPr>
          <w:color w:val="auto"/>
          <w:sz w:val="22"/>
          <w:highlight w:val="none"/>
        </w:rPr>
        <w:t>一、总则</w:t>
      </w:r>
    </w:p>
    <w:p>
      <w:pPr>
        <w:widowControl/>
        <w:snapToGrid w:val="0"/>
        <w:spacing w:line="460" w:lineRule="atLeast"/>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pPr>
        <w:widowControl/>
        <w:snapToGrid w:val="0"/>
        <w:spacing w:line="460" w:lineRule="atLeast"/>
        <w:ind w:firstLine="3795"/>
        <w:jc w:val="left"/>
        <w:rPr>
          <w:color w:val="auto"/>
          <w:sz w:val="22"/>
          <w:highlight w:val="none"/>
        </w:rPr>
      </w:pPr>
      <w:r>
        <w:rPr>
          <w:color w:val="auto"/>
          <w:sz w:val="22"/>
          <w:highlight w:val="none"/>
        </w:rPr>
        <w:t>二、评审组织</w:t>
      </w:r>
    </w:p>
    <w:p>
      <w:pPr>
        <w:widowControl/>
        <w:snapToGrid w:val="0"/>
        <w:spacing w:line="460" w:lineRule="atLeast"/>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pPr>
        <w:widowControl/>
        <w:snapToGrid w:val="0"/>
        <w:spacing w:before="240" w:after="240" w:line="460" w:lineRule="atLeast"/>
        <w:ind w:firstLine="990"/>
        <w:jc w:val="center"/>
        <w:rPr>
          <w:color w:val="auto"/>
          <w:sz w:val="22"/>
          <w:highlight w:val="none"/>
        </w:rPr>
      </w:pPr>
      <w:r>
        <w:rPr>
          <w:color w:val="auto"/>
          <w:sz w:val="22"/>
          <w:highlight w:val="none"/>
        </w:rPr>
        <w:t>三、响应文件递交截止、磋商程序、磋商原则和方式</w:t>
      </w:r>
    </w:p>
    <w:p>
      <w:pPr>
        <w:widowControl/>
        <w:snapToGrid w:val="0"/>
        <w:spacing w:line="460" w:lineRule="atLeast"/>
        <w:ind w:firstLine="440"/>
        <w:jc w:val="left"/>
        <w:rPr>
          <w:color w:val="auto"/>
          <w:sz w:val="22"/>
          <w:highlight w:val="none"/>
        </w:rPr>
      </w:pPr>
      <w:r>
        <w:rPr>
          <w:color w:val="auto"/>
          <w:sz w:val="22"/>
          <w:highlight w:val="none"/>
        </w:rPr>
        <w:t>1、响应文件递交截止</w:t>
      </w:r>
    </w:p>
    <w:p>
      <w:pPr>
        <w:widowControl/>
        <w:snapToGrid w:val="0"/>
        <w:spacing w:line="460" w:lineRule="atLeast"/>
        <w:ind w:firstLine="440"/>
        <w:jc w:val="left"/>
        <w:rPr>
          <w:color w:val="auto"/>
          <w:sz w:val="22"/>
          <w:highlight w:val="none"/>
        </w:rPr>
      </w:pPr>
      <w:r>
        <w:rPr>
          <w:color w:val="auto"/>
          <w:sz w:val="22"/>
          <w:highlight w:val="none"/>
        </w:rPr>
        <w:t>1.1、按竞争性磋商文件规定的时间</w:t>
      </w:r>
      <w:r>
        <w:rPr>
          <w:rFonts w:hint="eastAsia"/>
          <w:color w:val="auto"/>
          <w:sz w:val="22"/>
          <w:highlight w:val="none"/>
        </w:rPr>
        <w:t>递交</w:t>
      </w:r>
      <w:r>
        <w:rPr>
          <w:color w:val="auto"/>
          <w:sz w:val="22"/>
          <w:highlight w:val="none"/>
        </w:rPr>
        <w:t>响应文件。</w:t>
      </w:r>
    </w:p>
    <w:p>
      <w:pPr>
        <w:widowControl/>
        <w:snapToGrid w:val="0"/>
        <w:spacing w:line="460" w:lineRule="atLeast"/>
        <w:ind w:firstLine="450"/>
        <w:jc w:val="left"/>
        <w:rPr>
          <w:color w:val="auto"/>
          <w:sz w:val="22"/>
          <w:highlight w:val="none"/>
        </w:rPr>
      </w:pPr>
      <w:r>
        <w:rPr>
          <w:color w:val="auto"/>
          <w:sz w:val="22"/>
          <w:highlight w:val="none"/>
        </w:rPr>
        <w:t>2、本次采购是根据竞争性磋商采购方式进行，各供应商第一次报价不公开。</w:t>
      </w:r>
    </w:p>
    <w:p>
      <w:pPr>
        <w:widowControl/>
        <w:snapToGrid w:val="0"/>
        <w:spacing w:line="460" w:lineRule="atLeast"/>
        <w:ind w:firstLine="450"/>
        <w:jc w:val="left"/>
        <w:rPr>
          <w:color w:val="auto"/>
          <w:sz w:val="22"/>
          <w:highlight w:val="none"/>
        </w:rPr>
      </w:pPr>
      <w:r>
        <w:rPr>
          <w:color w:val="auto"/>
          <w:sz w:val="22"/>
          <w:highlight w:val="none"/>
        </w:rPr>
        <w:t>2.1、如磋商小组认为竞争性磋商文件能够详细列明采购标的的技术、服务要求的，评审结束后，磋商小组可以直接对供应商进行打分评价。</w:t>
      </w:r>
    </w:p>
    <w:p>
      <w:pPr>
        <w:widowControl/>
        <w:snapToGrid w:val="0"/>
        <w:spacing w:line="460" w:lineRule="atLeast"/>
        <w:ind w:firstLine="450"/>
        <w:jc w:val="left"/>
        <w:rPr>
          <w:color w:val="auto"/>
          <w:sz w:val="22"/>
          <w:highlight w:val="none"/>
        </w:rPr>
      </w:pPr>
      <w:r>
        <w:rPr>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pPr>
        <w:widowControl/>
        <w:snapToGrid w:val="0"/>
        <w:spacing w:line="460" w:lineRule="atLeast"/>
        <w:ind w:firstLine="450"/>
        <w:jc w:val="left"/>
        <w:rPr>
          <w:color w:val="auto"/>
          <w:sz w:val="22"/>
          <w:highlight w:val="none"/>
        </w:rPr>
      </w:pPr>
      <w:r>
        <w:rPr>
          <w:color w:val="auto"/>
          <w:sz w:val="22"/>
          <w:highlight w:val="none"/>
        </w:rPr>
        <w:t>对竞争性磋商文件作出的实质性变动是磋商文件的有效组成部分，磋商小组应当</w:t>
      </w:r>
      <w:r>
        <w:rPr>
          <w:rFonts w:hint="eastAsia"/>
          <w:color w:val="auto"/>
          <w:sz w:val="22"/>
          <w:highlight w:val="none"/>
        </w:rPr>
        <w:t>在线</w:t>
      </w:r>
      <w:r>
        <w:rPr>
          <w:color w:val="auto"/>
          <w:sz w:val="22"/>
          <w:highlight w:val="none"/>
        </w:rPr>
        <w:t>通知所有参加磋商的供应商。</w:t>
      </w:r>
    </w:p>
    <w:p>
      <w:pPr>
        <w:widowControl/>
        <w:snapToGrid w:val="0"/>
        <w:spacing w:line="460" w:lineRule="atLeast"/>
        <w:ind w:firstLine="450"/>
        <w:jc w:val="left"/>
        <w:rPr>
          <w:color w:val="auto"/>
          <w:sz w:val="22"/>
          <w:highlight w:val="none"/>
        </w:rPr>
      </w:pPr>
      <w:r>
        <w:rPr>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napToGrid w:val="0"/>
        <w:spacing w:line="460" w:lineRule="atLeast"/>
        <w:ind w:firstLine="450"/>
        <w:jc w:val="left"/>
        <w:rPr>
          <w:color w:val="auto"/>
          <w:sz w:val="22"/>
          <w:highlight w:val="none"/>
        </w:rPr>
      </w:pPr>
      <w:r>
        <w:rPr>
          <w:color w:val="auto"/>
          <w:sz w:val="22"/>
          <w:highlight w:val="none"/>
        </w:rPr>
        <w:t>已提交响应文件的供应商，在提交最后磋商报价之前，可以根据磋商情况退出磋商。</w:t>
      </w:r>
    </w:p>
    <w:p>
      <w:pPr>
        <w:widowControl/>
        <w:snapToGrid w:val="0"/>
        <w:spacing w:line="460" w:lineRule="atLeast"/>
        <w:ind w:firstLine="450"/>
        <w:jc w:val="left"/>
        <w:rPr>
          <w:color w:val="auto"/>
          <w:sz w:val="22"/>
          <w:highlight w:val="none"/>
        </w:rPr>
      </w:pPr>
      <w:r>
        <w:rPr>
          <w:color w:val="auto"/>
          <w:sz w:val="22"/>
          <w:highlight w:val="none"/>
        </w:rPr>
        <w:t>2.4、</w:t>
      </w:r>
      <w:r>
        <w:rPr>
          <w:rFonts w:hint="eastAsia"/>
          <w:color w:val="auto"/>
          <w:sz w:val="22"/>
          <w:highlight w:val="none"/>
        </w:rPr>
        <w:t>本项目磋商采用在线发起询标（谈判）进行磋商。</w:t>
      </w:r>
      <w:r>
        <w:rPr>
          <w:color w:val="auto"/>
          <w:sz w:val="22"/>
          <w:highlight w:val="none"/>
        </w:rPr>
        <w:t>在竞争性磋商文件未做任何调整的情况下，参与磋商的供应商如有出现最终磋商报价超过响应文件中报价的，则该供应商的报价按无效处理。超过规定时间提交的最终磋商报价作无效处理。</w:t>
      </w:r>
    </w:p>
    <w:p>
      <w:pPr>
        <w:widowControl/>
        <w:snapToGrid w:val="0"/>
        <w:spacing w:line="460" w:lineRule="atLeast"/>
        <w:ind w:firstLine="450"/>
        <w:jc w:val="left"/>
        <w:rPr>
          <w:color w:val="auto"/>
          <w:sz w:val="22"/>
          <w:highlight w:val="none"/>
        </w:rPr>
      </w:pPr>
      <w:r>
        <w:rPr>
          <w:color w:val="auto"/>
          <w:sz w:val="22"/>
          <w:highlight w:val="none"/>
        </w:rPr>
        <w:t>3、评审原则和方法</w:t>
      </w:r>
    </w:p>
    <w:p>
      <w:pPr>
        <w:widowControl/>
        <w:snapToGrid w:val="0"/>
        <w:spacing w:line="460" w:lineRule="atLeast"/>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pPr>
        <w:widowControl/>
        <w:snapToGrid w:val="0"/>
        <w:spacing w:line="460" w:lineRule="atLeast"/>
        <w:ind w:firstLine="450"/>
        <w:jc w:val="left"/>
        <w:rPr>
          <w:color w:val="auto"/>
          <w:sz w:val="22"/>
          <w:highlight w:val="none"/>
        </w:rPr>
      </w:pPr>
      <w:r>
        <w:rPr>
          <w:color w:val="auto"/>
          <w:sz w:val="22"/>
          <w:highlight w:val="none"/>
        </w:rPr>
        <w:t xml:space="preserve">3.2、磋商小组将综合分析合格供应商的各项指标，而不是以单项指标的优劣评选出成交的供应商。   </w:t>
      </w:r>
    </w:p>
    <w:p>
      <w:pPr>
        <w:widowControl/>
        <w:snapToGrid w:val="0"/>
        <w:spacing w:line="460" w:lineRule="atLeast"/>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widowControl/>
        <w:snapToGrid w:val="0"/>
        <w:spacing w:line="460" w:lineRule="atLeast"/>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pPr>
        <w:widowControl/>
        <w:snapToGrid w:val="0"/>
        <w:spacing w:line="460" w:lineRule="atLeast"/>
        <w:ind w:firstLine="450"/>
        <w:jc w:val="left"/>
        <w:rPr>
          <w:color w:val="auto"/>
          <w:sz w:val="22"/>
          <w:highlight w:val="none"/>
        </w:rPr>
      </w:pPr>
      <w:r>
        <w:rPr>
          <w:color w:val="auto"/>
          <w:sz w:val="22"/>
          <w:highlight w:val="none"/>
        </w:rPr>
        <w:t xml:space="preserve"> 4、响应文件的澄清</w:t>
      </w:r>
    </w:p>
    <w:p>
      <w:pPr>
        <w:pStyle w:val="2"/>
        <w:adjustRightInd w:val="0"/>
        <w:snapToGrid w:val="0"/>
        <w:spacing w:line="460" w:lineRule="atLeast"/>
        <w:ind w:firstLine="440" w:firstLineChars="200"/>
        <w:jc w:val="center"/>
        <w:rPr>
          <w:rFonts w:hint="eastAsia"/>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pPr>
        <w:adjustRightInd w:val="0"/>
        <w:snapToGrid w:val="0"/>
        <w:spacing w:before="100" w:after="50"/>
        <w:jc w:val="center"/>
        <w:rPr>
          <w:rFonts w:hint="eastAsia" w:ascii="宋体" w:hAnsi="宋体" w:cs="宋体"/>
          <w:b/>
          <w:color w:val="auto"/>
          <w:sz w:val="32"/>
          <w:szCs w:val="32"/>
          <w:highlight w:val="none"/>
        </w:rPr>
        <w:sectPr>
          <w:headerReference r:id="rId27" w:type="default"/>
          <w:footerReference r:id="rId28" w:type="default"/>
          <w:pgSz w:w="11906" w:h="16838"/>
          <w:pgMar w:top="1440" w:right="1117" w:bottom="1440" w:left="1157" w:header="851" w:footer="992" w:gutter="0"/>
          <w:cols w:space="720" w:num="1"/>
          <w:docGrid w:linePitch="312" w:charSpace="0"/>
        </w:sectPr>
      </w:pPr>
    </w:p>
    <w:p>
      <w:pPr>
        <w:numPr>
          <w:ilvl w:val="0"/>
          <w:numId w:val="13"/>
        </w:numPr>
        <w:adjustRightInd w:val="0"/>
        <w:snapToGrid w:val="0"/>
        <w:spacing w:before="10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评标细则</w:t>
      </w:r>
    </w:p>
    <w:p>
      <w:pPr>
        <w:snapToGrid w:val="0"/>
        <w:spacing w:line="460" w:lineRule="atLeast"/>
        <w:ind w:firstLine="322" w:firstLineChars="146"/>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eastAsia="zh-CN"/>
        </w:rPr>
        <w:t>（</w:t>
      </w:r>
      <w:r>
        <w:rPr>
          <w:rFonts w:hint="eastAsia" w:ascii="宋体"/>
          <w:b/>
          <w:bCs/>
          <w:color w:val="auto"/>
          <w:sz w:val="22"/>
          <w:szCs w:val="22"/>
          <w:highlight w:val="none"/>
          <w:lang w:val="en-US" w:eastAsia="zh-CN"/>
        </w:rPr>
        <w:t>一）</w:t>
      </w:r>
      <w:r>
        <w:rPr>
          <w:rFonts w:hint="eastAsia" w:ascii="宋体"/>
          <w:b/>
          <w:bCs/>
          <w:color w:val="auto"/>
          <w:sz w:val="22"/>
          <w:szCs w:val="22"/>
          <w:highlight w:val="none"/>
        </w:rPr>
        <w:t>报价评分</w:t>
      </w:r>
      <w:r>
        <w:rPr>
          <w:rFonts w:hint="eastAsia" w:ascii="宋体"/>
          <w:b/>
          <w:bCs/>
          <w:color w:val="auto"/>
          <w:sz w:val="22"/>
          <w:szCs w:val="22"/>
          <w:highlight w:val="none"/>
          <w:lang w:val="en-US" w:eastAsia="zh-CN"/>
        </w:rPr>
        <w:t>20</w:t>
      </w:r>
      <w:r>
        <w:rPr>
          <w:rFonts w:hint="eastAsia" w:ascii="宋体"/>
          <w:b/>
          <w:bCs/>
          <w:color w:val="auto"/>
          <w:sz w:val="22"/>
          <w:szCs w:val="22"/>
          <w:highlight w:val="none"/>
        </w:rPr>
        <w:t>分</w:t>
      </w:r>
    </w:p>
    <w:p>
      <w:pPr>
        <w:pStyle w:val="2"/>
        <w:snapToGrid w:val="0"/>
        <w:spacing w:line="360" w:lineRule="auto"/>
        <w:ind w:firstLine="440" w:firstLineChars="200"/>
        <w:rPr>
          <w:rFonts w:hint="eastAsia" w:ascii="宋体" w:hAnsi="宋体" w:cs="宋体"/>
          <w:b w:val="0"/>
          <w:bCs/>
          <w:color w:val="auto"/>
          <w:sz w:val="22"/>
          <w:szCs w:val="22"/>
          <w:highlight w:val="none"/>
        </w:rPr>
      </w:pPr>
      <w:r>
        <w:rPr>
          <w:rFonts w:hint="eastAsia" w:ascii="宋体" w:hAnsi="宋体" w:cs="宋体"/>
          <w:b w:val="0"/>
          <w:bCs/>
          <w:color w:val="auto"/>
          <w:sz w:val="22"/>
          <w:highlight w:val="none"/>
        </w:rPr>
        <w:t>1、以</w:t>
      </w:r>
      <w:r>
        <w:rPr>
          <w:rFonts w:hint="eastAsia" w:ascii="宋体" w:hAnsi="宋体" w:cs="宋体"/>
          <w:b w:val="0"/>
          <w:bCs/>
          <w:color w:val="auto"/>
          <w:sz w:val="22"/>
          <w:highlight w:val="none"/>
          <w:lang w:val="en-US" w:eastAsia="zh-CN"/>
        </w:rPr>
        <w:t>磋商响应</w:t>
      </w:r>
      <w:r>
        <w:rPr>
          <w:rFonts w:hint="eastAsia" w:ascii="宋体" w:hAnsi="宋体" w:cs="宋体"/>
          <w:b w:val="0"/>
          <w:bCs/>
          <w:color w:val="auto"/>
          <w:sz w:val="22"/>
          <w:highlight w:val="none"/>
        </w:rPr>
        <w:t>供应商的有效投标价中的最低</w:t>
      </w:r>
      <w:r>
        <w:rPr>
          <w:rFonts w:hint="eastAsia" w:ascii="宋体" w:hAnsi="宋体" w:cs="宋体"/>
          <w:b w:val="0"/>
          <w:bCs/>
          <w:color w:val="auto"/>
          <w:sz w:val="22"/>
          <w:highlight w:val="none"/>
          <w:lang w:val="en-US" w:eastAsia="zh-CN"/>
        </w:rPr>
        <w:t>折扣率报价</w:t>
      </w:r>
      <w:r>
        <w:rPr>
          <w:rFonts w:hint="eastAsia" w:ascii="宋体" w:hAnsi="宋体" w:cs="宋体"/>
          <w:b w:val="0"/>
          <w:bCs/>
          <w:color w:val="auto"/>
          <w:sz w:val="22"/>
          <w:highlight w:val="none"/>
        </w:rPr>
        <w:t>为评标基准价，得满分</w:t>
      </w:r>
      <w:r>
        <w:rPr>
          <w:rFonts w:hint="eastAsia" w:hAnsi="宋体" w:cs="宋体"/>
          <w:b w:val="0"/>
          <w:bCs/>
          <w:color w:val="auto"/>
          <w:sz w:val="22"/>
          <w:highlight w:val="none"/>
          <w:lang w:val="en-US" w:eastAsia="zh-CN"/>
        </w:rPr>
        <w:t>20</w:t>
      </w:r>
      <w:r>
        <w:rPr>
          <w:rFonts w:hint="eastAsia" w:ascii="宋体" w:hAnsi="宋体" w:cs="宋体"/>
          <w:b w:val="0"/>
          <w:bCs/>
          <w:color w:val="auto"/>
          <w:sz w:val="22"/>
          <w:highlight w:val="none"/>
        </w:rPr>
        <w:t>分。报价评分结算公式为:报价得分=(评标基准价／投标价)×</w:t>
      </w:r>
      <w:r>
        <w:rPr>
          <w:rFonts w:hint="eastAsia" w:hAnsi="宋体" w:cs="宋体"/>
          <w:b w:val="0"/>
          <w:bCs/>
          <w:color w:val="auto"/>
          <w:sz w:val="22"/>
          <w:highlight w:val="none"/>
          <w:lang w:val="en-US" w:eastAsia="zh-CN"/>
        </w:rPr>
        <w:t>2</w:t>
      </w:r>
      <w:r>
        <w:rPr>
          <w:rFonts w:hint="eastAsia" w:ascii="宋体" w:hAnsi="宋体" w:cs="宋体"/>
          <w:b w:val="0"/>
          <w:bCs/>
          <w:color w:val="auto"/>
          <w:sz w:val="22"/>
          <w:highlight w:val="none"/>
          <w:lang w:val="en-US" w:eastAsia="zh-CN"/>
        </w:rPr>
        <w:t>0</w:t>
      </w:r>
      <w:r>
        <w:rPr>
          <w:rFonts w:hint="eastAsia" w:ascii="宋体" w:hAnsi="宋体" w:cs="宋体"/>
          <w:b w:val="0"/>
          <w:bCs/>
          <w:color w:val="auto"/>
          <w:sz w:val="22"/>
          <w:highlight w:val="none"/>
        </w:rPr>
        <w:t>%×100；</w:t>
      </w:r>
    </w:p>
    <w:p>
      <w:pPr>
        <w:widowControl/>
        <w:autoSpaceDE w:val="0"/>
        <w:autoSpaceDN w:val="0"/>
        <w:snapToGrid w:val="0"/>
        <w:spacing w:line="360" w:lineRule="auto"/>
        <w:ind w:firstLine="382"/>
        <w:jc w:val="left"/>
        <w:rPr>
          <w:rFonts w:hint="eastAsia" w:ascii="宋体" w:hAnsi="宋体" w:cs="宋体"/>
          <w:b w:val="0"/>
          <w:bCs/>
          <w:color w:val="auto"/>
          <w:sz w:val="22"/>
          <w:highlight w:val="none"/>
        </w:rPr>
      </w:pPr>
      <w:r>
        <w:rPr>
          <w:rFonts w:hint="eastAsia" w:ascii="宋体" w:hAnsi="宋体" w:cs="宋体"/>
          <w:b w:val="0"/>
          <w:bCs/>
          <w:color w:val="auto"/>
          <w:sz w:val="22"/>
          <w:highlight w:val="none"/>
        </w:rPr>
        <w:t>2、</w:t>
      </w:r>
      <w:r>
        <w:rPr>
          <w:rFonts w:ascii="宋体"/>
          <w:b w:val="0"/>
          <w:bCs/>
          <w:color w:val="auto"/>
          <w:sz w:val="22"/>
          <w:szCs w:val="22"/>
          <w:highlight w:val="none"/>
        </w:rPr>
        <w:t>如果所有供应商的投标价均超出</w:t>
      </w:r>
      <w:r>
        <w:rPr>
          <w:rFonts w:hint="eastAsia" w:ascii="宋体" w:hAnsi="宋体"/>
          <w:b w:val="0"/>
          <w:bCs/>
          <w:color w:val="auto"/>
          <w:sz w:val="22"/>
          <w:szCs w:val="22"/>
          <w:highlight w:val="none"/>
        </w:rPr>
        <w:t>采购最高限价（单价）（或折扣率范围）的</w:t>
      </w:r>
      <w:r>
        <w:rPr>
          <w:rFonts w:ascii="宋体"/>
          <w:b w:val="0"/>
          <w:bCs/>
          <w:color w:val="auto"/>
          <w:sz w:val="22"/>
          <w:szCs w:val="22"/>
          <w:highlight w:val="none"/>
        </w:rPr>
        <w:t>，本次采购做流标处理。如果仅仅某个（些）供应商投标报价超出</w:t>
      </w:r>
      <w:r>
        <w:rPr>
          <w:rFonts w:hint="eastAsia" w:ascii="宋体" w:hAnsi="宋体"/>
          <w:b w:val="0"/>
          <w:bCs/>
          <w:color w:val="auto"/>
          <w:sz w:val="22"/>
          <w:szCs w:val="22"/>
          <w:highlight w:val="none"/>
        </w:rPr>
        <w:t>采购最高限价（单价）（或折扣率范围）的</w:t>
      </w:r>
      <w:r>
        <w:rPr>
          <w:rFonts w:ascii="宋体"/>
          <w:b w:val="0"/>
          <w:bCs/>
          <w:color w:val="auto"/>
          <w:sz w:val="22"/>
          <w:szCs w:val="22"/>
          <w:highlight w:val="none"/>
        </w:rPr>
        <w:t>，则该供应商按无效投标处理。</w:t>
      </w:r>
    </w:p>
    <w:p>
      <w:pPr>
        <w:widowControl/>
        <w:snapToGrid w:val="0"/>
        <w:spacing w:line="360" w:lineRule="exact"/>
        <w:ind w:firstLine="431"/>
        <w:jc w:val="left"/>
        <w:rPr>
          <w:rFonts w:hint="eastAsia" w:ascii="宋体" w:hAnsi="宋体" w:cs="宋体"/>
          <w:b w:val="0"/>
          <w:bCs/>
          <w:color w:val="auto"/>
          <w:sz w:val="22"/>
          <w:highlight w:val="none"/>
        </w:rPr>
      </w:pPr>
      <w:r>
        <w:rPr>
          <w:rFonts w:hint="eastAsia" w:ascii="宋体" w:hAnsi="宋体" w:cs="宋体"/>
          <w:b w:val="0"/>
          <w:bCs/>
          <w:color w:val="auto"/>
          <w:sz w:val="22"/>
          <w:szCs w:val="22"/>
          <w:highlight w:val="none"/>
          <w:shd w:val="clear" w:color="auto" w:fill="auto"/>
          <w:lang w:val="en-US" w:eastAsia="zh-CN"/>
        </w:rPr>
        <w:t>3、</w:t>
      </w:r>
      <w:r>
        <w:rPr>
          <w:rFonts w:hint="eastAsia" w:ascii="宋体" w:hAnsi="宋体" w:cs="宋体"/>
          <w:b w:val="0"/>
          <w:bCs/>
          <w:color w:val="auto"/>
          <w:sz w:val="22"/>
          <w:highlight w:val="none"/>
        </w:rPr>
        <w:t>评审时，磋商小组认为供应商的报价明显低于其他通过符合性审查供应商的报价，有可能影响产品质量</w:t>
      </w:r>
      <w:r>
        <w:rPr>
          <w:rFonts w:hint="eastAsia" w:ascii="宋体" w:hAnsi="宋体" w:cs="宋体"/>
          <w:b w:val="0"/>
          <w:bCs/>
          <w:color w:val="auto"/>
          <w:sz w:val="22"/>
          <w:highlight w:val="none"/>
          <w:lang w:eastAsia="zh-CN"/>
        </w:rPr>
        <w:t>及服务</w:t>
      </w:r>
      <w:r>
        <w:rPr>
          <w:rFonts w:hint="eastAsia" w:ascii="宋体" w:hAnsi="宋体" w:cs="宋体"/>
          <w:b w:val="0"/>
          <w:bCs/>
          <w:color w:val="auto"/>
          <w:sz w:val="22"/>
          <w:highlight w:val="none"/>
        </w:rPr>
        <w:t>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p>
    <w:p>
      <w:pPr>
        <w:snapToGrid w:val="0"/>
        <w:spacing w:line="460" w:lineRule="atLeast"/>
        <w:ind w:firstLine="322" w:firstLineChars="146"/>
        <w:rPr>
          <w:rFonts w:hint="eastAsia" w:ascii="宋体"/>
          <w:b/>
          <w:bCs/>
          <w:color w:val="auto"/>
          <w:sz w:val="22"/>
          <w:szCs w:val="22"/>
          <w:highlight w:val="none"/>
          <w:u w:val="none"/>
          <w:lang w:eastAsia="zh-CN"/>
        </w:rPr>
      </w:pPr>
      <w:r>
        <w:rPr>
          <w:rFonts w:hint="eastAsia" w:ascii="宋体" w:hAnsi="宋体"/>
          <w:b/>
          <w:color w:val="auto"/>
          <w:sz w:val="22"/>
          <w:szCs w:val="22"/>
          <w:highlight w:val="none"/>
          <w:u w:val="none"/>
          <w:lang w:eastAsia="zh-CN"/>
        </w:rPr>
        <w:t>（</w:t>
      </w:r>
      <w:r>
        <w:rPr>
          <w:rFonts w:hint="eastAsia" w:ascii="宋体" w:hAnsi="宋体"/>
          <w:b/>
          <w:color w:val="auto"/>
          <w:sz w:val="22"/>
          <w:szCs w:val="22"/>
          <w:highlight w:val="none"/>
          <w:u w:val="none"/>
          <w:lang w:val="en-US" w:eastAsia="zh-CN"/>
        </w:rPr>
        <w:t>二）</w:t>
      </w:r>
      <w:r>
        <w:rPr>
          <w:rFonts w:hint="eastAsia" w:ascii="宋体" w:hAnsi="宋体"/>
          <w:b/>
          <w:color w:val="auto"/>
          <w:sz w:val="22"/>
          <w:szCs w:val="22"/>
          <w:highlight w:val="none"/>
          <w:u w:val="none"/>
        </w:rPr>
        <w:t xml:space="preserve">技术、服务、资信业绩综合评分 </w:t>
      </w:r>
      <w:r>
        <w:rPr>
          <w:rFonts w:hint="eastAsia" w:ascii="宋体" w:hAnsi="宋体"/>
          <w:b/>
          <w:color w:val="auto"/>
          <w:sz w:val="22"/>
          <w:szCs w:val="22"/>
          <w:highlight w:val="none"/>
          <w:u w:val="none"/>
          <w:lang w:val="en-US" w:eastAsia="zh-CN"/>
        </w:rPr>
        <w:t>8</w:t>
      </w:r>
      <w:r>
        <w:rPr>
          <w:rFonts w:hint="eastAsia" w:ascii="宋体" w:hAnsi="宋体"/>
          <w:b/>
          <w:color w:val="auto"/>
          <w:sz w:val="22"/>
          <w:szCs w:val="22"/>
          <w:highlight w:val="none"/>
          <w:u w:val="none"/>
        </w:rPr>
        <w:t>0分</w:t>
      </w:r>
    </w:p>
    <w:tbl>
      <w:tblPr>
        <w:tblStyle w:val="39"/>
        <w:tblW w:w="102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429"/>
        <w:gridCol w:w="7263"/>
        <w:gridCol w:w="8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96" w:type="dxa"/>
            <w:tcBorders>
              <w:bottom w:val="single" w:color="auto" w:sz="4" w:space="0"/>
            </w:tcBorders>
            <w:noWrap w:val="0"/>
            <w:vAlign w:val="center"/>
          </w:tcPr>
          <w:p>
            <w:pPr>
              <w:spacing w:line="280" w:lineRule="exact"/>
              <w:jc w:val="center"/>
              <w:rPr>
                <w:rFonts w:hint="eastAsia" w:ascii="宋体" w:hAnsi="宋体" w:cs="宋体"/>
                <w:b/>
                <w:bCs/>
                <w:color w:val="auto"/>
                <w:kern w:val="21"/>
                <w:sz w:val="22"/>
                <w:szCs w:val="22"/>
                <w:highlight w:val="none"/>
              </w:rPr>
            </w:pPr>
            <w:r>
              <w:rPr>
                <w:rFonts w:hint="eastAsia" w:ascii="宋体" w:hAnsi="宋体" w:cs="宋体"/>
                <w:b/>
                <w:bCs/>
                <w:color w:val="auto"/>
                <w:kern w:val="21"/>
                <w:sz w:val="22"/>
                <w:szCs w:val="22"/>
                <w:highlight w:val="none"/>
              </w:rPr>
              <w:t>序号</w:t>
            </w:r>
          </w:p>
        </w:tc>
        <w:tc>
          <w:tcPr>
            <w:tcW w:w="1429" w:type="dxa"/>
            <w:tcBorders>
              <w:bottom w:val="single" w:color="auto" w:sz="4" w:space="0"/>
            </w:tcBorders>
            <w:noWrap w:val="0"/>
            <w:vAlign w:val="center"/>
          </w:tcPr>
          <w:p>
            <w:pPr>
              <w:spacing w:line="280" w:lineRule="exact"/>
              <w:jc w:val="center"/>
              <w:rPr>
                <w:rFonts w:hint="eastAsia" w:ascii="宋体" w:hAnsi="宋体" w:cs="宋体"/>
                <w:b/>
                <w:bCs/>
                <w:color w:val="auto"/>
                <w:kern w:val="21"/>
                <w:sz w:val="22"/>
                <w:szCs w:val="22"/>
                <w:highlight w:val="none"/>
              </w:rPr>
            </w:pPr>
            <w:r>
              <w:rPr>
                <w:rFonts w:hint="eastAsia" w:ascii="宋体" w:hAnsi="宋体" w:cs="宋体"/>
                <w:b/>
                <w:bCs/>
                <w:color w:val="auto"/>
                <w:kern w:val="21"/>
                <w:sz w:val="22"/>
                <w:szCs w:val="22"/>
                <w:highlight w:val="none"/>
              </w:rPr>
              <w:t>评分因素</w:t>
            </w:r>
          </w:p>
        </w:tc>
        <w:tc>
          <w:tcPr>
            <w:tcW w:w="7263" w:type="dxa"/>
            <w:tcBorders>
              <w:bottom w:val="single" w:color="auto" w:sz="4" w:space="0"/>
            </w:tcBorders>
            <w:noWrap w:val="0"/>
            <w:vAlign w:val="center"/>
          </w:tcPr>
          <w:p>
            <w:pPr>
              <w:spacing w:line="280" w:lineRule="exact"/>
              <w:jc w:val="center"/>
              <w:rPr>
                <w:rFonts w:hint="eastAsia" w:ascii="宋体" w:hAnsi="宋体" w:cs="宋体"/>
                <w:b/>
                <w:bCs/>
                <w:color w:val="auto"/>
                <w:kern w:val="21"/>
                <w:sz w:val="22"/>
                <w:szCs w:val="22"/>
                <w:highlight w:val="none"/>
              </w:rPr>
            </w:pPr>
            <w:r>
              <w:rPr>
                <w:rFonts w:hint="eastAsia" w:ascii="宋体" w:hAnsi="宋体" w:cs="宋体"/>
                <w:b/>
                <w:bCs/>
                <w:color w:val="auto"/>
                <w:kern w:val="21"/>
                <w:sz w:val="22"/>
                <w:szCs w:val="22"/>
                <w:highlight w:val="none"/>
              </w:rPr>
              <w:t>评分标准</w:t>
            </w:r>
          </w:p>
        </w:tc>
        <w:tc>
          <w:tcPr>
            <w:tcW w:w="894" w:type="dxa"/>
            <w:tcBorders>
              <w:bottom w:val="single" w:color="auto" w:sz="4" w:space="0"/>
            </w:tcBorders>
            <w:noWrap w:val="0"/>
            <w:vAlign w:val="center"/>
          </w:tcPr>
          <w:p>
            <w:pPr>
              <w:spacing w:line="280" w:lineRule="exact"/>
              <w:jc w:val="center"/>
              <w:rPr>
                <w:rFonts w:hint="eastAsia" w:ascii="宋体" w:hAnsi="宋体" w:cs="宋体"/>
                <w:b/>
                <w:bCs/>
                <w:color w:val="auto"/>
                <w:kern w:val="21"/>
                <w:sz w:val="22"/>
                <w:szCs w:val="22"/>
                <w:highlight w:val="none"/>
              </w:rPr>
            </w:pPr>
            <w:r>
              <w:rPr>
                <w:rFonts w:hint="eastAsia" w:ascii="宋体" w:hAnsi="宋体" w:cs="宋体"/>
                <w:b/>
                <w:bCs/>
                <w:color w:val="auto"/>
                <w:kern w:val="21"/>
                <w:sz w:val="22"/>
                <w:szCs w:val="22"/>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96"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1</w:t>
            </w:r>
          </w:p>
        </w:tc>
        <w:tc>
          <w:tcPr>
            <w:tcW w:w="1429"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产品技术参数性能</w:t>
            </w:r>
          </w:p>
        </w:tc>
        <w:tc>
          <w:tcPr>
            <w:tcW w:w="7263" w:type="dxa"/>
            <w:tcBorders>
              <w:bottom w:val="single" w:color="auto" w:sz="4" w:space="0"/>
            </w:tcBorders>
            <w:noWrap w:val="0"/>
            <w:vAlign w:val="center"/>
          </w:tcPr>
          <w:p>
            <w:pPr>
              <w:spacing w:line="280" w:lineRule="exact"/>
              <w:rPr>
                <w:rFonts w:hint="eastAsia" w:ascii="宋体" w:hAnsi="宋体" w:eastAsia="宋体" w:cs="宋体"/>
                <w:bCs/>
                <w:color w:val="auto"/>
                <w:kern w:val="21"/>
                <w:sz w:val="22"/>
                <w:szCs w:val="22"/>
                <w:highlight w:val="none"/>
              </w:rPr>
            </w:pPr>
            <w:r>
              <w:rPr>
                <w:rFonts w:hint="eastAsia" w:ascii="宋体" w:hAnsi="宋体" w:eastAsia="宋体" w:cs="宋体"/>
                <w:bCs/>
                <w:color w:val="auto"/>
                <w:kern w:val="21"/>
                <w:sz w:val="22"/>
                <w:szCs w:val="22"/>
                <w:highlight w:val="none"/>
              </w:rPr>
              <w:t>根据各供应商所投的</w:t>
            </w:r>
            <w:r>
              <w:rPr>
                <w:rFonts w:hint="eastAsia" w:ascii="宋体" w:hAnsi="宋体" w:eastAsia="宋体" w:cs="宋体"/>
                <w:bCs/>
                <w:color w:val="auto"/>
                <w:kern w:val="21"/>
                <w:sz w:val="22"/>
                <w:szCs w:val="22"/>
                <w:highlight w:val="none"/>
                <w:lang w:val="en-US" w:eastAsia="zh-CN"/>
              </w:rPr>
              <w:t>肥料技术参数、产品性能</w:t>
            </w:r>
            <w:r>
              <w:rPr>
                <w:rFonts w:hint="eastAsia" w:ascii="宋体" w:hAnsi="宋体" w:eastAsia="宋体" w:cs="宋体"/>
                <w:bCs/>
                <w:color w:val="auto"/>
                <w:kern w:val="21"/>
                <w:sz w:val="22"/>
                <w:szCs w:val="22"/>
                <w:highlight w:val="none"/>
              </w:rPr>
              <w:t>与采购文件要求的符合性、响应程度，由专家进行打分。</w:t>
            </w:r>
          </w:p>
          <w:p>
            <w:pPr>
              <w:spacing w:line="280" w:lineRule="exact"/>
              <w:rPr>
                <w:rFonts w:hint="eastAsia" w:ascii="宋体" w:hAnsi="宋体" w:eastAsia="宋体" w:cs="宋体"/>
                <w:b/>
                <w:bCs/>
                <w:color w:val="auto"/>
                <w:kern w:val="21"/>
                <w:sz w:val="22"/>
                <w:szCs w:val="22"/>
                <w:highlight w:val="none"/>
              </w:rPr>
            </w:pPr>
            <w:r>
              <w:rPr>
                <w:rFonts w:hint="eastAsia" w:ascii="宋体" w:hAnsi="宋体" w:eastAsia="宋体" w:cs="宋体"/>
                <w:color w:val="auto"/>
                <w:sz w:val="22"/>
                <w:szCs w:val="22"/>
                <w:highlight w:val="none"/>
                <w:lang w:val="en-US" w:eastAsia="zh-CN"/>
              </w:rPr>
              <w:t>所投肥料完全</w:t>
            </w:r>
            <w:r>
              <w:rPr>
                <w:rFonts w:hint="eastAsia" w:ascii="宋体" w:hAnsi="宋体" w:eastAsia="宋体" w:cs="宋体"/>
                <w:color w:val="auto"/>
                <w:sz w:val="22"/>
                <w:szCs w:val="22"/>
                <w:highlight w:val="none"/>
              </w:rPr>
              <w:t>满足招标文件技术参数、性能情况，得基本分</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pacing w:val="-12"/>
                <w:sz w:val="22"/>
                <w:szCs w:val="22"/>
                <w:highlight w:val="none"/>
              </w:rPr>
              <w:t>分，</w:t>
            </w:r>
            <w:r>
              <w:rPr>
                <w:rFonts w:hint="eastAsia" w:ascii="宋体" w:hAnsi="宋体" w:eastAsia="宋体" w:cs="宋体"/>
                <w:color w:val="auto"/>
                <w:spacing w:val="-12"/>
                <w:sz w:val="22"/>
                <w:szCs w:val="22"/>
                <w:highlight w:val="none"/>
                <w:lang w:val="en-US" w:eastAsia="zh-CN"/>
              </w:rPr>
              <w:t>不满足</w:t>
            </w:r>
            <w:r>
              <w:rPr>
                <w:rFonts w:hint="eastAsia" w:ascii="宋体" w:hAnsi="宋体" w:cs="宋体"/>
                <w:color w:val="auto"/>
                <w:spacing w:val="-12"/>
                <w:sz w:val="22"/>
                <w:szCs w:val="22"/>
                <w:highlight w:val="none"/>
                <w:lang w:val="en-US" w:eastAsia="zh-CN"/>
              </w:rPr>
              <w:t>采购需求</w:t>
            </w:r>
            <w:bookmarkStart w:id="13" w:name="_GoBack"/>
            <w:bookmarkEnd w:id="13"/>
            <w:r>
              <w:rPr>
                <w:rFonts w:hint="eastAsia" w:ascii="宋体" w:hAnsi="宋体" w:eastAsia="宋体" w:cs="宋体"/>
                <w:color w:val="auto"/>
                <w:spacing w:val="-12"/>
                <w:sz w:val="22"/>
                <w:szCs w:val="22"/>
                <w:highlight w:val="none"/>
                <w:lang w:val="en-US" w:eastAsia="zh-CN"/>
              </w:rPr>
              <w:t>或未提供的</w:t>
            </w:r>
            <w:r>
              <w:rPr>
                <w:rFonts w:hint="eastAsia" w:ascii="宋体" w:hAnsi="宋体" w:cs="宋体"/>
                <w:bCs/>
                <w:color w:val="auto"/>
                <w:kern w:val="21"/>
                <w:sz w:val="22"/>
                <w:szCs w:val="22"/>
                <w:highlight w:val="none"/>
              </w:rPr>
              <w:t>在1</w:t>
            </w:r>
            <w:r>
              <w:rPr>
                <w:rFonts w:hint="eastAsia" w:ascii="宋体" w:hAnsi="宋体" w:cs="宋体"/>
                <w:bCs/>
                <w:color w:val="auto"/>
                <w:kern w:val="21"/>
                <w:sz w:val="22"/>
                <w:szCs w:val="22"/>
                <w:highlight w:val="none"/>
                <w:lang w:val="en-US" w:eastAsia="zh-CN"/>
              </w:rPr>
              <w:t>0</w:t>
            </w:r>
            <w:r>
              <w:rPr>
                <w:rFonts w:hint="eastAsia" w:ascii="宋体" w:hAnsi="宋体" w:cs="宋体"/>
                <w:bCs/>
                <w:color w:val="auto"/>
                <w:kern w:val="21"/>
                <w:sz w:val="22"/>
                <w:szCs w:val="22"/>
                <w:highlight w:val="none"/>
              </w:rPr>
              <w:t>分基础上每项扣</w:t>
            </w:r>
            <w:r>
              <w:rPr>
                <w:rFonts w:hint="eastAsia" w:ascii="宋体" w:hAnsi="宋体" w:cs="宋体"/>
                <w:bCs/>
                <w:color w:val="auto"/>
                <w:kern w:val="21"/>
                <w:sz w:val="22"/>
                <w:szCs w:val="22"/>
                <w:highlight w:val="none"/>
                <w:lang w:val="en-US" w:eastAsia="zh-CN"/>
              </w:rPr>
              <w:t>2</w:t>
            </w:r>
            <w:r>
              <w:rPr>
                <w:rFonts w:hint="eastAsia" w:ascii="宋体" w:hAnsi="宋体" w:cs="宋体"/>
                <w:bCs/>
                <w:color w:val="auto"/>
                <w:kern w:val="21"/>
                <w:sz w:val="22"/>
                <w:szCs w:val="22"/>
                <w:highlight w:val="none"/>
              </w:rPr>
              <w:t>分，直到扣完为止。</w:t>
            </w:r>
            <w:r>
              <w:rPr>
                <w:rFonts w:hint="eastAsia" w:ascii="宋体" w:hAnsi="宋体" w:eastAsia="宋体" w:cs="宋体"/>
                <w:color w:val="auto"/>
                <w:spacing w:val="-12"/>
                <w:sz w:val="22"/>
                <w:szCs w:val="22"/>
                <w:highlight w:val="none"/>
              </w:rPr>
              <w:t xml:space="preserve">每高于一项技术参数的增加 </w:t>
            </w:r>
            <w:r>
              <w:rPr>
                <w:rFonts w:hint="eastAsia" w:ascii="宋体" w:hAnsi="宋体" w:eastAsia="宋体" w:cs="宋体"/>
                <w:color w:val="auto"/>
                <w:sz w:val="22"/>
                <w:szCs w:val="22"/>
                <w:highlight w:val="none"/>
              </w:rPr>
              <w:t>1</w:t>
            </w:r>
            <w:r>
              <w:rPr>
                <w:rFonts w:hint="eastAsia" w:ascii="宋体" w:hAnsi="宋体" w:eastAsia="宋体" w:cs="宋体"/>
                <w:color w:val="auto"/>
                <w:spacing w:val="-18"/>
                <w:sz w:val="22"/>
                <w:szCs w:val="22"/>
                <w:highlight w:val="none"/>
              </w:rPr>
              <w:t xml:space="preserve"> 分，最多加 </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pacing w:val="-15"/>
                <w:sz w:val="22"/>
                <w:szCs w:val="22"/>
                <w:highlight w:val="none"/>
              </w:rPr>
              <w:t xml:space="preserve"> 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高于的技术参数必须提供</w:t>
            </w:r>
            <w:r>
              <w:rPr>
                <w:rFonts w:hint="eastAsia" w:ascii="宋体" w:hAnsi="宋体" w:eastAsia="宋体" w:cs="宋体"/>
                <w:color w:val="auto"/>
                <w:sz w:val="22"/>
                <w:szCs w:val="22"/>
                <w:highlight w:val="none"/>
              </w:rPr>
              <w:t>产品所涉及的各项检测报告</w:t>
            </w:r>
            <w:r>
              <w:rPr>
                <w:rFonts w:hint="eastAsia" w:ascii="宋体" w:hAnsi="宋体" w:eastAsia="宋体" w:cs="宋体"/>
                <w:color w:val="auto"/>
                <w:sz w:val="22"/>
                <w:szCs w:val="22"/>
                <w:highlight w:val="none"/>
                <w:lang w:val="en-US" w:eastAsia="zh-CN"/>
              </w:rPr>
              <w:t>并加盖供应商公章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否则不得分。</w:t>
            </w:r>
            <w:r>
              <w:rPr>
                <w:rFonts w:hint="eastAsia" w:ascii="宋体" w:hAnsi="宋体" w:eastAsia="宋体" w:cs="宋体"/>
                <w:color w:val="auto"/>
                <w:sz w:val="22"/>
                <w:szCs w:val="22"/>
                <w:highlight w:val="none"/>
              </w:rPr>
              <w:t>）</w:t>
            </w:r>
          </w:p>
        </w:tc>
        <w:tc>
          <w:tcPr>
            <w:tcW w:w="894"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rPr>
            </w:pPr>
            <w:r>
              <w:rPr>
                <w:rFonts w:hint="eastAsia" w:ascii="宋体" w:hAnsi="宋体" w:eastAsia="宋体" w:cs="宋体"/>
                <w:b w:val="0"/>
                <w:bCs w:val="0"/>
                <w:color w:val="auto"/>
                <w:kern w:val="21"/>
                <w:sz w:val="22"/>
                <w:szCs w:val="22"/>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96"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2</w:t>
            </w:r>
          </w:p>
        </w:tc>
        <w:tc>
          <w:tcPr>
            <w:tcW w:w="1429"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供应商体系认证</w:t>
            </w:r>
          </w:p>
        </w:tc>
        <w:tc>
          <w:tcPr>
            <w:tcW w:w="7263" w:type="dxa"/>
            <w:tcBorders>
              <w:bottom w:val="single" w:color="auto" w:sz="4" w:space="0"/>
            </w:tcBorders>
            <w:noWrap w:val="0"/>
            <w:vAlign w:val="center"/>
          </w:tcPr>
          <w:p>
            <w:pPr>
              <w:spacing w:line="280" w:lineRule="exact"/>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投标供应商具有有效期内质量管理体系认证证书、环境管理体系认证证书、职业健康安全管理体系认证证书的，每提供一个得</w:t>
            </w:r>
            <w:r>
              <w:rPr>
                <w:rFonts w:hint="eastAsia" w:ascii="宋体" w:hAnsi="宋体" w:eastAsia="宋体" w:cs="宋体"/>
                <w:color w:val="auto"/>
                <w:kern w:val="21"/>
                <w:sz w:val="22"/>
                <w:szCs w:val="22"/>
                <w:highlight w:val="none"/>
                <w:lang w:val="en-US" w:eastAsia="zh-CN"/>
              </w:rPr>
              <w:t>2</w:t>
            </w:r>
            <w:r>
              <w:rPr>
                <w:rFonts w:hint="eastAsia" w:ascii="宋体" w:hAnsi="宋体" w:eastAsia="宋体" w:cs="宋体"/>
                <w:color w:val="auto"/>
                <w:kern w:val="21"/>
                <w:sz w:val="22"/>
                <w:szCs w:val="22"/>
                <w:highlight w:val="none"/>
              </w:rPr>
              <w:t>分，最高得</w:t>
            </w:r>
            <w:r>
              <w:rPr>
                <w:rFonts w:hint="eastAsia" w:ascii="宋体" w:hAnsi="宋体" w:eastAsia="宋体" w:cs="宋体"/>
                <w:color w:val="auto"/>
                <w:kern w:val="21"/>
                <w:sz w:val="22"/>
                <w:szCs w:val="22"/>
                <w:highlight w:val="none"/>
                <w:lang w:val="en-US" w:eastAsia="zh-CN"/>
              </w:rPr>
              <w:t>6</w:t>
            </w:r>
            <w:r>
              <w:rPr>
                <w:rFonts w:hint="eastAsia" w:ascii="宋体" w:hAnsi="宋体" w:eastAsia="宋体" w:cs="宋体"/>
                <w:color w:val="auto"/>
                <w:kern w:val="21"/>
                <w:sz w:val="22"/>
                <w:szCs w:val="22"/>
                <w:highlight w:val="none"/>
              </w:rPr>
              <w:t>分。</w:t>
            </w:r>
          </w:p>
          <w:p>
            <w:pPr>
              <w:spacing w:line="280" w:lineRule="exac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1"/>
                <w:sz w:val="22"/>
                <w:szCs w:val="22"/>
                <w:highlight w:val="none"/>
              </w:rPr>
              <w:t>注：以上每项证书均需同时提供有效的体系认证证书扫描件及提供在官网“全国认证认可信息公共服务平台http://cx.cnca.cn/”的网页查询截图（须显示网址），二者缺一不可，并加盖投标供应商电子公章，否则不得分。</w:t>
            </w:r>
          </w:p>
        </w:tc>
        <w:tc>
          <w:tcPr>
            <w:tcW w:w="894"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96"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3</w:t>
            </w:r>
          </w:p>
        </w:tc>
        <w:tc>
          <w:tcPr>
            <w:tcW w:w="1429"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供应商能力</w:t>
            </w:r>
          </w:p>
        </w:tc>
        <w:tc>
          <w:tcPr>
            <w:tcW w:w="7263" w:type="dxa"/>
            <w:tcBorders>
              <w:bottom w:val="single" w:color="auto" w:sz="4" w:space="0"/>
            </w:tcBorders>
            <w:noWrap w:val="0"/>
            <w:vAlign w:val="center"/>
          </w:tcPr>
          <w:p>
            <w:pPr>
              <w:spacing w:line="28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投标供应商拥有有机生产投入品评估证明的得2分。须提供评估证明复印件加盖供应商电子公章，否则不得分。</w:t>
            </w:r>
          </w:p>
        </w:tc>
        <w:tc>
          <w:tcPr>
            <w:tcW w:w="894"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96"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4</w:t>
            </w:r>
          </w:p>
        </w:tc>
        <w:tc>
          <w:tcPr>
            <w:tcW w:w="1429"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类似业绩</w:t>
            </w:r>
          </w:p>
        </w:tc>
        <w:tc>
          <w:tcPr>
            <w:tcW w:w="7263" w:type="dxa"/>
            <w:tcBorders>
              <w:bottom w:val="single" w:color="auto" w:sz="4" w:space="0"/>
            </w:tcBorders>
            <w:noWrap w:val="0"/>
            <w:vAlign w:val="center"/>
          </w:tcPr>
          <w:p>
            <w:pPr>
              <w:spacing w:line="280" w:lineRule="exact"/>
              <w:rPr>
                <w:rFonts w:hint="eastAsia" w:ascii="宋体" w:hAnsi="宋体" w:eastAsia="宋体" w:cs="宋体"/>
                <w:color w:val="auto"/>
                <w:kern w:val="21"/>
                <w:sz w:val="22"/>
                <w:szCs w:val="22"/>
                <w:highlight w:val="none"/>
                <w:lang w:val="en-US" w:eastAsia="zh-CN" w:bidi="ar-SA"/>
              </w:rPr>
            </w:pPr>
            <w:r>
              <w:rPr>
                <w:rFonts w:hint="eastAsia" w:ascii="宋体" w:hAnsi="宋体" w:eastAsia="宋体" w:cs="宋体"/>
                <w:color w:val="auto"/>
                <w:kern w:val="21"/>
                <w:sz w:val="22"/>
                <w:szCs w:val="22"/>
                <w:highlight w:val="none"/>
              </w:rPr>
              <w:t>投标供应商自2</w:t>
            </w:r>
            <w:r>
              <w:rPr>
                <w:rFonts w:hint="eastAsia" w:ascii="宋体" w:hAnsi="宋体" w:eastAsia="宋体" w:cs="宋体"/>
                <w:color w:val="auto"/>
                <w:kern w:val="21"/>
                <w:sz w:val="22"/>
                <w:szCs w:val="22"/>
                <w:highlight w:val="none"/>
                <w:lang w:val="en-US" w:eastAsia="zh-CN"/>
              </w:rPr>
              <w:t>021</w:t>
            </w:r>
            <w:r>
              <w:rPr>
                <w:rFonts w:hint="eastAsia" w:ascii="宋体" w:hAnsi="宋体" w:eastAsia="宋体" w:cs="宋体"/>
                <w:color w:val="auto"/>
                <w:kern w:val="21"/>
                <w:sz w:val="22"/>
                <w:szCs w:val="22"/>
                <w:highlight w:val="none"/>
              </w:rPr>
              <w:t>年1月1日以来（以合同签订时间为准），具有类似项目业绩的，每提供一个得1分，最高得</w:t>
            </w:r>
            <w:r>
              <w:rPr>
                <w:rFonts w:hint="eastAsia" w:ascii="宋体" w:hAnsi="宋体" w:eastAsia="宋体" w:cs="宋体"/>
                <w:color w:val="auto"/>
                <w:kern w:val="21"/>
                <w:sz w:val="22"/>
                <w:szCs w:val="22"/>
                <w:highlight w:val="none"/>
                <w:lang w:val="en-US" w:eastAsia="zh-CN"/>
              </w:rPr>
              <w:t>2</w:t>
            </w:r>
            <w:r>
              <w:rPr>
                <w:rFonts w:hint="eastAsia" w:ascii="宋体" w:hAnsi="宋体" w:eastAsia="宋体" w:cs="宋体"/>
                <w:color w:val="auto"/>
                <w:kern w:val="21"/>
                <w:sz w:val="22"/>
                <w:szCs w:val="22"/>
                <w:highlight w:val="none"/>
              </w:rPr>
              <w:t>分。（注：商务</w:t>
            </w:r>
            <w:r>
              <w:rPr>
                <w:rFonts w:hint="eastAsia" w:ascii="宋体" w:hAnsi="宋体" w:eastAsia="宋体" w:cs="宋体"/>
                <w:bCs/>
                <w:color w:val="auto"/>
                <w:kern w:val="21"/>
                <w:sz w:val="22"/>
                <w:szCs w:val="22"/>
                <w:highlight w:val="none"/>
              </w:rPr>
              <w:t>技术文件中需提供相关合同复印件</w:t>
            </w:r>
            <w:r>
              <w:rPr>
                <w:rFonts w:hint="eastAsia" w:ascii="宋体" w:hAnsi="宋体" w:eastAsia="宋体" w:cs="宋体"/>
                <w:color w:val="auto"/>
                <w:kern w:val="21"/>
                <w:sz w:val="22"/>
                <w:szCs w:val="22"/>
                <w:highlight w:val="none"/>
              </w:rPr>
              <w:t>并加盖投标供应商电子</w:t>
            </w:r>
            <w:r>
              <w:rPr>
                <w:rFonts w:hint="eastAsia" w:ascii="宋体" w:hAnsi="宋体" w:eastAsia="宋体" w:cs="宋体"/>
                <w:color w:val="auto"/>
                <w:kern w:val="21"/>
                <w:sz w:val="22"/>
                <w:szCs w:val="22"/>
                <w:highlight w:val="none"/>
                <w:lang w:val="en-US" w:eastAsia="zh-CN"/>
              </w:rPr>
              <w:t>公章</w:t>
            </w:r>
            <w:r>
              <w:rPr>
                <w:rFonts w:hint="eastAsia" w:ascii="宋体" w:hAnsi="宋体" w:eastAsia="宋体" w:cs="宋体"/>
                <w:color w:val="auto"/>
                <w:kern w:val="21"/>
                <w:sz w:val="22"/>
                <w:szCs w:val="22"/>
                <w:highlight w:val="none"/>
              </w:rPr>
              <w:t>，否则不得分。)</w:t>
            </w:r>
          </w:p>
        </w:tc>
        <w:tc>
          <w:tcPr>
            <w:tcW w:w="894" w:type="dxa"/>
            <w:tcBorders>
              <w:bottom w:val="single" w:color="auto" w:sz="4" w:space="0"/>
            </w:tcBorders>
            <w:noWrap w:val="0"/>
            <w:vAlign w:val="center"/>
          </w:tcPr>
          <w:p>
            <w:pPr>
              <w:spacing w:line="280" w:lineRule="exact"/>
              <w:jc w:val="center"/>
              <w:rPr>
                <w:rFonts w:hint="eastAsia" w:ascii="宋体" w:hAnsi="宋体" w:eastAsia="宋体" w:cs="宋体"/>
                <w:b w:val="0"/>
                <w:bCs w:val="0"/>
                <w:color w:val="auto"/>
                <w:kern w:val="21"/>
                <w:sz w:val="22"/>
                <w:szCs w:val="22"/>
                <w:highlight w:val="none"/>
                <w:lang w:val="en-US" w:eastAsia="zh-CN" w:bidi="ar-SA"/>
              </w:rPr>
            </w:pPr>
            <w:r>
              <w:rPr>
                <w:rFonts w:hint="eastAsia" w:ascii="宋体" w:hAnsi="宋体" w:eastAsia="宋体" w:cs="宋体"/>
                <w:b w:val="0"/>
                <w:bCs w:val="0"/>
                <w:color w:val="auto"/>
                <w:kern w:val="21"/>
                <w:sz w:val="22"/>
                <w:szCs w:val="22"/>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6" w:type="dxa"/>
            <w:vMerge w:val="restart"/>
            <w:noWrap w:val="0"/>
            <w:vAlign w:val="center"/>
          </w:tcPr>
          <w:p>
            <w:pPr>
              <w:spacing w:line="280" w:lineRule="exact"/>
              <w:jc w:val="center"/>
              <w:rPr>
                <w:rFonts w:hint="eastAsia" w:ascii="宋体" w:hAnsi="宋体" w:eastAsia="宋体" w:cs="宋体"/>
                <w:b w:val="0"/>
                <w:bCs w:val="0"/>
                <w:color w:val="auto"/>
                <w:kern w:val="21"/>
                <w:sz w:val="22"/>
                <w:szCs w:val="22"/>
                <w:highlight w:val="none"/>
              </w:rPr>
            </w:pPr>
            <w:r>
              <w:rPr>
                <w:rFonts w:hint="eastAsia" w:ascii="宋体" w:hAnsi="宋体" w:eastAsia="宋体" w:cs="宋体"/>
                <w:b w:val="0"/>
                <w:bCs w:val="0"/>
                <w:color w:val="auto"/>
                <w:kern w:val="21"/>
                <w:sz w:val="22"/>
                <w:szCs w:val="22"/>
                <w:highlight w:val="none"/>
              </w:rPr>
              <w:t>4</w:t>
            </w:r>
          </w:p>
        </w:tc>
        <w:tc>
          <w:tcPr>
            <w:tcW w:w="1429" w:type="dxa"/>
            <w:vMerge w:val="restart"/>
            <w:noWrap w:val="0"/>
            <w:vAlign w:val="center"/>
          </w:tcPr>
          <w:p>
            <w:pPr>
              <w:spacing w:line="280" w:lineRule="exact"/>
              <w:jc w:val="center"/>
              <w:rPr>
                <w:rFonts w:hint="eastAsia" w:ascii="宋体" w:hAnsi="宋体" w:eastAsia="宋体" w:cs="宋体"/>
                <w:b w:val="0"/>
                <w:bCs w:val="0"/>
                <w:color w:val="auto"/>
                <w:kern w:val="21"/>
                <w:sz w:val="22"/>
                <w:szCs w:val="22"/>
                <w:highlight w:val="none"/>
              </w:rPr>
            </w:pPr>
            <w:r>
              <w:rPr>
                <w:rFonts w:hint="eastAsia" w:ascii="宋体" w:hAnsi="宋体" w:eastAsia="宋体" w:cs="宋体"/>
                <w:b w:val="0"/>
                <w:bCs w:val="0"/>
                <w:color w:val="auto"/>
                <w:kern w:val="21"/>
                <w:sz w:val="22"/>
                <w:szCs w:val="22"/>
                <w:highlight w:val="none"/>
              </w:rPr>
              <w:t>产品质量保证</w:t>
            </w:r>
          </w:p>
          <w:p>
            <w:pPr>
              <w:pStyle w:val="23"/>
              <w:spacing w:beforeLines="0" w:afterLines="0" w:line="280" w:lineRule="exact"/>
              <w:ind w:left="448" w:hanging="448"/>
              <w:rPr>
                <w:rFonts w:hint="eastAsia" w:ascii="宋体" w:hAnsi="宋体" w:eastAsia="宋体" w:cs="宋体"/>
                <w:b w:val="0"/>
                <w:bCs w:val="0"/>
                <w:color w:val="auto"/>
                <w:kern w:val="21"/>
                <w:sz w:val="22"/>
                <w:szCs w:val="22"/>
                <w:highlight w:val="none"/>
              </w:rPr>
            </w:pPr>
            <w:r>
              <w:rPr>
                <w:rFonts w:hint="eastAsia" w:ascii="宋体" w:hAnsi="宋体" w:eastAsia="宋体" w:cs="宋体"/>
                <w:b w:val="0"/>
                <w:bCs w:val="0"/>
                <w:color w:val="auto"/>
                <w:kern w:val="21"/>
                <w:sz w:val="22"/>
                <w:szCs w:val="22"/>
                <w:highlight w:val="none"/>
              </w:rPr>
              <w:t>（12分）</w:t>
            </w:r>
          </w:p>
        </w:tc>
        <w:tc>
          <w:tcPr>
            <w:tcW w:w="7263" w:type="dxa"/>
            <w:noWrap w:val="0"/>
            <w:vAlign w:val="center"/>
          </w:tcPr>
          <w:p>
            <w:pPr>
              <w:pStyle w:val="36"/>
              <w:spacing w:before="0" w:after="0" w:line="280" w:lineRule="exact"/>
              <w:jc w:val="left"/>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有机肥:</w:t>
            </w:r>
          </w:p>
          <w:p>
            <w:pPr>
              <w:pStyle w:val="36"/>
              <w:spacing w:before="0" w:after="0" w:line="280" w:lineRule="exact"/>
              <w:jc w:val="left"/>
              <w:rPr>
                <w:rFonts w:hint="eastAsia" w:ascii="宋体" w:hAnsi="宋体" w:eastAsia="宋体" w:cs="宋体"/>
                <w:color w:val="auto"/>
                <w:kern w:val="21"/>
                <w:sz w:val="22"/>
                <w:szCs w:val="22"/>
                <w:highlight w:val="none"/>
              </w:rPr>
            </w:pPr>
            <w:r>
              <w:rPr>
                <w:rFonts w:hint="eastAsia" w:ascii="宋体" w:hAnsi="宋体" w:eastAsia="宋体" w:cs="宋体"/>
                <w:b w:val="0"/>
                <w:color w:val="auto"/>
                <w:kern w:val="21"/>
                <w:sz w:val="22"/>
                <w:szCs w:val="22"/>
                <w:highlight w:val="none"/>
              </w:rPr>
              <w:t>产品具有</w:t>
            </w:r>
            <w:r>
              <w:rPr>
                <w:rFonts w:hint="eastAsia" w:ascii="宋体" w:hAnsi="宋体" w:eastAsia="宋体" w:cs="宋体"/>
                <w:b w:val="0"/>
                <w:color w:val="auto"/>
                <w:kern w:val="21"/>
                <w:sz w:val="22"/>
                <w:szCs w:val="22"/>
                <w:highlight w:val="none"/>
                <w:lang w:val="en-US" w:eastAsia="zh-CN"/>
              </w:rPr>
              <w:t>由</w:t>
            </w:r>
            <w:r>
              <w:rPr>
                <w:rFonts w:hint="eastAsia" w:ascii="宋体" w:hAnsi="宋体" w:eastAsia="宋体" w:cs="宋体"/>
                <w:color w:val="auto"/>
                <w:sz w:val="22"/>
                <w:szCs w:val="22"/>
                <w:highlight w:val="none"/>
                <w:lang w:bidi="ar"/>
              </w:rPr>
              <w:t>CMA认证</w:t>
            </w:r>
            <w:r>
              <w:rPr>
                <w:rFonts w:hint="eastAsia" w:ascii="宋体" w:hAnsi="宋体" w:eastAsia="宋体" w:cs="宋体"/>
                <w:color w:val="auto"/>
                <w:sz w:val="22"/>
                <w:szCs w:val="22"/>
                <w:highlight w:val="none"/>
                <w:lang w:val="en-US" w:eastAsia="zh-CN" w:bidi="ar"/>
              </w:rPr>
              <w:t>资质的</w:t>
            </w:r>
            <w:r>
              <w:rPr>
                <w:rFonts w:hint="eastAsia" w:ascii="宋体" w:hAnsi="宋体" w:eastAsia="宋体" w:cs="宋体"/>
                <w:color w:val="auto"/>
                <w:sz w:val="22"/>
                <w:szCs w:val="22"/>
                <w:highlight w:val="none"/>
                <w:lang w:bidi="ar"/>
              </w:rPr>
              <w:t>检测机构出具的产品</w:t>
            </w:r>
            <w:r>
              <w:rPr>
                <w:rFonts w:hint="eastAsia" w:ascii="宋体" w:hAnsi="宋体" w:eastAsia="宋体" w:cs="宋体"/>
                <w:color w:val="auto"/>
                <w:sz w:val="22"/>
                <w:szCs w:val="22"/>
                <w:highlight w:val="none"/>
                <w:lang w:val="en-US" w:eastAsia="zh-CN" w:bidi="ar"/>
              </w:rPr>
              <w:t>检验</w:t>
            </w:r>
            <w:r>
              <w:rPr>
                <w:rFonts w:hint="eastAsia" w:ascii="宋体" w:hAnsi="宋体" w:eastAsia="宋体" w:cs="宋体"/>
                <w:color w:val="auto"/>
                <w:sz w:val="22"/>
                <w:szCs w:val="22"/>
                <w:highlight w:val="none"/>
                <w:lang w:bidi="ar"/>
              </w:rPr>
              <w:t>报告</w:t>
            </w:r>
            <w:r>
              <w:rPr>
                <w:rFonts w:hint="eastAsia" w:ascii="宋体" w:hAnsi="宋体" w:eastAsia="宋体" w:cs="宋体"/>
                <w:color w:val="auto"/>
                <w:sz w:val="22"/>
                <w:szCs w:val="22"/>
                <w:highlight w:val="none"/>
                <w:lang w:val="en-US" w:eastAsia="zh-CN" w:bidi="ar"/>
              </w:rPr>
              <w:t>的</w:t>
            </w:r>
            <w:r>
              <w:rPr>
                <w:rFonts w:hint="eastAsia" w:ascii="宋体" w:hAnsi="宋体" w:eastAsia="宋体" w:cs="宋体"/>
                <w:b w:val="0"/>
                <w:color w:val="auto"/>
                <w:kern w:val="21"/>
                <w:sz w:val="22"/>
                <w:szCs w:val="22"/>
                <w:highlight w:val="none"/>
              </w:rPr>
              <w:t>得</w:t>
            </w:r>
            <w:r>
              <w:rPr>
                <w:rFonts w:hint="eastAsia" w:ascii="宋体" w:hAnsi="宋体" w:eastAsia="宋体" w:cs="宋体"/>
                <w:b w:val="0"/>
                <w:color w:val="auto"/>
                <w:kern w:val="21"/>
                <w:sz w:val="22"/>
                <w:szCs w:val="22"/>
                <w:highlight w:val="none"/>
                <w:lang w:val="en-US" w:eastAsia="zh-CN"/>
              </w:rPr>
              <w:t>3</w:t>
            </w:r>
            <w:r>
              <w:rPr>
                <w:rFonts w:hint="eastAsia" w:ascii="宋体" w:hAnsi="宋体" w:eastAsia="宋体" w:cs="宋体"/>
                <w:b w:val="0"/>
                <w:color w:val="auto"/>
                <w:kern w:val="21"/>
                <w:sz w:val="22"/>
                <w:szCs w:val="22"/>
                <w:highlight w:val="none"/>
              </w:rPr>
              <w:t>分</w:t>
            </w:r>
            <w:r>
              <w:rPr>
                <w:rFonts w:hint="eastAsia" w:ascii="宋体" w:hAnsi="宋体" w:eastAsia="宋体" w:cs="宋体"/>
                <w:color w:val="auto"/>
                <w:kern w:val="21"/>
                <w:sz w:val="22"/>
                <w:szCs w:val="22"/>
                <w:highlight w:val="none"/>
              </w:rPr>
              <w:t>。</w:t>
            </w:r>
            <w:r>
              <w:rPr>
                <w:rFonts w:hint="eastAsia" w:ascii="宋体" w:hAnsi="宋体" w:eastAsia="宋体" w:cs="宋体"/>
                <w:color w:val="auto"/>
                <w:kern w:val="21"/>
                <w:sz w:val="22"/>
                <w:szCs w:val="22"/>
                <w:highlight w:val="none"/>
                <w:lang w:val="en-US" w:eastAsia="zh-CN"/>
              </w:rPr>
              <w:t xml:space="preserve"> </w:t>
            </w:r>
            <w:r>
              <w:rPr>
                <w:rFonts w:hint="eastAsia" w:ascii="宋体" w:hAnsi="宋体" w:eastAsia="宋体" w:cs="宋体"/>
                <w:b w:val="0"/>
                <w:color w:val="auto"/>
                <w:kern w:val="21"/>
                <w:sz w:val="22"/>
                <w:szCs w:val="22"/>
                <w:highlight w:val="none"/>
              </w:rPr>
              <w:t>（须提供有效的检验报告扫描件，加盖供应商电子</w:t>
            </w:r>
            <w:r>
              <w:rPr>
                <w:rFonts w:hint="eastAsia" w:ascii="宋体" w:hAnsi="宋体" w:eastAsia="宋体" w:cs="宋体"/>
                <w:b w:val="0"/>
                <w:bCs/>
                <w:color w:val="auto"/>
                <w:kern w:val="21"/>
                <w:sz w:val="22"/>
                <w:szCs w:val="22"/>
                <w:highlight w:val="none"/>
                <w:lang w:val="en-US" w:eastAsia="zh-CN"/>
              </w:rPr>
              <w:t>公章</w:t>
            </w:r>
            <w:r>
              <w:rPr>
                <w:rFonts w:hint="eastAsia" w:ascii="宋体" w:hAnsi="宋体" w:eastAsia="宋体" w:cs="宋体"/>
                <w:b w:val="0"/>
                <w:color w:val="auto"/>
                <w:kern w:val="21"/>
                <w:sz w:val="22"/>
                <w:szCs w:val="22"/>
                <w:highlight w:val="none"/>
              </w:rPr>
              <w:t>，否则不得分。)</w:t>
            </w:r>
          </w:p>
        </w:tc>
        <w:tc>
          <w:tcPr>
            <w:tcW w:w="894" w:type="dxa"/>
            <w:noWrap w:val="0"/>
            <w:vAlign w:val="center"/>
          </w:tcPr>
          <w:p>
            <w:pPr>
              <w:spacing w:line="280" w:lineRule="exact"/>
              <w:jc w:val="center"/>
              <w:rPr>
                <w:rFonts w:hint="eastAsia" w:ascii="宋体" w:hAnsi="宋体" w:eastAsia="宋体" w:cs="宋体"/>
                <w:b w:val="0"/>
                <w:bCs w:val="0"/>
                <w:color w:val="auto"/>
                <w:kern w:val="21"/>
                <w:sz w:val="22"/>
                <w:szCs w:val="22"/>
                <w:highlight w:val="none"/>
                <w:lang w:eastAsia="zh-CN"/>
              </w:rPr>
            </w:pPr>
            <w:r>
              <w:rPr>
                <w:rFonts w:hint="eastAsia" w:ascii="宋体" w:hAnsi="宋体" w:eastAsia="宋体" w:cs="宋体"/>
                <w:b w:val="0"/>
                <w:bCs w:val="0"/>
                <w:color w:val="auto"/>
                <w:kern w:val="21"/>
                <w:sz w:val="22"/>
                <w:szCs w:val="22"/>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6" w:type="dxa"/>
            <w:vMerge w:val="continue"/>
            <w:noWrap w:val="0"/>
            <w:vAlign w:val="center"/>
          </w:tcPr>
          <w:p>
            <w:pPr>
              <w:spacing w:line="280" w:lineRule="exact"/>
              <w:jc w:val="center"/>
              <w:rPr>
                <w:rFonts w:hint="eastAsia" w:ascii="宋体" w:hAnsi="宋体" w:eastAsia="宋体" w:cs="宋体"/>
                <w:b w:val="0"/>
                <w:bCs w:val="0"/>
                <w:color w:val="auto"/>
                <w:kern w:val="21"/>
                <w:sz w:val="22"/>
                <w:szCs w:val="22"/>
                <w:highlight w:val="none"/>
              </w:rPr>
            </w:pPr>
          </w:p>
        </w:tc>
        <w:tc>
          <w:tcPr>
            <w:tcW w:w="1429" w:type="dxa"/>
            <w:vMerge w:val="continue"/>
            <w:noWrap w:val="0"/>
            <w:vAlign w:val="center"/>
          </w:tcPr>
          <w:p>
            <w:pPr>
              <w:pStyle w:val="23"/>
              <w:spacing w:beforeLines="0" w:afterLines="0" w:line="280" w:lineRule="exact"/>
              <w:ind w:left="448" w:hanging="448"/>
              <w:rPr>
                <w:rFonts w:hint="eastAsia" w:ascii="宋体" w:hAnsi="宋体" w:eastAsia="宋体" w:cs="宋体"/>
                <w:b/>
                <w:color w:val="auto"/>
                <w:kern w:val="21"/>
                <w:sz w:val="22"/>
                <w:szCs w:val="22"/>
                <w:highlight w:val="none"/>
              </w:rPr>
            </w:pPr>
          </w:p>
        </w:tc>
        <w:tc>
          <w:tcPr>
            <w:tcW w:w="7263" w:type="dxa"/>
            <w:noWrap w:val="0"/>
            <w:vAlign w:val="center"/>
          </w:tcPr>
          <w:p>
            <w:pPr>
              <w:pStyle w:val="36"/>
              <w:spacing w:before="0" w:after="0" w:line="280" w:lineRule="exact"/>
              <w:jc w:val="left"/>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生石灰:</w:t>
            </w:r>
          </w:p>
          <w:p>
            <w:pPr>
              <w:pStyle w:val="36"/>
              <w:spacing w:before="0" w:after="0" w:line="280" w:lineRule="exact"/>
              <w:jc w:val="left"/>
              <w:rPr>
                <w:rFonts w:hint="eastAsia" w:ascii="宋体" w:hAnsi="宋体" w:eastAsia="宋体" w:cs="宋体"/>
                <w:b w:val="0"/>
                <w:bCs/>
                <w:color w:val="auto"/>
                <w:kern w:val="21"/>
                <w:sz w:val="22"/>
                <w:szCs w:val="22"/>
                <w:highlight w:val="none"/>
              </w:rPr>
            </w:pPr>
            <w:r>
              <w:rPr>
                <w:rFonts w:hint="eastAsia" w:ascii="宋体" w:hAnsi="宋体" w:eastAsia="宋体" w:cs="宋体"/>
                <w:b w:val="0"/>
                <w:bCs/>
                <w:color w:val="auto"/>
                <w:kern w:val="21"/>
                <w:sz w:val="22"/>
                <w:szCs w:val="22"/>
                <w:highlight w:val="none"/>
              </w:rPr>
              <w:t>生石灰具有</w:t>
            </w:r>
            <w:r>
              <w:rPr>
                <w:rFonts w:hint="eastAsia" w:ascii="宋体" w:hAnsi="宋体" w:eastAsia="宋体" w:cs="宋体"/>
                <w:b w:val="0"/>
                <w:color w:val="auto"/>
                <w:kern w:val="21"/>
                <w:sz w:val="22"/>
                <w:szCs w:val="22"/>
                <w:highlight w:val="none"/>
                <w:lang w:val="en-US" w:eastAsia="zh-CN"/>
              </w:rPr>
              <w:t>由</w:t>
            </w:r>
            <w:r>
              <w:rPr>
                <w:rFonts w:hint="eastAsia" w:ascii="宋体" w:hAnsi="宋体" w:eastAsia="宋体" w:cs="宋体"/>
                <w:color w:val="auto"/>
                <w:sz w:val="22"/>
                <w:szCs w:val="22"/>
                <w:highlight w:val="none"/>
                <w:lang w:bidi="ar"/>
              </w:rPr>
              <w:t>CMA认证</w:t>
            </w:r>
            <w:r>
              <w:rPr>
                <w:rFonts w:hint="eastAsia" w:ascii="宋体" w:hAnsi="宋体" w:eastAsia="宋体" w:cs="宋体"/>
                <w:color w:val="auto"/>
                <w:sz w:val="22"/>
                <w:szCs w:val="22"/>
                <w:highlight w:val="none"/>
                <w:lang w:val="en-US" w:eastAsia="zh-CN" w:bidi="ar"/>
              </w:rPr>
              <w:t>资质的</w:t>
            </w:r>
            <w:r>
              <w:rPr>
                <w:rFonts w:hint="eastAsia" w:ascii="宋体" w:hAnsi="宋体" w:eastAsia="宋体" w:cs="宋体"/>
                <w:color w:val="auto"/>
                <w:sz w:val="22"/>
                <w:szCs w:val="22"/>
                <w:highlight w:val="none"/>
                <w:lang w:bidi="ar"/>
              </w:rPr>
              <w:t>检测机构出具的产品</w:t>
            </w:r>
            <w:r>
              <w:rPr>
                <w:rFonts w:hint="eastAsia" w:ascii="宋体" w:hAnsi="宋体" w:eastAsia="宋体" w:cs="宋体"/>
                <w:color w:val="auto"/>
                <w:sz w:val="22"/>
                <w:szCs w:val="22"/>
                <w:highlight w:val="none"/>
                <w:lang w:val="en-US" w:eastAsia="zh-CN" w:bidi="ar"/>
              </w:rPr>
              <w:t>检验</w:t>
            </w:r>
            <w:r>
              <w:rPr>
                <w:rFonts w:hint="eastAsia" w:ascii="宋体" w:hAnsi="宋体" w:eastAsia="宋体" w:cs="宋体"/>
                <w:color w:val="auto"/>
                <w:sz w:val="22"/>
                <w:szCs w:val="22"/>
                <w:highlight w:val="none"/>
                <w:lang w:bidi="ar"/>
              </w:rPr>
              <w:t>报告</w:t>
            </w:r>
            <w:r>
              <w:rPr>
                <w:rFonts w:hint="eastAsia" w:ascii="宋体" w:hAnsi="宋体" w:eastAsia="宋体" w:cs="宋体"/>
                <w:b w:val="0"/>
                <w:bCs/>
                <w:color w:val="auto"/>
                <w:kern w:val="21"/>
                <w:sz w:val="22"/>
                <w:szCs w:val="22"/>
                <w:highlight w:val="none"/>
              </w:rPr>
              <w:t>的得</w:t>
            </w:r>
            <w:r>
              <w:rPr>
                <w:rFonts w:hint="eastAsia" w:ascii="宋体" w:hAnsi="宋体" w:cs="宋体"/>
                <w:b w:val="0"/>
                <w:bCs/>
                <w:color w:val="auto"/>
                <w:kern w:val="21"/>
                <w:sz w:val="22"/>
                <w:szCs w:val="22"/>
                <w:highlight w:val="none"/>
                <w:lang w:val="en-US" w:eastAsia="zh-CN"/>
              </w:rPr>
              <w:t>3</w:t>
            </w:r>
            <w:r>
              <w:rPr>
                <w:rFonts w:hint="eastAsia" w:ascii="宋体" w:hAnsi="宋体" w:eastAsia="宋体" w:cs="宋体"/>
                <w:b w:val="0"/>
                <w:bCs/>
                <w:color w:val="auto"/>
                <w:kern w:val="21"/>
                <w:sz w:val="22"/>
                <w:szCs w:val="22"/>
                <w:highlight w:val="none"/>
              </w:rPr>
              <w:t>分。</w:t>
            </w:r>
          </w:p>
          <w:p>
            <w:pPr>
              <w:spacing w:line="280" w:lineRule="exact"/>
              <w:rPr>
                <w:rFonts w:hint="eastAsia" w:ascii="宋体" w:hAnsi="宋体" w:eastAsia="宋体" w:cs="宋体"/>
                <w:bCs/>
                <w:color w:val="auto"/>
                <w:kern w:val="21"/>
                <w:sz w:val="22"/>
                <w:szCs w:val="22"/>
                <w:highlight w:val="none"/>
              </w:rPr>
            </w:pPr>
            <w:r>
              <w:rPr>
                <w:rFonts w:hint="eastAsia" w:ascii="宋体" w:hAnsi="宋体" w:eastAsia="宋体" w:cs="宋体"/>
                <w:bCs/>
                <w:color w:val="auto"/>
                <w:kern w:val="21"/>
                <w:sz w:val="22"/>
                <w:szCs w:val="22"/>
                <w:highlight w:val="none"/>
              </w:rPr>
              <w:t>（须提供有效的检验报告扫描件，加盖供应商电子</w:t>
            </w:r>
            <w:r>
              <w:rPr>
                <w:rFonts w:hint="eastAsia" w:ascii="宋体" w:hAnsi="宋体" w:eastAsia="宋体" w:cs="宋体"/>
                <w:b w:val="0"/>
                <w:bCs/>
                <w:color w:val="auto"/>
                <w:kern w:val="21"/>
                <w:sz w:val="22"/>
                <w:szCs w:val="22"/>
                <w:highlight w:val="none"/>
                <w:lang w:val="en-US" w:eastAsia="zh-CN"/>
              </w:rPr>
              <w:t>公章</w:t>
            </w:r>
            <w:r>
              <w:rPr>
                <w:rFonts w:hint="eastAsia" w:ascii="宋体" w:hAnsi="宋体" w:eastAsia="宋体" w:cs="宋体"/>
                <w:bCs/>
                <w:color w:val="auto"/>
                <w:kern w:val="21"/>
                <w:sz w:val="22"/>
                <w:szCs w:val="22"/>
                <w:highlight w:val="none"/>
              </w:rPr>
              <w:t>，否则不得分。)</w:t>
            </w:r>
          </w:p>
        </w:tc>
        <w:tc>
          <w:tcPr>
            <w:tcW w:w="894" w:type="dxa"/>
            <w:noWrap w:val="0"/>
            <w:vAlign w:val="center"/>
          </w:tcPr>
          <w:p>
            <w:pPr>
              <w:spacing w:line="280" w:lineRule="exact"/>
              <w:jc w:val="center"/>
              <w:rPr>
                <w:rFonts w:hint="eastAsia" w:ascii="宋体" w:hAnsi="宋体" w:eastAsia="宋体" w:cs="宋体"/>
                <w:b w:val="0"/>
                <w:bCs w:val="0"/>
                <w:color w:val="auto"/>
                <w:kern w:val="21"/>
                <w:sz w:val="22"/>
                <w:szCs w:val="22"/>
                <w:highlight w:val="none"/>
                <w:lang w:eastAsia="zh-CN"/>
              </w:rPr>
            </w:pPr>
            <w:r>
              <w:rPr>
                <w:rFonts w:hint="eastAsia" w:ascii="宋体" w:hAnsi="宋体" w:cs="宋体"/>
                <w:b w:val="0"/>
                <w:bCs w:val="0"/>
                <w:color w:val="auto"/>
                <w:kern w:val="21"/>
                <w:sz w:val="22"/>
                <w:szCs w:val="22"/>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696" w:type="dxa"/>
            <w:vMerge w:val="continue"/>
            <w:noWrap w:val="0"/>
            <w:vAlign w:val="center"/>
          </w:tcPr>
          <w:p>
            <w:pPr>
              <w:spacing w:line="280" w:lineRule="exact"/>
              <w:jc w:val="center"/>
              <w:rPr>
                <w:rFonts w:hint="eastAsia" w:ascii="宋体" w:hAnsi="宋体" w:eastAsia="宋体" w:cs="宋体"/>
                <w:b w:val="0"/>
                <w:bCs w:val="0"/>
                <w:color w:val="auto"/>
                <w:kern w:val="21"/>
                <w:sz w:val="22"/>
                <w:szCs w:val="22"/>
                <w:highlight w:val="none"/>
              </w:rPr>
            </w:pPr>
          </w:p>
        </w:tc>
        <w:tc>
          <w:tcPr>
            <w:tcW w:w="1429" w:type="dxa"/>
            <w:vMerge w:val="continue"/>
            <w:noWrap w:val="0"/>
            <w:vAlign w:val="center"/>
          </w:tcPr>
          <w:p>
            <w:pPr>
              <w:pStyle w:val="23"/>
              <w:spacing w:beforeLines="0" w:afterLines="0" w:line="280" w:lineRule="exact"/>
              <w:ind w:left="448" w:hanging="448"/>
              <w:rPr>
                <w:rFonts w:hint="eastAsia" w:ascii="宋体" w:hAnsi="宋体" w:eastAsia="宋体" w:cs="宋体"/>
                <w:b/>
                <w:color w:val="auto"/>
                <w:kern w:val="21"/>
                <w:sz w:val="22"/>
                <w:szCs w:val="22"/>
                <w:highlight w:val="none"/>
              </w:rPr>
            </w:pPr>
          </w:p>
        </w:tc>
        <w:tc>
          <w:tcPr>
            <w:tcW w:w="7263" w:type="dxa"/>
            <w:noWrap w:val="0"/>
            <w:vAlign w:val="center"/>
          </w:tcPr>
          <w:p>
            <w:pPr>
              <w:pStyle w:val="36"/>
              <w:spacing w:before="0" w:after="0" w:line="280" w:lineRule="exact"/>
              <w:jc w:val="left"/>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种植绿肥（紫云英种子）:</w:t>
            </w:r>
          </w:p>
          <w:p>
            <w:pPr>
              <w:pStyle w:val="36"/>
              <w:spacing w:before="0" w:after="0" w:line="280" w:lineRule="exact"/>
              <w:jc w:val="left"/>
              <w:rPr>
                <w:rFonts w:hint="eastAsia" w:ascii="宋体" w:hAnsi="宋体" w:eastAsia="宋体" w:cs="宋体"/>
                <w:b w:val="0"/>
                <w:color w:val="auto"/>
                <w:kern w:val="21"/>
                <w:sz w:val="22"/>
                <w:szCs w:val="22"/>
                <w:highlight w:val="none"/>
              </w:rPr>
            </w:pPr>
            <w:r>
              <w:rPr>
                <w:rFonts w:hint="eastAsia" w:ascii="宋体" w:hAnsi="宋体" w:eastAsia="宋体" w:cs="宋体"/>
                <w:b w:val="0"/>
                <w:color w:val="auto"/>
                <w:kern w:val="21"/>
                <w:sz w:val="22"/>
                <w:szCs w:val="22"/>
                <w:highlight w:val="none"/>
              </w:rPr>
              <w:t>1、投标供应商经营显花林木种子具有经过有关政府主管部门备案登记申请的，得2分。（须提供由主管部门盖章的备案登记申请文件，扫描件并加盖投标供应商电子公章，否则不得分。）</w:t>
            </w:r>
          </w:p>
          <w:p>
            <w:pPr>
              <w:pStyle w:val="36"/>
              <w:spacing w:before="0" w:after="0" w:line="280" w:lineRule="exact"/>
              <w:jc w:val="left"/>
              <w:rPr>
                <w:rFonts w:hint="eastAsia" w:ascii="宋体" w:hAnsi="宋体" w:eastAsia="宋体" w:cs="宋体"/>
                <w:b w:val="0"/>
                <w:color w:val="auto"/>
                <w:kern w:val="21"/>
                <w:sz w:val="22"/>
                <w:szCs w:val="22"/>
                <w:highlight w:val="none"/>
              </w:rPr>
            </w:pPr>
            <w:r>
              <w:rPr>
                <w:rFonts w:hint="eastAsia" w:ascii="宋体" w:hAnsi="宋体" w:eastAsia="宋体" w:cs="宋体"/>
                <w:b w:val="0"/>
                <w:color w:val="auto"/>
                <w:kern w:val="21"/>
                <w:sz w:val="22"/>
                <w:szCs w:val="22"/>
                <w:highlight w:val="none"/>
              </w:rPr>
              <w:t>2、紫云英种子具有</w:t>
            </w:r>
            <w:r>
              <w:rPr>
                <w:rFonts w:hint="eastAsia" w:ascii="宋体" w:hAnsi="宋体" w:eastAsia="宋体" w:cs="宋体"/>
                <w:b w:val="0"/>
                <w:color w:val="auto"/>
                <w:kern w:val="21"/>
                <w:sz w:val="22"/>
                <w:szCs w:val="22"/>
                <w:highlight w:val="none"/>
                <w:lang w:val="en-US" w:eastAsia="zh-CN"/>
              </w:rPr>
              <w:t>由</w:t>
            </w:r>
            <w:r>
              <w:rPr>
                <w:rFonts w:hint="eastAsia" w:ascii="宋体" w:hAnsi="宋体" w:eastAsia="宋体" w:cs="宋体"/>
                <w:color w:val="auto"/>
                <w:sz w:val="22"/>
                <w:szCs w:val="22"/>
                <w:highlight w:val="none"/>
                <w:lang w:bidi="ar"/>
              </w:rPr>
              <w:t>CMA认证</w:t>
            </w:r>
            <w:r>
              <w:rPr>
                <w:rFonts w:hint="eastAsia" w:ascii="宋体" w:hAnsi="宋体" w:eastAsia="宋体" w:cs="宋体"/>
                <w:color w:val="auto"/>
                <w:sz w:val="22"/>
                <w:szCs w:val="22"/>
                <w:highlight w:val="none"/>
                <w:lang w:val="en-US" w:eastAsia="zh-CN" w:bidi="ar"/>
              </w:rPr>
              <w:t>资质的</w:t>
            </w:r>
            <w:r>
              <w:rPr>
                <w:rFonts w:hint="eastAsia" w:ascii="宋体" w:hAnsi="宋体" w:eastAsia="宋体" w:cs="宋体"/>
                <w:color w:val="auto"/>
                <w:sz w:val="22"/>
                <w:szCs w:val="22"/>
                <w:highlight w:val="none"/>
                <w:lang w:bidi="ar"/>
              </w:rPr>
              <w:t>检测机构出具的产品</w:t>
            </w:r>
            <w:r>
              <w:rPr>
                <w:rFonts w:hint="eastAsia" w:ascii="宋体" w:hAnsi="宋体" w:eastAsia="宋体" w:cs="宋体"/>
                <w:color w:val="auto"/>
                <w:sz w:val="22"/>
                <w:szCs w:val="22"/>
                <w:highlight w:val="none"/>
                <w:lang w:val="en-US" w:eastAsia="zh-CN" w:bidi="ar"/>
              </w:rPr>
              <w:t>检验</w:t>
            </w:r>
            <w:r>
              <w:rPr>
                <w:rFonts w:hint="eastAsia" w:ascii="宋体" w:hAnsi="宋体" w:eastAsia="宋体" w:cs="宋体"/>
                <w:color w:val="auto"/>
                <w:sz w:val="22"/>
                <w:szCs w:val="22"/>
                <w:highlight w:val="none"/>
                <w:lang w:bidi="ar"/>
              </w:rPr>
              <w:t>报告</w:t>
            </w:r>
            <w:r>
              <w:rPr>
                <w:rFonts w:hint="eastAsia" w:ascii="宋体" w:hAnsi="宋体" w:eastAsia="宋体" w:cs="宋体"/>
                <w:b w:val="0"/>
                <w:color w:val="auto"/>
                <w:kern w:val="21"/>
                <w:sz w:val="22"/>
                <w:szCs w:val="22"/>
                <w:highlight w:val="none"/>
              </w:rPr>
              <w:t>的得2分。（须提供有效的检验报告，扫描件加盖供应商电子</w:t>
            </w:r>
            <w:r>
              <w:rPr>
                <w:rFonts w:hint="eastAsia" w:ascii="宋体" w:hAnsi="宋体" w:eastAsia="宋体" w:cs="宋体"/>
                <w:b w:val="0"/>
                <w:bCs/>
                <w:color w:val="auto"/>
                <w:kern w:val="21"/>
                <w:sz w:val="22"/>
                <w:szCs w:val="22"/>
                <w:highlight w:val="none"/>
                <w:lang w:val="en-US" w:eastAsia="zh-CN"/>
              </w:rPr>
              <w:t>公章</w:t>
            </w:r>
            <w:r>
              <w:rPr>
                <w:rFonts w:hint="eastAsia" w:ascii="宋体" w:hAnsi="宋体" w:eastAsia="宋体" w:cs="宋体"/>
                <w:b w:val="0"/>
                <w:color w:val="auto"/>
                <w:kern w:val="21"/>
                <w:sz w:val="22"/>
                <w:szCs w:val="22"/>
                <w:highlight w:val="none"/>
              </w:rPr>
              <w:t>，否则不得分。)</w:t>
            </w:r>
          </w:p>
        </w:tc>
        <w:tc>
          <w:tcPr>
            <w:tcW w:w="894" w:type="dxa"/>
            <w:noWrap w:val="0"/>
            <w:vAlign w:val="center"/>
          </w:tcPr>
          <w:p>
            <w:pPr>
              <w:spacing w:line="280" w:lineRule="exact"/>
              <w:jc w:val="center"/>
              <w:rPr>
                <w:rFonts w:hint="eastAsia" w:ascii="宋体" w:hAnsi="宋体" w:eastAsia="宋体" w:cs="宋体"/>
                <w:b w:val="0"/>
                <w:bCs w:val="0"/>
                <w:color w:val="auto"/>
                <w:kern w:val="21"/>
                <w:sz w:val="22"/>
                <w:szCs w:val="22"/>
                <w:highlight w:val="none"/>
              </w:rPr>
            </w:pPr>
            <w:r>
              <w:rPr>
                <w:rFonts w:hint="eastAsia" w:ascii="宋体" w:hAnsi="宋体" w:eastAsia="宋体" w:cs="宋体"/>
                <w:b w:val="0"/>
                <w:bCs w:val="0"/>
                <w:color w:val="auto"/>
                <w:kern w:val="21"/>
                <w:sz w:val="22"/>
                <w:szCs w:val="22"/>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696" w:type="dxa"/>
            <w:vMerge w:val="continue"/>
            <w:noWrap w:val="0"/>
            <w:vAlign w:val="center"/>
          </w:tcPr>
          <w:p>
            <w:pPr>
              <w:spacing w:line="280" w:lineRule="exact"/>
              <w:jc w:val="center"/>
              <w:rPr>
                <w:rFonts w:hint="eastAsia" w:ascii="宋体" w:hAnsi="宋体" w:eastAsia="宋体" w:cs="宋体"/>
                <w:b w:val="0"/>
                <w:bCs w:val="0"/>
                <w:color w:val="auto"/>
                <w:kern w:val="21"/>
                <w:sz w:val="22"/>
                <w:szCs w:val="22"/>
                <w:highlight w:val="none"/>
              </w:rPr>
            </w:pPr>
          </w:p>
        </w:tc>
        <w:tc>
          <w:tcPr>
            <w:tcW w:w="1429" w:type="dxa"/>
            <w:vMerge w:val="continue"/>
            <w:noWrap w:val="0"/>
            <w:vAlign w:val="center"/>
          </w:tcPr>
          <w:p>
            <w:pPr>
              <w:pStyle w:val="23"/>
              <w:spacing w:beforeLines="0" w:afterLines="0" w:line="280" w:lineRule="exact"/>
              <w:ind w:left="448" w:hanging="448"/>
              <w:rPr>
                <w:rFonts w:hint="eastAsia" w:ascii="宋体" w:hAnsi="宋体" w:eastAsia="宋体" w:cs="宋体"/>
                <w:b/>
                <w:color w:val="auto"/>
                <w:kern w:val="21"/>
                <w:sz w:val="22"/>
                <w:szCs w:val="22"/>
                <w:highlight w:val="none"/>
              </w:rPr>
            </w:pPr>
          </w:p>
        </w:tc>
        <w:tc>
          <w:tcPr>
            <w:tcW w:w="7263" w:type="dxa"/>
            <w:noWrap w:val="0"/>
            <w:vAlign w:val="center"/>
          </w:tcPr>
          <w:p>
            <w:pPr>
              <w:pStyle w:val="23"/>
              <w:spacing w:beforeLines="0" w:afterLines="0" w:line="280" w:lineRule="exact"/>
              <w:ind w:left="0" w:leftChars="0" w:firstLine="0" w:firstLineChars="0"/>
              <w:rPr>
                <w:rFonts w:hint="eastAsia" w:ascii="宋体" w:hAnsi="宋体" w:eastAsia="宋体" w:cs="宋体"/>
                <w:color w:val="auto"/>
                <w:kern w:val="21"/>
                <w:sz w:val="22"/>
                <w:szCs w:val="22"/>
                <w:highlight w:val="none"/>
              </w:rPr>
            </w:pPr>
            <w:r>
              <w:rPr>
                <w:rFonts w:hint="eastAsia" w:ascii="宋体" w:hAnsi="宋体" w:eastAsia="宋体" w:cs="宋体"/>
                <w:b/>
                <w:color w:val="auto"/>
                <w:spacing w:val="14"/>
                <w:kern w:val="21"/>
                <w:sz w:val="22"/>
                <w:szCs w:val="22"/>
                <w:highlight w:val="none"/>
              </w:rPr>
              <w:t>高浓度配方肥</w:t>
            </w:r>
            <w:r>
              <w:rPr>
                <w:rFonts w:hint="eastAsia" w:ascii="宋体" w:hAnsi="宋体" w:eastAsia="宋体" w:cs="宋体"/>
                <w:b/>
                <w:bCs w:val="0"/>
                <w:color w:val="auto"/>
                <w:spacing w:val="14"/>
                <w:kern w:val="21"/>
                <w:sz w:val="22"/>
                <w:szCs w:val="22"/>
                <w:highlight w:val="none"/>
              </w:rPr>
              <w:t>（</w:t>
            </w:r>
            <w:r>
              <w:rPr>
                <w:rFonts w:hint="eastAsia" w:ascii="宋体" w:hAnsi="宋体" w:eastAsia="宋体" w:cs="宋体"/>
                <w:b/>
                <w:bCs w:val="0"/>
                <w:color w:val="auto"/>
                <w:sz w:val="22"/>
                <w:szCs w:val="22"/>
                <w:highlight w:val="none"/>
              </w:rPr>
              <w:t>25-10-16</w:t>
            </w:r>
            <w:r>
              <w:rPr>
                <w:rFonts w:hint="eastAsia"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pacing w:val="14"/>
                <w:kern w:val="21"/>
                <w:sz w:val="22"/>
                <w:szCs w:val="22"/>
                <w:highlight w:val="none"/>
              </w:rPr>
              <w:t>:</w:t>
            </w:r>
          </w:p>
          <w:p>
            <w:pPr>
              <w:pStyle w:val="36"/>
              <w:spacing w:before="0" w:after="0" w:line="280" w:lineRule="exact"/>
              <w:jc w:val="left"/>
              <w:rPr>
                <w:rFonts w:hint="eastAsia" w:ascii="宋体" w:hAnsi="宋体" w:eastAsia="宋体" w:cs="宋体"/>
                <w:b w:val="0"/>
                <w:bCs/>
                <w:color w:val="auto"/>
                <w:kern w:val="21"/>
                <w:sz w:val="22"/>
                <w:szCs w:val="22"/>
                <w:highlight w:val="none"/>
              </w:rPr>
            </w:pPr>
            <w:r>
              <w:rPr>
                <w:rFonts w:hint="eastAsia" w:ascii="宋体" w:hAnsi="宋体" w:eastAsia="宋体" w:cs="宋体"/>
                <w:b w:val="0"/>
                <w:bCs/>
                <w:color w:val="auto"/>
                <w:kern w:val="21"/>
                <w:sz w:val="22"/>
                <w:szCs w:val="22"/>
                <w:highlight w:val="none"/>
              </w:rPr>
              <w:t>1、产品制造商具有省级以上政府主管部门出具的肥料正式登记证的, 得</w:t>
            </w:r>
            <w:r>
              <w:rPr>
                <w:rFonts w:hint="eastAsia" w:ascii="宋体" w:hAnsi="宋体" w:eastAsia="宋体" w:cs="宋体"/>
                <w:b w:val="0"/>
                <w:bCs/>
                <w:color w:val="auto"/>
                <w:kern w:val="21"/>
                <w:sz w:val="22"/>
                <w:szCs w:val="22"/>
                <w:highlight w:val="none"/>
                <w:lang w:val="en-US" w:eastAsia="zh-CN"/>
              </w:rPr>
              <w:t>3</w:t>
            </w:r>
            <w:r>
              <w:rPr>
                <w:rFonts w:hint="eastAsia" w:ascii="宋体" w:hAnsi="宋体" w:eastAsia="宋体" w:cs="宋体"/>
                <w:b w:val="0"/>
                <w:bCs/>
                <w:color w:val="auto"/>
                <w:kern w:val="21"/>
                <w:sz w:val="22"/>
                <w:szCs w:val="22"/>
                <w:highlight w:val="none"/>
              </w:rPr>
              <w:t>分。</w:t>
            </w:r>
          </w:p>
          <w:p>
            <w:pPr>
              <w:pStyle w:val="36"/>
              <w:spacing w:before="0" w:after="0" w:line="280" w:lineRule="exact"/>
              <w:jc w:val="left"/>
              <w:rPr>
                <w:rFonts w:hint="eastAsia" w:ascii="宋体" w:hAnsi="宋体" w:eastAsia="宋体" w:cs="宋体"/>
                <w:b w:val="0"/>
                <w:bCs/>
                <w:color w:val="auto"/>
                <w:kern w:val="21"/>
                <w:sz w:val="22"/>
                <w:szCs w:val="22"/>
                <w:highlight w:val="none"/>
              </w:rPr>
            </w:pPr>
            <w:r>
              <w:rPr>
                <w:rFonts w:hint="eastAsia" w:ascii="宋体" w:hAnsi="宋体" w:eastAsia="宋体" w:cs="宋体"/>
                <w:b w:val="0"/>
                <w:bCs/>
                <w:color w:val="auto"/>
                <w:kern w:val="21"/>
                <w:sz w:val="22"/>
                <w:szCs w:val="22"/>
                <w:highlight w:val="none"/>
              </w:rPr>
              <w:t>2、产品具有</w:t>
            </w:r>
            <w:r>
              <w:rPr>
                <w:rFonts w:hint="eastAsia" w:ascii="宋体" w:hAnsi="宋体" w:eastAsia="宋体" w:cs="宋体"/>
                <w:b w:val="0"/>
                <w:color w:val="auto"/>
                <w:kern w:val="21"/>
                <w:sz w:val="22"/>
                <w:szCs w:val="22"/>
                <w:highlight w:val="none"/>
                <w:lang w:val="en-US" w:eastAsia="zh-CN"/>
              </w:rPr>
              <w:t>由</w:t>
            </w:r>
            <w:r>
              <w:rPr>
                <w:rFonts w:hint="eastAsia" w:ascii="宋体" w:hAnsi="宋体" w:eastAsia="宋体" w:cs="宋体"/>
                <w:color w:val="auto"/>
                <w:sz w:val="22"/>
                <w:szCs w:val="22"/>
                <w:highlight w:val="none"/>
                <w:lang w:bidi="ar"/>
              </w:rPr>
              <w:t>CMA认证</w:t>
            </w:r>
            <w:r>
              <w:rPr>
                <w:rFonts w:hint="eastAsia" w:ascii="宋体" w:hAnsi="宋体" w:eastAsia="宋体" w:cs="宋体"/>
                <w:color w:val="auto"/>
                <w:sz w:val="22"/>
                <w:szCs w:val="22"/>
                <w:highlight w:val="none"/>
                <w:lang w:val="en-US" w:eastAsia="zh-CN" w:bidi="ar"/>
              </w:rPr>
              <w:t>资质的</w:t>
            </w:r>
            <w:r>
              <w:rPr>
                <w:rFonts w:hint="eastAsia" w:ascii="宋体" w:hAnsi="宋体" w:eastAsia="宋体" w:cs="宋体"/>
                <w:color w:val="auto"/>
                <w:sz w:val="22"/>
                <w:szCs w:val="22"/>
                <w:highlight w:val="none"/>
                <w:lang w:bidi="ar"/>
              </w:rPr>
              <w:t>检测机构出具的产品</w:t>
            </w:r>
            <w:r>
              <w:rPr>
                <w:rFonts w:hint="eastAsia" w:ascii="宋体" w:hAnsi="宋体" w:eastAsia="宋体" w:cs="宋体"/>
                <w:color w:val="auto"/>
                <w:sz w:val="22"/>
                <w:szCs w:val="22"/>
                <w:highlight w:val="none"/>
                <w:lang w:val="en-US" w:eastAsia="zh-CN" w:bidi="ar"/>
              </w:rPr>
              <w:t>检验</w:t>
            </w:r>
            <w:r>
              <w:rPr>
                <w:rFonts w:hint="eastAsia" w:ascii="宋体" w:hAnsi="宋体" w:eastAsia="宋体" w:cs="宋体"/>
                <w:color w:val="auto"/>
                <w:sz w:val="22"/>
                <w:szCs w:val="22"/>
                <w:highlight w:val="none"/>
                <w:lang w:bidi="ar"/>
              </w:rPr>
              <w:t>报告</w:t>
            </w:r>
            <w:r>
              <w:rPr>
                <w:rFonts w:hint="eastAsia" w:ascii="宋体" w:hAnsi="宋体" w:eastAsia="宋体" w:cs="宋体"/>
                <w:b w:val="0"/>
                <w:bCs/>
                <w:color w:val="auto"/>
                <w:kern w:val="21"/>
                <w:sz w:val="22"/>
                <w:szCs w:val="22"/>
                <w:highlight w:val="none"/>
              </w:rPr>
              <w:t>的得2分。</w:t>
            </w:r>
          </w:p>
          <w:p>
            <w:pPr>
              <w:pStyle w:val="36"/>
              <w:spacing w:before="0" w:after="0" w:line="280" w:lineRule="exact"/>
              <w:jc w:val="left"/>
              <w:rPr>
                <w:rFonts w:hint="eastAsia" w:ascii="宋体" w:hAnsi="宋体" w:eastAsia="宋体" w:cs="宋体"/>
                <w:b w:val="0"/>
                <w:bCs/>
                <w:color w:val="auto"/>
                <w:kern w:val="21"/>
                <w:sz w:val="22"/>
                <w:szCs w:val="22"/>
                <w:highlight w:val="none"/>
              </w:rPr>
            </w:pPr>
            <w:r>
              <w:rPr>
                <w:rFonts w:hint="eastAsia" w:ascii="宋体" w:hAnsi="宋体" w:eastAsia="宋体" w:cs="宋体"/>
                <w:b w:val="0"/>
                <w:bCs/>
                <w:color w:val="auto"/>
                <w:kern w:val="21"/>
                <w:sz w:val="22"/>
                <w:szCs w:val="22"/>
                <w:highlight w:val="none"/>
              </w:rPr>
              <w:t>（以上须提供有效的相应的登记证或检验报告，扫描件并加盖投标供应商电子公章，否则不得分。）</w:t>
            </w:r>
          </w:p>
        </w:tc>
        <w:tc>
          <w:tcPr>
            <w:tcW w:w="894" w:type="dxa"/>
            <w:noWrap w:val="0"/>
            <w:vAlign w:val="center"/>
          </w:tcPr>
          <w:p>
            <w:pPr>
              <w:spacing w:line="280" w:lineRule="exact"/>
              <w:jc w:val="center"/>
              <w:rPr>
                <w:rFonts w:hint="eastAsia" w:ascii="宋体" w:hAnsi="宋体" w:eastAsia="宋体" w:cs="宋体"/>
                <w:b w:val="0"/>
                <w:bCs w:val="0"/>
                <w:color w:val="auto"/>
                <w:kern w:val="21"/>
                <w:sz w:val="22"/>
                <w:szCs w:val="22"/>
                <w:highlight w:val="none"/>
                <w:lang w:eastAsia="zh-CN"/>
              </w:rPr>
            </w:pPr>
            <w:r>
              <w:rPr>
                <w:rFonts w:hint="eastAsia" w:ascii="宋体" w:hAnsi="宋体" w:eastAsia="宋体" w:cs="宋体"/>
                <w:b w:val="0"/>
                <w:bCs w:val="0"/>
                <w:color w:val="auto"/>
                <w:kern w:val="21"/>
                <w:sz w:val="22"/>
                <w:szCs w:val="2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5" w:hRule="atLeast"/>
          <w:jc w:val="center"/>
        </w:trPr>
        <w:tc>
          <w:tcPr>
            <w:tcW w:w="69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5</w:t>
            </w:r>
          </w:p>
        </w:tc>
        <w:tc>
          <w:tcPr>
            <w:tcW w:w="1429" w:type="dxa"/>
            <w:vMerge w:val="restart"/>
            <w:noWrap w:val="0"/>
            <w:vAlign w:val="center"/>
          </w:tcPr>
          <w:p>
            <w:pPr>
              <w:pStyle w:val="149"/>
              <w:keepNext w:val="0"/>
              <w:keepLines w:val="0"/>
              <w:pageBreakBefore w:val="0"/>
              <w:kinsoku/>
              <w:wordWrap/>
              <w:overflowPunct/>
              <w:topLinePunct w:val="0"/>
              <w:autoSpaceDE/>
              <w:autoSpaceDN/>
              <w:bidi w:val="0"/>
              <w:adjustRightInd/>
              <w:snapToGrid/>
              <w:spacing w:before="161" w:line="240" w:lineRule="auto"/>
              <w:ind w:right="189"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实施方案</w:t>
            </w:r>
          </w:p>
        </w:tc>
        <w:tc>
          <w:tcPr>
            <w:tcW w:w="726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eastAsia="zh-CN"/>
              </w:rPr>
              <w:t>含</w:t>
            </w:r>
            <w:r>
              <w:rPr>
                <w:rFonts w:hint="eastAsia" w:ascii="宋体" w:hAnsi="宋体" w:eastAsia="宋体" w:cs="宋体"/>
                <w:snapToGrid w:val="0"/>
                <w:color w:val="auto"/>
                <w:kern w:val="0"/>
                <w:sz w:val="22"/>
                <w:szCs w:val="22"/>
                <w:highlight w:val="none"/>
              </w:rPr>
              <w:t>各供应商对项目现状</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bCs/>
                <w:color w:val="auto"/>
                <w:kern w:val="0"/>
                <w:sz w:val="22"/>
                <w:szCs w:val="22"/>
                <w:highlight w:val="none"/>
                <w:lang w:val="zh-CN"/>
              </w:rPr>
              <w:t>相关标准及规范、需求情况的了解程度</w:t>
            </w:r>
            <w:r>
              <w:rPr>
                <w:rFonts w:hint="eastAsia" w:ascii="宋体" w:hAnsi="宋体" w:eastAsia="宋体" w:cs="宋体"/>
                <w:snapToGrid w:val="0"/>
                <w:color w:val="auto"/>
                <w:kern w:val="0"/>
                <w:sz w:val="22"/>
                <w:szCs w:val="22"/>
                <w:highlight w:val="none"/>
                <w:lang w:eastAsia="zh-CN"/>
              </w:rPr>
              <w:t>等</w:t>
            </w:r>
            <w:r>
              <w:rPr>
                <w:rFonts w:hint="eastAsia" w:ascii="宋体" w:hAnsi="宋体" w:cs="宋体"/>
                <w:snapToGrid w:val="0"/>
                <w:color w:val="auto"/>
                <w:kern w:val="0"/>
                <w:sz w:val="22"/>
                <w:szCs w:val="22"/>
                <w:highlight w:val="none"/>
                <w:lang w:val="en-US" w:eastAsia="zh-CN"/>
              </w:rPr>
              <w:t>情况</w:t>
            </w:r>
            <w:r>
              <w:rPr>
                <w:rFonts w:hint="eastAsia" w:ascii="宋体" w:hAnsi="宋体" w:eastAsia="宋体" w:cs="宋体"/>
                <w:snapToGrid w:val="0"/>
                <w:color w:val="auto"/>
                <w:kern w:val="0"/>
                <w:sz w:val="22"/>
                <w:szCs w:val="22"/>
                <w:highlight w:val="none"/>
              </w:rPr>
              <w:t>。</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了解情况深入详细</w:t>
            </w:r>
            <w:r>
              <w:rPr>
                <w:rFonts w:hint="eastAsia" w:ascii="宋体" w:hAnsi="宋体" w:eastAsia="宋体" w:cs="宋体"/>
                <w:snapToGrid w:val="0"/>
                <w:color w:val="auto"/>
                <w:kern w:val="0"/>
                <w:sz w:val="22"/>
                <w:szCs w:val="22"/>
                <w:highlight w:val="none"/>
                <w:lang w:eastAsia="zh-CN"/>
              </w:rPr>
              <w:t>、对现状、相关标准及规范</w:t>
            </w:r>
            <w:r>
              <w:rPr>
                <w:rFonts w:hint="eastAsia" w:ascii="宋体" w:hAnsi="宋体" w:eastAsia="宋体" w:cs="宋体"/>
                <w:snapToGrid w:val="0"/>
                <w:color w:val="auto"/>
                <w:kern w:val="0"/>
                <w:sz w:val="22"/>
                <w:szCs w:val="22"/>
                <w:highlight w:val="none"/>
              </w:rPr>
              <w:t>陈述得当</w:t>
            </w:r>
            <w:r>
              <w:rPr>
                <w:rFonts w:hint="eastAsia" w:ascii="宋体" w:hAnsi="宋体" w:eastAsia="宋体" w:cs="宋体"/>
                <w:snapToGrid w:val="0"/>
                <w:color w:val="auto"/>
                <w:kern w:val="0"/>
                <w:sz w:val="22"/>
                <w:szCs w:val="22"/>
                <w:highlight w:val="none"/>
                <w:lang w:eastAsia="zh-CN"/>
              </w:rPr>
              <w:t>、全面的视为</w:t>
            </w:r>
            <w:r>
              <w:rPr>
                <w:rFonts w:hint="eastAsia" w:ascii="宋体" w:hAnsi="宋体" w:eastAsia="宋体" w:cs="宋体"/>
                <w:bCs/>
                <w:color w:val="auto"/>
                <w:sz w:val="22"/>
                <w:szCs w:val="22"/>
                <w:highlight w:val="none"/>
                <w:lang w:eastAsia="zh-CN"/>
              </w:rPr>
              <w:t>满足采购需求</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完全满足采购需求</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得</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基本满足的得</w:t>
            </w:r>
            <w:r>
              <w:rPr>
                <w:rFonts w:hint="eastAsia" w:ascii="宋体" w:hAnsi="宋体" w:eastAsia="宋体" w:cs="宋体"/>
                <w:bCs/>
                <w:color w:val="auto"/>
                <w:sz w:val="22"/>
                <w:szCs w:val="22"/>
                <w:highlight w:val="none"/>
                <w:lang w:val="en-US" w:eastAsia="zh-CN"/>
              </w:rPr>
              <w:t>3分，</w:t>
            </w:r>
            <w:r>
              <w:rPr>
                <w:rFonts w:hint="eastAsia" w:ascii="宋体" w:hAnsi="宋体" w:eastAsia="宋体" w:cs="宋体"/>
                <w:b w:val="0"/>
                <w:bCs/>
                <w:color w:val="000000"/>
                <w:kern w:val="0"/>
                <w:sz w:val="22"/>
                <w:szCs w:val="22"/>
                <w:lang w:val="en-US" w:eastAsia="zh-CN" w:bidi="ar-SA"/>
              </w:rPr>
              <w:t>个别</w:t>
            </w:r>
            <w:r>
              <w:rPr>
                <w:rFonts w:hint="eastAsia" w:ascii="宋体" w:hAnsi="宋体" w:eastAsia="宋体" w:cs="宋体"/>
                <w:bCs/>
                <w:color w:val="auto"/>
                <w:sz w:val="22"/>
                <w:szCs w:val="22"/>
                <w:highlight w:val="none"/>
                <w:lang w:eastAsia="zh-CN"/>
              </w:rPr>
              <w:t>满足</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分，不符合或未提供</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不得分。共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5" w:hRule="atLeast"/>
          <w:jc w:val="center"/>
        </w:trPr>
        <w:tc>
          <w:tcPr>
            <w:tcW w:w="69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1"/>
                <w:sz w:val="22"/>
                <w:szCs w:val="22"/>
                <w:highlight w:val="none"/>
              </w:rPr>
            </w:pPr>
          </w:p>
        </w:tc>
        <w:tc>
          <w:tcPr>
            <w:tcW w:w="1429" w:type="dxa"/>
            <w:vMerge w:val="continue"/>
            <w:noWrap w:val="0"/>
            <w:vAlign w:val="center"/>
          </w:tcPr>
          <w:p>
            <w:pPr>
              <w:pStyle w:val="149"/>
              <w:keepNext w:val="0"/>
              <w:keepLines w:val="0"/>
              <w:pageBreakBefore w:val="0"/>
              <w:kinsoku/>
              <w:wordWrap/>
              <w:overflowPunct/>
              <w:topLinePunct w:val="0"/>
              <w:autoSpaceDE/>
              <w:autoSpaceDN/>
              <w:bidi w:val="0"/>
              <w:adjustRightInd/>
              <w:snapToGrid/>
              <w:spacing w:before="161" w:line="240" w:lineRule="auto"/>
              <w:ind w:right="189" w:rightChars="0"/>
              <w:jc w:val="center"/>
              <w:textAlignment w:val="auto"/>
              <w:rPr>
                <w:rFonts w:hint="eastAsia" w:ascii="宋体" w:hAnsi="宋体" w:eastAsia="宋体" w:cs="宋体"/>
                <w:color w:val="auto"/>
                <w:sz w:val="22"/>
                <w:szCs w:val="22"/>
                <w:highlight w:val="none"/>
                <w:lang w:val="en-US" w:eastAsia="zh-CN"/>
              </w:rPr>
            </w:pPr>
          </w:p>
        </w:tc>
        <w:tc>
          <w:tcPr>
            <w:tcW w:w="726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lang w:val="zh-CN"/>
              </w:rPr>
              <w:t>对本项目重难点进行分析、并提出对应解决方案。</w:t>
            </w:r>
          </w:p>
          <w:p>
            <w:pPr>
              <w:pStyle w:val="2"/>
              <w:rPr>
                <w:rFonts w:hint="eastAsia" w:ascii="宋体" w:hAnsi="宋体" w:eastAsia="宋体" w:cs="宋体"/>
                <w:color w:val="auto"/>
                <w:sz w:val="22"/>
                <w:szCs w:val="22"/>
                <w:highlight w:val="none"/>
                <w:lang w:eastAsia="zh-CN"/>
              </w:rPr>
            </w:pPr>
            <w:r>
              <w:rPr>
                <w:rFonts w:hint="eastAsia" w:ascii="宋体" w:hAnsi="宋体" w:eastAsia="宋体" w:cs="宋体"/>
                <w:bCs/>
                <w:color w:val="auto"/>
                <w:kern w:val="0"/>
                <w:sz w:val="22"/>
                <w:szCs w:val="22"/>
                <w:highlight w:val="none"/>
                <w:lang w:val="zh-CN"/>
              </w:rPr>
              <w:t>分析到位、透彻，方案科学合理、切实可行的视为</w:t>
            </w:r>
            <w:r>
              <w:rPr>
                <w:rFonts w:hint="eastAsia" w:ascii="宋体" w:hAnsi="宋体" w:eastAsia="宋体" w:cs="宋体"/>
                <w:bCs/>
                <w:color w:val="auto"/>
                <w:sz w:val="22"/>
                <w:szCs w:val="22"/>
                <w:highlight w:val="none"/>
                <w:lang w:eastAsia="zh-CN"/>
              </w:rPr>
              <w:t>采购需求</w:t>
            </w:r>
            <w:r>
              <w:rPr>
                <w:rFonts w:hint="eastAsia" w:ascii="宋体" w:hAnsi="宋体" w:eastAsia="宋体" w:cs="宋体"/>
                <w:bCs/>
                <w:color w:val="auto"/>
                <w:sz w:val="22"/>
                <w:szCs w:val="22"/>
                <w:highlight w:val="none"/>
              </w:rPr>
              <w:t>，</w:t>
            </w:r>
            <w:r>
              <w:rPr>
                <w:rFonts w:hint="eastAsia" w:hAnsi="宋体" w:cs="宋体"/>
                <w:bCs/>
                <w:color w:val="auto"/>
                <w:sz w:val="22"/>
                <w:szCs w:val="22"/>
                <w:highlight w:val="none"/>
                <w:lang w:eastAsia="zh-CN"/>
              </w:rPr>
              <w:t>完全满足采购需求</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得</w:t>
            </w:r>
            <w:r>
              <w:rPr>
                <w:rFonts w:hint="eastAsia"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基本满足的得</w:t>
            </w:r>
            <w:r>
              <w:rPr>
                <w:rFonts w:hint="eastAsia"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分，</w:t>
            </w:r>
            <w:r>
              <w:rPr>
                <w:rFonts w:hint="eastAsia" w:ascii="宋体" w:hAnsi="宋体" w:eastAsia="宋体" w:cs="宋体"/>
                <w:b w:val="0"/>
                <w:bCs/>
                <w:color w:val="000000"/>
                <w:kern w:val="0"/>
                <w:sz w:val="22"/>
                <w:szCs w:val="22"/>
                <w:lang w:val="en-US" w:eastAsia="zh-CN" w:bidi="ar-SA"/>
              </w:rPr>
              <w:t>个别</w:t>
            </w:r>
            <w:r>
              <w:rPr>
                <w:rFonts w:hint="eastAsia" w:ascii="宋体" w:hAnsi="宋体" w:eastAsia="宋体" w:cs="宋体"/>
                <w:bCs/>
                <w:color w:val="auto"/>
                <w:sz w:val="22"/>
                <w:szCs w:val="22"/>
                <w:highlight w:val="none"/>
                <w:lang w:eastAsia="zh-CN"/>
              </w:rPr>
              <w:t>满足</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分，不符合或未提供</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不得分。共</w:t>
            </w:r>
            <w:r>
              <w:rPr>
                <w:rFonts w:hint="eastAsia"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5" w:hRule="atLeast"/>
          <w:jc w:val="center"/>
        </w:trPr>
        <w:tc>
          <w:tcPr>
            <w:tcW w:w="69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1"/>
                <w:sz w:val="22"/>
                <w:szCs w:val="22"/>
                <w:highlight w:val="none"/>
              </w:rPr>
            </w:pPr>
          </w:p>
        </w:tc>
        <w:tc>
          <w:tcPr>
            <w:tcW w:w="1429" w:type="dxa"/>
            <w:vMerge w:val="continue"/>
            <w:noWrap w:val="0"/>
            <w:vAlign w:val="center"/>
          </w:tcPr>
          <w:p>
            <w:pPr>
              <w:pStyle w:val="149"/>
              <w:keepNext w:val="0"/>
              <w:keepLines w:val="0"/>
              <w:pageBreakBefore w:val="0"/>
              <w:kinsoku/>
              <w:wordWrap/>
              <w:overflowPunct/>
              <w:topLinePunct w:val="0"/>
              <w:autoSpaceDE/>
              <w:autoSpaceDN/>
              <w:bidi w:val="0"/>
              <w:adjustRightInd/>
              <w:snapToGrid/>
              <w:spacing w:before="161" w:line="240" w:lineRule="auto"/>
              <w:ind w:right="189" w:rightChars="0"/>
              <w:jc w:val="center"/>
              <w:textAlignment w:val="auto"/>
              <w:rPr>
                <w:rFonts w:hint="eastAsia" w:ascii="宋体" w:hAnsi="宋体" w:eastAsia="宋体" w:cs="宋体"/>
                <w:color w:val="auto"/>
                <w:sz w:val="22"/>
                <w:szCs w:val="22"/>
                <w:highlight w:val="none"/>
                <w:lang w:val="en-US" w:eastAsia="zh-CN"/>
              </w:rPr>
            </w:pPr>
          </w:p>
        </w:tc>
        <w:tc>
          <w:tcPr>
            <w:tcW w:w="7263" w:type="dxa"/>
            <w:noWrap w:val="0"/>
            <w:vAlign w:val="center"/>
          </w:tcPr>
          <w:p>
            <w:pPr>
              <w:pStyle w:val="2"/>
              <w:rPr>
                <w:rFonts w:hint="eastAsia" w:ascii="宋体" w:hAnsi="宋体" w:eastAsia="宋体" w:cs="宋体"/>
                <w:color w:val="auto"/>
                <w:kern w:val="0"/>
                <w:sz w:val="22"/>
                <w:szCs w:val="22"/>
                <w:highlight w:val="none"/>
                <w:lang w:eastAsia="zh-CN"/>
              </w:rPr>
            </w:pPr>
            <w:r>
              <w:rPr>
                <w:rFonts w:hint="eastAsia" w:ascii="宋体" w:hAnsi="宋体" w:eastAsia="宋体" w:cs="宋体"/>
                <w:bCs/>
                <w:color w:val="auto"/>
                <w:sz w:val="22"/>
                <w:szCs w:val="22"/>
                <w:highlight w:val="none"/>
                <w:lang w:eastAsia="zh-CN"/>
              </w:rPr>
              <w:t>包括</w:t>
            </w:r>
            <w:r>
              <w:rPr>
                <w:rFonts w:hint="eastAsia" w:ascii="宋体" w:hAnsi="宋体" w:eastAsia="宋体" w:cs="宋体"/>
                <w:color w:val="auto"/>
                <w:kern w:val="0"/>
                <w:sz w:val="22"/>
                <w:szCs w:val="22"/>
                <w:highlight w:val="none"/>
              </w:rPr>
              <w:t>供货计划和进度安排</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运输能力</w:t>
            </w:r>
            <w:r>
              <w:rPr>
                <w:rFonts w:hint="eastAsia" w:ascii="宋体" w:hAnsi="宋体" w:eastAsia="宋体" w:cs="宋体"/>
                <w:color w:val="auto"/>
                <w:kern w:val="0"/>
                <w:sz w:val="22"/>
                <w:szCs w:val="22"/>
                <w:highlight w:val="none"/>
                <w:lang w:eastAsia="zh-CN"/>
              </w:rPr>
              <w:t>及</w:t>
            </w:r>
            <w:r>
              <w:rPr>
                <w:rFonts w:hint="eastAsia" w:ascii="宋体" w:hAnsi="宋体" w:eastAsia="宋体" w:cs="宋体"/>
                <w:color w:val="auto"/>
                <w:kern w:val="0"/>
                <w:sz w:val="22"/>
                <w:szCs w:val="22"/>
                <w:highlight w:val="none"/>
              </w:rPr>
              <w:t>人员配置</w:t>
            </w:r>
            <w:r>
              <w:rPr>
                <w:rFonts w:hint="eastAsia" w:ascii="宋体" w:hAnsi="宋体" w:eastAsia="宋体" w:cs="宋体"/>
                <w:color w:val="auto"/>
                <w:kern w:val="0"/>
                <w:sz w:val="22"/>
                <w:szCs w:val="22"/>
                <w:highlight w:val="none"/>
                <w:lang w:eastAsia="zh-CN"/>
              </w:rPr>
              <w:t>保障等情况。</w:t>
            </w:r>
          </w:p>
          <w:p>
            <w:pPr>
              <w:pStyle w:val="2"/>
              <w:rPr>
                <w:rFonts w:hint="eastAsia" w:ascii="宋体" w:hAnsi="宋体" w:eastAsia="宋体" w:cs="宋体"/>
                <w:snapToGrid w:val="0"/>
                <w:color w:val="auto"/>
                <w:kern w:val="0"/>
                <w:sz w:val="22"/>
                <w:szCs w:val="22"/>
                <w:highlight w:val="none"/>
              </w:rPr>
            </w:pPr>
            <w:r>
              <w:rPr>
                <w:rFonts w:hint="eastAsia" w:hAnsi="宋体" w:cs="宋体"/>
                <w:color w:val="auto"/>
                <w:kern w:val="0"/>
                <w:sz w:val="22"/>
                <w:szCs w:val="22"/>
                <w:highlight w:val="none"/>
                <w:lang w:val="en-US" w:eastAsia="zh-CN"/>
              </w:rPr>
              <w:t>计划和进度安排具有针对性，运输能力强，人员配置科学合理，整体方案</w:t>
            </w:r>
            <w:r>
              <w:rPr>
                <w:rFonts w:hint="eastAsia" w:ascii="宋体" w:hAnsi="宋体" w:eastAsia="宋体" w:cs="宋体"/>
                <w:color w:val="auto"/>
                <w:kern w:val="0"/>
                <w:sz w:val="22"/>
                <w:szCs w:val="22"/>
                <w:highlight w:val="none"/>
                <w:lang w:eastAsia="zh-CN"/>
              </w:rPr>
              <w:t>详细</w:t>
            </w:r>
            <w:r>
              <w:rPr>
                <w:rFonts w:hint="eastAsia" w:ascii="宋体" w:hAnsi="宋体" w:eastAsia="宋体" w:cs="宋体"/>
                <w:bCs/>
                <w:color w:val="auto"/>
                <w:sz w:val="22"/>
                <w:szCs w:val="22"/>
                <w:highlight w:val="none"/>
              </w:rPr>
              <w:t>明确、全面、可执行的视为</w:t>
            </w:r>
            <w:r>
              <w:rPr>
                <w:rFonts w:hint="eastAsia" w:ascii="宋体" w:hAnsi="宋体" w:eastAsia="宋体" w:cs="宋体"/>
                <w:bCs/>
                <w:color w:val="auto"/>
                <w:sz w:val="22"/>
                <w:szCs w:val="22"/>
                <w:highlight w:val="none"/>
                <w:lang w:eastAsia="zh-CN"/>
              </w:rPr>
              <w:t>满足采购需求</w:t>
            </w:r>
            <w:r>
              <w:rPr>
                <w:rFonts w:hint="eastAsia" w:ascii="宋体" w:hAnsi="宋体" w:eastAsia="宋体" w:cs="宋体"/>
                <w:bCs/>
                <w:color w:val="auto"/>
                <w:sz w:val="22"/>
                <w:szCs w:val="22"/>
                <w:highlight w:val="none"/>
              </w:rPr>
              <w:t>，</w:t>
            </w:r>
            <w:r>
              <w:rPr>
                <w:rFonts w:hint="eastAsia" w:hAnsi="宋体" w:cs="宋体"/>
                <w:bCs/>
                <w:color w:val="auto"/>
                <w:sz w:val="22"/>
                <w:szCs w:val="22"/>
                <w:highlight w:val="none"/>
                <w:lang w:eastAsia="zh-CN"/>
              </w:rPr>
              <w:t>完全满足采购需求</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得</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基本满足的得</w:t>
            </w:r>
            <w:r>
              <w:rPr>
                <w:rFonts w:hint="eastAsia" w:ascii="宋体" w:hAnsi="宋体" w:eastAsia="宋体" w:cs="宋体"/>
                <w:bCs/>
                <w:color w:val="auto"/>
                <w:sz w:val="22"/>
                <w:szCs w:val="22"/>
                <w:highlight w:val="none"/>
                <w:lang w:val="en-US" w:eastAsia="zh-CN"/>
              </w:rPr>
              <w:t>3分，</w:t>
            </w:r>
            <w:r>
              <w:rPr>
                <w:rFonts w:hint="eastAsia" w:ascii="宋体" w:hAnsi="宋体" w:eastAsia="宋体" w:cs="宋体"/>
                <w:b w:val="0"/>
                <w:bCs/>
                <w:color w:val="000000"/>
                <w:kern w:val="0"/>
                <w:sz w:val="22"/>
                <w:szCs w:val="22"/>
                <w:lang w:val="en-US" w:eastAsia="zh-CN" w:bidi="ar-SA"/>
              </w:rPr>
              <w:t>个别</w:t>
            </w:r>
            <w:r>
              <w:rPr>
                <w:rFonts w:hint="eastAsia" w:ascii="宋体" w:hAnsi="宋体" w:eastAsia="宋体" w:cs="宋体"/>
                <w:bCs/>
                <w:color w:val="auto"/>
                <w:sz w:val="22"/>
                <w:szCs w:val="22"/>
                <w:highlight w:val="none"/>
                <w:lang w:eastAsia="zh-CN"/>
              </w:rPr>
              <w:t>满足</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分，不符合或未提供</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不得分。共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5" w:hRule="atLeast"/>
          <w:jc w:val="center"/>
        </w:trPr>
        <w:tc>
          <w:tcPr>
            <w:tcW w:w="69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1"/>
                <w:sz w:val="22"/>
                <w:szCs w:val="22"/>
                <w:highlight w:val="none"/>
              </w:rPr>
            </w:pPr>
          </w:p>
        </w:tc>
        <w:tc>
          <w:tcPr>
            <w:tcW w:w="1429" w:type="dxa"/>
            <w:vMerge w:val="continue"/>
            <w:noWrap w:val="0"/>
            <w:vAlign w:val="center"/>
          </w:tcPr>
          <w:p>
            <w:pPr>
              <w:pStyle w:val="149"/>
              <w:keepNext w:val="0"/>
              <w:keepLines w:val="0"/>
              <w:pageBreakBefore w:val="0"/>
              <w:kinsoku/>
              <w:wordWrap/>
              <w:overflowPunct/>
              <w:topLinePunct w:val="0"/>
              <w:autoSpaceDE/>
              <w:autoSpaceDN/>
              <w:bidi w:val="0"/>
              <w:adjustRightInd/>
              <w:snapToGrid/>
              <w:spacing w:before="161" w:line="240" w:lineRule="auto"/>
              <w:ind w:right="189" w:rightChars="0"/>
              <w:jc w:val="center"/>
              <w:textAlignment w:val="auto"/>
              <w:rPr>
                <w:rFonts w:hint="eastAsia" w:ascii="宋体" w:hAnsi="宋体" w:eastAsia="宋体" w:cs="宋体"/>
                <w:color w:val="auto"/>
                <w:sz w:val="22"/>
                <w:szCs w:val="22"/>
                <w:highlight w:val="none"/>
                <w:lang w:val="en-US" w:eastAsia="zh-CN"/>
              </w:rPr>
            </w:pPr>
          </w:p>
        </w:tc>
        <w:tc>
          <w:tcPr>
            <w:tcW w:w="7263" w:type="dxa"/>
            <w:noWrap w:val="0"/>
            <w:vAlign w:val="center"/>
          </w:tcPr>
          <w:p>
            <w:pPr>
              <w:pStyle w:val="149"/>
              <w:keepNext w:val="0"/>
              <w:keepLines w:val="0"/>
              <w:pageBreakBefore w:val="0"/>
              <w:kinsoku/>
              <w:wordWrap/>
              <w:overflowPunct/>
              <w:topLinePunct w:val="0"/>
              <w:autoSpaceDE/>
              <w:autoSpaceDN/>
              <w:bidi w:val="0"/>
              <w:adjustRightInd/>
              <w:snapToGrid/>
              <w:spacing w:before="2" w:line="24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针对本项目</w:t>
            </w:r>
            <w:r>
              <w:rPr>
                <w:rFonts w:hint="eastAsia" w:ascii="宋体" w:hAnsi="宋体" w:eastAsia="宋体" w:cs="宋体"/>
                <w:color w:val="auto"/>
                <w:sz w:val="22"/>
                <w:szCs w:val="22"/>
                <w:highlight w:val="none"/>
              </w:rPr>
              <w:t>现场现状</w:t>
            </w:r>
            <w:r>
              <w:rPr>
                <w:rFonts w:hint="eastAsia" w:ascii="宋体" w:hAnsi="宋体" w:eastAsia="宋体" w:cs="宋体"/>
                <w:color w:val="auto"/>
                <w:sz w:val="22"/>
                <w:szCs w:val="22"/>
                <w:highlight w:val="none"/>
                <w:lang w:eastAsia="zh-CN"/>
              </w:rPr>
              <w:t>提出的</w:t>
            </w:r>
            <w:r>
              <w:rPr>
                <w:rFonts w:hint="eastAsia" w:ascii="宋体" w:hAnsi="宋体" w:eastAsia="宋体" w:cs="宋体"/>
                <w:color w:val="auto"/>
                <w:sz w:val="22"/>
                <w:szCs w:val="22"/>
                <w:highlight w:val="none"/>
              </w:rPr>
              <w:t>物资存放方案</w:t>
            </w:r>
            <w:r>
              <w:rPr>
                <w:rFonts w:hint="eastAsia" w:ascii="宋体" w:hAnsi="宋体" w:eastAsia="宋体" w:cs="宋体"/>
                <w:color w:val="auto"/>
                <w:sz w:val="22"/>
                <w:szCs w:val="22"/>
                <w:highlight w:val="none"/>
                <w:lang w:eastAsia="zh-CN"/>
              </w:rPr>
              <w:t>。</w:t>
            </w:r>
          </w:p>
          <w:p>
            <w:pPr>
              <w:pStyle w:val="149"/>
              <w:keepNext w:val="0"/>
              <w:keepLines w:val="0"/>
              <w:pageBreakBefore w:val="0"/>
              <w:kinsoku/>
              <w:wordWrap/>
              <w:overflowPunct/>
              <w:topLinePunct w:val="0"/>
              <w:autoSpaceDE/>
              <w:autoSpaceDN/>
              <w:bidi w:val="0"/>
              <w:adjustRightInd/>
              <w:snapToGrid/>
              <w:spacing w:before="2" w:line="240" w:lineRule="auto"/>
              <w:jc w:val="both"/>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color w:val="auto"/>
                <w:sz w:val="22"/>
                <w:szCs w:val="22"/>
                <w:highlight w:val="none"/>
              </w:rPr>
              <w:t>物资存放方案科学、合理、操作性强</w:t>
            </w:r>
            <w:r>
              <w:rPr>
                <w:rFonts w:hint="eastAsia" w:ascii="宋体" w:hAnsi="宋体" w:eastAsia="宋体" w:cs="宋体"/>
                <w:color w:val="auto"/>
                <w:sz w:val="22"/>
                <w:szCs w:val="22"/>
                <w:highlight w:val="none"/>
                <w:lang w:eastAsia="zh-CN"/>
              </w:rPr>
              <w:t>的视为满足</w:t>
            </w:r>
            <w:r>
              <w:rPr>
                <w:rFonts w:hint="eastAsia" w:ascii="宋体" w:hAnsi="宋体" w:eastAsia="宋体" w:cs="宋体"/>
                <w:bCs/>
                <w:color w:val="auto"/>
                <w:sz w:val="22"/>
                <w:szCs w:val="22"/>
                <w:highlight w:val="none"/>
                <w:lang w:eastAsia="zh-CN"/>
              </w:rPr>
              <w:t>采购需求</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完全满足采购需求</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得</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基本满足的得</w:t>
            </w:r>
            <w:r>
              <w:rPr>
                <w:rFonts w:hint="eastAsia" w:ascii="宋体" w:hAnsi="宋体" w:eastAsia="宋体" w:cs="宋体"/>
                <w:bCs/>
                <w:color w:val="auto"/>
                <w:sz w:val="22"/>
                <w:szCs w:val="22"/>
                <w:highlight w:val="none"/>
                <w:lang w:val="en-US" w:eastAsia="zh-CN"/>
              </w:rPr>
              <w:t>3分，</w:t>
            </w:r>
            <w:r>
              <w:rPr>
                <w:rFonts w:hint="eastAsia" w:ascii="宋体" w:hAnsi="宋体" w:eastAsia="宋体" w:cs="宋体"/>
                <w:b w:val="0"/>
                <w:bCs/>
                <w:color w:val="000000"/>
                <w:kern w:val="0"/>
                <w:sz w:val="22"/>
                <w:szCs w:val="22"/>
                <w:lang w:val="en-US" w:eastAsia="zh-CN" w:bidi="ar-SA"/>
              </w:rPr>
              <w:t>个别</w:t>
            </w:r>
            <w:r>
              <w:rPr>
                <w:rFonts w:hint="eastAsia" w:ascii="宋体" w:hAnsi="宋体" w:eastAsia="宋体" w:cs="宋体"/>
                <w:bCs/>
                <w:color w:val="auto"/>
                <w:sz w:val="22"/>
                <w:szCs w:val="22"/>
                <w:highlight w:val="none"/>
                <w:lang w:eastAsia="zh-CN"/>
              </w:rPr>
              <w:t>满足</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分，不符合或未提供</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不得分。共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69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1"/>
                <w:sz w:val="22"/>
                <w:szCs w:val="22"/>
                <w:highlight w:val="none"/>
              </w:rPr>
            </w:pPr>
          </w:p>
        </w:tc>
        <w:tc>
          <w:tcPr>
            <w:tcW w:w="1429" w:type="dxa"/>
            <w:vMerge w:val="continue"/>
            <w:noWrap w:val="0"/>
            <w:vAlign w:val="center"/>
          </w:tcPr>
          <w:p>
            <w:pPr>
              <w:pStyle w:val="149"/>
              <w:keepNext w:val="0"/>
              <w:keepLines w:val="0"/>
              <w:pageBreakBefore w:val="0"/>
              <w:kinsoku/>
              <w:wordWrap/>
              <w:overflowPunct/>
              <w:topLinePunct w:val="0"/>
              <w:autoSpaceDE/>
              <w:autoSpaceDN/>
              <w:bidi w:val="0"/>
              <w:adjustRightInd/>
              <w:snapToGrid/>
              <w:spacing w:before="161" w:line="240" w:lineRule="auto"/>
              <w:ind w:right="189" w:rightChars="0"/>
              <w:jc w:val="center"/>
              <w:textAlignment w:val="auto"/>
              <w:rPr>
                <w:rFonts w:hint="eastAsia" w:ascii="宋体" w:hAnsi="宋体" w:eastAsia="宋体" w:cs="宋体"/>
                <w:color w:val="auto"/>
                <w:sz w:val="22"/>
                <w:szCs w:val="22"/>
                <w:highlight w:val="none"/>
                <w:lang w:val="en-US" w:eastAsia="zh-CN"/>
              </w:rPr>
            </w:pPr>
          </w:p>
        </w:tc>
        <w:tc>
          <w:tcPr>
            <w:tcW w:w="7263"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snapToGrid w:val="0"/>
                <w:color w:val="auto"/>
                <w:kern w:val="0"/>
                <w:sz w:val="22"/>
                <w:szCs w:val="22"/>
                <w:highlight w:val="none"/>
                <w:lang w:eastAsia="zh-CN"/>
              </w:rPr>
              <w:t>含</w:t>
            </w:r>
            <w:r>
              <w:rPr>
                <w:rFonts w:hint="eastAsia" w:ascii="宋体" w:hAnsi="宋体" w:eastAsia="宋体" w:cs="宋体"/>
                <w:color w:val="auto"/>
                <w:sz w:val="22"/>
                <w:szCs w:val="22"/>
                <w:highlight w:val="none"/>
              </w:rPr>
              <w:t>工作方法的选择</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工作量安排及组织保障措施等</w:t>
            </w:r>
            <w:r>
              <w:rPr>
                <w:rFonts w:hint="eastAsia" w:ascii="宋体" w:hAnsi="宋体" w:eastAsia="宋体" w:cs="宋体"/>
                <w:color w:val="auto"/>
                <w:sz w:val="22"/>
                <w:szCs w:val="22"/>
                <w:highlight w:val="none"/>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工作方法及工作量安排合理、组织保障措施具有针对性</w:t>
            </w:r>
            <w:r>
              <w:rPr>
                <w:rFonts w:hint="eastAsia" w:ascii="宋体" w:hAnsi="宋体" w:eastAsia="宋体" w:cs="宋体"/>
                <w:color w:val="auto"/>
                <w:sz w:val="22"/>
                <w:szCs w:val="22"/>
                <w:highlight w:val="none"/>
                <w:lang w:eastAsia="zh-CN"/>
              </w:rPr>
              <w:t>、可操作性的视为满足</w:t>
            </w:r>
            <w:r>
              <w:rPr>
                <w:rFonts w:hint="eastAsia" w:ascii="宋体" w:hAnsi="宋体" w:eastAsia="宋体" w:cs="宋体"/>
                <w:bCs/>
                <w:color w:val="auto"/>
                <w:sz w:val="22"/>
                <w:szCs w:val="22"/>
                <w:highlight w:val="none"/>
                <w:lang w:eastAsia="zh-CN"/>
              </w:rPr>
              <w:t>采购需求</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完全满足采购需求</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得</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基本满足的得</w:t>
            </w:r>
            <w:r>
              <w:rPr>
                <w:rFonts w:hint="eastAsia" w:ascii="宋体" w:hAnsi="宋体" w:eastAsia="宋体" w:cs="宋体"/>
                <w:bCs/>
                <w:color w:val="auto"/>
                <w:sz w:val="22"/>
                <w:szCs w:val="22"/>
                <w:highlight w:val="none"/>
                <w:lang w:val="en-US" w:eastAsia="zh-CN"/>
              </w:rPr>
              <w:t>3分，</w:t>
            </w:r>
            <w:r>
              <w:rPr>
                <w:rFonts w:hint="eastAsia" w:ascii="宋体" w:hAnsi="宋体" w:eastAsia="宋体" w:cs="宋体"/>
                <w:b w:val="0"/>
                <w:bCs/>
                <w:color w:val="000000"/>
                <w:kern w:val="0"/>
                <w:sz w:val="22"/>
                <w:szCs w:val="22"/>
                <w:lang w:val="en-US" w:eastAsia="zh-CN" w:bidi="ar-SA"/>
              </w:rPr>
              <w:t>个别</w:t>
            </w:r>
            <w:r>
              <w:rPr>
                <w:rFonts w:hint="eastAsia" w:ascii="宋体" w:hAnsi="宋体" w:eastAsia="宋体" w:cs="宋体"/>
                <w:bCs/>
                <w:color w:val="auto"/>
                <w:sz w:val="22"/>
                <w:szCs w:val="22"/>
                <w:highlight w:val="none"/>
                <w:lang w:eastAsia="zh-CN"/>
              </w:rPr>
              <w:t>满足</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分，不符合或未提供</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不得分。共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69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1"/>
                <w:sz w:val="22"/>
                <w:szCs w:val="22"/>
                <w:highlight w:val="none"/>
              </w:rPr>
            </w:pPr>
          </w:p>
        </w:tc>
        <w:tc>
          <w:tcPr>
            <w:tcW w:w="1429" w:type="dxa"/>
            <w:vMerge w:val="continue"/>
            <w:noWrap w:val="0"/>
            <w:vAlign w:val="center"/>
          </w:tcPr>
          <w:p>
            <w:pPr>
              <w:pStyle w:val="149"/>
              <w:keepNext w:val="0"/>
              <w:keepLines w:val="0"/>
              <w:pageBreakBefore w:val="0"/>
              <w:kinsoku/>
              <w:wordWrap/>
              <w:overflowPunct/>
              <w:topLinePunct w:val="0"/>
              <w:autoSpaceDE/>
              <w:autoSpaceDN/>
              <w:bidi w:val="0"/>
              <w:adjustRightInd/>
              <w:snapToGrid/>
              <w:spacing w:before="161" w:line="240" w:lineRule="auto"/>
              <w:ind w:right="189" w:rightChars="0"/>
              <w:jc w:val="center"/>
              <w:textAlignment w:val="auto"/>
              <w:rPr>
                <w:rFonts w:hint="eastAsia" w:ascii="宋体" w:hAnsi="宋体" w:eastAsia="宋体" w:cs="宋体"/>
                <w:color w:val="auto"/>
                <w:sz w:val="22"/>
                <w:szCs w:val="22"/>
                <w:highlight w:val="none"/>
                <w:lang w:val="en-US" w:eastAsia="zh-CN"/>
              </w:rPr>
            </w:pPr>
          </w:p>
        </w:tc>
        <w:tc>
          <w:tcPr>
            <w:tcW w:w="7263"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根据投标人针对本项目制定</w:t>
            </w:r>
            <w:r>
              <w:rPr>
                <w:rFonts w:hint="eastAsia" w:ascii="宋体" w:hAnsi="宋体" w:eastAsia="宋体" w:cs="宋体"/>
                <w:color w:val="auto"/>
                <w:sz w:val="22"/>
                <w:szCs w:val="22"/>
                <w:highlight w:val="none"/>
                <w:lang w:eastAsia="zh-CN"/>
              </w:rPr>
              <w:t>的土壤培肥改良的</w:t>
            </w:r>
            <w:r>
              <w:rPr>
                <w:rFonts w:hint="eastAsia" w:ascii="宋体" w:hAnsi="宋体" w:eastAsia="宋体" w:cs="宋体"/>
                <w:color w:val="auto"/>
                <w:sz w:val="22"/>
                <w:szCs w:val="22"/>
                <w:highlight w:val="none"/>
              </w:rPr>
              <w:t>实施进度计划进行评审。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实施进度计划</w:t>
            </w:r>
            <w:r>
              <w:rPr>
                <w:rFonts w:hint="eastAsia" w:ascii="宋体" w:hAnsi="宋体" w:eastAsia="宋体" w:cs="宋体"/>
                <w:color w:val="auto"/>
                <w:sz w:val="22"/>
                <w:szCs w:val="22"/>
                <w:highlight w:val="none"/>
                <w:lang w:val="en-US" w:eastAsia="zh-CN"/>
              </w:rPr>
              <w:t>详尽、科学</w:t>
            </w:r>
            <w:r>
              <w:rPr>
                <w:rFonts w:hint="eastAsia" w:ascii="宋体" w:hAnsi="宋体" w:eastAsia="宋体" w:cs="宋体"/>
                <w:color w:val="auto"/>
                <w:sz w:val="22"/>
                <w:szCs w:val="22"/>
                <w:highlight w:val="none"/>
              </w:rPr>
              <w:t>合理，在</w:t>
            </w:r>
            <w:r>
              <w:rPr>
                <w:rFonts w:hint="eastAsia" w:ascii="宋体" w:hAnsi="宋体" w:eastAsia="宋体" w:cs="宋体"/>
                <w:color w:val="auto"/>
                <w:sz w:val="22"/>
                <w:szCs w:val="22"/>
                <w:highlight w:val="none"/>
                <w:lang w:val="en-US" w:eastAsia="zh-CN"/>
              </w:rPr>
              <w:t>改良培肥期</w:t>
            </w:r>
            <w:r>
              <w:rPr>
                <w:rFonts w:hint="eastAsia" w:ascii="宋体" w:hAnsi="宋体" w:eastAsia="宋体" w:cs="宋体"/>
                <w:color w:val="auto"/>
                <w:sz w:val="22"/>
                <w:szCs w:val="22"/>
                <w:highlight w:val="none"/>
              </w:rPr>
              <w:t>内可保质保量完成工作</w:t>
            </w:r>
            <w:r>
              <w:rPr>
                <w:rFonts w:hint="eastAsia" w:ascii="宋体" w:hAnsi="宋体" w:eastAsia="宋体" w:cs="宋体"/>
                <w:color w:val="auto"/>
                <w:sz w:val="22"/>
                <w:szCs w:val="22"/>
                <w:highlight w:val="none"/>
                <w:lang w:eastAsia="zh-CN"/>
              </w:rPr>
              <w:t>的视为满足</w:t>
            </w:r>
            <w:r>
              <w:rPr>
                <w:rFonts w:hint="eastAsia" w:ascii="宋体" w:hAnsi="宋体" w:eastAsia="宋体" w:cs="宋体"/>
                <w:bCs/>
                <w:color w:val="auto"/>
                <w:sz w:val="22"/>
                <w:szCs w:val="22"/>
                <w:highlight w:val="none"/>
                <w:lang w:eastAsia="zh-CN"/>
              </w:rPr>
              <w:t>采购需求</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完全满足采购需求</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得</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基本满足的得</w:t>
            </w:r>
            <w:r>
              <w:rPr>
                <w:rFonts w:hint="eastAsia" w:ascii="宋体" w:hAnsi="宋体" w:eastAsia="宋体" w:cs="宋体"/>
                <w:bCs/>
                <w:color w:val="auto"/>
                <w:sz w:val="22"/>
                <w:szCs w:val="22"/>
                <w:highlight w:val="none"/>
                <w:lang w:val="en-US" w:eastAsia="zh-CN"/>
              </w:rPr>
              <w:t>3分，</w:t>
            </w:r>
            <w:r>
              <w:rPr>
                <w:rFonts w:hint="eastAsia" w:ascii="宋体" w:hAnsi="宋体" w:eastAsia="宋体" w:cs="宋体"/>
                <w:b w:val="0"/>
                <w:bCs/>
                <w:color w:val="000000"/>
                <w:kern w:val="0"/>
                <w:sz w:val="22"/>
                <w:szCs w:val="22"/>
                <w:lang w:val="en-US" w:eastAsia="zh-CN" w:bidi="ar-SA"/>
              </w:rPr>
              <w:t>个别</w:t>
            </w:r>
            <w:r>
              <w:rPr>
                <w:rFonts w:hint="eastAsia" w:ascii="宋体" w:hAnsi="宋体" w:eastAsia="宋体" w:cs="宋体"/>
                <w:bCs/>
                <w:color w:val="auto"/>
                <w:sz w:val="22"/>
                <w:szCs w:val="22"/>
                <w:highlight w:val="none"/>
                <w:lang w:eastAsia="zh-CN"/>
              </w:rPr>
              <w:t>满足</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分，不符合或未提供</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不得分。共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6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6</w:t>
            </w:r>
          </w:p>
        </w:tc>
        <w:tc>
          <w:tcPr>
            <w:tcW w:w="1429" w:type="dxa"/>
            <w:noWrap w:val="0"/>
            <w:vAlign w:val="center"/>
          </w:tcPr>
          <w:p>
            <w:pPr>
              <w:pStyle w:val="149"/>
              <w:keepNext w:val="0"/>
              <w:keepLines w:val="0"/>
              <w:pageBreakBefore w:val="0"/>
              <w:kinsoku/>
              <w:wordWrap/>
              <w:overflowPunct/>
              <w:topLinePunct w:val="0"/>
              <w:autoSpaceDE/>
              <w:autoSpaceDN/>
              <w:bidi w:val="0"/>
              <w:adjustRightInd/>
              <w:snapToGrid/>
              <w:spacing w:line="240" w:lineRule="auto"/>
              <w:ind w:right="206"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应急保障措施</w:t>
            </w:r>
          </w:p>
        </w:tc>
        <w:tc>
          <w:tcPr>
            <w:tcW w:w="7263" w:type="dxa"/>
            <w:noWrap w:val="0"/>
            <w:vAlign w:val="center"/>
          </w:tcPr>
          <w:p>
            <w:pPr>
              <w:pStyle w:val="149"/>
              <w:keepNext w:val="0"/>
              <w:keepLines w:val="0"/>
              <w:pageBreakBefore w:val="0"/>
              <w:kinsoku/>
              <w:wordWrap/>
              <w:overflowPunct/>
              <w:topLinePunct w:val="0"/>
              <w:autoSpaceDE/>
              <w:autoSpaceDN/>
              <w:bidi w:val="0"/>
              <w:adjustRightInd/>
              <w:snapToGrid/>
              <w:spacing w:before="3" w:line="240" w:lineRule="auto"/>
              <w:ind w:left="107" w:leftChars="0"/>
              <w:jc w:val="both"/>
              <w:textAlignment w:val="auto"/>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eastAsia="zh-CN"/>
              </w:rPr>
              <w:t>包括</w:t>
            </w:r>
            <w:r>
              <w:rPr>
                <w:rFonts w:hint="eastAsia" w:ascii="宋体" w:hAnsi="宋体" w:eastAsia="宋体" w:cs="宋体"/>
                <w:color w:val="auto"/>
                <w:spacing w:val="-1"/>
                <w:sz w:val="22"/>
                <w:szCs w:val="22"/>
                <w:highlight w:val="none"/>
              </w:rPr>
              <w:t>对</w:t>
            </w:r>
            <w:r>
              <w:rPr>
                <w:rFonts w:hint="eastAsia" w:ascii="宋体" w:hAnsi="宋体" w:eastAsia="宋体" w:cs="宋体"/>
                <w:color w:val="auto"/>
                <w:spacing w:val="-1"/>
                <w:sz w:val="22"/>
                <w:szCs w:val="22"/>
                <w:highlight w:val="none"/>
                <w:lang w:eastAsia="zh-CN"/>
              </w:rPr>
              <w:t>土壤</w:t>
            </w:r>
            <w:r>
              <w:rPr>
                <w:rFonts w:hint="eastAsia" w:ascii="宋体" w:hAnsi="宋体" w:eastAsia="宋体" w:cs="宋体"/>
                <w:color w:val="auto"/>
                <w:sz w:val="22"/>
                <w:szCs w:val="22"/>
                <w:highlight w:val="none"/>
                <w:lang w:val="en-US" w:eastAsia="zh-CN"/>
              </w:rPr>
              <w:t>改良培肥</w:t>
            </w:r>
            <w:r>
              <w:rPr>
                <w:rFonts w:hint="eastAsia" w:ascii="宋体" w:hAnsi="宋体" w:eastAsia="宋体" w:cs="宋体"/>
                <w:color w:val="auto"/>
                <w:spacing w:val="-1"/>
                <w:sz w:val="22"/>
                <w:szCs w:val="22"/>
                <w:highlight w:val="none"/>
              </w:rPr>
              <w:t>合同期内出现的</w:t>
            </w:r>
            <w:r>
              <w:rPr>
                <w:rFonts w:hint="eastAsia" w:ascii="宋体" w:hAnsi="宋体" w:eastAsia="宋体" w:cs="宋体"/>
                <w:color w:val="auto"/>
                <w:spacing w:val="-1"/>
                <w:sz w:val="22"/>
                <w:szCs w:val="22"/>
                <w:highlight w:val="none"/>
                <w:lang w:eastAsia="zh-CN"/>
              </w:rPr>
              <w:t>肥料或土壤指标</w:t>
            </w:r>
            <w:r>
              <w:rPr>
                <w:rFonts w:hint="eastAsia" w:ascii="宋体" w:hAnsi="宋体" w:eastAsia="宋体" w:cs="宋体"/>
                <w:color w:val="auto"/>
                <w:spacing w:val="-1"/>
                <w:sz w:val="22"/>
                <w:szCs w:val="22"/>
                <w:highlight w:val="none"/>
              </w:rPr>
              <w:t>质量问题或</w:t>
            </w:r>
            <w:r>
              <w:rPr>
                <w:rFonts w:hint="eastAsia" w:ascii="宋体" w:hAnsi="宋体" w:eastAsia="宋体" w:cs="宋体"/>
                <w:color w:val="auto"/>
                <w:spacing w:val="-1"/>
                <w:sz w:val="22"/>
                <w:szCs w:val="22"/>
                <w:highlight w:val="none"/>
                <w:lang w:eastAsia="zh-CN"/>
              </w:rPr>
              <w:t>其他</w:t>
            </w:r>
            <w:r>
              <w:rPr>
                <w:rFonts w:hint="eastAsia" w:ascii="宋体" w:hAnsi="宋体" w:eastAsia="宋体" w:cs="宋体"/>
                <w:color w:val="auto"/>
                <w:spacing w:val="-1"/>
                <w:sz w:val="22"/>
                <w:szCs w:val="22"/>
                <w:highlight w:val="none"/>
              </w:rPr>
              <w:t>突发状况处理的</w:t>
            </w:r>
            <w:r>
              <w:rPr>
                <w:rFonts w:hint="eastAsia" w:ascii="宋体" w:hAnsi="宋体" w:eastAsia="宋体" w:cs="宋体"/>
                <w:color w:val="auto"/>
                <w:spacing w:val="-1"/>
                <w:sz w:val="22"/>
                <w:szCs w:val="22"/>
                <w:highlight w:val="none"/>
                <w:lang w:eastAsia="zh-CN"/>
              </w:rPr>
              <w:t>应急</w:t>
            </w:r>
            <w:r>
              <w:rPr>
                <w:rFonts w:hint="eastAsia" w:ascii="宋体" w:hAnsi="宋体" w:eastAsia="宋体" w:cs="宋体"/>
                <w:color w:val="auto"/>
                <w:spacing w:val="-1"/>
                <w:sz w:val="22"/>
                <w:szCs w:val="22"/>
                <w:highlight w:val="none"/>
              </w:rPr>
              <w:t>响应时间</w:t>
            </w:r>
            <w:r>
              <w:rPr>
                <w:rFonts w:hint="eastAsia" w:ascii="宋体" w:hAnsi="宋体" w:eastAsia="宋体" w:cs="宋体"/>
                <w:color w:val="auto"/>
                <w:spacing w:val="-1"/>
                <w:sz w:val="22"/>
                <w:szCs w:val="22"/>
                <w:highlight w:val="none"/>
                <w:lang w:eastAsia="zh-CN"/>
              </w:rPr>
              <w:t>承诺</w:t>
            </w:r>
            <w:r>
              <w:rPr>
                <w:rFonts w:hint="eastAsia" w:ascii="宋体" w:hAnsi="宋体" w:eastAsia="宋体" w:cs="宋体"/>
                <w:color w:val="auto"/>
                <w:spacing w:val="-1"/>
                <w:sz w:val="22"/>
                <w:szCs w:val="22"/>
                <w:highlight w:val="none"/>
              </w:rPr>
              <w:t>、处理方案等。</w:t>
            </w:r>
          </w:p>
          <w:p>
            <w:pPr>
              <w:pStyle w:val="149"/>
              <w:keepNext w:val="0"/>
              <w:keepLines w:val="0"/>
              <w:pageBreakBefore w:val="0"/>
              <w:kinsoku/>
              <w:wordWrap/>
              <w:overflowPunct/>
              <w:topLinePunct w:val="0"/>
              <w:autoSpaceDE/>
              <w:autoSpaceDN/>
              <w:bidi w:val="0"/>
              <w:adjustRightInd/>
              <w:snapToGrid/>
              <w:spacing w:before="3" w:line="240" w:lineRule="auto"/>
              <w:ind w:left="107" w:left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方案完整、</w:t>
            </w:r>
            <w:r>
              <w:rPr>
                <w:rFonts w:hint="eastAsia" w:ascii="宋体" w:hAnsi="宋体" w:eastAsia="宋体" w:cs="宋体"/>
                <w:color w:val="auto"/>
                <w:sz w:val="22"/>
                <w:szCs w:val="22"/>
                <w:highlight w:val="none"/>
              </w:rPr>
              <w:t>科学、合理、操作性强</w:t>
            </w:r>
            <w:r>
              <w:rPr>
                <w:rFonts w:hint="eastAsia" w:ascii="宋体" w:hAnsi="宋体" w:eastAsia="宋体" w:cs="宋体"/>
                <w:color w:val="auto"/>
                <w:sz w:val="22"/>
                <w:szCs w:val="22"/>
                <w:highlight w:val="none"/>
                <w:lang w:eastAsia="zh-CN"/>
              </w:rPr>
              <w:t>的视为满足</w:t>
            </w:r>
            <w:r>
              <w:rPr>
                <w:rFonts w:hint="eastAsia" w:ascii="宋体" w:hAnsi="宋体" w:eastAsia="宋体" w:cs="宋体"/>
                <w:bCs/>
                <w:color w:val="auto"/>
                <w:sz w:val="22"/>
                <w:szCs w:val="22"/>
                <w:highlight w:val="none"/>
                <w:lang w:eastAsia="zh-CN"/>
              </w:rPr>
              <w:t>采购需求</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完全满足采购需求</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得</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基本满足的得</w:t>
            </w:r>
            <w:r>
              <w:rPr>
                <w:rFonts w:hint="eastAsia" w:ascii="宋体" w:hAnsi="宋体" w:eastAsia="宋体" w:cs="宋体"/>
                <w:bCs/>
                <w:color w:val="auto"/>
                <w:sz w:val="22"/>
                <w:szCs w:val="22"/>
                <w:highlight w:val="none"/>
                <w:lang w:val="en-US" w:eastAsia="zh-CN"/>
              </w:rPr>
              <w:t>3分，</w:t>
            </w:r>
            <w:r>
              <w:rPr>
                <w:rFonts w:hint="eastAsia" w:ascii="宋体" w:hAnsi="宋体" w:eastAsia="宋体" w:cs="宋体"/>
                <w:b w:val="0"/>
                <w:bCs/>
                <w:color w:val="000000"/>
                <w:kern w:val="0"/>
                <w:sz w:val="22"/>
                <w:szCs w:val="22"/>
                <w:lang w:val="en-US" w:eastAsia="zh-CN" w:bidi="ar-SA"/>
              </w:rPr>
              <w:t>个别</w:t>
            </w:r>
            <w:r>
              <w:rPr>
                <w:rFonts w:hint="eastAsia" w:ascii="宋体" w:hAnsi="宋体" w:eastAsia="宋体" w:cs="宋体"/>
                <w:bCs/>
                <w:color w:val="auto"/>
                <w:sz w:val="22"/>
                <w:szCs w:val="22"/>
                <w:highlight w:val="none"/>
                <w:lang w:eastAsia="zh-CN"/>
              </w:rPr>
              <w:t>满足</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分，不符合或未提供</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不得分。共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Style w:val="105"/>
                <w:rFonts w:hint="eastAsia" w:ascii="宋体" w:hAnsi="宋体" w:eastAsia="宋体" w:cs="宋体"/>
                <w:b w:val="0"/>
                <w:bCs w:val="0"/>
                <w:color w:val="auto"/>
                <w:sz w:val="22"/>
                <w:szCs w:val="22"/>
                <w:highlight w:val="none"/>
                <w:lang w:val="en-US"/>
              </w:rPr>
            </w:pPr>
            <w:r>
              <w:rPr>
                <w:rStyle w:val="105"/>
                <w:rFonts w:hint="eastAsia" w:ascii="宋体" w:hAnsi="宋体" w:eastAsia="宋体" w:cs="宋体"/>
                <w:b w:val="0"/>
                <w:bCs w:val="0"/>
                <w:color w:val="auto"/>
                <w:sz w:val="22"/>
                <w:szCs w:val="22"/>
                <w:highlight w:val="none"/>
                <w:lang w:val="en-US"/>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1"/>
                <w:sz w:val="22"/>
                <w:szCs w:val="22"/>
                <w:highlight w:val="none"/>
                <w:lang w:val="en-US" w:eastAsia="zh-CN"/>
              </w:rPr>
            </w:pPr>
            <w:r>
              <w:rPr>
                <w:rFonts w:hint="eastAsia" w:ascii="宋体" w:hAnsi="宋体" w:eastAsia="宋体" w:cs="宋体"/>
                <w:b w:val="0"/>
                <w:bCs w:val="0"/>
                <w:color w:val="auto"/>
                <w:kern w:val="21"/>
                <w:sz w:val="22"/>
                <w:szCs w:val="22"/>
                <w:highlight w:val="none"/>
                <w:lang w:val="en-US" w:eastAsia="zh-CN"/>
              </w:rPr>
              <w:t>7</w:t>
            </w:r>
          </w:p>
        </w:tc>
        <w:tc>
          <w:tcPr>
            <w:tcW w:w="142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1"/>
                <w:sz w:val="22"/>
                <w:szCs w:val="22"/>
                <w:highlight w:val="none"/>
              </w:rPr>
            </w:pPr>
            <w:r>
              <w:rPr>
                <w:rFonts w:hint="eastAsia" w:ascii="宋体" w:hAnsi="宋体" w:eastAsia="宋体" w:cs="宋体"/>
                <w:color w:val="auto"/>
                <w:sz w:val="22"/>
                <w:szCs w:val="22"/>
                <w:highlight w:val="none"/>
              </w:rPr>
              <w:t>验收方案</w:t>
            </w:r>
          </w:p>
        </w:tc>
        <w:tc>
          <w:tcPr>
            <w:tcW w:w="726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根据投标单位提供的验收方案，包括</w:t>
            </w:r>
            <w:r>
              <w:rPr>
                <w:rFonts w:hint="eastAsia" w:ascii="宋体" w:hAnsi="宋体" w:eastAsia="宋体" w:cs="宋体"/>
                <w:color w:val="auto"/>
                <w:sz w:val="22"/>
                <w:szCs w:val="22"/>
                <w:highlight w:val="none"/>
                <w:lang w:val="en-US" w:eastAsia="zh-CN"/>
              </w:rPr>
              <w:t>改良培肥</w:t>
            </w:r>
            <w:r>
              <w:rPr>
                <w:rFonts w:hint="eastAsia" w:ascii="宋体" w:hAnsi="宋体" w:eastAsia="宋体" w:cs="宋体"/>
                <w:color w:val="auto"/>
                <w:sz w:val="22"/>
                <w:szCs w:val="22"/>
                <w:highlight w:val="none"/>
              </w:rPr>
              <w:t>验收流程、</w:t>
            </w:r>
            <w:r>
              <w:rPr>
                <w:rFonts w:hint="eastAsia" w:ascii="宋体" w:hAnsi="宋体" w:eastAsia="宋体" w:cs="宋体"/>
                <w:color w:val="auto"/>
                <w:sz w:val="22"/>
                <w:szCs w:val="22"/>
                <w:highlight w:val="none"/>
                <w:lang w:eastAsia="zh-CN"/>
              </w:rPr>
              <w:t>验收标准、</w:t>
            </w:r>
            <w:r>
              <w:rPr>
                <w:rFonts w:hint="eastAsia" w:ascii="宋体" w:hAnsi="宋体" w:eastAsia="宋体" w:cs="宋体"/>
                <w:color w:val="auto"/>
                <w:sz w:val="22"/>
                <w:szCs w:val="22"/>
                <w:highlight w:val="none"/>
              </w:rPr>
              <w:t>抽样检测等内容进行评分。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验收方案完整、科学、</w:t>
            </w:r>
            <w:r>
              <w:rPr>
                <w:rFonts w:hint="eastAsia" w:ascii="宋体" w:hAnsi="宋体" w:eastAsia="宋体" w:cs="宋体"/>
                <w:color w:val="auto"/>
                <w:sz w:val="22"/>
                <w:szCs w:val="22"/>
                <w:highlight w:val="none"/>
                <w:lang w:eastAsia="zh-Hans"/>
              </w:rPr>
              <w:t>合理可行</w:t>
            </w:r>
            <w:r>
              <w:rPr>
                <w:rFonts w:hint="eastAsia" w:ascii="宋体" w:hAnsi="宋体" w:eastAsia="宋体" w:cs="宋体"/>
                <w:color w:val="auto"/>
                <w:sz w:val="22"/>
                <w:szCs w:val="22"/>
                <w:highlight w:val="none"/>
                <w:lang w:eastAsia="zh-CN"/>
              </w:rPr>
              <w:t>的视为满足</w:t>
            </w:r>
            <w:r>
              <w:rPr>
                <w:rFonts w:hint="eastAsia" w:ascii="宋体" w:hAnsi="宋体" w:eastAsia="宋体" w:cs="宋体"/>
                <w:bCs/>
                <w:color w:val="auto"/>
                <w:sz w:val="22"/>
                <w:szCs w:val="22"/>
                <w:highlight w:val="none"/>
                <w:lang w:eastAsia="zh-CN"/>
              </w:rPr>
              <w:t>采购需求</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完全满足采购需求</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得</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基本满足的得</w:t>
            </w:r>
            <w:r>
              <w:rPr>
                <w:rFonts w:hint="eastAsia" w:ascii="宋体" w:hAnsi="宋体" w:eastAsia="宋体" w:cs="宋体"/>
                <w:bCs/>
                <w:color w:val="auto"/>
                <w:sz w:val="22"/>
                <w:szCs w:val="22"/>
                <w:highlight w:val="none"/>
                <w:lang w:val="en-US" w:eastAsia="zh-CN"/>
              </w:rPr>
              <w:t>3分，</w:t>
            </w:r>
            <w:r>
              <w:rPr>
                <w:rFonts w:hint="eastAsia" w:ascii="宋体" w:hAnsi="宋体" w:eastAsia="宋体" w:cs="宋体"/>
                <w:b w:val="0"/>
                <w:bCs/>
                <w:color w:val="000000"/>
                <w:kern w:val="0"/>
                <w:sz w:val="22"/>
                <w:szCs w:val="22"/>
                <w:lang w:val="en-US" w:eastAsia="zh-CN" w:bidi="ar-SA"/>
              </w:rPr>
              <w:t>个别</w:t>
            </w:r>
            <w:r>
              <w:rPr>
                <w:rFonts w:hint="eastAsia" w:ascii="宋体" w:hAnsi="宋体" w:eastAsia="宋体" w:cs="宋体"/>
                <w:bCs/>
                <w:color w:val="auto"/>
                <w:sz w:val="22"/>
                <w:szCs w:val="22"/>
                <w:highlight w:val="none"/>
                <w:lang w:eastAsia="zh-CN"/>
              </w:rPr>
              <w:t>满足</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分，不符合或未提供</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不得分。共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tc>
        <w:tc>
          <w:tcPr>
            <w:tcW w:w="8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p>
        </w:tc>
      </w:tr>
    </w:tbl>
    <w:p>
      <w:pPr>
        <w:keepNext w:val="0"/>
        <w:keepLines w:val="0"/>
        <w:pageBreakBefore w:val="0"/>
        <w:widowControl/>
        <w:kinsoku/>
        <w:wordWrap/>
        <w:overflowPunct/>
        <w:topLinePunct w:val="0"/>
        <w:autoSpaceDE w:val="0"/>
        <w:autoSpaceDN w:val="0"/>
        <w:bidi w:val="0"/>
        <w:adjustRightInd/>
        <w:snapToGrid w:val="0"/>
        <w:spacing w:line="240" w:lineRule="auto"/>
        <w:jc w:val="left"/>
        <w:textAlignment w:val="auto"/>
        <w:rPr>
          <w:rFonts w:hAnsi="Courier New"/>
          <w:color w:val="auto"/>
          <w:sz w:val="22"/>
          <w:highlight w:val="none"/>
        </w:rPr>
      </w:pPr>
      <w:r>
        <w:rPr>
          <w:rFonts w:hint="eastAsia" w:hAnsi="Courier New"/>
          <w:color w:val="auto"/>
          <w:sz w:val="22"/>
          <w:highlight w:val="none"/>
          <w:lang w:eastAsia="zh-CN"/>
        </w:rPr>
        <w:t>（三）</w:t>
      </w:r>
      <w:r>
        <w:rPr>
          <w:rFonts w:hAnsi="Courier New"/>
          <w:color w:val="auto"/>
          <w:sz w:val="22"/>
          <w:highlight w:val="none"/>
        </w:rPr>
        <w:t>说明</w:t>
      </w:r>
    </w:p>
    <w:p>
      <w:pPr>
        <w:pStyle w:val="20"/>
        <w:keepNext w:val="0"/>
        <w:keepLines w:val="0"/>
        <w:pageBreakBefore w:val="0"/>
        <w:kinsoku/>
        <w:wordWrap/>
        <w:overflowPunct/>
        <w:topLinePunct w:val="0"/>
        <w:bidi w:val="0"/>
        <w:adjustRightInd/>
        <w:spacing w:after="0" w:line="240" w:lineRule="auto"/>
        <w:ind w:firstLine="0"/>
        <w:textAlignment w:val="auto"/>
        <w:rPr>
          <w:rFonts w:hint="eastAsia" w:ascii="宋体" w:hAnsi="宋体" w:cs="宋体"/>
          <w:b w:val="0"/>
          <w:bCs/>
          <w:color w:val="auto"/>
          <w:sz w:val="22"/>
          <w:highlight w:val="none"/>
        </w:rPr>
      </w:pPr>
      <w:r>
        <w:rPr>
          <w:rFonts w:hint="eastAsia" w:ascii="宋体" w:hAnsi="宋体" w:cs="宋体"/>
          <w:b w:val="0"/>
          <w:bCs/>
          <w:color w:val="auto"/>
          <w:sz w:val="22"/>
          <w:highlight w:val="none"/>
        </w:rPr>
        <w:t>1、每个供应商最终得分=技术资信部分分值（所有评标委员会成员的算术平均值）＋商务报价部分分值。</w:t>
      </w:r>
    </w:p>
    <w:p>
      <w:pPr>
        <w:pStyle w:val="20"/>
        <w:keepNext w:val="0"/>
        <w:keepLines w:val="0"/>
        <w:pageBreakBefore w:val="0"/>
        <w:kinsoku/>
        <w:wordWrap/>
        <w:overflowPunct/>
        <w:topLinePunct w:val="0"/>
        <w:bidi w:val="0"/>
        <w:adjustRightInd/>
        <w:spacing w:after="0" w:line="240" w:lineRule="auto"/>
        <w:ind w:firstLine="0"/>
        <w:textAlignment w:val="auto"/>
        <w:rPr>
          <w:rFonts w:hint="eastAsia" w:ascii="宋体" w:hAnsi="宋体" w:cs="宋体"/>
          <w:b w:val="0"/>
          <w:bCs/>
          <w:color w:val="auto"/>
          <w:sz w:val="22"/>
          <w:highlight w:val="none"/>
        </w:rPr>
      </w:pPr>
      <w:r>
        <w:rPr>
          <w:rFonts w:hint="eastAsia" w:ascii="宋体" w:hAnsi="宋体" w:cs="宋体"/>
          <w:b w:val="0"/>
          <w:bCs/>
          <w:color w:val="auto"/>
          <w:sz w:val="22"/>
          <w:highlight w:val="none"/>
        </w:rPr>
        <w:t>2、所有分值计算保留小数点后两位，小数点后三位四舍五入。</w:t>
      </w:r>
    </w:p>
    <w:p>
      <w:pPr>
        <w:keepNext w:val="0"/>
        <w:keepLines w:val="0"/>
        <w:pageBreakBefore w:val="0"/>
        <w:widowControl/>
        <w:kinsoku/>
        <w:wordWrap/>
        <w:overflowPunct/>
        <w:topLinePunct w:val="0"/>
        <w:autoSpaceDE/>
        <w:autoSpaceDN/>
        <w:bidi w:val="0"/>
        <w:adjustRightInd/>
        <w:snapToGrid w:val="0"/>
        <w:spacing w:line="240" w:lineRule="auto"/>
        <w:ind w:firstLine="220" w:firstLineChars="100"/>
        <w:jc w:val="left"/>
        <w:textAlignment w:val="auto"/>
        <w:rPr>
          <w:color w:val="auto"/>
          <w:sz w:val="22"/>
          <w:highlight w:val="none"/>
        </w:rPr>
      </w:pPr>
      <w:r>
        <w:rPr>
          <w:rFonts w:hint="eastAsia"/>
          <w:color w:val="auto"/>
          <w:sz w:val="22"/>
          <w:highlight w:val="none"/>
          <w:lang w:val="en-US" w:eastAsia="zh-CN"/>
        </w:rPr>
        <w:t>3</w:t>
      </w:r>
      <w:r>
        <w:rPr>
          <w:color w:val="auto"/>
          <w:sz w:val="22"/>
          <w:highlight w:val="none"/>
        </w:rPr>
        <w:t>、评标过程中遇到特殊情况，由评标委员会遵循公开、公正原则，采取投票方式按照少数服从多数原则决定。</w:t>
      </w:r>
    </w:p>
    <w:p>
      <w:pPr>
        <w:pStyle w:val="20"/>
        <w:keepNext w:val="0"/>
        <w:keepLines w:val="0"/>
        <w:pageBreakBefore w:val="0"/>
        <w:kinsoku/>
        <w:wordWrap/>
        <w:overflowPunct/>
        <w:topLinePunct w:val="0"/>
        <w:bidi w:val="0"/>
        <w:adjustRightInd/>
        <w:spacing w:after="0" w:line="240" w:lineRule="auto"/>
        <w:ind w:firstLine="0"/>
        <w:textAlignment w:val="auto"/>
        <w:rPr>
          <w:rFonts w:hint="eastAsia" w:ascii="仿宋" w:hAnsi="仿宋" w:eastAsia="仿宋" w:cs="仿宋"/>
          <w:b/>
          <w:bCs/>
          <w:color w:val="auto"/>
          <w:sz w:val="44"/>
          <w:szCs w:val="44"/>
          <w:highlight w:val="none"/>
        </w:rPr>
      </w:pPr>
      <w:r>
        <w:rPr>
          <w:rFonts w:hint="eastAsia" w:ascii="宋体" w:hAnsi="宋体" w:cs="宋体"/>
          <w:b w:val="0"/>
          <w:bCs/>
          <w:color w:val="auto"/>
          <w:sz w:val="22"/>
          <w:highlight w:val="none"/>
        </w:rPr>
        <w:t>参见本</w:t>
      </w:r>
      <w:r>
        <w:rPr>
          <w:rFonts w:hint="eastAsia" w:ascii="宋体" w:hAnsi="宋体" w:cs="宋体"/>
          <w:b w:val="0"/>
          <w:bCs/>
          <w:color w:val="auto"/>
          <w:sz w:val="22"/>
          <w:highlight w:val="none"/>
          <w:lang w:eastAsia="zh-CN"/>
        </w:rPr>
        <w:t>采购</w:t>
      </w:r>
      <w:r>
        <w:rPr>
          <w:rFonts w:hint="eastAsia" w:ascii="宋体" w:hAnsi="宋体" w:cs="宋体"/>
          <w:b w:val="0"/>
          <w:bCs/>
          <w:color w:val="auto"/>
          <w:sz w:val="22"/>
          <w:highlight w:val="none"/>
        </w:rPr>
        <w:t>文件第三部分：“供应商须知” 中的相关内容，未尽事宜按有关法律规定处理。</w:t>
      </w:r>
    </w:p>
    <w:p>
      <w:pPr>
        <w:keepNext w:val="0"/>
        <w:keepLines w:val="0"/>
        <w:pageBreakBefore w:val="0"/>
        <w:kinsoku/>
        <w:wordWrap/>
        <w:overflowPunct/>
        <w:topLinePunct w:val="0"/>
        <w:autoSpaceDE/>
        <w:autoSpaceDN/>
        <w:bidi w:val="0"/>
        <w:adjustRightInd/>
        <w:spacing w:line="360" w:lineRule="auto"/>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宋体" w:hAnsi="宋体" w:cs="宋体"/>
          <w:b/>
          <w:bCs/>
          <w:color w:val="auto"/>
          <w:sz w:val="32"/>
          <w:szCs w:val="32"/>
          <w:highlight w:val="none"/>
        </w:rPr>
        <w:sectPr>
          <w:pgSz w:w="11906" w:h="16838"/>
          <w:pgMar w:top="1440" w:right="1117" w:bottom="1440" w:left="1157"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质疑函范本</w:t>
      </w:r>
    </w:p>
    <w:p>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一、质疑供应商基本信息</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质疑供应商：</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地址：</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邮编：</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联系人：</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联系电话：</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授权代表：</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联系电话：</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 xml:space="preserve">地址： </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邮编：</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二、质疑项目基本情况</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质疑项目的名称：</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质疑项目的编号：</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包号：</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采购人名称：</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采购文件获取日期：</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三、质疑事项具体内容</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质疑事项1：</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事实依据：</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法律依据：</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质疑事项2</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四、与质疑事项相关的质疑请求</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请求：</w:t>
      </w:r>
      <w:r>
        <w:rPr>
          <w:rFonts w:hint="eastAsia" w:ascii="宋体" w:hAnsi="宋体" w:cs="宋体"/>
          <w:b w:val="0"/>
          <w:bCs w:val="0"/>
          <w:color w:val="auto"/>
          <w:szCs w:val="22"/>
          <w:highlight w:val="none"/>
          <w:u w:val="dotted"/>
        </w:rPr>
        <w:t xml:space="preserve">                                               </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 xml:space="preserve">签字(签章)：                   公章：                      </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 xml:space="preserve">日期：    </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b w:val="0"/>
          <w:bCs w:val="0"/>
          <w:color w:val="auto"/>
          <w:szCs w:val="22"/>
          <w:highlight w:val="none"/>
        </w:rPr>
      </w:pP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质疑函制作说明：</w:t>
      </w:r>
    </w:p>
    <w:p>
      <w:pPr>
        <w:keepNext w:val="0"/>
        <w:keepLines w:val="0"/>
        <w:pageBreakBefore w:val="0"/>
        <w:widowControl/>
        <w:kinsoku/>
        <w:wordWrap/>
        <w:overflowPunct/>
        <w:topLinePunct w:val="0"/>
        <w:autoSpaceDE/>
        <w:autoSpaceDN/>
        <w:bidi w:val="0"/>
        <w:snapToGrid/>
        <w:spacing w:line="360" w:lineRule="exact"/>
        <w:ind w:firstLine="42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1.供应商提出质疑时，应提交质疑函和必要的证明材料。</w:t>
      </w:r>
    </w:p>
    <w:p>
      <w:pPr>
        <w:keepNext w:val="0"/>
        <w:keepLines w:val="0"/>
        <w:pageBreakBefore w:val="0"/>
        <w:widowControl/>
        <w:kinsoku/>
        <w:wordWrap/>
        <w:overflowPunct/>
        <w:topLinePunct w:val="0"/>
        <w:autoSpaceDE/>
        <w:autoSpaceDN/>
        <w:bidi w:val="0"/>
        <w:snapToGrid/>
        <w:spacing w:line="360" w:lineRule="exact"/>
        <w:ind w:firstLine="42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napToGrid/>
        <w:spacing w:line="360" w:lineRule="exact"/>
        <w:ind w:firstLine="42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3.质疑供应商若对项目的某一分包进行质疑，质疑函中应列明具体分包号。</w:t>
      </w:r>
    </w:p>
    <w:p>
      <w:pPr>
        <w:keepNext w:val="0"/>
        <w:keepLines w:val="0"/>
        <w:pageBreakBefore w:val="0"/>
        <w:widowControl/>
        <w:kinsoku/>
        <w:wordWrap/>
        <w:overflowPunct/>
        <w:topLinePunct w:val="0"/>
        <w:autoSpaceDE/>
        <w:autoSpaceDN/>
        <w:bidi w:val="0"/>
        <w:snapToGrid/>
        <w:spacing w:line="360" w:lineRule="exact"/>
        <w:ind w:firstLine="42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4.质疑函的质疑事项应具体、明确，并有必要的事实依据和法律依据。</w:t>
      </w:r>
    </w:p>
    <w:p>
      <w:pPr>
        <w:keepNext w:val="0"/>
        <w:keepLines w:val="0"/>
        <w:pageBreakBefore w:val="0"/>
        <w:widowControl/>
        <w:kinsoku/>
        <w:wordWrap/>
        <w:overflowPunct/>
        <w:topLinePunct w:val="0"/>
        <w:autoSpaceDE/>
        <w:autoSpaceDN/>
        <w:bidi w:val="0"/>
        <w:snapToGrid/>
        <w:spacing w:line="360" w:lineRule="exact"/>
        <w:ind w:firstLine="42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5.质疑函的质疑请求应与质疑事项相关。</w:t>
      </w:r>
    </w:p>
    <w:p>
      <w:pPr>
        <w:snapToGrid w:val="0"/>
        <w:rPr>
          <w:rFonts w:hint="eastAsia"/>
          <w:b/>
          <w:bCs/>
          <w:color w:val="auto"/>
          <w:sz w:val="21"/>
          <w:szCs w:val="18"/>
          <w:highlight w:val="none"/>
        </w:rPr>
        <w:sectPr>
          <w:pgSz w:w="11906" w:h="16838"/>
          <w:pgMar w:top="1440" w:right="1117" w:bottom="1440" w:left="1157" w:header="851" w:footer="992" w:gutter="0"/>
          <w:cols w:space="720" w:num="1"/>
          <w:docGrid w:linePitch="312" w:charSpace="0"/>
        </w:sectPr>
      </w:pPr>
      <w:r>
        <w:rPr>
          <w:rFonts w:hint="eastAsia" w:ascii="宋体" w:hAnsi="宋体" w:cs="宋体"/>
          <w:b w:val="0"/>
          <w:bCs w:val="0"/>
          <w:color w:val="auto"/>
          <w:szCs w:val="22"/>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highlight w:val="none"/>
        </w:rPr>
        <w:br w:type="page"/>
      </w:r>
    </w:p>
    <w:p>
      <w:pPr>
        <w:pStyle w:val="148"/>
        <w:snapToGrid w:val="0"/>
        <w:spacing w:line="380" w:lineRule="exact"/>
        <w:ind w:firstLine="2560" w:firstLineChars="800"/>
        <w:rPr>
          <w:rFonts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t>政府采购活动现场确认声明书</w:t>
      </w:r>
    </w:p>
    <w:p>
      <w:pPr>
        <w:pStyle w:val="148"/>
        <w:snapToGrid w:val="0"/>
        <w:spacing w:line="380" w:lineRule="exact"/>
        <w:jc w:val="both"/>
        <w:rPr>
          <w:rFonts w:ascii="宋体" w:hAnsi="宋体"/>
          <w:color w:val="auto"/>
          <w:sz w:val="22"/>
          <w:szCs w:val="22"/>
          <w:highlight w:val="none"/>
          <w:u w:val="single"/>
        </w:rPr>
      </w:pPr>
      <w:r>
        <w:rPr>
          <w:rFonts w:hint="eastAsia" w:ascii="宋体" w:hAnsi="宋体"/>
          <w:color w:val="auto"/>
          <w:sz w:val="22"/>
          <w:szCs w:val="22"/>
          <w:highlight w:val="none"/>
          <w:u w:val="single"/>
        </w:rPr>
        <w:t>温州正大工程项目管理有限公司</w:t>
      </w:r>
      <w:r>
        <w:rPr>
          <w:rFonts w:ascii="宋体" w:hAnsi="宋体"/>
          <w:color w:val="auto"/>
          <w:sz w:val="22"/>
          <w:szCs w:val="22"/>
          <w:highlight w:val="none"/>
          <w:u w:val="single"/>
        </w:rPr>
        <w:t>：</w:t>
      </w:r>
    </w:p>
    <w:p>
      <w:pPr>
        <w:pStyle w:val="148"/>
        <w:snapToGrid w:val="0"/>
        <w:spacing w:line="380" w:lineRule="exact"/>
        <w:ind w:firstLine="464" w:firstLineChars="200"/>
        <w:jc w:val="both"/>
        <w:rPr>
          <w:rFonts w:ascii="宋体" w:hAnsi="宋体"/>
          <w:color w:val="auto"/>
          <w:spacing w:val="6"/>
          <w:sz w:val="22"/>
          <w:szCs w:val="22"/>
          <w:highlight w:val="none"/>
        </w:rPr>
      </w:pPr>
      <w:r>
        <w:rPr>
          <w:rFonts w:ascii="宋体" w:hAnsi="宋体"/>
          <w:color w:val="auto"/>
          <w:spacing w:val="6"/>
          <w:sz w:val="22"/>
          <w:szCs w:val="22"/>
          <w:highlight w:val="none"/>
          <w:u w:val="single"/>
        </w:rPr>
        <w:t>本人经由                            （单位）负责人        （姓名）合法授权参加</w:t>
      </w:r>
      <w:r>
        <w:rPr>
          <w:rFonts w:hint="eastAsia" w:ascii="宋体" w:hAnsi="宋体"/>
          <w:color w:val="auto"/>
          <w:spacing w:val="6"/>
          <w:sz w:val="22"/>
          <w:szCs w:val="22"/>
          <w:highlight w:val="none"/>
          <w:u w:val="single"/>
          <w:lang w:eastAsia="zh-CN"/>
        </w:rPr>
        <w:t>2024 年平阳县水头镇高标准农田改造提升示范项目（绿色农田建设项目）-土壤改良培肥</w:t>
      </w:r>
      <w:r>
        <w:rPr>
          <w:rFonts w:hint="eastAsia" w:ascii="宋体" w:hAnsi="宋体"/>
          <w:color w:val="auto"/>
          <w:spacing w:val="6"/>
          <w:sz w:val="22"/>
          <w:szCs w:val="22"/>
          <w:highlight w:val="none"/>
          <w:u w:val="single"/>
        </w:rPr>
        <w:t>（项目编号：             ）</w:t>
      </w:r>
      <w:r>
        <w:rPr>
          <w:rFonts w:ascii="宋体" w:hAnsi="宋体"/>
          <w:color w:val="auto"/>
          <w:spacing w:val="6"/>
          <w:sz w:val="22"/>
          <w:szCs w:val="22"/>
          <w:highlight w:val="none"/>
        </w:rPr>
        <w:t xml:space="preserve">政府采购活动，经与本单位法人代表（负责人）联系确认，现就有关公平竞争事项郑重声明如下： </w:t>
      </w:r>
    </w:p>
    <w:p>
      <w:pPr>
        <w:pStyle w:val="147"/>
        <w:numPr>
          <w:ilvl w:val="0"/>
          <w:numId w:val="14"/>
        </w:numPr>
        <w:adjustRightInd w:val="0"/>
        <w:snapToGrid w:val="0"/>
        <w:spacing w:line="380" w:lineRule="exact"/>
        <w:ind w:firstLine="415" w:firstLineChars="189"/>
        <w:textAlignment w:val="baseline"/>
        <w:rPr>
          <w:color w:val="auto"/>
          <w:sz w:val="22"/>
          <w:szCs w:val="22"/>
          <w:highlight w:val="none"/>
        </w:rPr>
      </w:pPr>
      <w:r>
        <w:rPr>
          <w:color w:val="auto"/>
          <w:sz w:val="22"/>
          <w:szCs w:val="22"/>
          <w:highlight w:val="none"/>
        </w:rPr>
        <w:t>本单位与采购人之间 □不存在利害关系 □存在下列利害关系：</w:t>
      </w:r>
    </w:p>
    <w:p>
      <w:pPr>
        <w:pStyle w:val="147"/>
        <w:snapToGrid w:val="0"/>
        <w:spacing w:line="380" w:lineRule="exact"/>
        <w:rPr>
          <w:color w:val="auto"/>
          <w:sz w:val="22"/>
          <w:szCs w:val="22"/>
          <w:highlight w:val="none"/>
        </w:rPr>
      </w:pPr>
      <w:r>
        <w:rPr>
          <w:color w:val="auto"/>
          <w:sz w:val="22"/>
          <w:szCs w:val="22"/>
          <w:highlight w:val="none"/>
        </w:rPr>
        <w:t xml:space="preserve">  A.投资关系    B.行政隶属关系    C.业务指导关系</w:t>
      </w:r>
    </w:p>
    <w:p>
      <w:pPr>
        <w:pStyle w:val="147"/>
        <w:snapToGrid w:val="0"/>
        <w:spacing w:line="380" w:lineRule="exact"/>
        <w:rPr>
          <w:color w:val="auto"/>
          <w:sz w:val="22"/>
          <w:szCs w:val="22"/>
          <w:highlight w:val="none"/>
        </w:rPr>
      </w:pPr>
      <w:r>
        <w:rPr>
          <w:color w:val="auto"/>
          <w:sz w:val="22"/>
          <w:szCs w:val="22"/>
          <w:highlight w:val="none"/>
        </w:rPr>
        <w:t xml:space="preserve">  D.其他可能影响采购公正的利害关系</w:t>
      </w:r>
      <w:r>
        <w:rPr>
          <w:color w:val="auto"/>
          <w:sz w:val="22"/>
          <w:szCs w:val="22"/>
          <w:highlight w:val="none"/>
          <w:u w:val="single"/>
        </w:rPr>
        <w:t xml:space="preserve">（如有，请如实说明）                 </w:t>
      </w:r>
      <w:r>
        <w:rPr>
          <w:color w:val="auto"/>
          <w:sz w:val="22"/>
          <w:szCs w:val="22"/>
          <w:highlight w:val="none"/>
        </w:rPr>
        <w:t>。</w:t>
      </w:r>
    </w:p>
    <w:p>
      <w:pPr>
        <w:pStyle w:val="147"/>
        <w:snapToGrid w:val="0"/>
        <w:spacing w:line="380" w:lineRule="exact"/>
        <w:rPr>
          <w:color w:val="auto"/>
          <w:sz w:val="22"/>
          <w:szCs w:val="22"/>
          <w:highlight w:val="none"/>
        </w:rPr>
      </w:pPr>
      <w:r>
        <w:rPr>
          <w:color w:val="auto"/>
          <w:spacing w:val="6"/>
          <w:sz w:val="22"/>
          <w:szCs w:val="22"/>
          <w:highlight w:val="none"/>
        </w:rPr>
        <w:t xml:space="preserve">  二、</w:t>
      </w:r>
      <w:r>
        <w:rPr>
          <w:color w:val="auto"/>
          <w:sz w:val="22"/>
          <w:szCs w:val="22"/>
          <w:highlight w:val="none"/>
        </w:rPr>
        <w:t>现已清楚知道参加本项目采购活动的其他所有供应商名称，本单位 □与其他所有供应商之间均不存在利害关系 □与</w:t>
      </w:r>
      <w:r>
        <w:rPr>
          <w:color w:val="auto"/>
          <w:sz w:val="22"/>
          <w:szCs w:val="22"/>
          <w:highlight w:val="none"/>
          <w:u w:val="single"/>
        </w:rPr>
        <w:t xml:space="preserve">           （供应商名称）</w:t>
      </w:r>
      <w:r>
        <w:rPr>
          <w:color w:val="auto"/>
          <w:sz w:val="22"/>
          <w:szCs w:val="22"/>
          <w:highlight w:val="none"/>
        </w:rPr>
        <w:t>之间存在下列利害关系：</w:t>
      </w:r>
    </w:p>
    <w:p>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A.法定代表人或负责人或实际控制人是同一人</w:t>
      </w:r>
    </w:p>
    <w:p>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B.法定代表人或负责人或实际控制人是夫妻关系</w:t>
      </w:r>
    </w:p>
    <w:p>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C.法定代表人或负责人或实际控制人是直系血亲关系</w:t>
      </w:r>
    </w:p>
    <w:p>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D.法定代表人或负责人或实际控制人存在三代以内旁系血亲关系</w:t>
      </w:r>
    </w:p>
    <w:p>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E.法定代表人或负责人或实际控制人存在近姻亲关系</w:t>
      </w:r>
    </w:p>
    <w:p>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F.法定代表人或负责人或实际控制人存在股份控制或实际控制关系</w:t>
      </w:r>
    </w:p>
    <w:p>
      <w:pPr>
        <w:pStyle w:val="148"/>
        <w:snapToGrid w:val="0"/>
        <w:spacing w:line="380" w:lineRule="exact"/>
        <w:jc w:val="both"/>
        <w:outlineLvl w:val="0"/>
        <w:rPr>
          <w:rFonts w:ascii="宋体" w:hAnsi="宋体"/>
          <w:color w:val="auto"/>
          <w:sz w:val="22"/>
          <w:szCs w:val="22"/>
          <w:highlight w:val="none"/>
        </w:rPr>
      </w:pPr>
      <w:r>
        <w:rPr>
          <w:rFonts w:ascii="宋体" w:hAnsi="宋体"/>
          <w:color w:val="auto"/>
          <w:sz w:val="22"/>
          <w:szCs w:val="22"/>
          <w:highlight w:val="none"/>
        </w:rPr>
        <w:t xml:space="preserve">  G.存在共同直接或间接投资设立子公司、联营企业和合营企业情况</w:t>
      </w:r>
    </w:p>
    <w:p>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I.其他利害关系情况。</w:t>
      </w:r>
    </w:p>
    <w:p>
      <w:pPr>
        <w:pStyle w:val="147"/>
        <w:numPr>
          <w:ilvl w:val="0"/>
          <w:numId w:val="15"/>
        </w:numPr>
        <w:adjustRightInd w:val="0"/>
        <w:snapToGrid w:val="0"/>
        <w:spacing w:line="380" w:lineRule="exact"/>
        <w:ind w:firstLine="415"/>
        <w:textAlignment w:val="baseline"/>
        <w:rPr>
          <w:color w:val="auto"/>
          <w:sz w:val="22"/>
          <w:szCs w:val="22"/>
          <w:highlight w:val="none"/>
        </w:rPr>
      </w:pPr>
      <w:r>
        <w:rPr>
          <w:color w:val="auto"/>
          <w:sz w:val="22"/>
          <w:szCs w:val="22"/>
          <w:highlight w:val="none"/>
        </w:rPr>
        <w:t>现已清楚知道并严格遵守政府采购法律法规和现场纪律。</w:t>
      </w:r>
    </w:p>
    <w:p>
      <w:pPr>
        <w:pStyle w:val="163"/>
        <w:numPr>
          <w:ilvl w:val="0"/>
          <w:numId w:val="15"/>
        </w:numPr>
        <w:snapToGrid w:val="0"/>
        <w:spacing w:line="480" w:lineRule="exact"/>
        <w:ind w:firstLine="415" w:firstLineChars="189"/>
        <w:rPr>
          <w:rFonts w:hAnsi="宋体"/>
          <w:color w:val="auto"/>
          <w:sz w:val="22"/>
          <w:szCs w:val="22"/>
          <w:highlight w:val="none"/>
        </w:rPr>
      </w:pPr>
      <w:r>
        <w:rPr>
          <w:rFonts w:hAnsi="宋体"/>
          <w:color w:val="auto"/>
          <w:sz w:val="22"/>
          <w:szCs w:val="22"/>
          <w:highlight w:val="none"/>
        </w:rPr>
        <w:t>我发现</w:t>
      </w:r>
      <w:r>
        <w:rPr>
          <w:rFonts w:hint="eastAsia" w:hAnsi="宋体"/>
          <w:color w:val="auto"/>
          <w:sz w:val="22"/>
          <w:szCs w:val="22"/>
          <w:highlight w:val="none"/>
          <w:u w:val="single"/>
        </w:rPr>
        <w:t xml:space="preserve">              </w:t>
      </w:r>
      <w:r>
        <w:rPr>
          <w:rFonts w:hAnsi="宋体"/>
          <w:color w:val="auto"/>
          <w:sz w:val="22"/>
          <w:szCs w:val="22"/>
          <w:highlight w:val="none"/>
        </w:rPr>
        <w:t>供应商之间存在或可能存在上述第二条</w:t>
      </w:r>
      <w:r>
        <w:rPr>
          <w:rFonts w:ascii="宋体" w:hAnsi="宋体" w:cs="宋体"/>
          <w:color w:val="auto"/>
          <w:szCs w:val="21"/>
          <w:highlight w:val="none"/>
        </w:rPr>
        <w:t>第</w:t>
      </w:r>
      <w:r>
        <w:rPr>
          <w:rFonts w:ascii="宋体" w:hAnsi="宋体" w:cs="宋体"/>
          <w:color w:val="auto"/>
          <w:szCs w:val="21"/>
          <w:highlight w:val="none"/>
          <w:u w:val="single"/>
        </w:rPr>
        <w:t xml:space="preserve">        </w:t>
      </w:r>
      <w:r>
        <w:rPr>
          <w:rFonts w:ascii="宋体" w:hAnsi="宋体" w:cs="宋体"/>
          <w:color w:val="auto"/>
          <w:szCs w:val="21"/>
          <w:highlight w:val="none"/>
        </w:rPr>
        <w:t>项</w:t>
      </w:r>
      <w:r>
        <w:rPr>
          <w:rFonts w:hAnsi="宋体"/>
          <w:color w:val="auto"/>
          <w:sz w:val="22"/>
          <w:szCs w:val="22"/>
          <w:highlight w:val="none"/>
        </w:rPr>
        <w:t>利害关系</w:t>
      </w:r>
      <w:r>
        <w:rPr>
          <w:rFonts w:hint="eastAsia" w:hAnsi="宋体" w:eastAsia="宋体"/>
          <w:color w:val="auto"/>
          <w:sz w:val="22"/>
          <w:szCs w:val="22"/>
          <w:highlight w:val="none"/>
        </w:rPr>
        <w:t>。</w:t>
      </w:r>
    </w:p>
    <w:p>
      <w:pPr>
        <w:pStyle w:val="148"/>
        <w:snapToGrid w:val="0"/>
        <w:spacing w:line="380" w:lineRule="exact"/>
        <w:ind w:firstLine="5280" w:firstLineChars="2400"/>
        <w:jc w:val="both"/>
        <w:rPr>
          <w:rFonts w:ascii="宋体" w:hAnsi="宋体"/>
          <w:color w:val="auto"/>
          <w:sz w:val="22"/>
          <w:szCs w:val="22"/>
          <w:highlight w:val="none"/>
        </w:rPr>
      </w:pPr>
    </w:p>
    <w:p>
      <w:pPr>
        <w:pStyle w:val="148"/>
        <w:snapToGrid w:val="0"/>
        <w:spacing w:line="380" w:lineRule="exact"/>
        <w:ind w:firstLine="5280" w:firstLineChars="2400"/>
        <w:jc w:val="both"/>
        <w:rPr>
          <w:rFonts w:ascii="宋体" w:hAnsi="宋体"/>
          <w:color w:val="auto"/>
          <w:sz w:val="22"/>
          <w:szCs w:val="22"/>
          <w:highlight w:val="none"/>
        </w:rPr>
      </w:pPr>
      <w:r>
        <w:rPr>
          <w:rFonts w:ascii="宋体" w:hAnsi="宋体"/>
          <w:color w:val="auto"/>
          <w:sz w:val="22"/>
          <w:szCs w:val="22"/>
          <w:highlight w:val="none"/>
        </w:rPr>
        <w:t>（供应商代表签名）</w:t>
      </w:r>
    </w:p>
    <w:p>
      <w:pPr>
        <w:pStyle w:val="148"/>
        <w:snapToGrid w:val="0"/>
        <w:spacing w:line="380" w:lineRule="exact"/>
        <w:ind w:firstLine="440" w:firstLineChars="200"/>
        <w:jc w:val="both"/>
        <w:rPr>
          <w:rFonts w:ascii="宋体" w:hAnsi="宋体"/>
          <w:color w:val="auto"/>
          <w:sz w:val="22"/>
          <w:szCs w:val="22"/>
          <w:highlight w:val="none"/>
        </w:rPr>
      </w:pPr>
      <w:r>
        <w:rPr>
          <w:rFonts w:ascii="宋体" w:hAnsi="宋体"/>
          <w:color w:val="auto"/>
          <w:sz w:val="22"/>
          <w:szCs w:val="22"/>
          <w:highlight w:val="none"/>
        </w:rPr>
        <w:t xml:space="preserve">                                              年  月   日</w:t>
      </w:r>
    </w:p>
    <w:p>
      <w:pPr>
        <w:snapToGrid w:val="0"/>
        <w:spacing w:line="380" w:lineRule="exact"/>
        <w:ind w:firstLine="442" w:firstLineChars="200"/>
        <w:rPr>
          <w:rFonts w:hint="eastAsia" w:ascii="宋体" w:hAnsi="宋体"/>
          <w:b/>
          <w:bCs/>
          <w:color w:val="auto"/>
          <w:sz w:val="22"/>
          <w:highlight w:val="none"/>
        </w:rPr>
      </w:pPr>
      <w:r>
        <w:rPr>
          <w:rFonts w:hint="eastAsia" w:ascii="宋体" w:hAnsi="宋体"/>
          <w:b/>
          <w:bCs/>
          <w:color w:val="auto"/>
          <w:sz w:val="22"/>
          <w:highlight w:val="none"/>
        </w:rPr>
        <w:t>注：</w:t>
      </w:r>
      <w:r>
        <w:rPr>
          <w:rFonts w:hint="eastAsia" w:ascii="宋体" w:hAnsi="宋体"/>
          <w:b/>
          <w:bCs/>
          <w:color w:val="auto"/>
          <w:sz w:val="22"/>
          <w:highlight w:val="none"/>
          <w:lang w:eastAsia="zh-CN"/>
        </w:rPr>
        <w:t>响应文件</w:t>
      </w:r>
      <w:r>
        <w:rPr>
          <w:rFonts w:hint="eastAsia" w:ascii="宋体" w:hAnsi="宋体"/>
          <w:b/>
          <w:bCs/>
          <w:color w:val="auto"/>
          <w:sz w:val="22"/>
          <w:highlight w:val="none"/>
        </w:rPr>
        <w:t>解密结束后，各投标供应商签署《政府采购活动现场确认声明书》，并</w:t>
      </w:r>
      <w:r>
        <w:rPr>
          <w:rFonts w:hint="eastAsia" w:ascii="宋体" w:hAnsi="宋体"/>
          <w:b/>
          <w:bCs/>
          <w:color w:val="auto"/>
          <w:sz w:val="22"/>
          <w:highlight w:val="none"/>
          <w:lang w:eastAsia="zh-CN"/>
        </w:rPr>
        <w:t>在</w:t>
      </w:r>
      <w:r>
        <w:rPr>
          <w:rFonts w:hint="eastAsia" w:ascii="宋体" w:hAnsi="宋体"/>
          <w:b/>
          <w:bCs/>
          <w:color w:val="auto"/>
          <w:sz w:val="22"/>
          <w:highlight w:val="none"/>
          <w:lang w:val="en-US" w:eastAsia="zh-CN"/>
        </w:rPr>
        <w:t>30分钟内</w:t>
      </w:r>
      <w:r>
        <w:rPr>
          <w:rFonts w:hint="eastAsia" w:ascii="宋体" w:hAnsi="宋体"/>
          <w:b/>
          <w:bCs/>
          <w:color w:val="auto"/>
          <w:sz w:val="22"/>
          <w:highlight w:val="none"/>
        </w:rPr>
        <w:t>以扫描件方式发送至代理机构邮箱：</w:t>
      </w:r>
      <w:r>
        <w:rPr>
          <w:color w:val="auto"/>
          <w:sz w:val="22"/>
          <w:highlight w:val="none"/>
        </w:rPr>
        <w:fldChar w:fldCharType="begin"/>
      </w:r>
      <w:r>
        <w:rPr>
          <w:color w:val="auto"/>
          <w:sz w:val="22"/>
          <w:highlight w:val="none"/>
        </w:rPr>
        <w:instrText xml:space="preserve"> HYPERLINK "mailto:</w:instrText>
      </w:r>
      <w:r>
        <w:rPr>
          <w:rFonts w:hint="eastAsia"/>
          <w:color w:val="auto"/>
          <w:sz w:val="22"/>
          <w:highlight w:val="none"/>
        </w:rPr>
        <w:instrText xml:space="preserve">3878238@qq.com</w:instrText>
      </w:r>
      <w:r>
        <w:rPr>
          <w:color w:val="auto"/>
          <w:sz w:val="22"/>
          <w:highlight w:val="none"/>
        </w:rPr>
        <w:instrText xml:space="preserve">" </w:instrText>
      </w:r>
      <w:r>
        <w:rPr>
          <w:color w:val="auto"/>
          <w:sz w:val="22"/>
          <w:highlight w:val="none"/>
        </w:rPr>
        <w:fldChar w:fldCharType="separate"/>
      </w:r>
      <w:r>
        <w:rPr>
          <w:rStyle w:val="54"/>
          <w:rFonts w:hint="eastAsia"/>
          <w:color w:val="auto"/>
          <w:sz w:val="22"/>
          <w:highlight w:val="none"/>
        </w:rPr>
        <w:t xml:space="preserve"> 477535514@qq.com</w:t>
      </w:r>
      <w:r>
        <w:rPr>
          <w:color w:val="auto"/>
          <w:sz w:val="22"/>
          <w:highlight w:val="none"/>
        </w:rPr>
        <w:fldChar w:fldCharType="end"/>
      </w:r>
      <w:r>
        <w:rPr>
          <w:rFonts w:hint="eastAsia" w:ascii="宋体" w:hAnsi="宋体"/>
          <w:b/>
          <w:bCs/>
          <w:color w:val="auto"/>
          <w:sz w:val="22"/>
          <w:highlight w:val="none"/>
        </w:rPr>
        <w:t xml:space="preserve"> 。</w:t>
      </w:r>
    </w:p>
    <w:p>
      <w:pPr>
        <w:snapToGrid w:val="0"/>
        <w:spacing w:line="380" w:lineRule="exact"/>
        <w:ind w:firstLine="442" w:firstLineChars="200"/>
        <w:rPr>
          <w:rFonts w:hint="eastAsia"/>
          <w:color w:val="auto"/>
          <w:highlight w:val="none"/>
        </w:rPr>
      </w:pPr>
      <w:r>
        <w:rPr>
          <w:rFonts w:hint="eastAsia"/>
          <w:b/>
          <w:bCs/>
          <w:color w:val="auto"/>
          <w:sz w:val="22"/>
          <w:highlight w:val="none"/>
        </w:rPr>
        <w:t>若未在规定的时间内填写并予以回复的，则视为该供应商与本项目的采购人及其他参与投标的供应商之间不存在利害关系，由此引起的相关责任由投标供应商自负。</w:t>
      </w:r>
    </w:p>
    <w:p>
      <w:pPr>
        <w:pStyle w:val="36"/>
        <w:rPr>
          <w:rFonts w:hint="eastAsia"/>
          <w:color w:val="auto"/>
          <w:highlight w:val="none"/>
        </w:rPr>
      </w:pPr>
    </w:p>
    <w:sectPr>
      <w:pgSz w:w="11906" w:h="16838"/>
      <w:pgMar w:top="1440" w:right="1117" w:bottom="1440" w:left="1157" w:header="851" w:footer="709"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B5F0FA8-B7C8-4822-9D0E-C308CAEE49AB}"/>
  </w:font>
  <w:font w:name="Arial">
    <w:panose1 w:val="020B0604020202020204"/>
    <w:charset w:val="01"/>
    <w:family w:val="swiss"/>
    <w:pitch w:val="default"/>
    <w:sig w:usb0="E0002EFF" w:usb1="C000785B" w:usb2="00000009" w:usb3="00000000" w:csb0="400001FF" w:csb1="FFFF0000"/>
    <w:embedRegular r:id="rId2" w:fontKey="{C368911A-678A-4771-9099-13E315194462}"/>
  </w:font>
  <w:font w:name="黑体">
    <w:panose1 w:val="02010609060101010101"/>
    <w:charset w:val="86"/>
    <w:family w:val="auto"/>
    <w:pitch w:val="default"/>
    <w:sig w:usb0="800002BF" w:usb1="38CF7CFA" w:usb2="00000016" w:usb3="00000000" w:csb0="00040001" w:csb1="00000000"/>
    <w:embedRegular r:id="rId3" w:fontKey="{20730A10-C809-402D-BFB0-55F9425E708E}"/>
  </w:font>
  <w:font w:name="Courier New">
    <w:panose1 w:val="02070309020205020404"/>
    <w:charset w:val="01"/>
    <w:family w:val="modern"/>
    <w:pitch w:val="default"/>
    <w:sig w:usb0="E0002EFF" w:usb1="C0007843" w:usb2="00000009" w:usb3="00000000" w:csb0="400001FF" w:csb1="FFFF0000"/>
    <w:embedRegular r:id="rId4" w:fontKey="{DBE945DD-0DF8-4E99-8603-C3544A20803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23002D0A-BA60-4671-87FB-A574BA437A9B}"/>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6" w:fontKey="{B0695129-560C-4ECB-96AE-4E8AC6B1D36A}"/>
  </w:font>
  <w:font w:name="Arial Unicode MS">
    <w:altName w:val="宋体"/>
    <w:panose1 w:val="020B0604020202020204"/>
    <w:charset w:val="86"/>
    <w:family w:val="auto"/>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7" w:fontKey="{F3C16F0F-06B6-4694-B426-3B67D19923CC}"/>
  </w:font>
  <w:font w:name="Wingdings 2">
    <w:panose1 w:val="05020102010507070707"/>
    <w:charset w:val="02"/>
    <w:family w:val="auto"/>
    <w:pitch w:val="default"/>
    <w:sig w:usb0="00000000" w:usb1="00000000" w:usb2="00000000" w:usb3="00000000" w:csb0="80000000" w:csb1="00000000"/>
    <w:embedRegular r:id="rId8" w:fontKey="{65EB944B-9DAE-4527-8F2B-F1D3C3D92786}"/>
  </w:font>
  <w:font w:name="新宋体">
    <w:panose1 w:val="02010609030101010101"/>
    <w:charset w:val="86"/>
    <w:family w:val="modern"/>
    <w:pitch w:val="default"/>
    <w:sig w:usb0="00000283" w:usb1="288F0000" w:usb2="00000006" w:usb3="00000000" w:csb0="00040001" w:csb1="00000000"/>
    <w:embedRegular r:id="rId9" w:fontKey="{0FFC8977-572D-4D86-B021-2C2BBE30CF3B}"/>
  </w:font>
  <w:font w:name="PingFangSC-Regular">
    <w:altName w:val="Segoe Print"/>
    <w:panose1 w:val="00000000000000000000"/>
    <w:charset w:val="00"/>
    <w:family w:val="auto"/>
    <w:pitch w:val="default"/>
    <w:sig w:usb0="00000000" w:usb1="00000000" w:usb2="00000000" w:usb3="00000000" w:csb0="00000000" w:csb1="00000000"/>
    <w:embedRegular r:id="rId10" w:fontKey="{D380A6AD-ACFC-4375-B5AA-0D995026DD87}"/>
  </w:font>
  <w:font w:name="华文中宋">
    <w:panose1 w:val="02010600040101010101"/>
    <w:charset w:val="86"/>
    <w:family w:val="auto"/>
    <w:pitch w:val="default"/>
    <w:sig w:usb0="00000287" w:usb1="080F0000" w:usb2="00000000" w:usb3="00000000" w:csb0="0004009F" w:csb1="DFD70000"/>
    <w:embedRegular r:id="rId11" w:fontKey="{D510E835-8992-4E73-989C-1C5844FB7BE9}"/>
  </w:font>
  <w:font w:name="方正小标宋简体">
    <w:panose1 w:val="02000000000000000000"/>
    <w:charset w:val="86"/>
    <w:family w:val="auto"/>
    <w:pitch w:val="default"/>
    <w:sig w:usb0="00000001" w:usb1="08000000" w:usb2="00000000" w:usb3="00000000" w:csb0="00040000" w:csb1="00000000"/>
    <w:embedRegular r:id="rId12" w:fontKey="{97659F4E-D02D-48F8-A786-D7CC3551F2AC}"/>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1cAM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Vq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htXADLAQAAnQ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4l998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OJfffLAQAAnQ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eastAsia="宋体"/>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3"/>
                            </w:rPr>
                          </w:pPr>
                          <w:r>
                            <w:fldChar w:fldCharType="begin"/>
                          </w:r>
                          <w:r>
                            <w:rPr>
                              <w:rStyle w:val="43"/>
                            </w:rPr>
                            <w:instrText xml:space="preserve">PAGE  </w:instrText>
                          </w:r>
                          <w:r>
                            <w:fldChar w:fldCharType="separate"/>
                          </w:r>
                          <w:r>
                            <w:rPr>
                              <w:rStyle w:val="43"/>
                            </w:rPr>
                            <w:t>37</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sURcsBAACd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ZLFEXLAQAAnQMAAA4AAAAAAAAAAQAgAAAAHgEAAGRycy9lMm9E&#10;b2MueG1sUEsFBgAAAAAGAAYAWQEAAFsFAAAAAA==&#10;">
              <v:fill on="f" focussize="0,0"/>
              <v:stroke on="f"/>
              <v:imagedata o:title=""/>
              <o:lock v:ext="edit" aspectratio="f"/>
              <v:textbox inset="0mm,0mm,0mm,0mm" style="mso-fit-shape-to-text:t;">
                <w:txbxContent>
                  <w:p>
                    <w:pPr>
                      <w:pStyle w:val="27"/>
                      <w:rPr>
                        <w:rStyle w:val="43"/>
                      </w:rPr>
                    </w:pPr>
                    <w:r>
                      <w:fldChar w:fldCharType="begin"/>
                    </w:r>
                    <w:r>
                      <w:rPr>
                        <w:rStyle w:val="43"/>
                      </w:rPr>
                      <w:instrText xml:space="preserve">PAGE  </w:instrText>
                    </w:r>
                    <w:r>
                      <w:fldChar w:fldCharType="separate"/>
                    </w:r>
                    <w:r>
                      <w:rPr>
                        <w:rStyle w:val="43"/>
                      </w:rPr>
                      <w:t>37</w:t>
                    </w:r>
                    <w:r>
                      <w:fldChar w:fldCharType="end"/>
                    </w:r>
                  </w:p>
                </w:txbxContent>
              </v:textbox>
            </v:shape>
          </w:pict>
        </mc:Fallback>
      </mc:AlternateContent>
    </w:r>
    <w:r>
      <w:rPr>
        <w:kern w:val="0"/>
        <w:szCs w:val="21"/>
        <w:shd w:val="pct10" w:color="auto" w:fill="FFFFFF"/>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sz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YWaso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FMfuuMWBX358v/z8ffn1jSyr&#10;1z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iYWasoBAACcAwAADgAAAAAAAAABACAAAAAeAQAAZHJzL2Uyb0Rv&#10;Yy54bWxQSwUGAAAAAAYABgBZAQAAWgU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sz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rPr>
                              <w:lang w:val="zh-CN"/>
                            </w:rPr>
                            <w:t>58</w:t>
                          </w:r>
                          <w:r>
                            <w:fldChar w:fldCharType="end"/>
                          </w:r>
                          <w:r>
                            <w:rPr>
                              <w:rFonts w:hint="eastAsia"/>
                            </w:rPr>
                            <w:t xml:space="preserve">                            </w:t>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Q6QcoBAACd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JTEcYsTv3z/dvnx6/LzK1lW&#10;L19nifoANWbeBcxNw1s/YPrsB3Rm5oOKNn+RE8E4op2vAsshEZEfrVfrdYUhgbH5gvjs4XmIkN5J&#10;b0k2GhpxgkVYfvoAaUydU3I152+1MWWKxv3lQMzsYbn3scdspWE/TIT2vj0jnx6H31CHu06Jee9Q&#10;W+wvzUacjf1sHEPUh64sUq4H4c0xYROlt1xhhJ0K49QKu2nD8lr8eS9ZD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pQ6QcoBAACdAwAADgAAAAAAAAABACAAAAAeAQAAZHJzL2Uyb0Rv&#10;Yy54bWxQSwUGAAAAAAYABgBZAQAAW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rPr>
                        <w:lang w:val="zh-CN"/>
                      </w:rPr>
                      <w:t>58</w:t>
                    </w:r>
                    <w:r>
                      <w:fldChar w:fldCharType="end"/>
                    </w:r>
                    <w:r>
                      <w:rPr>
                        <w:rFonts w:hint="eastAsia"/>
                      </w:rPr>
                      <w:t xml:space="preserve">                            </w:t>
                    </w:r>
                  </w:p>
                </w:txbxContent>
              </v:textbox>
            </v:shape>
          </w:pict>
        </mc:Fallback>
      </mc:AlternateContent>
    </w:r>
  </w:p>
  <w:p>
    <w:pPr>
      <w:pStyle w:val="27"/>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xz6d8sBAACd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bihxHGLE7/8+H75+fvy6xtZ&#10;Vq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Mc+nfLAQAAnQ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eastAsia="宋体"/>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3"/>
                            </w:rPr>
                          </w:pPr>
                          <w:r>
                            <w:fldChar w:fldCharType="begin"/>
                          </w:r>
                          <w:r>
                            <w:rPr>
                              <w:rStyle w:val="43"/>
                            </w:rPr>
                            <w:instrText xml:space="preserve">PAGE  </w:instrText>
                          </w:r>
                          <w:r>
                            <w:fldChar w:fldCharType="separate"/>
                          </w:r>
                          <w:r>
                            <w:rPr>
                              <w:rStyle w:val="43"/>
                            </w:rPr>
                            <w:t>10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27"/>
                      <w:rPr>
                        <w:rStyle w:val="43"/>
                      </w:rPr>
                    </w:pPr>
                    <w:r>
                      <w:fldChar w:fldCharType="begin"/>
                    </w:r>
                    <w:r>
                      <w:rPr>
                        <w:rStyle w:val="43"/>
                      </w:rPr>
                      <w:instrText xml:space="preserve">PAGE  </w:instrText>
                    </w:r>
                    <w:r>
                      <w:fldChar w:fldCharType="separate"/>
                    </w:r>
                    <w:r>
                      <w:rPr>
                        <w:rStyle w:val="43"/>
                      </w:rP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eastAsia"/>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QdssBAACd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khLLDU78/P3b+cev88+v&#10;ZFm8LZNEvYcKM5885sbhzg2YPvsBnYn50AaTvsiJYBwFPl0ElkMkIj0qV2VZ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Iv0HbLAQAAnQ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9" name="文本框 1039"/>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pPr>
                            <w:pStyle w:val="27"/>
                            <w:rPr>
                              <w:rFonts w:hint="eastAsia"/>
                            </w:rPr>
                          </w:pPr>
                        </w:p>
                      </w:txbxContent>
                    </wps:txbx>
                    <wps:bodyPr lIns="0" tIns="0" rIns="0" bIns="0" upright="0"/>
                  </wps:wsp>
                </a:graphicData>
              </a:graphic>
            </wp:anchor>
          </w:drawing>
        </mc:Choice>
        <mc:Fallback>
          <w:pict>
            <v:shape id="文本框 1039" o:spid="_x0000_s1026" o:spt="202" type="#_x0000_t202" style="position:absolute;left:0pt;margin-left:215.7pt;margin-top:0pt;height:9.4pt;width:43pt;mso-position-horizontal-relative:margin;z-index:251667456;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Z2bsnVAAAABwEAAA8AAAAAAAAAAQAgAAAAIgAAAGRycy9kb3ducmV2LnhtbFBLAQIU&#10;ABQAAAAIAIdO4kAIQQoxvQEAAHQDAAAOAAAAAAAAAAEAIAAAACQBAABkcnMvZTJvRG9jLnhtbFBL&#10;BQYAAAAABgAGAFkBAABTBQAAAAA=&#10;">
              <v:fill on="f" focussize="0,0"/>
              <v:stroke on="f"/>
              <v:imagedata o:title=""/>
              <o:lock v:ext="edit" aspectratio="f"/>
              <v:textbox inset="0mm,0mm,0mm,0mm">
                <w:txbxContent>
                  <w:p>
                    <w:pPr>
                      <w:pStyle w:val="27"/>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3</w:t>
    </w:r>
    <w:r>
      <w:fldChar w:fldCharType="end"/>
    </w:r>
  </w:p>
  <w:p>
    <w:pPr>
      <w:pStyle w:val="27"/>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Bai3TjYAQAApAMAAA4AAAAAAAAA&#10;AQAgAAAAIwEAAGRycy9lMm9Eb2MueG1sUEsFBgAAAAAGAAYAWQEAAG0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3"/>
                            </w:rPr>
                          </w:pPr>
                          <w:r>
                            <w:fldChar w:fldCharType="begin"/>
                          </w:r>
                          <w:r>
                            <w:rPr>
                              <w:rStyle w:val="43"/>
                            </w:rPr>
                            <w:instrText xml:space="preserve">PAGE  </w:instrText>
                          </w:r>
                          <w:r>
                            <w:fldChar w:fldCharType="separate"/>
                          </w:r>
                          <w:r>
                            <w:rPr>
                              <w:rStyle w:val="43"/>
                            </w:rPr>
                            <w:t>28</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nBM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nBM8oBAACcAwAADgAAAAAAAAABACAAAAAeAQAAZHJzL2Uyb0Rv&#10;Yy54bWxQSwUGAAAAAAYABgBZAQAAWgUAAAAA&#10;">
              <v:fill on="f" focussize="0,0"/>
              <v:stroke on="f"/>
              <v:imagedata o:title=""/>
              <o:lock v:ext="edit" aspectratio="f"/>
              <v:textbox inset="0mm,0mm,0mm,0mm" style="mso-fit-shape-to-text:t;">
                <w:txbxContent>
                  <w:p>
                    <w:pPr>
                      <w:pStyle w:val="27"/>
                      <w:rPr>
                        <w:rStyle w:val="43"/>
                      </w:rPr>
                    </w:pPr>
                    <w:r>
                      <w:fldChar w:fldCharType="begin"/>
                    </w:r>
                    <w:r>
                      <w:rPr>
                        <w:rStyle w:val="43"/>
                      </w:rPr>
                      <w:instrText xml:space="preserve">PAGE  </w:instrText>
                    </w:r>
                    <w:r>
                      <w:fldChar w:fldCharType="separate"/>
                    </w:r>
                    <w:r>
                      <w:rPr>
                        <w:rStyle w:val="43"/>
                      </w:rPr>
                      <w:t>28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03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AfDX+B8wEAAOgDAAAOAAAAAAAAAAEAIAAAACQBAABkcnMvZTJvRG9jLnhtbFBLBQYA&#10;AAAABgAGAFkBAACJBQ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53</w:t>
                          </w:r>
                          <w:r>
                            <w:rPr>
                              <w:sz w:val="18"/>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9SGhcsBAACc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fUhoXLAQAAnAMAAA4AAAAAAAAAAQAgAAAAHgEAAGRycy9lMm9E&#10;b2MueG1sUEsFBgAAAAAGAAYAWQEAAFsFAAAAAA==&#10;">
              <v:fill on="f" focussize="0,0"/>
              <v:stroke on="f"/>
              <v:imagedata o:title=""/>
              <o:lock v:ext="edit" aspectratio="f"/>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53</w:t>
                    </w:r>
                    <w:r>
                      <w:rPr>
                        <w:sz w:val="1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3" name="直线 103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4"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BpBV6y8wEAAOgDAAAOAAAAAAAAAAEAIAAAACQBAABkcnMvZTJvRG9jLnhtbFBLBQYA&#10;AAAABgAGAFkBAACJBQAAAAA=&#10;">
              <v:fill on="f" focussize="0,0"/>
              <v:stroke color="#000000" joinstyle="round"/>
              <v:imagedata o:title=""/>
              <o:lock v:ext="edit" aspectratio="f"/>
            </v:line>
          </w:pict>
        </mc:Fallback>
      </mc:AlternateContent>
    </w:r>
    <w:r>
      <w:rPr>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eastAsia="宋体"/>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eastAsia" w:ascii="仿宋_GB2312" w:eastAsia="仿宋_GB2312"/>
      </w:rPr>
    </w:pPr>
    <w:r>
      <w:rPr>
        <w:rFonts w:hint="eastAsia" w:ascii="仿宋_GB2312" w:eastAsia="仿宋_GB2312"/>
      </w:rPr>
      <w:t>政府分散采购采购文件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hd w:val="clear" w:color="auto" w:fill="FFFFFF"/>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hint="eastAsia"/>
      </w:rPr>
    </w:pPr>
    <w:r>
      <w:rPr>
        <w:b/>
        <w:sz w:val="18"/>
      </w:rPr>
      <w:t>平阳县政府采购竞争性磋商</w:t>
    </w:r>
    <w:r>
      <w:rPr>
        <w:rFonts w:hint="eastAsia"/>
        <w:b/>
        <w:sz w:val="18"/>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sz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A5643"/>
    <w:multiLevelType w:val="singleLevel"/>
    <w:tmpl w:val="AEAA5643"/>
    <w:lvl w:ilvl="0" w:tentative="0">
      <w:start w:val="1"/>
      <w:numFmt w:val="decimal"/>
      <w:suff w:val="nothing"/>
      <w:lvlText w:val="（%1）"/>
      <w:lvlJc w:val="left"/>
    </w:lvl>
  </w:abstractNum>
  <w:abstractNum w:abstractNumId="1">
    <w:nsid w:val="B3DDBAD0"/>
    <w:multiLevelType w:val="singleLevel"/>
    <w:tmpl w:val="B3DDBAD0"/>
    <w:lvl w:ilvl="0" w:tentative="0">
      <w:start w:val="2"/>
      <w:numFmt w:val="chineseCounting"/>
      <w:suff w:val="space"/>
      <w:lvlText w:val="第%1部分"/>
      <w:lvlJc w:val="left"/>
      <w:rPr>
        <w:rFonts w:hint="eastAsia"/>
      </w:rPr>
    </w:lvl>
  </w:abstractNum>
  <w:abstractNum w:abstractNumId="2">
    <w:nsid w:val="B46AF3D7"/>
    <w:multiLevelType w:val="singleLevel"/>
    <w:tmpl w:val="B46AF3D7"/>
    <w:lvl w:ilvl="0" w:tentative="0">
      <w:start w:val="4"/>
      <w:numFmt w:val="chineseCounting"/>
      <w:suff w:val="nothing"/>
      <w:lvlText w:val="%1、"/>
      <w:lvlJc w:val="left"/>
      <w:rPr>
        <w:rFonts w:hint="eastAsia"/>
      </w:rPr>
    </w:lvl>
  </w:abstractNum>
  <w:abstractNum w:abstractNumId="3">
    <w:nsid w:val="BB127CBE"/>
    <w:multiLevelType w:val="singleLevel"/>
    <w:tmpl w:val="BB127CBE"/>
    <w:lvl w:ilvl="0" w:tentative="0">
      <w:start w:val="1"/>
      <w:numFmt w:val="decimal"/>
      <w:suff w:val="nothing"/>
      <w:lvlText w:val="（%1）"/>
      <w:lvlJc w:val="left"/>
    </w:lvl>
  </w:abstractNum>
  <w:abstractNum w:abstractNumId="4">
    <w:nsid w:val="C64FAC19"/>
    <w:multiLevelType w:val="singleLevel"/>
    <w:tmpl w:val="C64FAC19"/>
    <w:lvl w:ilvl="0" w:tentative="0">
      <w:start w:val="6"/>
      <w:numFmt w:val="chineseCounting"/>
      <w:suff w:val="space"/>
      <w:lvlText w:val="第%1部分"/>
      <w:lvlJc w:val="left"/>
      <w:rPr>
        <w:rFonts w:hint="eastAsia"/>
      </w:rPr>
    </w:lvl>
  </w:abstractNum>
  <w:abstractNum w:abstractNumId="5">
    <w:nsid w:val="CBC0DC41"/>
    <w:multiLevelType w:val="singleLevel"/>
    <w:tmpl w:val="CBC0DC41"/>
    <w:lvl w:ilvl="0" w:tentative="0">
      <w:start w:val="1"/>
      <w:numFmt w:val="decimal"/>
      <w:lvlText w:val="%1."/>
      <w:lvlJc w:val="left"/>
      <w:pPr>
        <w:tabs>
          <w:tab w:val="left" w:pos="312"/>
        </w:tabs>
        <w:ind w:left="-20"/>
      </w:pPr>
    </w:lvl>
  </w:abstractNum>
  <w:abstractNum w:abstractNumId="6">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7">
    <w:nsid w:val="F5B0BDDD"/>
    <w:multiLevelType w:val="singleLevel"/>
    <w:tmpl w:val="F5B0BDDD"/>
    <w:lvl w:ilvl="0" w:tentative="0">
      <w:start w:val="4"/>
      <w:numFmt w:val="chineseCounting"/>
      <w:suff w:val="nothing"/>
      <w:lvlText w:val="%1、"/>
      <w:lvlJc w:val="left"/>
      <w:rPr>
        <w:rFonts w:hint="eastAsia"/>
      </w:rPr>
    </w:lvl>
  </w:abstractNum>
  <w:abstractNum w:abstractNumId="8">
    <w:nsid w:val="0E4F2B74"/>
    <w:multiLevelType w:val="multilevel"/>
    <w:tmpl w:val="0E4F2B74"/>
    <w:lvl w:ilvl="0" w:tentative="0">
      <w:start w:val="1"/>
      <w:numFmt w:val="lowerLetter"/>
      <w:pStyle w:val="152"/>
      <w:lvlText w:val="%1)"/>
      <w:lvlJc w:val="left"/>
      <w:pPr>
        <w:ind w:left="1049" w:hanging="420"/>
      </w:p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abstractNum w:abstractNumId="9">
    <w:nsid w:val="3590227A"/>
    <w:multiLevelType w:val="multilevel"/>
    <w:tmpl w:val="3590227A"/>
    <w:lvl w:ilvl="0" w:tentative="0">
      <w:start w:val="1"/>
      <w:numFmt w:val="decimal"/>
      <w:pStyle w:val="13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0">
    <w:nsid w:val="41A06EB8"/>
    <w:multiLevelType w:val="singleLevel"/>
    <w:tmpl w:val="41A06EB8"/>
    <w:lvl w:ilvl="0" w:tentative="0">
      <w:start w:val="1"/>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pPr>
        <w:ind w:left="5"/>
      </w:pPr>
    </w:lvl>
  </w:abstractNum>
  <w:abstractNum w:abstractNumId="13">
    <w:nsid w:val="684E3841"/>
    <w:multiLevelType w:val="singleLevel"/>
    <w:tmpl w:val="684E3841"/>
    <w:lvl w:ilvl="0" w:tentative="0">
      <w:start w:val="4"/>
      <w:numFmt w:val="decimal"/>
      <w:suff w:val="nothing"/>
      <w:lvlText w:val="%1、"/>
      <w:lvlJc w:val="left"/>
    </w:lvl>
  </w:abstractNum>
  <w:abstractNum w:abstractNumId="14">
    <w:nsid w:val="6C77587A"/>
    <w:multiLevelType w:val="multilevel"/>
    <w:tmpl w:val="6C77587A"/>
    <w:lvl w:ilvl="0" w:tentative="0">
      <w:start w:val="1"/>
      <w:numFmt w:val="decimal"/>
      <w:pStyle w:val="143"/>
      <w:lvlText w:val="%1."/>
      <w:lvlJc w:val="left"/>
      <w:pPr>
        <w:tabs>
          <w:tab w:val="left" w:pos="425"/>
        </w:tabs>
        <w:ind w:left="425" w:hanging="425"/>
      </w:pPr>
      <w:rPr>
        <w:rFonts w:hint="default" w:ascii="Times New Roman" w:hAnsi="Times New Roman" w:eastAsia="黑体"/>
        <w:b/>
        <w:i w:val="0"/>
        <w:sz w:val="28"/>
        <w:szCs w:val="28"/>
      </w:rPr>
    </w:lvl>
    <w:lvl w:ilvl="1" w:tentative="0">
      <w:start w:val="1"/>
      <w:numFmt w:val="decimal"/>
      <w:lvlText w:val="%1.%2"/>
      <w:lvlJc w:val="left"/>
      <w:pPr>
        <w:tabs>
          <w:tab w:val="left" w:pos="992"/>
        </w:tabs>
        <w:ind w:left="992" w:hanging="567"/>
      </w:pPr>
      <w:rPr>
        <w:rFonts w:hint="eastAsia" w:eastAsia="黑体"/>
        <w:sz w:val="24"/>
        <w:szCs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num w:numId="1">
    <w:abstractNumId w:val="9"/>
  </w:num>
  <w:num w:numId="2">
    <w:abstractNumId w:val="14"/>
  </w:num>
  <w:num w:numId="3">
    <w:abstractNumId w:val="8"/>
  </w:num>
  <w:num w:numId="4">
    <w:abstractNumId w:val="10"/>
  </w:num>
  <w:num w:numId="5">
    <w:abstractNumId w:val="1"/>
  </w:num>
  <w:num w:numId="6">
    <w:abstractNumId w:val="13"/>
  </w:num>
  <w:num w:numId="7">
    <w:abstractNumId w:val="0"/>
  </w:num>
  <w:num w:numId="8">
    <w:abstractNumId w:val="3"/>
  </w:num>
  <w:num w:numId="9">
    <w:abstractNumId w:val="6"/>
  </w:num>
  <w:num w:numId="10">
    <w:abstractNumId w:val="7"/>
  </w:num>
  <w:num w:numId="11">
    <w:abstractNumId w:val="4"/>
  </w:num>
  <w:num w:numId="12">
    <w:abstractNumId w:val="5"/>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zA5ZjE4YmVkZWY1M2U0YTY1NWRiNzlmZjcwZmUifQ=="/>
  </w:docVars>
  <w:rsids>
    <w:rsidRoot w:val="00172A27"/>
    <w:rsid w:val="000120E6"/>
    <w:rsid w:val="00021431"/>
    <w:rsid w:val="00021979"/>
    <w:rsid w:val="00033B70"/>
    <w:rsid w:val="0004471E"/>
    <w:rsid w:val="000504CE"/>
    <w:rsid w:val="00051D4B"/>
    <w:rsid w:val="00052F43"/>
    <w:rsid w:val="00054DFA"/>
    <w:rsid w:val="00056D4A"/>
    <w:rsid w:val="00067DF6"/>
    <w:rsid w:val="0007361D"/>
    <w:rsid w:val="000746EB"/>
    <w:rsid w:val="0007626B"/>
    <w:rsid w:val="0008660F"/>
    <w:rsid w:val="00086EE9"/>
    <w:rsid w:val="000878C9"/>
    <w:rsid w:val="000930FF"/>
    <w:rsid w:val="000A037A"/>
    <w:rsid w:val="000B44D3"/>
    <w:rsid w:val="000C4579"/>
    <w:rsid w:val="000C54B6"/>
    <w:rsid w:val="000C6992"/>
    <w:rsid w:val="000D7DD2"/>
    <w:rsid w:val="000E2EF7"/>
    <w:rsid w:val="000F267D"/>
    <w:rsid w:val="000F72A4"/>
    <w:rsid w:val="000F78A5"/>
    <w:rsid w:val="001108C0"/>
    <w:rsid w:val="001113E3"/>
    <w:rsid w:val="00116C05"/>
    <w:rsid w:val="0012703D"/>
    <w:rsid w:val="001310DA"/>
    <w:rsid w:val="00131A4F"/>
    <w:rsid w:val="00134F89"/>
    <w:rsid w:val="00135231"/>
    <w:rsid w:val="00136303"/>
    <w:rsid w:val="001406B9"/>
    <w:rsid w:val="001409D6"/>
    <w:rsid w:val="00143346"/>
    <w:rsid w:val="0015022F"/>
    <w:rsid w:val="00152506"/>
    <w:rsid w:val="0015428B"/>
    <w:rsid w:val="00157B5B"/>
    <w:rsid w:val="00170ACB"/>
    <w:rsid w:val="00186D6A"/>
    <w:rsid w:val="0019375A"/>
    <w:rsid w:val="0019610E"/>
    <w:rsid w:val="00196664"/>
    <w:rsid w:val="001A66F7"/>
    <w:rsid w:val="001A778F"/>
    <w:rsid w:val="001A7B5A"/>
    <w:rsid w:val="001B0488"/>
    <w:rsid w:val="001C19D0"/>
    <w:rsid w:val="001C6E52"/>
    <w:rsid w:val="001D000B"/>
    <w:rsid w:val="001D659C"/>
    <w:rsid w:val="00215556"/>
    <w:rsid w:val="00222A3C"/>
    <w:rsid w:val="002246D3"/>
    <w:rsid w:val="00231BC0"/>
    <w:rsid w:val="002325FB"/>
    <w:rsid w:val="00233625"/>
    <w:rsid w:val="00240DE1"/>
    <w:rsid w:val="0024243F"/>
    <w:rsid w:val="0025345F"/>
    <w:rsid w:val="00263A25"/>
    <w:rsid w:val="00283566"/>
    <w:rsid w:val="002857B0"/>
    <w:rsid w:val="00285DD3"/>
    <w:rsid w:val="00292089"/>
    <w:rsid w:val="002A106D"/>
    <w:rsid w:val="002A26D7"/>
    <w:rsid w:val="002B0B3F"/>
    <w:rsid w:val="002B2DB3"/>
    <w:rsid w:val="002B526A"/>
    <w:rsid w:val="002B5C2E"/>
    <w:rsid w:val="002B7288"/>
    <w:rsid w:val="002B775E"/>
    <w:rsid w:val="002C2002"/>
    <w:rsid w:val="002C277E"/>
    <w:rsid w:val="002D1C6C"/>
    <w:rsid w:val="002D4C20"/>
    <w:rsid w:val="002D73F1"/>
    <w:rsid w:val="002E196C"/>
    <w:rsid w:val="002F0AEC"/>
    <w:rsid w:val="002F4DCD"/>
    <w:rsid w:val="00314F48"/>
    <w:rsid w:val="0031584A"/>
    <w:rsid w:val="003225EF"/>
    <w:rsid w:val="00327967"/>
    <w:rsid w:val="003310F4"/>
    <w:rsid w:val="00343EF1"/>
    <w:rsid w:val="00345609"/>
    <w:rsid w:val="00350E6F"/>
    <w:rsid w:val="00351747"/>
    <w:rsid w:val="003544EF"/>
    <w:rsid w:val="003626C1"/>
    <w:rsid w:val="00383F3A"/>
    <w:rsid w:val="0038578D"/>
    <w:rsid w:val="003903D2"/>
    <w:rsid w:val="00392005"/>
    <w:rsid w:val="003A2D37"/>
    <w:rsid w:val="003A3131"/>
    <w:rsid w:val="003A4F3E"/>
    <w:rsid w:val="003A5D69"/>
    <w:rsid w:val="003A6919"/>
    <w:rsid w:val="003B67C2"/>
    <w:rsid w:val="003C3FE7"/>
    <w:rsid w:val="003C4640"/>
    <w:rsid w:val="003E3510"/>
    <w:rsid w:val="00410E7C"/>
    <w:rsid w:val="00412A43"/>
    <w:rsid w:val="00420124"/>
    <w:rsid w:val="0042071A"/>
    <w:rsid w:val="00421309"/>
    <w:rsid w:val="00434453"/>
    <w:rsid w:val="0044071A"/>
    <w:rsid w:val="00450411"/>
    <w:rsid w:val="0045621C"/>
    <w:rsid w:val="00456B91"/>
    <w:rsid w:val="00460425"/>
    <w:rsid w:val="004634B3"/>
    <w:rsid w:val="00467D86"/>
    <w:rsid w:val="00471F1D"/>
    <w:rsid w:val="00477851"/>
    <w:rsid w:val="004819D9"/>
    <w:rsid w:val="0048290A"/>
    <w:rsid w:val="00494539"/>
    <w:rsid w:val="004A5C9E"/>
    <w:rsid w:val="004B214C"/>
    <w:rsid w:val="004B2A5B"/>
    <w:rsid w:val="004C0E22"/>
    <w:rsid w:val="004C784B"/>
    <w:rsid w:val="004D2032"/>
    <w:rsid w:val="004D6C5C"/>
    <w:rsid w:val="004F2E6A"/>
    <w:rsid w:val="004F548B"/>
    <w:rsid w:val="0050780F"/>
    <w:rsid w:val="00513102"/>
    <w:rsid w:val="005147C6"/>
    <w:rsid w:val="00524676"/>
    <w:rsid w:val="005252E5"/>
    <w:rsid w:val="00527E6E"/>
    <w:rsid w:val="0053068A"/>
    <w:rsid w:val="0053491A"/>
    <w:rsid w:val="00534D65"/>
    <w:rsid w:val="00535717"/>
    <w:rsid w:val="00542391"/>
    <w:rsid w:val="005455E6"/>
    <w:rsid w:val="00551DC5"/>
    <w:rsid w:val="005609B0"/>
    <w:rsid w:val="005625CE"/>
    <w:rsid w:val="00570A5B"/>
    <w:rsid w:val="005911BD"/>
    <w:rsid w:val="005A65EE"/>
    <w:rsid w:val="005B0904"/>
    <w:rsid w:val="005B38A5"/>
    <w:rsid w:val="005C1120"/>
    <w:rsid w:val="005C3474"/>
    <w:rsid w:val="005E3616"/>
    <w:rsid w:val="005E39F0"/>
    <w:rsid w:val="005E72CE"/>
    <w:rsid w:val="005F5A98"/>
    <w:rsid w:val="00600444"/>
    <w:rsid w:val="00621899"/>
    <w:rsid w:val="0062577F"/>
    <w:rsid w:val="00626EDA"/>
    <w:rsid w:val="006371CC"/>
    <w:rsid w:val="00637D11"/>
    <w:rsid w:val="006409BD"/>
    <w:rsid w:val="00642C94"/>
    <w:rsid w:val="006466C6"/>
    <w:rsid w:val="00664695"/>
    <w:rsid w:val="0068300A"/>
    <w:rsid w:val="0068548B"/>
    <w:rsid w:val="006864D8"/>
    <w:rsid w:val="00687E9D"/>
    <w:rsid w:val="0069107D"/>
    <w:rsid w:val="006965F0"/>
    <w:rsid w:val="00696F25"/>
    <w:rsid w:val="006A12E0"/>
    <w:rsid w:val="006A6F58"/>
    <w:rsid w:val="006B098F"/>
    <w:rsid w:val="006B1417"/>
    <w:rsid w:val="006B3ADB"/>
    <w:rsid w:val="006C0E84"/>
    <w:rsid w:val="006C33AB"/>
    <w:rsid w:val="006C5E1D"/>
    <w:rsid w:val="006C731A"/>
    <w:rsid w:val="006E202C"/>
    <w:rsid w:val="006E695B"/>
    <w:rsid w:val="006E6B51"/>
    <w:rsid w:val="006E6D5F"/>
    <w:rsid w:val="006F0B84"/>
    <w:rsid w:val="006F1577"/>
    <w:rsid w:val="0070095B"/>
    <w:rsid w:val="0075589A"/>
    <w:rsid w:val="00760105"/>
    <w:rsid w:val="00762934"/>
    <w:rsid w:val="00763EC2"/>
    <w:rsid w:val="0077087F"/>
    <w:rsid w:val="0077714D"/>
    <w:rsid w:val="00780E08"/>
    <w:rsid w:val="00786A0F"/>
    <w:rsid w:val="00792CA7"/>
    <w:rsid w:val="00794B90"/>
    <w:rsid w:val="00794DCC"/>
    <w:rsid w:val="00795786"/>
    <w:rsid w:val="007A0546"/>
    <w:rsid w:val="007B3FB5"/>
    <w:rsid w:val="007B561B"/>
    <w:rsid w:val="007C05E5"/>
    <w:rsid w:val="007D23C9"/>
    <w:rsid w:val="007D40AD"/>
    <w:rsid w:val="007D5CF0"/>
    <w:rsid w:val="007D5CFC"/>
    <w:rsid w:val="007E793D"/>
    <w:rsid w:val="007F125E"/>
    <w:rsid w:val="007F63BC"/>
    <w:rsid w:val="00801B48"/>
    <w:rsid w:val="008041B1"/>
    <w:rsid w:val="00814EB2"/>
    <w:rsid w:val="008165A8"/>
    <w:rsid w:val="00832934"/>
    <w:rsid w:val="00836D4F"/>
    <w:rsid w:val="0087745E"/>
    <w:rsid w:val="00883FD9"/>
    <w:rsid w:val="008878EB"/>
    <w:rsid w:val="0089284B"/>
    <w:rsid w:val="00894561"/>
    <w:rsid w:val="008951F6"/>
    <w:rsid w:val="008B0AC6"/>
    <w:rsid w:val="008B5B80"/>
    <w:rsid w:val="008B690C"/>
    <w:rsid w:val="008B71EF"/>
    <w:rsid w:val="008C44E2"/>
    <w:rsid w:val="008D00B5"/>
    <w:rsid w:val="008D2184"/>
    <w:rsid w:val="008D2522"/>
    <w:rsid w:val="008E1FE7"/>
    <w:rsid w:val="008E4D5F"/>
    <w:rsid w:val="008E5C69"/>
    <w:rsid w:val="008F53A3"/>
    <w:rsid w:val="008F71BE"/>
    <w:rsid w:val="009025F3"/>
    <w:rsid w:val="0090481A"/>
    <w:rsid w:val="00906BF6"/>
    <w:rsid w:val="009140C6"/>
    <w:rsid w:val="00914D6D"/>
    <w:rsid w:val="009221C1"/>
    <w:rsid w:val="00925DC4"/>
    <w:rsid w:val="0093041A"/>
    <w:rsid w:val="00944661"/>
    <w:rsid w:val="009454C4"/>
    <w:rsid w:val="00945600"/>
    <w:rsid w:val="009518AF"/>
    <w:rsid w:val="00952628"/>
    <w:rsid w:val="00966269"/>
    <w:rsid w:val="00970197"/>
    <w:rsid w:val="0097258A"/>
    <w:rsid w:val="009725E0"/>
    <w:rsid w:val="0097298A"/>
    <w:rsid w:val="00975376"/>
    <w:rsid w:val="00975542"/>
    <w:rsid w:val="00975D7F"/>
    <w:rsid w:val="009827DE"/>
    <w:rsid w:val="00987B0E"/>
    <w:rsid w:val="00992389"/>
    <w:rsid w:val="00997CB8"/>
    <w:rsid w:val="009A497B"/>
    <w:rsid w:val="009A75AE"/>
    <w:rsid w:val="009B6785"/>
    <w:rsid w:val="009C19D4"/>
    <w:rsid w:val="009C59C0"/>
    <w:rsid w:val="009D125C"/>
    <w:rsid w:val="009D52B2"/>
    <w:rsid w:val="009E5EAE"/>
    <w:rsid w:val="009F61D3"/>
    <w:rsid w:val="00A02F10"/>
    <w:rsid w:val="00A06585"/>
    <w:rsid w:val="00A108AD"/>
    <w:rsid w:val="00A20C74"/>
    <w:rsid w:val="00A21F20"/>
    <w:rsid w:val="00A26E31"/>
    <w:rsid w:val="00A3277B"/>
    <w:rsid w:val="00A36369"/>
    <w:rsid w:val="00A42921"/>
    <w:rsid w:val="00A43101"/>
    <w:rsid w:val="00A438DC"/>
    <w:rsid w:val="00A53E90"/>
    <w:rsid w:val="00A55DE4"/>
    <w:rsid w:val="00A63DDA"/>
    <w:rsid w:val="00A70E2D"/>
    <w:rsid w:val="00A739B3"/>
    <w:rsid w:val="00A74E33"/>
    <w:rsid w:val="00A75B4F"/>
    <w:rsid w:val="00A80719"/>
    <w:rsid w:val="00A83CC2"/>
    <w:rsid w:val="00A84C42"/>
    <w:rsid w:val="00A9244D"/>
    <w:rsid w:val="00AA7F54"/>
    <w:rsid w:val="00AB14DD"/>
    <w:rsid w:val="00AC3859"/>
    <w:rsid w:val="00AC6153"/>
    <w:rsid w:val="00AE10D0"/>
    <w:rsid w:val="00AE1E7D"/>
    <w:rsid w:val="00AE417F"/>
    <w:rsid w:val="00AE74D4"/>
    <w:rsid w:val="00AF4AA6"/>
    <w:rsid w:val="00B05DB6"/>
    <w:rsid w:val="00B102CA"/>
    <w:rsid w:val="00B1454E"/>
    <w:rsid w:val="00B162F2"/>
    <w:rsid w:val="00B216C8"/>
    <w:rsid w:val="00B270AE"/>
    <w:rsid w:val="00B36292"/>
    <w:rsid w:val="00B41B2E"/>
    <w:rsid w:val="00B446A7"/>
    <w:rsid w:val="00B50AF8"/>
    <w:rsid w:val="00B51905"/>
    <w:rsid w:val="00B63FFF"/>
    <w:rsid w:val="00B73171"/>
    <w:rsid w:val="00B736DB"/>
    <w:rsid w:val="00B7534A"/>
    <w:rsid w:val="00B75B9D"/>
    <w:rsid w:val="00B801C4"/>
    <w:rsid w:val="00B83FE5"/>
    <w:rsid w:val="00B86317"/>
    <w:rsid w:val="00B90E7C"/>
    <w:rsid w:val="00B95A3B"/>
    <w:rsid w:val="00B96158"/>
    <w:rsid w:val="00BA02A7"/>
    <w:rsid w:val="00BB305A"/>
    <w:rsid w:val="00BB3F7A"/>
    <w:rsid w:val="00BB578A"/>
    <w:rsid w:val="00BB7B81"/>
    <w:rsid w:val="00BC13BE"/>
    <w:rsid w:val="00BC605D"/>
    <w:rsid w:val="00BC6D01"/>
    <w:rsid w:val="00BC70DE"/>
    <w:rsid w:val="00BD6A31"/>
    <w:rsid w:val="00BD6F00"/>
    <w:rsid w:val="00BE0B6A"/>
    <w:rsid w:val="00BF2370"/>
    <w:rsid w:val="00C03855"/>
    <w:rsid w:val="00C15CB2"/>
    <w:rsid w:val="00C164C3"/>
    <w:rsid w:val="00C17121"/>
    <w:rsid w:val="00C17A53"/>
    <w:rsid w:val="00C24BD5"/>
    <w:rsid w:val="00C2559F"/>
    <w:rsid w:val="00C273A8"/>
    <w:rsid w:val="00C305F7"/>
    <w:rsid w:val="00C313DA"/>
    <w:rsid w:val="00C31708"/>
    <w:rsid w:val="00C346AD"/>
    <w:rsid w:val="00C36650"/>
    <w:rsid w:val="00C36E69"/>
    <w:rsid w:val="00C37B40"/>
    <w:rsid w:val="00C42B14"/>
    <w:rsid w:val="00C50AE7"/>
    <w:rsid w:val="00C513C7"/>
    <w:rsid w:val="00C57EB8"/>
    <w:rsid w:val="00C67C22"/>
    <w:rsid w:val="00C72802"/>
    <w:rsid w:val="00C75532"/>
    <w:rsid w:val="00C779FA"/>
    <w:rsid w:val="00C80E0A"/>
    <w:rsid w:val="00C82214"/>
    <w:rsid w:val="00C864C0"/>
    <w:rsid w:val="00C865E0"/>
    <w:rsid w:val="00C91EFD"/>
    <w:rsid w:val="00CA217E"/>
    <w:rsid w:val="00CA2595"/>
    <w:rsid w:val="00CA2E98"/>
    <w:rsid w:val="00CA3986"/>
    <w:rsid w:val="00CA6970"/>
    <w:rsid w:val="00CB1BB0"/>
    <w:rsid w:val="00CB4979"/>
    <w:rsid w:val="00CC50BF"/>
    <w:rsid w:val="00CD2C12"/>
    <w:rsid w:val="00CD4205"/>
    <w:rsid w:val="00CE4D8B"/>
    <w:rsid w:val="00CE5B6C"/>
    <w:rsid w:val="00CF2579"/>
    <w:rsid w:val="00D0362D"/>
    <w:rsid w:val="00D066AE"/>
    <w:rsid w:val="00D073FF"/>
    <w:rsid w:val="00D11DD6"/>
    <w:rsid w:val="00D1229D"/>
    <w:rsid w:val="00D179F5"/>
    <w:rsid w:val="00D20CE1"/>
    <w:rsid w:val="00D211A6"/>
    <w:rsid w:val="00D218DC"/>
    <w:rsid w:val="00D415C1"/>
    <w:rsid w:val="00D6149A"/>
    <w:rsid w:val="00D627A3"/>
    <w:rsid w:val="00D654BF"/>
    <w:rsid w:val="00D76B34"/>
    <w:rsid w:val="00D82C85"/>
    <w:rsid w:val="00D873BB"/>
    <w:rsid w:val="00D90112"/>
    <w:rsid w:val="00D949F8"/>
    <w:rsid w:val="00D95974"/>
    <w:rsid w:val="00DA7675"/>
    <w:rsid w:val="00DB0CEF"/>
    <w:rsid w:val="00DB39C9"/>
    <w:rsid w:val="00DC0F8F"/>
    <w:rsid w:val="00DC24B2"/>
    <w:rsid w:val="00DC2F66"/>
    <w:rsid w:val="00DD50E1"/>
    <w:rsid w:val="00DD66CE"/>
    <w:rsid w:val="00E0171D"/>
    <w:rsid w:val="00E01DBA"/>
    <w:rsid w:val="00E055FB"/>
    <w:rsid w:val="00E0636F"/>
    <w:rsid w:val="00E07DEC"/>
    <w:rsid w:val="00E1096A"/>
    <w:rsid w:val="00E21113"/>
    <w:rsid w:val="00E25384"/>
    <w:rsid w:val="00E3197D"/>
    <w:rsid w:val="00E330DC"/>
    <w:rsid w:val="00E4251A"/>
    <w:rsid w:val="00E47487"/>
    <w:rsid w:val="00E5194B"/>
    <w:rsid w:val="00E54B29"/>
    <w:rsid w:val="00E608BC"/>
    <w:rsid w:val="00E7163B"/>
    <w:rsid w:val="00E71920"/>
    <w:rsid w:val="00E74C4F"/>
    <w:rsid w:val="00E7780C"/>
    <w:rsid w:val="00E81919"/>
    <w:rsid w:val="00E84637"/>
    <w:rsid w:val="00E94FDF"/>
    <w:rsid w:val="00EA59A7"/>
    <w:rsid w:val="00EB19C8"/>
    <w:rsid w:val="00EB3B97"/>
    <w:rsid w:val="00EC2575"/>
    <w:rsid w:val="00EC2C5A"/>
    <w:rsid w:val="00EC57D6"/>
    <w:rsid w:val="00EC7DA7"/>
    <w:rsid w:val="00ED1EBC"/>
    <w:rsid w:val="00ED5460"/>
    <w:rsid w:val="00ED65FC"/>
    <w:rsid w:val="00EE44B3"/>
    <w:rsid w:val="00EE675D"/>
    <w:rsid w:val="00F03DBE"/>
    <w:rsid w:val="00F05BF6"/>
    <w:rsid w:val="00F14F10"/>
    <w:rsid w:val="00F31467"/>
    <w:rsid w:val="00F32DC9"/>
    <w:rsid w:val="00F331B9"/>
    <w:rsid w:val="00F335A1"/>
    <w:rsid w:val="00F35B2B"/>
    <w:rsid w:val="00F42B5E"/>
    <w:rsid w:val="00F43082"/>
    <w:rsid w:val="00F46336"/>
    <w:rsid w:val="00F55805"/>
    <w:rsid w:val="00F61DC3"/>
    <w:rsid w:val="00F62F2A"/>
    <w:rsid w:val="00F64723"/>
    <w:rsid w:val="00F6523A"/>
    <w:rsid w:val="00F72F37"/>
    <w:rsid w:val="00F73AFA"/>
    <w:rsid w:val="00F7674C"/>
    <w:rsid w:val="00F77F54"/>
    <w:rsid w:val="00F81A27"/>
    <w:rsid w:val="00F87677"/>
    <w:rsid w:val="00F9131B"/>
    <w:rsid w:val="00F945A0"/>
    <w:rsid w:val="00FB3723"/>
    <w:rsid w:val="00FD053B"/>
    <w:rsid w:val="00FD330B"/>
    <w:rsid w:val="00FE3541"/>
    <w:rsid w:val="00FE5CC2"/>
    <w:rsid w:val="00FE5DE6"/>
    <w:rsid w:val="00FE70BC"/>
    <w:rsid w:val="010A70EA"/>
    <w:rsid w:val="010E70F1"/>
    <w:rsid w:val="012D5666"/>
    <w:rsid w:val="013D3900"/>
    <w:rsid w:val="01707A92"/>
    <w:rsid w:val="017C1B55"/>
    <w:rsid w:val="017F6FD8"/>
    <w:rsid w:val="018047D6"/>
    <w:rsid w:val="018C48CF"/>
    <w:rsid w:val="01903F7B"/>
    <w:rsid w:val="019674B7"/>
    <w:rsid w:val="01AF1838"/>
    <w:rsid w:val="01B4478A"/>
    <w:rsid w:val="01B622D0"/>
    <w:rsid w:val="01BF5A9D"/>
    <w:rsid w:val="01CD7B04"/>
    <w:rsid w:val="01DC4C73"/>
    <w:rsid w:val="01E128EA"/>
    <w:rsid w:val="023E4D94"/>
    <w:rsid w:val="0240504A"/>
    <w:rsid w:val="025F0B06"/>
    <w:rsid w:val="028A556D"/>
    <w:rsid w:val="02941414"/>
    <w:rsid w:val="029F4803"/>
    <w:rsid w:val="02A3233D"/>
    <w:rsid w:val="02A60A0B"/>
    <w:rsid w:val="02CA2696"/>
    <w:rsid w:val="02D20556"/>
    <w:rsid w:val="030926B1"/>
    <w:rsid w:val="032A1043"/>
    <w:rsid w:val="03472874"/>
    <w:rsid w:val="035853F4"/>
    <w:rsid w:val="03632C5F"/>
    <w:rsid w:val="036C38DC"/>
    <w:rsid w:val="036E3699"/>
    <w:rsid w:val="037410FE"/>
    <w:rsid w:val="038002EE"/>
    <w:rsid w:val="03AF674A"/>
    <w:rsid w:val="03B2313A"/>
    <w:rsid w:val="03C17D29"/>
    <w:rsid w:val="03D97B9D"/>
    <w:rsid w:val="04041965"/>
    <w:rsid w:val="04144C45"/>
    <w:rsid w:val="04192030"/>
    <w:rsid w:val="04193CB5"/>
    <w:rsid w:val="04560338"/>
    <w:rsid w:val="045A7F6F"/>
    <w:rsid w:val="04615859"/>
    <w:rsid w:val="04B9351E"/>
    <w:rsid w:val="04BA00AD"/>
    <w:rsid w:val="04D818D6"/>
    <w:rsid w:val="050C4C48"/>
    <w:rsid w:val="05246F68"/>
    <w:rsid w:val="052F0F86"/>
    <w:rsid w:val="054E05DB"/>
    <w:rsid w:val="05632A70"/>
    <w:rsid w:val="056525BA"/>
    <w:rsid w:val="0567616E"/>
    <w:rsid w:val="056C6FD4"/>
    <w:rsid w:val="056D6B02"/>
    <w:rsid w:val="05857731"/>
    <w:rsid w:val="05904D29"/>
    <w:rsid w:val="0599568D"/>
    <w:rsid w:val="059C2287"/>
    <w:rsid w:val="05A459B9"/>
    <w:rsid w:val="05A52CD4"/>
    <w:rsid w:val="05B27307"/>
    <w:rsid w:val="05CC34CD"/>
    <w:rsid w:val="05D35F3B"/>
    <w:rsid w:val="05F41565"/>
    <w:rsid w:val="060116C4"/>
    <w:rsid w:val="060370B3"/>
    <w:rsid w:val="0604227E"/>
    <w:rsid w:val="06053880"/>
    <w:rsid w:val="06180D34"/>
    <w:rsid w:val="06200790"/>
    <w:rsid w:val="0624613D"/>
    <w:rsid w:val="06497B23"/>
    <w:rsid w:val="065C27E1"/>
    <w:rsid w:val="06730AD9"/>
    <w:rsid w:val="0679665A"/>
    <w:rsid w:val="06873766"/>
    <w:rsid w:val="069D16B5"/>
    <w:rsid w:val="06AE282E"/>
    <w:rsid w:val="06BC4FEF"/>
    <w:rsid w:val="06CA0778"/>
    <w:rsid w:val="06CA7BE5"/>
    <w:rsid w:val="06D117CF"/>
    <w:rsid w:val="06F5690C"/>
    <w:rsid w:val="07257D87"/>
    <w:rsid w:val="07386367"/>
    <w:rsid w:val="073C4DA9"/>
    <w:rsid w:val="07447DE6"/>
    <w:rsid w:val="07465F99"/>
    <w:rsid w:val="075D1B2B"/>
    <w:rsid w:val="0762380D"/>
    <w:rsid w:val="07783C11"/>
    <w:rsid w:val="07800EFD"/>
    <w:rsid w:val="07842CF4"/>
    <w:rsid w:val="0790768D"/>
    <w:rsid w:val="07AD2DD8"/>
    <w:rsid w:val="07CD5A5C"/>
    <w:rsid w:val="07EA18DD"/>
    <w:rsid w:val="07F104D4"/>
    <w:rsid w:val="07F626D4"/>
    <w:rsid w:val="083251DB"/>
    <w:rsid w:val="08385C33"/>
    <w:rsid w:val="08513F03"/>
    <w:rsid w:val="085B0AC4"/>
    <w:rsid w:val="085F1394"/>
    <w:rsid w:val="08844B44"/>
    <w:rsid w:val="089639CA"/>
    <w:rsid w:val="08980AF6"/>
    <w:rsid w:val="08B93007"/>
    <w:rsid w:val="09047A24"/>
    <w:rsid w:val="090B5543"/>
    <w:rsid w:val="09264D7A"/>
    <w:rsid w:val="09304DB9"/>
    <w:rsid w:val="093631D2"/>
    <w:rsid w:val="0956232F"/>
    <w:rsid w:val="09690910"/>
    <w:rsid w:val="097706F5"/>
    <w:rsid w:val="0979711C"/>
    <w:rsid w:val="09AC155C"/>
    <w:rsid w:val="09B334C6"/>
    <w:rsid w:val="09B67447"/>
    <w:rsid w:val="09D97492"/>
    <w:rsid w:val="09ED7790"/>
    <w:rsid w:val="0A01191E"/>
    <w:rsid w:val="0A2D5046"/>
    <w:rsid w:val="0A2F1A41"/>
    <w:rsid w:val="0A555586"/>
    <w:rsid w:val="0A6374DE"/>
    <w:rsid w:val="0A694D60"/>
    <w:rsid w:val="0AA03A6A"/>
    <w:rsid w:val="0AD32091"/>
    <w:rsid w:val="0AE248D1"/>
    <w:rsid w:val="0AFA6E67"/>
    <w:rsid w:val="0B027B08"/>
    <w:rsid w:val="0B03171F"/>
    <w:rsid w:val="0B0B177D"/>
    <w:rsid w:val="0B1870B9"/>
    <w:rsid w:val="0B1D50BA"/>
    <w:rsid w:val="0B3C6109"/>
    <w:rsid w:val="0B667091"/>
    <w:rsid w:val="0B7E2A44"/>
    <w:rsid w:val="0B954E80"/>
    <w:rsid w:val="0BAB3843"/>
    <w:rsid w:val="0BBF1DEA"/>
    <w:rsid w:val="0BEF2228"/>
    <w:rsid w:val="0C2826A3"/>
    <w:rsid w:val="0C363BD5"/>
    <w:rsid w:val="0C462135"/>
    <w:rsid w:val="0C523489"/>
    <w:rsid w:val="0C7D42D8"/>
    <w:rsid w:val="0C955316"/>
    <w:rsid w:val="0C9807F7"/>
    <w:rsid w:val="0CC50889"/>
    <w:rsid w:val="0CE30C09"/>
    <w:rsid w:val="0CEB7C97"/>
    <w:rsid w:val="0CFD33F5"/>
    <w:rsid w:val="0D017009"/>
    <w:rsid w:val="0D0714EB"/>
    <w:rsid w:val="0D161557"/>
    <w:rsid w:val="0D314E4D"/>
    <w:rsid w:val="0D3E26CF"/>
    <w:rsid w:val="0D515D61"/>
    <w:rsid w:val="0D752FAE"/>
    <w:rsid w:val="0D754028"/>
    <w:rsid w:val="0D992CD9"/>
    <w:rsid w:val="0DA91EF6"/>
    <w:rsid w:val="0DAE542B"/>
    <w:rsid w:val="0DCE7FEA"/>
    <w:rsid w:val="0DDF72BE"/>
    <w:rsid w:val="0DEC3D56"/>
    <w:rsid w:val="0E000940"/>
    <w:rsid w:val="0E19425F"/>
    <w:rsid w:val="0E325761"/>
    <w:rsid w:val="0E546E3C"/>
    <w:rsid w:val="0E7D6397"/>
    <w:rsid w:val="0E853398"/>
    <w:rsid w:val="0E8C4865"/>
    <w:rsid w:val="0E964F71"/>
    <w:rsid w:val="0EAB36FC"/>
    <w:rsid w:val="0EB351C0"/>
    <w:rsid w:val="0EB451BA"/>
    <w:rsid w:val="0EC83B40"/>
    <w:rsid w:val="0ED427D9"/>
    <w:rsid w:val="0EDD7375"/>
    <w:rsid w:val="0EEB34AC"/>
    <w:rsid w:val="0EED2E2F"/>
    <w:rsid w:val="0EF40753"/>
    <w:rsid w:val="0F041CC7"/>
    <w:rsid w:val="0F163EE9"/>
    <w:rsid w:val="0F173DA9"/>
    <w:rsid w:val="0F24209A"/>
    <w:rsid w:val="0F296992"/>
    <w:rsid w:val="0F2A78CF"/>
    <w:rsid w:val="0F4D68A4"/>
    <w:rsid w:val="0F56037C"/>
    <w:rsid w:val="0F641F28"/>
    <w:rsid w:val="0F9B19B2"/>
    <w:rsid w:val="0FA46E6D"/>
    <w:rsid w:val="0FD0015F"/>
    <w:rsid w:val="0FDE37AF"/>
    <w:rsid w:val="0FE25A95"/>
    <w:rsid w:val="10065D11"/>
    <w:rsid w:val="100F5E74"/>
    <w:rsid w:val="1063645C"/>
    <w:rsid w:val="106748A0"/>
    <w:rsid w:val="108D2888"/>
    <w:rsid w:val="109C224C"/>
    <w:rsid w:val="10A00E68"/>
    <w:rsid w:val="10B139D9"/>
    <w:rsid w:val="10B27EED"/>
    <w:rsid w:val="10CA043C"/>
    <w:rsid w:val="10D04CAA"/>
    <w:rsid w:val="10FF22C9"/>
    <w:rsid w:val="111A380C"/>
    <w:rsid w:val="1144758E"/>
    <w:rsid w:val="116837A5"/>
    <w:rsid w:val="11BB73DB"/>
    <w:rsid w:val="11DA3DF9"/>
    <w:rsid w:val="11DC4432"/>
    <w:rsid w:val="11E414FB"/>
    <w:rsid w:val="11E422F6"/>
    <w:rsid w:val="11EA4D26"/>
    <w:rsid w:val="120C4AE9"/>
    <w:rsid w:val="121232EC"/>
    <w:rsid w:val="12304776"/>
    <w:rsid w:val="12330421"/>
    <w:rsid w:val="12463487"/>
    <w:rsid w:val="125A4DE1"/>
    <w:rsid w:val="125D6A91"/>
    <w:rsid w:val="12684FD2"/>
    <w:rsid w:val="126B3346"/>
    <w:rsid w:val="126C2C8C"/>
    <w:rsid w:val="126D66D9"/>
    <w:rsid w:val="12817E43"/>
    <w:rsid w:val="12983414"/>
    <w:rsid w:val="1310662D"/>
    <w:rsid w:val="1327536F"/>
    <w:rsid w:val="132B57E3"/>
    <w:rsid w:val="132F62D2"/>
    <w:rsid w:val="135F095F"/>
    <w:rsid w:val="135F6956"/>
    <w:rsid w:val="139A3753"/>
    <w:rsid w:val="140B1761"/>
    <w:rsid w:val="141B185B"/>
    <w:rsid w:val="14220E4B"/>
    <w:rsid w:val="144C6FE7"/>
    <w:rsid w:val="14584BA1"/>
    <w:rsid w:val="14754A58"/>
    <w:rsid w:val="147A5F4D"/>
    <w:rsid w:val="148166BA"/>
    <w:rsid w:val="149143D5"/>
    <w:rsid w:val="149A39FB"/>
    <w:rsid w:val="14B74A39"/>
    <w:rsid w:val="14C01FB4"/>
    <w:rsid w:val="14D861DF"/>
    <w:rsid w:val="14EC1C7B"/>
    <w:rsid w:val="15270331"/>
    <w:rsid w:val="153B3C10"/>
    <w:rsid w:val="153E117F"/>
    <w:rsid w:val="1552579F"/>
    <w:rsid w:val="1589646E"/>
    <w:rsid w:val="159E5735"/>
    <w:rsid w:val="15A13885"/>
    <w:rsid w:val="15C60A3E"/>
    <w:rsid w:val="15C90A67"/>
    <w:rsid w:val="15CD38EB"/>
    <w:rsid w:val="15D74357"/>
    <w:rsid w:val="15DA124C"/>
    <w:rsid w:val="15E16EAD"/>
    <w:rsid w:val="15FD7E27"/>
    <w:rsid w:val="15FE2D06"/>
    <w:rsid w:val="160264CB"/>
    <w:rsid w:val="160A0806"/>
    <w:rsid w:val="1622788B"/>
    <w:rsid w:val="1626040D"/>
    <w:rsid w:val="1632644A"/>
    <w:rsid w:val="163B60AC"/>
    <w:rsid w:val="165570B2"/>
    <w:rsid w:val="16905228"/>
    <w:rsid w:val="16915345"/>
    <w:rsid w:val="16C3668C"/>
    <w:rsid w:val="16D77033"/>
    <w:rsid w:val="16D83325"/>
    <w:rsid w:val="16EE73E5"/>
    <w:rsid w:val="16F40375"/>
    <w:rsid w:val="16F513F6"/>
    <w:rsid w:val="16F75359"/>
    <w:rsid w:val="171A2895"/>
    <w:rsid w:val="172822D2"/>
    <w:rsid w:val="17284AD4"/>
    <w:rsid w:val="172E76F8"/>
    <w:rsid w:val="173051DB"/>
    <w:rsid w:val="17445CDE"/>
    <w:rsid w:val="177A6176"/>
    <w:rsid w:val="17AD2685"/>
    <w:rsid w:val="17B1375A"/>
    <w:rsid w:val="17C1746A"/>
    <w:rsid w:val="17DB7ACA"/>
    <w:rsid w:val="17E71FFD"/>
    <w:rsid w:val="17F2665F"/>
    <w:rsid w:val="17F831C6"/>
    <w:rsid w:val="17FE6B4A"/>
    <w:rsid w:val="1807337A"/>
    <w:rsid w:val="181B0946"/>
    <w:rsid w:val="181C294C"/>
    <w:rsid w:val="182A4F36"/>
    <w:rsid w:val="182D42C1"/>
    <w:rsid w:val="18330C53"/>
    <w:rsid w:val="18500982"/>
    <w:rsid w:val="18622746"/>
    <w:rsid w:val="188D15FD"/>
    <w:rsid w:val="1895095F"/>
    <w:rsid w:val="1897785D"/>
    <w:rsid w:val="18A24E51"/>
    <w:rsid w:val="18A60DE5"/>
    <w:rsid w:val="18D74834"/>
    <w:rsid w:val="18DA5632"/>
    <w:rsid w:val="18DB002B"/>
    <w:rsid w:val="18DB2908"/>
    <w:rsid w:val="18E86D6A"/>
    <w:rsid w:val="18E935B3"/>
    <w:rsid w:val="18F04814"/>
    <w:rsid w:val="18FD08DC"/>
    <w:rsid w:val="18FF793E"/>
    <w:rsid w:val="191D2378"/>
    <w:rsid w:val="19232232"/>
    <w:rsid w:val="19565177"/>
    <w:rsid w:val="19866520"/>
    <w:rsid w:val="19870520"/>
    <w:rsid w:val="198D787B"/>
    <w:rsid w:val="199B2B23"/>
    <w:rsid w:val="19AF4C20"/>
    <w:rsid w:val="19C25A12"/>
    <w:rsid w:val="19D27CAF"/>
    <w:rsid w:val="19D4617C"/>
    <w:rsid w:val="1A0413DF"/>
    <w:rsid w:val="1A1549F8"/>
    <w:rsid w:val="1A2209B0"/>
    <w:rsid w:val="1A414587"/>
    <w:rsid w:val="1A565014"/>
    <w:rsid w:val="1A5B75FC"/>
    <w:rsid w:val="1A641C77"/>
    <w:rsid w:val="1A6525DA"/>
    <w:rsid w:val="1A6D09D1"/>
    <w:rsid w:val="1A7F2661"/>
    <w:rsid w:val="1A804512"/>
    <w:rsid w:val="1A893695"/>
    <w:rsid w:val="1AA04EA7"/>
    <w:rsid w:val="1AAE1E35"/>
    <w:rsid w:val="1ACA3C9F"/>
    <w:rsid w:val="1ACE484E"/>
    <w:rsid w:val="1ADC716E"/>
    <w:rsid w:val="1AE77A86"/>
    <w:rsid w:val="1AF4021D"/>
    <w:rsid w:val="1B2450FB"/>
    <w:rsid w:val="1B341257"/>
    <w:rsid w:val="1B462F5E"/>
    <w:rsid w:val="1B5220F6"/>
    <w:rsid w:val="1B5F3BCF"/>
    <w:rsid w:val="1B615FA4"/>
    <w:rsid w:val="1B627FD3"/>
    <w:rsid w:val="1B653028"/>
    <w:rsid w:val="1B6C3998"/>
    <w:rsid w:val="1B6F6187"/>
    <w:rsid w:val="1B730D89"/>
    <w:rsid w:val="1B83626B"/>
    <w:rsid w:val="1BA100BA"/>
    <w:rsid w:val="1BDA580E"/>
    <w:rsid w:val="1BDE7E70"/>
    <w:rsid w:val="1BE74617"/>
    <w:rsid w:val="1BE7774A"/>
    <w:rsid w:val="1C0E137A"/>
    <w:rsid w:val="1C204D87"/>
    <w:rsid w:val="1C2F7C26"/>
    <w:rsid w:val="1C317EDF"/>
    <w:rsid w:val="1C471801"/>
    <w:rsid w:val="1C47224D"/>
    <w:rsid w:val="1C5D0E77"/>
    <w:rsid w:val="1C5E6740"/>
    <w:rsid w:val="1CB30F51"/>
    <w:rsid w:val="1CB449E2"/>
    <w:rsid w:val="1CB610B6"/>
    <w:rsid w:val="1CE43F70"/>
    <w:rsid w:val="1CFD6B42"/>
    <w:rsid w:val="1D0F6455"/>
    <w:rsid w:val="1D1B6331"/>
    <w:rsid w:val="1D230DAA"/>
    <w:rsid w:val="1D2B7A02"/>
    <w:rsid w:val="1D3C5AB4"/>
    <w:rsid w:val="1D4B34D5"/>
    <w:rsid w:val="1D4E1F68"/>
    <w:rsid w:val="1D6E17A5"/>
    <w:rsid w:val="1DAA5E11"/>
    <w:rsid w:val="1DAD5900"/>
    <w:rsid w:val="1DBB7D72"/>
    <w:rsid w:val="1DC433E2"/>
    <w:rsid w:val="1DCB6DD3"/>
    <w:rsid w:val="1DD24FB7"/>
    <w:rsid w:val="1DD4022F"/>
    <w:rsid w:val="1DD7652D"/>
    <w:rsid w:val="1DDE13F8"/>
    <w:rsid w:val="1DEF050C"/>
    <w:rsid w:val="1E1673CB"/>
    <w:rsid w:val="1E6D12BB"/>
    <w:rsid w:val="1E892D3B"/>
    <w:rsid w:val="1E8F6EB7"/>
    <w:rsid w:val="1E943D2D"/>
    <w:rsid w:val="1EA17055"/>
    <w:rsid w:val="1EA96ECE"/>
    <w:rsid w:val="1ED02718"/>
    <w:rsid w:val="1EDB7972"/>
    <w:rsid w:val="1EFA71A0"/>
    <w:rsid w:val="1F2404F7"/>
    <w:rsid w:val="1F2465D9"/>
    <w:rsid w:val="1F2546D3"/>
    <w:rsid w:val="1F281065"/>
    <w:rsid w:val="1F2D6C14"/>
    <w:rsid w:val="1F4A7483"/>
    <w:rsid w:val="1F4E197E"/>
    <w:rsid w:val="1F506334"/>
    <w:rsid w:val="1F567955"/>
    <w:rsid w:val="1F995661"/>
    <w:rsid w:val="1FC733AF"/>
    <w:rsid w:val="1FD24D8B"/>
    <w:rsid w:val="1FE17AD3"/>
    <w:rsid w:val="1FF318E6"/>
    <w:rsid w:val="1FF7097D"/>
    <w:rsid w:val="20126338"/>
    <w:rsid w:val="20352139"/>
    <w:rsid w:val="2049683A"/>
    <w:rsid w:val="205524AA"/>
    <w:rsid w:val="20610439"/>
    <w:rsid w:val="20643A5B"/>
    <w:rsid w:val="20773F09"/>
    <w:rsid w:val="20834DD7"/>
    <w:rsid w:val="208676BB"/>
    <w:rsid w:val="2091030C"/>
    <w:rsid w:val="20A21196"/>
    <w:rsid w:val="20A7394C"/>
    <w:rsid w:val="20BD1F61"/>
    <w:rsid w:val="20D941A3"/>
    <w:rsid w:val="20DB741A"/>
    <w:rsid w:val="20E34258"/>
    <w:rsid w:val="21061CF5"/>
    <w:rsid w:val="210B0338"/>
    <w:rsid w:val="211474D2"/>
    <w:rsid w:val="211D7DA1"/>
    <w:rsid w:val="21201F49"/>
    <w:rsid w:val="21400CDB"/>
    <w:rsid w:val="214F5D9B"/>
    <w:rsid w:val="215B2181"/>
    <w:rsid w:val="216268BB"/>
    <w:rsid w:val="21764C26"/>
    <w:rsid w:val="21967C09"/>
    <w:rsid w:val="21990191"/>
    <w:rsid w:val="21A24FEA"/>
    <w:rsid w:val="21B25BE9"/>
    <w:rsid w:val="21BE2305"/>
    <w:rsid w:val="21CA13BF"/>
    <w:rsid w:val="21D302E3"/>
    <w:rsid w:val="21DD0F22"/>
    <w:rsid w:val="22141FF1"/>
    <w:rsid w:val="224728C9"/>
    <w:rsid w:val="22643B2A"/>
    <w:rsid w:val="227C7862"/>
    <w:rsid w:val="227F26CD"/>
    <w:rsid w:val="22814BDD"/>
    <w:rsid w:val="228F0AF5"/>
    <w:rsid w:val="228F5316"/>
    <w:rsid w:val="2297022E"/>
    <w:rsid w:val="22A74D5B"/>
    <w:rsid w:val="22D80401"/>
    <w:rsid w:val="22FD7594"/>
    <w:rsid w:val="230275F4"/>
    <w:rsid w:val="23063D90"/>
    <w:rsid w:val="230C44F0"/>
    <w:rsid w:val="230F19CF"/>
    <w:rsid w:val="231A178A"/>
    <w:rsid w:val="231A4F86"/>
    <w:rsid w:val="232C2375"/>
    <w:rsid w:val="23664EF2"/>
    <w:rsid w:val="236B2A0F"/>
    <w:rsid w:val="236D2106"/>
    <w:rsid w:val="237F2C6A"/>
    <w:rsid w:val="237F65B6"/>
    <w:rsid w:val="23817F9C"/>
    <w:rsid w:val="238542FA"/>
    <w:rsid w:val="23996230"/>
    <w:rsid w:val="239A1546"/>
    <w:rsid w:val="23AA65AE"/>
    <w:rsid w:val="23CC7881"/>
    <w:rsid w:val="23D06D16"/>
    <w:rsid w:val="23F20D13"/>
    <w:rsid w:val="24302130"/>
    <w:rsid w:val="24316413"/>
    <w:rsid w:val="24546CDF"/>
    <w:rsid w:val="24576C7E"/>
    <w:rsid w:val="245E2F26"/>
    <w:rsid w:val="2461575C"/>
    <w:rsid w:val="2484359B"/>
    <w:rsid w:val="24AF6700"/>
    <w:rsid w:val="24B25EBA"/>
    <w:rsid w:val="24DE624F"/>
    <w:rsid w:val="24E05670"/>
    <w:rsid w:val="24EC5DD1"/>
    <w:rsid w:val="24F468A5"/>
    <w:rsid w:val="24FF0B73"/>
    <w:rsid w:val="25051397"/>
    <w:rsid w:val="250703EE"/>
    <w:rsid w:val="251412E3"/>
    <w:rsid w:val="25300E1F"/>
    <w:rsid w:val="25323E89"/>
    <w:rsid w:val="253A6C3B"/>
    <w:rsid w:val="255524A9"/>
    <w:rsid w:val="2557785A"/>
    <w:rsid w:val="255A1B23"/>
    <w:rsid w:val="256C7B62"/>
    <w:rsid w:val="259651FA"/>
    <w:rsid w:val="25A4013F"/>
    <w:rsid w:val="25CB3167"/>
    <w:rsid w:val="25D441CD"/>
    <w:rsid w:val="26283A7F"/>
    <w:rsid w:val="262D4370"/>
    <w:rsid w:val="262F11E1"/>
    <w:rsid w:val="264967A7"/>
    <w:rsid w:val="264D66E9"/>
    <w:rsid w:val="265F2700"/>
    <w:rsid w:val="267B684F"/>
    <w:rsid w:val="269D543E"/>
    <w:rsid w:val="26A148C9"/>
    <w:rsid w:val="26A16498"/>
    <w:rsid w:val="26A3317D"/>
    <w:rsid w:val="26AD34EC"/>
    <w:rsid w:val="26B13070"/>
    <w:rsid w:val="26C21923"/>
    <w:rsid w:val="26D920E3"/>
    <w:rsid w:val="26FB1CE3"/>
    <w:rsid w:val="270F3FF9"/>
    <w:rsid w:val="271207DB"/>
    <w:rsid w:val="27190DDB"/>
    <w:rsid w:val="2720220E"/>
    <w:rsid w:val="27247A05"/>
    <w:rsid w:val="27540004"/>
    <w:rsid w:val="27553359"/>
    <w:rsid w:val="27717027"/>
    <w:rsid w:val="277233AA"/>
    <w:rsid w:val="27814EF7"/>
    <w:rsid w:val="278C6F0B"/>
    <w:rsid w:val="27933B14"/>
    <w:rsid w:val="279F537D"/>
    <w:rsid w:val="27AC1514"/>
    <w:rsid w:val="27CB1C25"/>
    <w:rsid w:val="27EE51E6"/>
    <w:rsid w:val="27F85F7B"/>
    <w:rsid w:val="28124911"/>
    <w:rsid w:val="282C5421"/>
    <w:rsid w:val="282E038C"/>
    <w:rsid w:val="284A3CD5"/>
    <w:rsid w:val="286A05DF"/>
    <w:rsid w:val="2873083B"/>
    <w:rsid w:val="28917E7F"/>
    <w:rsid w:val="28EE4EBB"/>
    <w:rsid w:val="29017CB4"/>
    <w:rsid w:val="2916373D"/>
    <w:rsid w:val="292151D1"/>
    <w:rsid w:val="29251497"/>
    <w:rsid w:val="2928103E"/>
    <w:rsid w:val="292F6EA4"/>
    <w:rsid w:val="29303854"/>
    <w:rsid w:val="295E7297"/>
    <w:rsid w:val="29846E30"/>
    <w:rsid w:val="299407E6"/>
    <w:rsid w:val="29996B12"/>
    <w:rsid w:val="29A63305"/>
    <w:rsid w:val="29C202D2"/>
    <w:rsid w:val="29C73352"/>
    <w:rsid w:val="29E04142"/>
    <w:rsid w:val="2A0239A1"/>
    <w:rsid w:val="2A234AA2"/>
    <w:rsid w:val="2A2E25C6"/>
    <w:rsid w:val="2A6548AB"/>
    <w:rsid w:val="2A793087"/>
    <w:rsid w:val="2A8E1128"/>
    <w:rsid w:val="2A921BD4"/>
    <w:rsid w:val="2A9822B2"/>
    <w:rsid w:val="2AA5359E"/>
    <w:rsid w:val="2AA9527F"/>
    <w:rsid w:val="2AB253C7"/>
    <w:rsid w:val="2AD30B6A"/>
    <w:rsid w:val="2AE5790A"/>
    <w:rsid w:val="2AEB5809"/>
    <w:rsid w:val="2B1E57A9"/>
    <w:rsid w:val="2B225F8F"/>
    <w:rsid w:val="2B2511BF"/>
    <w:rsid w:val="2B324933"/>
    <w:rsid w:val="2B3D6B42"/>
    <w:rsid w:val="2B3E068A"/>
    <w:rsid w:val="2B43027A"/>
    <w:rsid w:val="2B4E43CA"/>
    <w:rsid w:val="2B624AD9"/>
    <w:rsid w:val="2B744625"/>
    <w:rsid w:val="2B793BF1"/>
    <w:rsid w:val="2B8F395A"/>
    <w:rsid w:val="2B944865"/>
    <w:rsid w:val="2BB35523"/>
    <w:rsid w:val="2BCC7A84"/>
    <w:rsid w:val="2BD14F63"/>
    <w:rsid w:val="2BE02A8B"/>
    <w:rsid w:val="2BF55CEC"/>
    <w:rsid w:val="2BFC7F66"/>
    <w:rsid w:val="2C1916D1"/>
    <w:rsid w:val="2C1B28E3"/>
    <w:rsid w:val="2C322909"/>
    <w:rsid w:val="2C365B84"/>
    <w:rsid w:val="2C487E22"/>
    <w:rsid w:val="2C5274F2"/>
    <w:rsid w:val="2C725C4B"/>
    <w:rsid w:val="2C79088A"/>
    <w:rsid w:val="2CA86582"/>
    <w:rsid w:val="2CB71165"/>
    <w:rsid w:val="2CFC1259"/>
    <w:rsid w:val="2D1135CF"/>
    <w:rsid w:val="2D125C1A"/>
    <w:rsid w:val="2D306B67"/>
    <w:rsid w:val="2D392D05"/>
    <w:rsid w:val="2D3E1F7A"/>
    <w:rsid w:val="2D4866BB"/>
    <w:rsid w:val="2D641602"/>
    <w:rsid w:val="2D684349"/>
    <w:rsid w:val="2D6A3D37"/>
    <w:rsid w:val="2D775847"/>
    <w:rsid w:val="2D915300"/>
    <w:rsid w:val="2D925AAD"/>
    <w:rsid w:val="2DAA0956"/>
    <w:rsid w:val="2DC364EE"/>
    <w:rsid w:val="2DE4201C"/>
    <w:rsid w:val="2DFE62F3"/>
    <w:rsid w:val="2E1756A9"/>
    <w:rsid w:val="2E1C482F"/>
    <w:rsid w:val="2E203983"/>
    <w:rsid w:val="2E217B7A"/>
    <w:rsid w:val="2E2930B8"/>
    <w:rsid w:val="2E394DF0"/>
    <w:rsid w:val="2E537EC4"/>
    <w:rsid w:val="2E6D1AAB"/>
    <w:rsid w:val="2E7C4A00"/>
    <w:rsid w:val="2E8012FC"/>
    <w:rsid w:val="2E8E614B"/>
    <w:rsid w:val="2EAE2D1F"/>
    <w:rsid w:val="2ED20B55"/>
    <w:rsid w:val="2ED63A7D"/>
    <w:rsid w:val="2EF75C52"/>
    <w:rsid w:val="2F0F18CB"/>
    <w:rsid w:val="2F1154C0"/>
    <w:rsid w:val="2F1E4739"/>
    <w:rsid w:val="2F3C1E7D"/>
    <w:rsid w:val="2F3C62F1"/>
    <w:rsid w:val="2F3C723D"/>
    <w:rsid w:val="2F480C30"/>
    <w:rsid w:val="2F5271AD"/>
    <w:rsid w:val="2F5B30F6"/>
    <w:rsid w:val="2F7200AF"/>
    <w:rsid w:val="2FAA6353"/>
    <w:rsid w:val="2FAA684A"/>
    <w:rsid w:val="2FB83A61"/>
    <w:rsid w:val="2FBE036A"/>
    <w:rsid w:val="2FCC0A00"/>
    <w:rsid w:val="2FD560B9"/>
    <w:rsid w:val="2FEB7E18"/>
    <w:rsid w:val="2FF81837"/>
    <w:rsid w:val="30366C6D"/>
    <w:rsid w:val="30384354"/>
    <w:rsid w:val="3068087D"/>
    <w:rsid w:val="307913CD"/>
    <w:rsid w:val="309B4329"/>
    <w:rsid w:val="309F74D7"/>
    <w:rsid w:val="30AE7A7A"/>
    <w:rsid w:val="30B31DF1"/>
    <w:rsid w:val="30F524B2"/>
    <w:rsid w:val="30F57645"/>
    <w:rsid w:val="310D12E7"/>
    <w:rsid w:val="310F7332"/>
    <w:rsid w:val="313230A6"/>
    <w:rsid w:val="313234B8"/>
    <w:rsid w:val="315C51A4"/>
    <w:rsid w:val="3170739C"/>
    <w:rsid w:val="31931317"/>
    <w:rsid w:val="31937CDF"/>
    <w:rsid w:val="31A517E2"/>
    <w:rsid w:val="31B17BCC"/>
    <w:rsid w:val="31B37952"/>
    <w:rsid w:val="31B616AB"/>
    <w:rsid w:val="31CA3FFA"/>
    <w:rsid w:val="31D3053D"/>
    <w:rsid w:val="31D42ECE"/>
    <w:rsid w:val="31DB145E"/>
    <w:rsid w:val="31F243A5"/>
    <w:rsid w:val="3207466F"/>
    <w:rsid w:val="321C0D41"/>
    <w:rsid w:val="322A39DF"/>
    <w:rsid w:val="326C31F7"/>
    <w:rsid w:val="32867865"/>
    <w:rsid w:val="3297356B"/>
    <w:rsid w:val="32975E5E"/>
    <w:rsid w:val="32A70F5E"/>
    <w:rsid w:val="32BE23B8"/>
    <w:rsid w:val="32D3724E"/>
    <w:rsid w:val="32E520FC"/>
    <w:rsid w:val="32F01183"/>
    <w:rsid w:val="32F17B32"/>
    <w:rsid w:val="33004121"/>
    <w:rsid w:val="33004250"/>
    <w:rsid w:val="33043CEF"/>
    <w:rsid w:val="3304425D"/>
    <w:rsid w:val="332E17B4"/>
    <w:rsid w:val="33347768"/>
    <w:rsid w:val="333B5B2A"/>
    <w:rsid w:val="33493EB1"/>
    <w:rsid w:val="3380392C"/>
    <w:rsid w:val="3383494E"/>
    <w:rsid w:val="33862A64"/>
    <w:rsid w:val="338D4686"/>
    <w:rsid w:val="33A44E48"/>
    <w:rsid w:val="33C17DD3"/>
    <w:rsid w:val="33C73BDB"/>
    <w:rsid w:val="340C1AB6"/>
    <w:rsid w:val="3425435C"/>
    <w:rsid w:val="342E2857"/>
    <w:rsid w:val="3430202D"/>
    <w:rsid w:val="347B4350"/>
    <w:rsid w:val="347C3808"/>
    <w:rsid w:val="347D596F"/>
    <w:rsid w:val="348D4A4B"/>
    <w:rsid w:val="349E50CA"/>
    <w:rsid w:val="34AE22F0"/>
    <w:rsid w:val="34C1433D"/>
    <w:rsid w:val="34C77608"/>
    <w:rsid w:val="34C80299"/>
    <w:rsid w:val="34CA520F"/>
    <w:rsid w:val="34D6224B"/>
    <w:rsid w:val="34E12E5B"/>
    <w:rsid w:val="351305A5"/>
    <w:rsid w:val="35292E6F"/>
    <w:rsid w:val="353E58F5"/>
    <w:rsid w:val="35510184"/>
    <w:rsid w:val="359C3FD5"/>
    <w:rsid w:val="35A47020"/>
    <w:rsid w:val="35B44A00"/>
    <w:rsid w:val="35C42D68"/>
    <w:rsid w:val="35CE4177"/>
    <w:rsid w:val="35D6735D"/>
    <w:rsid w:val="35D74EEC"/>
    <w:rsid w:val="35E623C9"/>
    <w:rsid w:val="360024AC"/>
    <w:rsid w:val="36630D25"/>
    <w:rsid w:val="36662527"/>
    <w:rsid w:val="36662DE0"/>
    <w:rsid w:val="36734B39"/>
    <w:rsid w:val="36753CE8"/>
    <w:rsid w:val="36855F8A"/>
    <w:rsid w:val="36A75C48"/>
    <w:rsid w:val="36B01687"/>
    <w:rsid w:val="36BD3E66"/>
    <w:rsid w:val="36C734F9"/>
    <w:rsid w:val="36D202F8"/>
    <w:rsid w:val="36D9126B"/>
    <w:rsid w:val="36EA205E"/>
    <w:rsid w:val="36F8074C"/>
    <w:rsid w:val="36FE7A9F"/>
    <w:rsid w:val="37327739"/>
    <w:rsid w:val="37486C96"/>
    <w:rsid w:val="374B5E63"/>
    <w:rsid w:val="375A3476"/>
    <w:rsid w:val="375C12D9"/>
    <w:rsid w:val="3775557C"/>
    <w:rsid w:val="378D0757"/>
    <w:rsid w:val="37CD5FFE"/>
    <w:rsid w:val="37D47B5E"/>
    <w:rsid w:val="37D56BF3"/>
    <w:rsid w:val="37DD3CB3"/>
    <w:rsid w:val="37F05DA0"/>
    <w:rsid w:val="37F2751C"/>
    <w:rsid w:val="380B6CCC"/>
    <w:rsid w:val="380C4DE9"/>
    <w:rsid w:val="38304348"/>
    <w:rsid w:val="386012D7"/>
    <w:rsid w:val="386046B4"/>
    <w:rsid w:val="388B7AC5"/>
    <w:rsid w:val="38A71C05"/>
    <w:rsid w:val="38AC1725"/>
    <w:rsid w:val="38AF371E"/>
    <w:rsid w:val="38B60DFD"/>
    <w:rsid w:val="38C02BC3"/>
    <w:rsid w:val="38C40EE1"/>
    <w:rsid w:val="38C52C46"/>
    <w:rsid w:val="38D6611A"/>
    <w:rsid w:val="38D919D2"/>
    <w:rsid w:val="38F907B3"/>
    <w:rsid w:val="38F90C34"/>
    <w:rsid w:val="390863E2"/>
    <w:rsid w:val="39292C5C"/>
    <w:rsid w:val="392D6FF4"/>
    <w:rsid w:val="393B2A2C"/>
    <w:rsid w:val="3942021D"/>
    <w:rsid w:val="394967A2"/>
    <w:rsid w:val="39544A8E"/>
    <w:rsid w:val="39552742"/>
    <w:rsid w:val="396D6D0A"/>
    <w:rsid w:val="3971060B"/>
    <w:rsid w:val="397E7800"/>
    <w:rsid w:val="39B53613"/>
    <w:rsid w:val="39B66037"/>
    <w:rsid w:val="39E14584"/>
    <w:rsid w:val="39F26A07"/>
    <w:rsid w:val="3A007A2A"/>
    <w:rsid w:val="3A1171E6"/>
    <w:rsid w:val="3A1569F5"/>
    <w:rsid w:val="3A1D33D9"/>
    <w:rsid w:val="3A2056E6"/>
    <w:rsid w:val="3A211A26"/>
    <w:rsid w:val="3A4B48D0"/>
    <w:rsid w:val="3A7D0722"/>
    <w:rsid w:val="3A8332D7"/>
    <w:rsid w:val="3A9656E4"/>
    <w:rsid w:val="3A9D66CD"/>
    <w:rsid w:val="3AE230D7"/>
    <w:rsid w:val="3AF9017E"/>
    <w:rsid w:val="3B297F38"/>
    <w:rsid w:val="3B2D6312"/>
    <w:rsid w:val="3B3E732B"/>
    <w:rsid w:val="3B3F175B"/>
    <w:rsid w:val="3B410453"/>
    <w:rsid w:val="3B436010"/>
    <w:rsid w:val="3B783589"/>
    <w:rsid w:val="3B915FC5"/>
    <w:rsid w:val="3BA2522D"/>
    <w:rsid w:val="3BAB0B58"/>
    <w:rsid w:val="3BAC51E6"/>
    <w:rsid w:val="3BE233BC"/>
    <w:rsid w:val="3C1C4C15"/>
    <w:rsid w:val="3C373BD4"/>
    <w:rsid w:val="3C3F6C01"/>
    <w:rsid w:val="3C6E5E43"/>
    <w:rsid w:val="3C740F54"/>
    <w:rsid w:val="3C7E0814"/>
    <w:rsid w:val="3C9A513B"/>
    <w:rsid w:val="3CA3433E"/>
    <w:rsid w:val="3CB100D8"/>
    <w:rsid w:val="3CBF5605"/>
    <w:rsid w:val="3CC44DFC"/>
    <w:rsid w:val="3CD46CB6"/>
    <w:rsid w:val="3CD7400C"/>
    <w:rsid w:val="3CDB2F20"/>
    <w:rsid w:val="3CE777DA"/>
    <w:rsid w:val="3CF967CC"/>
    <w:rsid w:val="3D077081"/>
    <w:rsid w:val="3D0F3ABD"/>
    <w:rsid w:val="3D1635D1"/>
    <w:rsid w:val="3D2E0F17"/>
    <w:rsid w:val="3D474875"/>
    <w:rsid w:val="3D492011"/>
    <w:rsid w:val="3D5703CA"/>
    <w:rsid w:val="3D64409A"/>
    <w:rsid w:val="3D927E4F"/>
    <w:rsid w:val="3DA26FC2"/>
    <w:rsid w:val="3DA426EB"/>
    <w:rsid w:val="3DB5707F"/>
    <w:rsid w:val="3DEA1C25"/>
    <w:rsid w:val="3DED36D7"/>
    <w:rsid w:val="3E011882"/>
    <w:rsid w:val="3E1E067E"/>
    <w:rsid w:val="3E245DD7"/>
    <w:rsid w:val="3E4F6127"/>
    <w:rsid w:val="3E7C38CA"/>
    <w:rsid w:val="3E8E2BC8"/>
    <w:rsid w:val="3E904F0F"/>
    <w:rsid w:val="3E921745"/>
    <w:rsid w:val="3E9535E8"/>
    <w:rsid w:val="3EB46DFB"/>
    <w:rsid w:val="3EC244C3"/>
    <w:rsid w:val="3EC72855"/>
    <w:rsid w:val="3ED30C29"/>
    <w:rsid w:val="3EDE05CB"/>
    <w:rsid w:val="3EEF2620"/>
    <w:rsid w:val="3F0B34B8"/>
    <w:rsid w:val="3F100874"/>
    <w:rsid w:val="3F155115"/>
    <w:rsid w:val="3F2E4685"/>
    <w:rsid w:val="3F5F58A8"/>
    <w:rsid w:val="3F783120"/>
    <w:rsid w:val="3F7F1872"/>
    <w:rsid w:val="3F831FDF"/>
    <w:rsid w:val="3F88332A"/>
    <w:rsid w:val="3FBD23EC"/>
    <w:rsid w:val="3FC27854"/>
    <w:rsid w:val="401632B9"/>
    <w:rsid w:val="40233F31"/>
    <w:rsid w:val="40257D91"/>
    <w:rsid w:val="404215EF"/>
    <w:rsid w:val="404D60DF"/>
    <w:rsid w:val="4061721C"/>
    <w:rsid w:val="4066114F"/>
    <w:rsid w:val="40674054"/>
    <w:rsid w:val="40A606D0"/>
    <w:rsid w:val="40C04516"/>
    <w:rsid w:val="40CB6171"/>
    <w:rsid w:val="40D94361"/>
    <w:rsid w:val="40E10E39"/>
    <w:rsid w:val="40E816EB"/>
    <w:rsid w:val="40E83E7B"/>
    <w:rsid w:val="40E9062E"/>
    <w:rsid w:val="40F15659"/>
    <w:rsid w:val="40F8464D"/>
    <w:rsid w:val="41086A1B"/>
    <w:rsid w:val="41213104"/>
    <w:rsid w:val="41222B32"/>
    <w:rsid w:val="41235477"/>
    <w:rsid w:val="41343777"/>
    <w:rsid w:val="41385D68"/>
    <w:rsid w:val="41575107"/>
    <w:rsid w:val="416A6381"/>
    <w:rsid w:val="41807B75"/>
    <w:rsid w:val="419828F9"/>
    <w:rsid w:val="419A23FF"/>
    <w:rsid w:val="419E3596"/>
    <w:rsid w:val="41A04303"/>
    <w:rsid w:val="41AF045B"/>
    <w:rsid w:val="4230395B"/>
    <w:rsid w:val="42762A3B"/>
    <w:rsid w:val="42786B53"/>
    <w:rsid w:val="42B81FC8"/>
    <w:rsid w:val="430C15FA"/>
    <w:rsid w:val="43137B0A"/>
    <w:rsid w:val="432D51F3"/>
    <w:rsid w:val="43357AE4"/>
    <w:rsid w:val="434A7758"/>
    <w:rsid w:val="4363030A"/>
    <w:rsid w:val="43856C45"/>
    <w:rsid w:val="43903A09"/>
    <w:rsid w:val="43B92ECB"/>
    <w:rsid w:val="43BA668D"/>
    <w:rsid w:val="43CB4F6B"/>
    <w:rsid w:val="43DA70F0"/>
    <w:rsid w:val="43EB339B"/>
    <w:rsid w:val="4400619E"/>
    <w:rsid w:val="441515D4"/>
    <w:rsid w:val="442B3BC7"/>
    <w:rsid w:val="442E4175"/>
    <w:rsid w:val="44957494"/>
    <w:rsid w:val="44A568E0"/>
    <w:rsid w:val="44A7206D"/>
    <w:rsid w:val="44AE39C8"/>
    <w:rsid w:val="44B27131"/>
    <w:rsid w:val="44C47365"/>
    <w:rsid w:val="44E0134C"/>
    <w:rsid w:val="451F4ABA"/>
    <w:rsid w:val="4528133D"/>
    <w:rsid w:val="453109C4"/>
    <w:rsid w:val="453E4D1C"/>
    <w:rsid w:val="45540808"/>
    <w:rsid w:val="45586DB5"/>
    <w:rsid w:val="456C7FE6"/>
    <w:rsid w:val="45760C27"/>
    <w:rsid w:val="457B4560"/>
    <w:rsid w:val="4580326E"/>
    <w:rsid w:val="458B097E"/>
    <w:rsid w:val="459F181B"/>
    <w:rsid w:val="45A05A4F"/>
    <w:rsid w:val="45AA7224"/>
    <w:rsid w:val="45B17655"/>
    <w:rsid w:val="45B31E22"/>
    <w:rsid w:val="45B941B6"/>
    <w:rsid w:val="45C25C50"/>
    <w:rsid w:val="45CB00A2"/>
    <w:rsid w:val="45DA35EB"/>
    <w:rsid w:val="460B0301"/>
    <w:rsid w:val="462E1094"/>
    <w:rsid w:val="46320F88"/>
    <w:rsid w:val="46364E41"/>
    <w:rsid w:val="464E28A0"/>
    <w:rsid w:val="46904D94"/>
    <w:rsid w:val="469227A0"/>
    <w:rsid w:val="46A70E45"/>
    <w:rsid w:val="46B07367"/>
    <w:rsid w:val="46CB3AF5"/>
    <w:rsid w:val="46CD0AAD"/>
    <w:rsid w:val="46DB357E"/>
    <w:rsid w:val="46EB7C34"/>
    <w:rsid w:val="46FF213C"/>
    <w:rsid w:val="47092F91"/>
    <w:rsid w:val="47290D87"/>
    <w:rsid w:val="472937CB"/>
    <w:rsid w:val="47296307"/>
    <w:rsid w:val="472C5E65"/>
    <w:rsid w:val="473554B1"/>
    <w:rsid w:val="473D680F"/>
    <w:rsid w:val="474E5743"/>
    <w:rsid w:val="47573126"/>
    <w:rsid w:val="476320FC"/>
    <w:rsid w:val="47854CE3"/>
    <w:rsid w:val="478C48B5"/>
    <w:rsid w:val="47931725"/>
    <w:rsid w:val="479B15ED"/>
    <w:rsid w:val="479C322F"/>
    <w:rsid w:val="47A778A1"/>
    <w:rsid w:val="47D05BB0"/>
    <w:rsid w:val="47DB65E0"/>
    <w:rsid w:val="47EB386F"/>
    <w:rsid w:val="48083C55"/>
    <w:rsid w:val="480E2235"/>
    <w:rsid w:val="482E0A6C"/>
    <w:rsid w:val="483D639A"/>
    <w:rsid w:val="485338EE"/>
    <w:rsid w:val="485464DC"/>
    <w:rsid w:val="485A3973"/>
    <w:rsid w:val="485E2BEC"/>
    <w:rsid w:val="48623B31"/>
    <w:rsid w:val="4864218F"/>
    <w:rsid w:val="48703A1D"/>
    <w:rsid w:val="487F2935"/>
    <w:rsid w:val="489266BA"/>
    <w:rsid w:val="48966776"/>
    <w:rsid w:val="489A32BC"/>
    <w:rsid w:val="48A103B8"/>
    <w:rsid w:val="48A5737E"/>
    <w:rsid w:val="48BA29B2"/>
    <w:rsid w:val="48C12F4D"/>
    <w:rsid w:val="48C3675F"/>
    <w:rsid w:val="48C9605D"/>
    <w:rsid w:val="48D93007"/>
    <w:rsid w:val="48E23526"/>
    <w:rsid w:val="49103281"/>
    <w:rsid w:val="49214975"/>
    <w:rsid w:val="493F1574"/>
    <w:rsid w:val="494A1886"/>
    <w:rsid w:val="49504BF3"/>
    <w:rsid w:val="495F4BDB"/>
    <w:rsid w:val="496F1F3A"/>
    <w:rsid w:val="4974163E"/>
    <w:rsid w:val="4979137F"/>
    <w:rsid w:val="49A50688"/>
    <w:rsid w:val="49D43C50"/>
    <w:rsid w:val="49E82DBC"/>
    <w:rsid w:val="49F112A8"/>
    <w:rsid w:val="4A0D22AA"/>
    <w:rsid w:val="4A227A1C"/>
    <w:rsid w:val="4A69564B"/>
    <w:rsid w:val="4A837ADD"/>
    <w:rsid w:val="4AA34BAE"/>
    <w:rsid w:val="4AA45C1E"/>
    <w:rsid w:val="4AA63E67"/>
    <w:rsid w:val="4AA73B0C"/>
    <w:rsid w:val="4AF46580"/>
    <w:rsid w:val="4AF675EE"/>
    <w:rsid w:val="4AF90B33"/>
    <w:rsid w:val="4B0A3155"/>
    <w:rsid w:val="4B222B39"/>
    <w:rsid w:val="4B37497D"/>
    <w:rsid w:val="4B400B9A"/>
    <w:rsid w:val="4B7A70E2"/>
    <w:rsid w:val="4B8570CC"/>
    <w:rsid w:val="4B8631F6"/>
    <w:rsid w:val="4B8C38E4"/>
    <w:rsid w:val="4B9B6ECA"/>
    <w:rsid w:val="4BB9041C"/>
    <w:rsid w:val="4BD25106"/>
    <w:rsid w:val="4BE65670"/>
    <w:rsid w:val="4BF13A1E"/>
    <w:rsid w:val="4BF41BCB"/>
    <w:rsid w:val="4BF93817"/>
    <w:rsid w:val="4C243294"/>
    <w:rsid w:val="4C3345EE"/>
    <w:rsid w:val="4C4129A8"/>
    <w:rsid w:val="4C510490"/>
    <w:rsid w:val="4C5D640F"/>
    <w:rsid w:val="4C721447"/>
    <w:rsid w:val="4CA36A27"/>
    <w:rsid w:val="4CA71A25"/>
    <w:rsid w:val="4CA86554"/>
    <w:rsid w:val="4CB3734B"/>
    <w:rsid w:val="4CD46FC7"/>
    <w:rsid w:val="4CFC5D53"/>
    <w:rsid w:val="4D092AA2"/>
    <w:rsid w:val="4D103B1D"/>
    <w:rsid w:val="4D11401A"/>
    <w:rsid w:val="4D4052E5"/>
    <w:rsid w:val="4D4727D5"/>
    <w:rsid w:val="4D500C0F"/>
    <w:rsid w:val="4D584B25"/>
    <w:rsid w:val="4D5F20AE"/>
    <w:rsid w:val="4D732EA2"/>
    <w:rsid w:val="4D7D31BB"/>
    <w:rsid w:val="4D815070"/>
    <w:rsid w:val="4D9F2328"/>
    <w:rsid w:val="4DB23EE8"/>
    <w:rsid w:val="4DBA7F6B"/>
    <w:rsid w:val="4DC40316"/>
    <w:rsid w:val="4DDD3416"/>
    <w:rsid w:val="4DE840C3"/>
    <w:rsid w:val="4DE84AD8"/>
    <w:rsid w:val="4E06449C"/>
    <w:rsid w:val="4E1F5793"/>
    <w:rsid w:val="4E227ED9"/>
    <w:rsid w:val="4E2D698F"/>
    <w:rsid w:val="4E4804F5"/>
    <w:rsid w:val="4E697B66"/>
    <w:rsid w:val="4E9560DA"/>
    <w:rsid w:val="4EB902B1"/>
    <w:rsid w:val="4ECD5D6B"/>
    <w:rsid w:val="4EF67A48"/>
    <w:rsid w:val="4F037C80"/>
    <w:rsid w:val="4F0531D8"/>
    <w:rsid w:val="4F1F0FDA"/>
    <w:rsid w:val="4F2472FC"/>
    <w:rsid w:val="4F3C62C5"/>
    <w:rsid w:val="4F3D4904"/>
    <w:rsid w:val="4F451BA7"/>
    <w:rsid w:val="4F5E6588"/>
    <w:rsid w:val="4F746910"/>
    <w:rsid w:val="4F7F7179"/>
    <w:rsid w:val="4F8076C2"/>
    <w:rsid w:val="4F863CF2"/>
    <w:rsid w:val="4F9A091F"/>
    <w:rsid w:val="4FAB1C63"/>
    <w:rsid w:val="4FAC5216"/>
    <w:rsid w:val="4FB61B09"/>
    <w:rsid w:val="4FD064A0"/>
    <w:rsid w:val="4FDC0F6A"/>
    <w:rsid w:val="4FE14321"/>
    <w:rsid w:val="503479F5"/>
    <w:rsid w:val="503C6D48"/>
    <w:rsid w:val="505107A5"/>
    <w:rsid w:val="50595483"/>
    <w:rsid w:val="508A43FC"/>
    <w:rsid w:val="50953CC2"/>
    <w:rsid w:val="50AE6379"/>
    <w:rsid w:val="50F40B48"/>
    <w:rsid w:val="51367529"/>
    <w:rsid w:val="51435EA5"/>
    <w:rsid w:val="5143639E"/>
    <w:rsid w:val="515F58CB"/>
    <w:rsid w:val="5160149E"/>
    <w:rsid w:val="51893240"/>
    <w:rsid w:val="518C5BE1"/>
    <w:rsid w:val="51A611BD"/>
    <w:rsid w:val="51A96686"/>
    <w:rsid w:val="51B929E9"/>
    <w:rsid w:val="51BD627C"/>
    <w:rsid w:val="51C7535E"/>
    <w:rsid w:val="51CF29DF"/>
    <w:rsid w:val="51EF41B3"/>
    <w:rsid w:val="51F93443"/>
    <w:rsid w:val="5207043F"/>
    <w:rsid w:val="5212414D"/>
    <w:rsid w:val="52341FA4"/>
    <w:rsid w:val="523614E4"/>
    <w:rsid w:val="523D1B1A"/>
    <w:rsid w:val="523F4825"/>
    <w:rsid w:val="52506127"/>
    <w:rsid w:val="52560A7F"/>
    <w:rsid w:val="52594281"/>
    <w:rsid w:val="526F21C3"/>
    <w:rsid w:val="52783F03"/>
    <w:rsid w:val="528F5974"/>
    <w:rsid w:val="52A451D2"/>
    <w:rsid w:val="52A46753"/>
    <w:rsid w:val="52B30D4C"/>
    <w:rsid w:val="52DB10B0"/>
    <w:rsid w:val="52E405D0"/>
    <w:rsid w:val="52F9690F"/>
    <w:rsid w:val="53064D5F"/>
    <w:rsid w:val="531160E9"/>
    <w:rsid w:val="53126808"/>
    <w:rsid w:val="531753D7"/>
    <w:rsid w:val="533414F2"/>
    <w:rsid w:val="53755656"/>
    <w:rsid w:val="53914297"/>
    <w:rsid w:val="539D536B"/>
    <w:rsid w:val="53B611D5"/>
    <w:rsid w:val="53C7015A"/>
    <w:rsid w:val="53CF0D66"/>
    <w:rsid w:val="53F046E7"/>
    <w:rsid w:val="5416230E"/>
    <w:rsid w:val="54186E51"/>
    <w:rsid w:val="541B7830"/>
    <w:rsid w:val="54233A1C"/>
    <w:rsid w:val="542542BF"/>
    <w:rsid w:val="543E1E61"/>
    <w:rsid w:val="5446156D"/>
    <w:rsid w:val="544C1203"/>
    <w:rsid w:val="544E54FD"/>
    <w:rsid w:val="545D7FC8"/>
    <w:rsid w:val="546A1DB3"/>
    <w:rsid w:val="546D2566"/>
    <w:rsid w:val="547E6196"/>
    <w:rsid w:val="54880FA4"/>
    <w:rsid w:val="54904537"/>
    <w:rsid w:val="549A4A45"/>
    <w:rsid w:val="54B15406"/>
    <w:rsid w:val="54C827F6"/>
    <w:rsid w:val="54E25D8A"/>
    <w:rsid w:val="54E855F3"/>
    <w:rsid w:val="54F33FF1"/>
    <w:rsid w:val="54FB4072"/>
    <w:rsid w:val="550A066D"/>
    <w:rsid w:val="550B3A42"/>
    <w:rsid w:val="551452DB"/>
    <w:rsid w:val="552E7E5B"/>
    <w:rsid w:val="55326EB2"/>
    <w:rsid w:val="553A2F24"/>
    <w:rsid w:val="555C766B"/>
    <w:rsid w:val="556D6544"/>
    <w:rsid w:val="5572218F"/>
    <w:rsid w:val="557869D1"/>
    <w:rsid w:val="5579306A"/>
    <w:rsid w:val="558003F9"/>
    <w:rsid w:val="55801603"/>
    <w:rsid w:val="5584629F"/>
    <w:rsid w:val="55D87E1A"/>
    <w:rsid w:val="55DD533B"/>
    <w:rsid w:val="55E774DB"/>
    <w:rsid w:val="55E82CBB"/>
    <w:rsid w:val="55FF6F0B"/>
    <w:rsid w:val="5600146F"/>
    <w:rsid w:val="56122FC4"/>
    <w:rsid w:val="56245025"/>
    <w:rsid w:val="563F0F2B"/>
    <w:rsid w:val="564A0D13"/>
    <w:rsid w:val="56524E22"/>
    <w:rsid w:val="56730AE1"/>
    <w:rsid w:val="568455BA"/>
    <w:rsid w:val="5688767E"/>
    <w:rsid w:val="569219FD"/>
    <w:rsid w:val="56E778DA"/>
    <w:rsid w:val="56F2658F"/>
    <w:rsid w:val="5706206D"/>
    <w:rsid w:val="570F3C07"/>
    <w:rsid w:val="571745DD"/>
    <w:rsid w:val="572F069A"/>
    <w:rsid w:val="575C3FBE"/>
    <w:rsid w:val="578270FE"/>
    <w:rsid w:val="57A11CD6"/>
    <w:rsid w:val="57AC50AC"/>
    <w:rsid w:val="57C02622"/>
    <w:rsid w:val="57D81DB6"/>
    <w:rsid w:val="580E348F"/>
    <w:rsid w:val="582A1373"/>
    <w:rsid w:val="58533490"/>
    <w:rsid w:val="585A2A77"/>
    <w:rsid w:val="585D7EAF"/>
    <w:rsid w:val="586373B3"/>
    <w:rsid w:val="58680CF0"/>
    <w:rsid w:val="586821D1"/>
    <w:rsid w:val="586C3C86"/>
    <w:rsid w:val="587972C4"/>
    <w:rsid w:val="5886201C"/>
    <w:rsid w:val="588C4742"/>
    <w:rsid w:val="58904EE9"/>
    <w:rsid w:val="5896596A"/>
    <w:rsid w:val="58A34162"/>
    <w:rsid w:val="58D565A1"/>
    <w:rsid w:val="58DA34A7"/>
    <w:rsid w:val="58DC33FF"/>
    <w:rsid w:val="590346A4"/>
    <w:rsid w:val="59041611"/>
    <w:rsid w:val="594902D2"/>
    <w:rsid w:val="595B5757"/>
    <w:rsid w:val="596015AA"/>
    <w:rsid w:val="598F6C3F"/>
    <w:rsid w:val="59993755"/>
    <w:rsid w:val="59C00507"/>
    <w:rsid w:val="59C057A1"/>
    <w:rsid w:val="59CE741A"/>
    <w:rsid w:val="59F11964"/>
    <w:rsid w:val="5A0C4DF9"/>
    <w:rsid w:val="5A2055FA"/>
    <w:rsid w:val="5A210427"/>
    <w:rsid w:val="5A402269"/>
    <w:rsid w:val="5A5351B8"/>
    <w:rsid w:val="5A796F55"/>
    <w:rsid w:val="5A7E723F"/>
    <w:rsid w:val="5A820C76"/>
    <w:rsid w:val="5A9F008C"/>
    <w:rsid w:val="5AA7161B"/>
    <w:rsid w:val="5AAE2350"/>
    <w:rsid w:val="5AAF14F3"/>
    <w:rsid w:val="5AB43764"/>
    <w:rsid w:val="5AB9516A"/>
    <w:rsid w:val="5ABF6D03"/>
    <w:rsid w:val="5AD71D5D"/>
    <w:rsid w:val="5AE12FE7"/>
    <w:rsid w:val="5AEA3BAE"/>
    <w:rsid w:val="5AFA22EF"/>
    <w:rsid w:val="5B076CD4"/>
    <w:rsid w:val="5B414B3D"/>
    <w:rsid w:val="5B51559A"/>
    <w:rsid w:val="5B74273D"/>
    <w:rsid w:val="5B835805"/>
    <w:rsid w:val="5B8F0FB0"/>
    <w:rsid w:val="5B93292D"/>
    <w:rsid w:val="5B97623F"/>
    <w:rsid w:val="5BAA47CD"/>
    <w:rsid w:val="5BBE7604"/>
    <w:rsid w:val="5BDE39BF"/>
    <w:rsid w:val="5BEA46C7"/>
    <w:rsid w:val="5BF52B3D"/>
    <w:rsid w:val="5C2A57D9"/>
    <w:rsid w:val="5C3A068E"/>
    <w:rsid w:val="5C4A081D"/>
    <w:rsid w:val="5C502193"/>
    <w:rsid w:val="5C553C18"/>
    <w:rsid w:val="5C66311D"/>
    <w:rsid w:val="5C680EDE"/>
    <w:rsid w:val="5C82663E"/>
    <w:rsid w:val="5C94491B"/>
    <w:rsid w:val="5C947B63"/>
    <w:rsid w:val="5CA8355D"/>
    <w:rsid w:val="5CB84907"/>
    <w:rsid w:val="5CBB4D13"/>
    <w:rsid w:val="5CD54ADF"/>
    <w:rsid w:val="5CD60134"/>
    <w:rsid w:val="5D034364"/>
    <w:rsid w:val="5D13323E"/>
    <w:rsid w:val="5D1B16E2"/>
    <w:rsid w:val="5D281140"/>
    <w:rsid w:val="5D536CDE"/>
    <w:rsid w:val="5D5E5AC3"/>
    <w:rsid w:val="5D640031"/>
    <w:rsid w:val="5D9757CD"/>
    <w:rsid w:val="5DBA4077"/>
    <w:rsid w:val="5DD5234B"/>
    <w:rsid w:val="5DDB3B71"/>
    <w:rsid w:val="5DEB784E"/>
    <w:rsid w:val="5DEF28D8"/>
    <w:rsid w:val="5E077567"/>
    <w:rsid w:val="5E2B4120"/>
    <w:rsid w:val="5E3E2F01"/>
    <w:rsid w:val="5E442CB7"/>
    <w:rsid w:val="5E6721EE"/>
    <w:rsid w:val="5E6E6CAA"/>
    <w:rsid w:val="5E701389"/>
    <w:rsid w:val="5EA27B33"/>
    <w:rsid w:val="5EAA1F2E"/>
    <w:rsid w:val="5EAE58CA"/>
    <w:rsid w:val="5EB3356A"/>
    <w:rsid w:val="5EBD64C1"/>
    <w:rsid w:val="5ED66A25"/>
    <w:rsid w:val="5EDB4EA4"/>
    <w:rsid w:val="5EE52E2C"/>
    <w:rsid w:val="5EF42C87"/>
    <w:rsid w:val="5EFF2CFB"/>
    <w:rsid w:val="5F046684"/>
    <w:rsid w:val="5F061EBF"/>
    <w:rsid w:val="5F2F74D3"/>
    <w:rsid w:val="5F300160"/>
    <w:rsid w:val="5F4D1EDD"/>
    <w:rsid w:val="5F5E1B31"/>
    <w:rsid w:val="5F6F47EF"/>
    <w:rsid w:val="5F71216D"/>
    <w:rsid w:val="5FAC3308"/>
    <w:rsid w:val="5FB52091"/>
    <w:rsid w:val="5FBF7663"/>
    <w:rsid w:val="5FE26ADC"/>
    <w:rsid w:val="5FE62A90"/>
    <w:rsid w:val="5FEE0BBB"/>
    <w:rsid w:val="600420AE"/>
    <w:rsid w:val="60150BE3"/>
    <w:rsid w:val="603051EA"/>
    <w:rsid w:val="60464805"/>
    <w:rsid w:val="604F6C3B"/>
    <w:rsid w:val="60543414"/>
    <w:rsid w:val="60566C09"/>
    <w:rsid w:val="60747C0B"/>
    <w:rsid w:val="6082592D"/>
    <w:rsid w:val="608C6F65"/>
    <w:rsid w:val="60AE3515"/>
    <w:rsid w:val="60CF7263"/>
    <w:rsid w:val="60D755FA"/>
    <w:rsid w:val="60DA029D"/>
    <w:rsid w:val="60E50CEA"/>
    <w:rsid w:val="60E63A8F"/>
    <w:rsid w:val="60EB0594"/>
    <w:rsid w:val="60F37C37"/>
    <w:rsid w:val="60F63935"/>
    <w:rsid w:val="612043C7"/>
    <w:rsid w:val="612837E3"/>
    <w:rsid w:val="612E3E9B"/>
    <w:rsid w:val="613802D1"/>
    <w:rsid w:val="613A00F7"/>
    <w:rsid w:val="615212F0"/>
    <w:rsid w:val="61572249"/>
    <w:rsid w:val="615F5540"/>
    <w:rsid w:val="61641193"/>
    <w:rsid w:val="61693D2A"/>
    <w:rsid w:val="616F1035"/>
    <w:rsid w:val="618A0ACD"/>
    <w:rsid w:val="61971E95"/>
    <w:rsid w:val="619A65D4"/>
    <w:rsid w:val="61A573C6"/>
    <w:rsid w:val="61A6401C"/>
    <w:rsid w:val="61AB3FCB"/>
    <w:rsid w:val="61BA1ECF"/>
    <w:rsid w:val="61C54009"/>
    <w:rsid w:val="61E077FA"/>
    <w:rsid w:val="61E34161"/>
    <w:rsid w:val="61E645DC"/>
    <w:rsid w:val="61EE14DC"/>
    <w:rsid w:val="61F0653B"/>
    <w:rsid w:val="621517BC"/>
    <w:rsid w:val="6222429B"/>
    <w:rsid w:val="622E52F1"/>
    <w:rsid w:val="6263677C"/>
    <w:rsid w:val="627D1222"/>
    <w:rsid w:val="629F08EF"/>
    <w:rsid w:val="62AB1F0F"/>
    <w:rsid w:val="62BD3F60"/>
    <w:rsid w:val="62E10DE4"/>
    <w:rsid w:val="62E868AB"/>
    <w:rsid w:val="62E93C35"/>
    <w:rsid w:val="62EE54CE"/>
    <w:rsid w:val="62F87574"/>
    <w:rsid w:val="62FD3625"/>
    <w:rsid w:val="63072484"/>
    <w:rsid w:val="630D44A4"/>
    <w:rsid w:val="63103954"/>
    <w:rsid w:val="63310928"/>
    <w:rsid w:val="63400538"/>
    <w:rsid w:val="634F493D"/>
    <w:rsid w:val="63514256"/>
    <w:rsid w:val="638906B4"/>
    <w:rsid w:val="638A7024"/>
    <w:rsid w:val="63AD1D80"/>
    <w:rsid w:val="63B51C1B"/>
    <w:rsid w:val="63E96E7F"/>
    <w:rsid w:val="63ED4EC7"/>
    <w:rsid w:val="64134CEC"/>
    <w:rsid w:val="6414650F"/>
    <w:rsid w:val="643A53A7"/>
    <w:rsid w:val="648F5199"/>
    <w:rsid w:val="6490581D"/>
    <w:rsid w:val="6491329A"/>
    <w:rsid w:val="64986E00"/>
    <w:rsid w:val="64C00A3B"/>
    <w:rsid w:val="64F81CAE"/>
    <w:rsid w:val="650649DB"/>
    <w:rsid w:val="651074FD"/>
    <w:rsid w:val="65351F58"/>
    <w:rsid w:val="6540549D"/>
    <w:rsid w:val="65621C34"/>
    <w:rsid w:val="65777ADE"/>
    <w:rsid w:val="6593581A"/>
    <w:rsid w:val="65984227"/>
    <w:rsid w:val="65AF13EA"/>
    <w:rsid w:val="65AF6939"/>
    <w:rsid w:val="65CB50CB"/>
    <w:rsid w:val="65F87ED6"/>
    <w:rsid w:val="66152731"/>
    <w:rsid w:val="6615622F"/>
    <w:rsid w:val="66174A0D"/>
    <w:rsid w:val="66186F5B"/>
    <w:rsid w:val="66230DF1"/>
    <w:rsid w:val="6635575F"/>
    <w:rsid w:val="6639145C"/>
    <w:rsid w:val="6639534B"/>
    <w:rsid w:val="66552D6F"/>
    <w:rsid w:val="66745EE2"/>
    <w:rsid w:val="66800C9F"/>
    <w:rsid w:val="66920576"/>
    <w:rsid w:val="669E4ECC"/>
    <w:rsid w:val="66B67CF9"/>
    <w:rsid w:val="66BE5314"/>
    <w:rsid w:val="66D93700"/>
    <w:rsid w:val="66E23F18"/>
    <w:rsid w:val="66F47DED"/>
    <w:rsid w:val="66FF2A68"/>
    <w:rsid w:val="67344D64"/>
    <w:rsid w:val="67434D20"/>
    <w:rsid w:val="67461195"/>
    <w:rsid w:val="675D346E"/>
    <w:rsid w:val="6764251D"/>
    <w:rsid w:val="677234BD"/>
    <w:rsid w:val="677D7466"/>
    <w:rsid w:val="67841DBE"/>
    <w:rsid w:val="67B92041"/>
    <w:rsid w:val="67D54160"/>
    <w:rsid w:val="67FA21AF"/>
    <w:rsid w:val="67FF2F87"/>
    <w:rsid w:val="68071BA7"/>
    <w:rsid w:val="68084C00"/>
    <w:rsid w:val="681A5CE6"/>
    <w:rsid w:val="6821623C"/>
    <w:rsid w:val="6826269D"/>
    <w:rsid w:val="68393DEC"/>
    <w:rsid w:val="683F40A4"/>
    <w:rsid w:val="684A526E"/>
    <w:rsid w:val="68723F2D"/>
    <w:rsid w:val="68A01EBD"/>
    <w:rsid w:val="68D27502"/>
    <w:rsid w:val="68F9602C"/>
    <w:rsid w:val="690D5D25"/>
    <w:rsid w:val="69287737"/>
    <w:rsid w:val="69670BC7"/>
    <w:rsid w:val="69674FF3"/>
    <w:rsid w:val="696F4ABE"/>
    <w:rsid w:val="69745B3A"/>
    <w:rsid w:val="69754837"/>
    <w:rsid w:val="697A721A"/>
    <w:rsid w:val="698A4ABD"/>
    <w:rsid w:val="6990680F"/>
    <w:rsid w:val="69D55C34"/>
    <w:rsid w:val="69F133A7"/>
    <w:rsid w:val="69F448AC"/>
    <w:rsid w:val="6A052173"/>
    <w:rsid w:val="6A1E1683"/>
    <w:rsid w:val="6A251D6F"/>
    <w:rsid w:val="6A271505"/>
    <w:rsid w:val="6A3D028E"/>
    <w:rsid w:val="6A3F49CA"/>
    <w:rsid w:val="6A482420"/>
    <w:rsid w:val="6A494070"/>
    <w:rsid w:val="6A5A70C2"/>
    <w:rsid w:val="6A6A409A"/>
    <w:rsid w:val="6A6E02C5"/>
    <w:rsid w:val="6A6E6D23"/>
    <w:rsid w:val="6A71470C"/>
    <w:rsid w:val="6A7F69DE"/>
    <w:rsid w:val="6A9F608C"/>
    <w:rsid w:val="6AA63C88"/>
    <w:rsid w:val="6AB20888"/>
    <w:rsid w:val="6AD57B0F"/>
    <w:rsid w:val="6AE20573"/>
    <w:rsid w:val="6AE20F05"/>
    <w:rsid w:val="6AEC79FA"/>
    <w:rsid w:val="6AF74958"/>
    <w:rsid w:val="6B0B2A54"/>
    <w:rsid w:val="6B1119BD"/>
    <w:rsid w:val="6B1B49AE"/>
    <w:rsid w:val="6B331429"/>
    <w:rsid w:val="6B4F5703"/>
    <w:rsid w:val="6B531F53"/>
    <w:rsid w:val="6B6B003F"/>
    <w:rsid w:val="6BA33923"/>
    <w:rsid w:val="6BC157C1"/>
    <w:rsid w:val="6BC633B4"/>
    <w:rsid w:val="6BD31E67"/>
    <w:rsid w:val="6BDC0EB4"/>
    <w:rsid w:val="6BEF5995"/>
    <w:rsid w:val="6BF91604"/>
    <w:rsid w:val="6C041279"/>
    <w:rsid w:val="6C0710B5"/>
    <w:rsid w:val="6C2F1965"/>
    <w:rsid w:val="6C3B70FA"/>
    <w:rsid w:val="6C427AA0"/>
    <w:rsid w:val="6C5D4DDA"/>
    <w:rsid w:val="6C7D0F5B"/>
    <w:rsid w:val="6C8333EA"/>
    <w:rsid w:val="6C962B70"/>
    <w:rsid w:val="6CA13C18"/>
    <w:rsid w:val="6CAA178D"/>
    <w:rsid w:val="6CBA731E"/>
    <w:rsid w:val="6D1810B7"/>
    <w:rsid w:val="6D1A4085"/>
    <w:rsid w:val="6D1B6715"/>
    <w:rsid w:val="6D2D1DEA"/>
    <w:rsid w:val="6D325D80"/>
    <w:rsid w:val="6D51777A"/>
    <w:rsid w:val="6D5D6D02"/>
    <w:rsid w:val="6D6B3E9F"/>
    <w:rsid w:val="6D8317F1"/>
    <w:rsid w:val="6D855F72"/>
    <w:rsid w:val="6D880A6F"/>
    <w:rsid w:val="6DB86A9E"/>
    <w:rsid w:val="6DD479A0"/>
    <w:rsid w:val="6DD90074"/>
    <w:rsid w:val="6DFF4B3E"/>
    <w:rsid w:val="6E052C23"/>
    <w:rsid w:val="6E0E3AE0"/>
    <w:rsid w:val="6E140A82"/>
    <w:rsid w:val="6E1C2597"/>
    <w:rsid w:val="6E1D6F64"/>
    <w:rsid w:val="6E2949AF"/>
    <w:rsid w:val="6E39525D"/>
    <w:rsid w:val="6E8A497F"/>
    <w:rsid w:val="6E8F175F"/>
    <w:rsid w:val="6E951D97"/>
    <w:rsid w:val="6EC74DAA"/>
    <w:rsid w:val="6ECE0E61"/>
    <w:rsid w:val="6EDD6AFE"/>
    <w:rsid w:val="6EE828EE"/>
    <w:rsid w:val="6EE82937"/>
    <w:rsid w:val="6EF476B2"/>
    <w:rsid w:val="6F0671CF"/>
    <w:rsid w:val="6F147C05"/>
    <w:rsid w:val="6F16464F"/>
    <w:rsid w:val="6F377BB5"/>
    <w:rsid w:val="6F3C4650"/>
    <w:rsid w:val="6F4E1169"/>
    <w:rsid w:val="6F545962"/>
    <w:rsid w:val="6F6D1474"/>
    <w:rsid w:val="6F6F0C57"/>
    <w:rsid w:val="6F7730DD"/>
    <w:rsid w:val="6F9E54E7"/>
    <w:rsid w:val="6FB349F3"/>
    <w:rsid w:val="6FC05652"/>
    <w:rsid w:val="6FC62348"/>
    <w:rsid w:val="6FDC2621"/>
    <w:rsid w:val="6FF061FC"/>
    <w:rsid w:val="6FFC28FD"/>
    <w:rsid w:val="700A430A"/>
    <w:rsid w:val="700D37BA"/>
    <w:rsid w:val="70213487"/>
    <w:rsid w:val="702178DA"/>
    <w:rsid w:val="702956EA"/>
    <w:rsid w:val="703F0287"/>
    <w:rsid w:val="70436163"/>
    <w:rsid w:val="705257D8"/>
    <w:rsid w:val="70844E65"/>
    <w:rsid w:val="70B90F98"/>
    <w:rsid w:val="70BF3324"/>
    <w:rsid w:val="70C439F2"/>
    <w:rsid w:val="71220E33"/>
    <w:rsid w:val="71244F28"/>
    <w:rsid w:val="7144040B"/>
    <w:rsid w:val="716B01EE"/>
    <w:rsid w:val="716D1502"/>
    <w:rsid w:val="71777CD5"/>
    <w:rsid w:val="7182504D"/>
    <w:rsid w:val="71A41A51"/>
    <w:rsid w:val="71B71782"/>
    <w:rsid w:val="71BD0C77"/>
    <w:rsid w:val="71D85A67"/>
    <w:rsid w:val="72053AAD"/>
    <w:rsid w:val="722331C9"/>
    <w:rsid w:val="724700B0"/>
    <w:rsid w:val="724F1FEB"/>
    <w:rsid w:val="725F1D26"/>
    <w:rsid w:val="726227FC"/>
    <w:rsid w:val="726A423C"/>
    <w:rsid w:val="726A7902"/>
    <w:rsid w:val="726C7BD6"/>
    <w:rsid w:val="727D2E62"/>
    <w:rsid w:val="728F1117"/>
    <w:rsid w:val="729B423D"/>
    <w:rsid w:val="72B035D4"/>
    <w:rsid w:val="72C02E0F"/>
    <w:rsid w:val="72C267D6"/>
    <w:rsid w:val="72CB4CDF"/>
    <w:rsid w:val="73376FF5"/>
    <w:rsid w:val="73392267"/>
    <w:rsid w:val="734352FD"/>
    <w:rsid w:val="73563DFF"/>
    <w:rsid w:val="736B5FC3"/>
    <w:rsid w:val="736F3EA8"/>
    <w:rsid w:val="739764D5"/>
    <w:rsid w:val="73A70EF4"/>
    <w:rsid w:val="73AD6EB3"/>
    <w:rsid w:val="73BA190B"/>
    <w:rsid w:val="73D41D1A"/>
    <w:rsid w:val="740578E3"/>
    <w:rsid w:val="740B2A1F"/>
    <w:rsid w:val="74262536"/>
    <w:rsid w:val="74330260"/>
    <w:rsid w:val="74514470"/>
    <w:rsid w:val="74687E72"/>
    <w:rsid w:val="746D45A5"/>
    <w:rsid w:val="74854373"/>
    <w:rsid w:val="74B261BA"/>
    <w:rsid w:val="74B3764B"/>
    <w:rsid w:val="75082B24"/>
    <w:rsid w:val="75135BCA"/>
    <w:rsid w:val="752A2DCE"/>
    <w:rsid w:val="75335402"/>
    <w:rsid w:val="75482966"/>
    <w:rsid w:val="754846A8"/>
    <w:rsid w:val="754F71E0"/>
    <w:rsid w:val="755207AB"/>
    <w:rsid w:val="75666923"/>
    <w:rsid w:val="756A1D75"/>
    <w:rsid w:val="7595739C"/>
    <w:rsid w:val="75A87617"/>
    <w:rsid w:val="75BD6BB2"/>
    <w:rsid w:val="75EA4DC0"/>
    <w:rsid w:val="75EF134A"/>
    <w:rsid w:val="75F0011F"/>
    <w:rsid w:val="760E3AE0"/>
    <w:rsid w:val="76187088"/>
    <w:rsid w:val="7621652A"/>
    <w:rsid w:val="76254258"/>
    <w:rsid w:val="762A6205"/>
    <w:rsid w:val="76614218"/>
    <w:rsid w:val="767D3FF3"/>
    <w:rsid w:val="7684045A"/>
    <w:rsid w:val="76900703"/>
    <w:rsid w:val="769D7DE2"/>
    <w:rsid w:val="76B56670"/>
    <w:rsid w:val="76C03A1E"/>
    <w:rsid w:val="76FA5E58"/>
    <w:rsid w:val="770257FC"/>
    <w:rsid w:val="77045D62"/>
    <w:rsid w:val="771E6447"/>
    <w:rsid w:val="771E6C8B"/>
    <w:rsid w:val="77207F2A"/>
    <w:rsid w:val="77453BED"/>
    <w:rsid w:val="77597EB6"/>
    <w:rsid w:val="7765592F"/>
    <w:rsid w:val="777233E2"/>
    <w:rsid w:val="77763CE3"/>
    <w:rsid w:val="777949F4"/>
    <w:rsid w:val="77AC456C"/>
    <w:rsid w:val="77BF27D2"/>
    <w:rsid w:val="77D1796D"/>
    <w:rsid w:val="7820319C"/>
    <w:rsid w:val="78324FEE"/>
    <w:rsid w:val="785820B8"/>
    <w:rsid w:val="786120E9"/>
    <w:rsid w:val="786E5EA0"/>
    <w:rsid w:val="78BB4A14"/>
    <w:rsid w:val="78C32556"/>
    <w:rsid w:val="78C85BA2"/>
    <w:rsid w:val="78D0109D"/>
    <w:rsid w:val="78F86C8A"/>
    <w:rsid w:val="790A567E"/>
    <w:rsid w:val="79530957"/>
    <w:rsid w:val="79597E66"/>
    <w:rsid w:val="796D3BE8"/>
    <w:rsid w:val="79845554"/>
    <w:rsid w:val="79856DD0"/>
    <w:rsid w:val="798617C0"/>
    <w:rsid w:val="798B6770"/>
    <w:rsid w:val="798D1C7F"/>
    <w:rsid w:val="79A43C54"/>
    <w:rsid w:val="79B57865"/>
    <w:rsid w:val="79DC7FD7"/>
    <w:rsid w:val="79EA0AB2"/>
    <w:rsid w:val="7A0425C3"/>
    <w:rsid w:val="7A0D3EFF"/>
    <w:rsid w:val="7A2A625A"/>
    <w:rsid w:val="7A5A4554"/>
    <w:rsid w:val="7AB307B2"/>
    <w:rsid w:val="7AC322A6"/>
    <w:rsid w:val="7AD149C3"/>
    <w:rsid w:val="7AD24297"/>
    <w:rsid w:val="7B1454F2"/>
    <w:rsid w:val="7B3B6333"/>
    <w:rsid w:val="7B3D6ECC"/>
    <w:rsid w:val="7B4D0E45"/>
    <w:rsid w:val="7B4F2C23"/>
    <w:rsid w:val="7B5C53B9"/>
    <w:rsid w:val="7B604943"/>
    <w:rsid w:val="7B67319B"/>
    <w:rsid w:val="7B6B6058"/>
    <w:rsid w:val="7B72060B"/>
    <w:rsid w:val="7B7C034D"/>
    <w:rsid w:val="7BA63759"/>
    <w:rsid w:val="7BAA098F"/>
    <w:rsid w:val="7BC044C2"/>
    <w:rsid w:val="7BCE6728"/>
    <w:rsid w:val="7BD02E61"/>
    <w:rsid w:val="7BDF190B"/>
    <w:rsid w:val="7BE425B6"/>
    <w:rsid w:val="7BF622C3"/>
    <w:rsid w:val="7BFF210D"/>
    <w:rsid w:val="7C153FE7"/>
    <w:rsid w:val="7C1910A8"/>
    <w:rsid w:val="7C230CD8"/>
    <w:rsid w:val="7C4F63A6"/>
    <w:rsid w:val="7C696F46"/>
    <w:rsid w:val="7CA13F21"/>
    <w:rsid w:val="7CC11B35"/>
    <w:rsid w:val="7CE33FC3"/>
    <w:rsid w:val="7CFE224B"/>
    <w:rsid w:val="7D2F7EC4"/>
    <w:rsid w:val="7D470B93"/>
    <w:rsid w:val="7D4A0A5C"/>
    <w:rsid w:val="7D6F68C2"/>
    <w:rsid w:val="7D760836"/>
    <w:rsid w:val="7D8B731A"/>
    <w:rsid w:val="7D8D6AE6"/>
    <w:rsid w:val="7D993082"/>
    <w:rsid w:val="7D9938DD"/>
    <w:rsid w:val="7D99546F"/>
    <w:rsid w:val="7D9A175F"/>
    <w:rsid w:val="7DB10A46"/>
    <w:rsid w:val="7DB11D69"/>
    <w:rsid w:val="7DB62FEA"/>
    <w:rsid w:val="7DB808C9"/>
    <w:rsid w:val="7DCA0FFD"/>
    <w:rsid w:val="7DE828B4"/>
    <w:rsid w:val="7E0A03A0"/>
    <w:rsid w:val="7E1B6D63"/>
    <w:rsid w:val="7E29286A"/>
    <w:rsid w:val="7E413C5F"/>
    <w:rsid w:val="7E6C4F99"/>
    <w:rsid w:val="7EA06915"/>
    <w:rsid w:val="7EA249E9"/>
    <w:rsid w:val="7EBE700C"/>
    <w:rsid w:val="7ED3454A"/>
    <w:rsid w:val="7EF40C80"/>
    <w:rsid w:val="7EF70F2D"/>
    <w:rsid w:val="7EF95DA4"/>
    <w:rsid w:val="7F0666F1"/>
    <w:rsid w:val="7F0E671D"/>
    <w:rsid w:val="7F18359E"/>
    <w:rsid w:val="7F2B4FA0"/>
    <w:rsid w:val="7F6C2645"/>
    <w:rsid w:val="7F8B0091"/>
    <w:rsid w:val="7F987BB6"/>
    <w:rsid w:val="7FB00A58"/>
    <w:rsid w:val="7FC06615"/>
    <w:rsid w:val="7FCB3BFE"/>
    <w:rsid w:val="7FCC4A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
    <w:name w:val="heading 1"/>
    <w:basedOn w:val="1"/>
    <w:next w:val="1"/>
    <w:link w:val="51"/>
    <w:autoRedefine/>
    <w:qFormat/>
    <w:uiPriority w:val="0"/>
    <w:pPr>
      <w:keepNext/>
      <w:jc w:val="center"/>
      <w:outlineLvl w:val="0"/>
    </w:pPr>
    <w:rPr>
      <w:sz w:val="28"/>
    </w:rPr>
  </w:style>
  <w:style w:type="paragraph" w:styleId="5">
    <w:name w:val="heading 2"/>
    <w:basedOn w:val="1"/>
    <w:next w:val="1"/>
    <w:link w:val="52"/>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3"/>
    <w:autoRedefine/>
    <w:qFormat/>
    <w:uiPriority w:val="9"/>
    <w:pPr>
      <w:keepNext/>
      <w:keepLines/>
      <w:spacing w:before="260" w:after="260" w:line="416" w:lineRule="auto"/>
      <w:outlineLvl w:val="2"/>
    </w:pPr>
    <w:rPr>
      <w:b/>
      <w:bCs/>
      <w:sz w:val="32"/>
      <w:szCs w:val="32"/>
    </w:rPr>
  </w:style>
  <w:style w:type="paragraph" w:styleId="7">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10">
    <w:name w:val="heading 7"/>
    <w:basedOn w:val="1"/>
    <w:next w:val="11"/>
    <w:autoRedefine/>
    <w:qFormat/>
    <w:uiPriority w:val="0"/>
    <w:pPr>
      <w:keepNext/>
      <w:keepLines/>
      <w:numPr>
        <w:ilvl w:val="6"/>
        <w:numId w:val="1"/>
      </w:numPr>
      <w:spacing w:before="240" w:after="64" w:line="320" w:lineRule="auto"/>
      <w:jc w:val="left"/>
      <w:outlineLvl w:val="6"/>
    </w:pPr>
    <w:rPr>
      <w:b/>
      <w:bCs/>
      <w:spacing w:val="6"/>
      <w:sz w:val="24"/>
    </w:rPr>
  </w:style>
  <w:style w:type="paragraph" w:styleId="12">
    <w:name w:val="heading 8"/>
    <w:basedOn w:val="1"/>
    <w:next w:val="1"/>
    <w:autoRedefine/>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3">
    <w:name w:val="heading 9"/>
    <w:basedOn w:val="1"/>
    <w:next w:val="11"/>
    <w:autoRedefine/>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1">
    <w:name w:val="Default Paragraph Font"/>
    <w:autoRedefine/>
    <w:semiHidden/>
    <w:qFormat/>
    <w:uiPriority w:val="0"/>
  </w:style>
  <w:style w:type="table" w:default="1" w:styleId="39">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link w:val="58"/>
    <w:autoRedefine/>
    <w:qFormat/>
    <w:uiPriority w:val="0"/>
    <w:rPr>
      <w:rFonts w:ascii="宋体" w:hAnsi="Courier New"/>
      <w:szCs w:val="20"/>
    </w:rPr>
  </w:style>
  <w:style w:type="paragraph" w:styleId="3">
    <w:name w:val="toc 2"/>
    <w:basedOn w:val="1"/>
    <w:next w:val="1"/>
    <w:autoRedefine/>
    <w:qFormat/>
    <w:uiPriority w:val="0"/>
    <w:pPr>
      <w:ind w:left="420" w:leftChars="200"/>
    </w:pPr>
    <w:rPr>
      <w:rFonts w:ascii="Times New Roman" w:hAnsi="Times New Roman" w:eastAsia="宋体" w:cs="Times New Roman"/>
      <w:color w:val="auto"/>
      <w:kern w:val="2"/>
      <w:szCs w:val="24"/>
    </w:rPr>
  </w:style>
  <w:style w:type="paragraph" w:styleId="11">
    <w:name w:val="Normal Indent"/>
    <w:basedOn w:val="1"/>
    <w:next w:val="1"/>
    <w:link w:val="53"/>
    <w:autoRedefine/>
    <w:qFormat/>
    <w:uiPriority w:val="0"/>
    <w:pPr>
      <w:spacing w:after="50"/>
      <w:ind w:firstLine="200" w:firstLineChars="200"/>
    </w:pPr>
    <w:rPr>
      <w:sz w:val="24"/>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autoRedefine/>
    <w:semiHidden/>
    <w:qFormat/>
    <w:uiPriority w:val="0"/>
    <w:pPr>
      <w:shd w:val="clear" w:color="auto" w:fill="000080"/>
    </w:pPr>
  </w:style>
  <w:style w:type="paragraph" w:styleId="16">
    <w:name w:val="toa heading"/>
    <w:basedOn w:val="1"/>
    <w:next w:val="1"/>
    <w:autoRedefine/>
    <w:semiHidden/>
    <w:qFormat/>
    <w:uiPriority w:val="0"/>
    <w:pPr>
      <w:spacing w:before="120"/>
    </w:pPr>
    <w:rPr>
      <w:rFonts w:ascii="Arial" w:hAnsi="Arial" w:cs="Arial"/>
      <w:sz w:val="24"/>
    </w:rPr>
  </w:style>
  <w:style w:type="paragraph" w:styleId="17">
    <w:name w:val="annotation text"/>
    <w:basedOn w:val="1"/>
    <w:autoRedefine/>
    <w:semiHidden/>
    <w:qFormat/>
    <w:uiPriority w:val="0"/>
    <w:pPr>
      <w:jc w:val="left"/>
    </w:pPr>
  </w:style>
  <w:style w:type="paragraph" w:styleId="18">
    <w:name w:val="Body Text 3"/>
    <w:basedOn w:val="1"/>
    <w:autoRedefine/>
    <w:qFormat/>
    <w:uiPriority w:val="0"/>
    <w:pPr>
      <w:spacing w:before="312" w:beforeLines="100" w:after="312" w:afterLines="100" w:line="400" w:lineRule="exact"/>
    </w:pPr>
    <w:rPr>
      <w:rFonts w:ascii="宋体" w:hAnsi="宋体"/>
      <w:sz w:val="24"/>
    </w:rPr>
  </w:style>
  <w:style w:type="paragraph" w:styleId="19">
    <w:name w:val="Body Text"/>
    <w:basedOn w:val="1"/>
    <w:next w:val="20"/>
    <w:link w:val="56"/>
    <w:autoRedefine/>
    <w:qFormat/>
    <w:uiPriority w:val="99"/>
    <w:rPr>
      <w:rFonts w:ascii="Arial" w:hAnsi="Arial"/>
      <w:bCs/>
      <w:sz w:val="24"/>
    </w:rPr>
  </w:style>
  <w:style w:type="paragraph" w:styleId="20">
    <w:name w:val="Body Text First Indent"/>
    <w:basedOn w:val="19"/>
    <w:next w:val="21"/>
    <w:link w:val="57"/>
    <w:autoRedefine/>
    <w:qFormat/>
    <w:uiPriority w:val="0"/>
    <w:pPr>
      <w:spacing w:after="120"/>
      <w:ind w:firstLine="420" w:firstLineChars="100"/>
    </w:pPr>
    <w:rPr>
      <w:rFonts w:ascii="Times New Roman" w:hAnsi="Times New Roman"/>
      <w:bCs w:val="0"/>
      <w:sz w:val="21"/>
    </w:rPr>
  </w:style>
  <w:style w:type="paragraph" w:styleId="21">
    <w:name w:val="toc 6"/>
    <w:basedOn w:val="1"/>
    <w:next w:val="1"/>
    <w:autoRedefine/>
    <w:qFormat/>
    <w:uiPriority w:val="0"/>
    <w:pPr>
      <w:ind w:left="1400"/>
    </w:pPr>
    <w:rPr>
      <w:rFonts w:ascii="Calibri"/>
      <w:sz w:val="18"/>
      <w:szCs w:val="18"/>
    </w:rPr>
  </w:style>
  <w:style w:type="paragraph" w:styleId="22">
    <w:name w:val="Body Text Indent"/>
    <w:basedOn w:val="1"/>
    <w:next w:val="11"/>
    <w:link w:val="50"/>
    <w:autoRedefine/>
    <w:qFormat/>
    <w:uiPriority w:val="99"/>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3">
    <w:name w:val="Block Text"/>
    <w:basedOn w:val="1"/>
    <w:autoRedefine/>
    <w:qFormat/>
    <w:uiPriority w:val="99"/>
    <w:pPr>
      <w:spacing w:after="120"/>
      <w:ind w:left="1440" w:leftChars="700" w:right="1440" w:rightChars="700"/>
    </w:pPr>
  </w:style>
  <w:style w:type="paragraph" w:styleId="24">
    <w:name w:val="Date"/>
    <w:basedOn w:val="1"/>
    <w:next w:val="1"/>
    <w:autoRedefine/>
    <w:qFormat/>
    <w:uiPriority w:val="0"/>
    <w:pPr>
      <w:ind w:left="100" w:leftChars="2500"/>
    </w:pPr>
    <w:rPr>
      <w:color w:val="000000"/>
      <w:sz w:val="24"/>
    </w:rPr>
  </w:style>
  <w:style w:type="paragraph" w:styleId="25">
    <w:name w:val="Body Text Indent 2"/>
    <w:basedOn w:val="1"/>
    <w:autoRedefine/>
    <w:qFormat/>
    <w:uiPriority w:val="0"/>
    <w:pPr>
      <w:widowControl/>
      <w:spacing w:line="480" w:lineRule="atLeast"/>
      <w:ind w:firstLine="480"/>
    </w:pPr>
    <w:rPr>
      <w:rFonts w:ascii="宋体"/>
      <w:kern w:val="0"/>
      <w:sz w:val="24"/>
      <w:szCs w:val="20"/>
    </w:rPr>
  </w:style>
  <w:style w:type="paragraph" w:styleId="26">
    <w:name w:val="Balloon Text"/>
    <w:basedOn w:val="1"/>
    <w:autoRedefine/>
    <w:semiHidden/>
    <w:qFormat/>
    <w:uiPriority w:val="0"/>
    <w:rPr>
      <w:sz w:val="18"/>
      <w:szCs w:val="18"/>
    </w:rPr>
  </w:style>
  <w:style w:type="paragraph" w:styleId="27">
    <w:name w:val="footer"/>
    <w:basedOn w:val="1"/>
    <w:link w:val="59"/>
    <w:autoRedefine/>
    <w:qFormat/>
    <w:uiPriority w:val="0"/>
    <w:pPr>
      <w:tabs>
        <w:tab w:val="center" w:pos="4153"/>
        <w:tab w:val="right" w:pos="8306"/>
      </w:tabs>
      <w:snapToGrid w:val="0"/>
      <w:jc w:val="left"/>
    </w:pPr>
    <w:rPr>
      <w:sz w:val="18"/>
      <w:szCs w:val="18"/>
    </w:rPr>
  </w:style>
  <w:style w:type="paragraph" w:styleId="28">
    <w:name w:val="header"/>
    <w:basedOn w:val="1"/>
    <w:link w:val="60"/>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rPr>
      <w:rFonts w:ascii="宋体" w:hAnsi="宋体"/>
      <w:b/>
      <w:sz w:val="24"/>
    </w:rPr>
  </w:style>
  <w:style w:type="paragraph" w:styleId="30">
    <w:name w:val="toc 4"/>
    <w:basedOn w:val="1"/>
    <w:next w:val="1"/>
    <w:autoRedefine/>
    <w:qFormat/>
    <w:uiPriority w:val="0"/>
    <w:pPr>
      <w:ind w:left="1260" w:leftChars="600"/>
    </w:pPr>
    <w:rPr>
      <w:rFonts w:ascii="Calibri" w:hAnsi="Calibri"/>
      <w:sz w:val="21"/>
    </w:rPr>
  </w:style>
  <w:style w:type="paragraph" w:styleId="31">
    <w:name w:val="Subtitle"/>
    <w:basedOn w:val="1"/>
    <w:next w:val="1"/>
    <w:link w:val="61"/>
    <w:autoRedefine/>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32">
    <w:name w:val="Body Text Indent 3"/>
    <w:basedOn w:val="1"/>
    <w:link w:val="62"/>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3">
    <w:name w:val="Body Text 2"/>
    <w:basedOn w:val="1"/>
    <w:autoRedefine/>
    <w:qFormat/>
    <w:uiPriority w:val="0"/>
    <w:pPr>
      <w:spacing w:after="120" w:line="480" w:lineRule="auto"/>
    </w:p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3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6">
    <w:name w:val="Title"/>
    <w:basedOn w:val="1"/>
    <w:next w:val="1"/>
    <w:autoRedefine/>
    <w:qFormat/>
    <w:uiPriority w:val="0"/>
    <w:pPr>
      <w:spacing w:before="240" w:after="60"/>
      <w:jc w:val="center"/>
      <w:outlineLvl w:val="0"/>
    </w:pPr>
    <w:rPr>
      <w:rFonts w:ascii="Arial" w:hAnsi="Arial" w:cs="Arial"/>
      <w:b/>
      <w:bCs/>
      <w:sz w:val="32"/>
      <w:szCs w:val="32"/>
    </w:rPr>
  </w:style>
  <w:style w:type="paragraph" w:styleId="37">
    <w:name w:val="annotation subject"/>
    <w:basedOn w:val="17"/>
    <w:next w:val="17"/>
    <w:autoRedefine/>
    <w:semiHidden/>
    <w:qFormat/>
    <w:uiPriority w:val="0"/>
    <w:rPr>
      <w:b/>
      <w:bCs/>
    </w:rPr>
  </w:style>
  <w:style w:type="paragraph" w:styleId="38">
    <w:name w:val="Body Text First Indent 2"/>
    <w:basedOn w:val="22"/>
    <w:next w:val="1"/>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22"/>
    <w:rPr>
      <w:b/>
      <w:bCs/>
    </w:rPr>
  </w:style>
  <w:style w:type="character" w:styleId="43">
    <w:name w:val="page number"/>
    <w:basedOn w:val="41"/>
    <w:autoRedefine/>
    <w:qFormat/>
    <w:uiPriority w:val="0"/>
  </w:style>
  <w:style w:type="character" w:styleId="44">
    <w:name w:val="FollowedHyperlink"/>
    <w:autoRedefine/>
    <w:qFormat/>
    <w:uiPriority w:val="0"/>
    <w:rPr>
      <w:rFonts w:eastAsia="宋体"/>
      <w:color w:val="800080"/>
      <w:kern w:val="2"/>
      <w:sz w:val="24"/>
      <w:szCs w:val="24"/>
      <w:u w:val="single"/>
      <w:lang w:val="en-US" w:eastAsia="zh-CN" w:bidi="ar-SA"/>
    </w:rPr>
  </w:style>
  <w:style w:type="character" w:styleId="45">
    <w:name w:val="Emphasis"/>
    <w:autoRedefine/>
    <w:qFormat/>
    <w:uiPriority w:val="0"/>
    <w:rPr>
      <w:rFonts w:eastAsia="宋体"/>
      <w:color w:val="CC0033"/>
      <w:kern w:val="2"/>
      <w:sz w:val="24"/>
      <w:szCs w:val="24"/>
      <w:lang w:val="en-US" w:eastAsia="zh-CN" w:bidi="ar-SA"/>
    </w:rPr>
  </w:style>
  <w:style w:type="character" w:styleId="46">
    <w:name w:val="Hyperlink"/>
    <w:autoRedefine/>
    <w:qFormat/>
    <w:uiPriority w:val="0"/>
    <w:rPr>
      <w:color w:val="0000FF"/>
      <w:u w:val="single"/>
    </w:rPr>
  </w:style>
  <w:style w:type="character" w:styleId="47">
    <w:name w:val="annotation reference"/>
    <w:autoRedefine/>
    <w:semiHidden/>
    <w:qFormat/>
    <w:uiPriority w:val="0"/>
    <w:rPr>
      <w:sz w:val="21"/>
      <w:szCs w:val="21"/>
    </w:rPr>
  </w:style>
  <w:style w:type="paragraph" w:customStyle="1" w:styleId="48">
    <w:name w:val="表格文字"/>
    <w:basedOn w:val="2"/>
    <w:next w:val="19"/>
    <w:autoRedefine/>
    <w:qFormat/>
    <w:uiPriority w:val="0"/>
    <w:pPr>
      <w:widowControl/>
      <w:adjustRightInd w:val="0"/>
      <w:spacing w:line="420" w:lineRule="atLeast"/>
      <w:jc w:val="left"/>
      <w:textAlignment w:val="baseline"/>
    </w:pPr>
    <w:rPr>
      <w:kern w:val="0"/>
    </w:rPr>
  </w:style>
  <w:style w:type="paragraph" w:customStyle="1" w:styleId="49">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50">
    <w:name w:val="正文文本缩进 Char"/>
    <w:link w:val="22"/>
    <w:autoRedefine/>
    <w:qFormat/>
    <w:uiPriority w:val="99"/>
    <w:rPr>
      <w:rFonts w:ascii="仿宋_GB2312" w:eastAsia="仿宋_GB2312"/>
      <w:b/>
      <w:bCs/>
      <w:color w:val="000000"/>
      <w:kern w:val="2"/>
      <w:sz w:val="24"/>
      <w:szCs w:val="24"/>
    </w:rPr>
  </w:style>
  <w:style w:type="character" w:customStyle="1" w:styleId="51">
    <w:name w:val="标题 1 Char"/>
    <w:link w:val="4"/>
    <w:autoRedefine/>
    <w:qFormat/>
    <w:uiPriority w:val="0"/>
    <w:rPr>
      <w:rFonts w:eastAsia="宋体"/>
      <w:kern w:val="2"/>
      <w:sz w:val="28"/>
      <w:szCs w:val="24"/>
      <w:lang w:val="en-US" w:eastAsia="zh-CN" w:bidi="ar-SA"/>
    </w:rPr>
  </w:style>
  <w:style w:type="character" w:customStyle="1" w:styleId="52">
    <w:name w:val="标题 2 Char"/>
    <w:link w:val="5"/>
    <w:autoRedefine/>
    <w:qFormat/>
    <w:uiPriority w:val="0"/>
    <w:rPr>
      <w:rFonts w:ascii="Arial" w:hAnsi="Arial" w:eastAsia="黑体"/>
      <w:b/>
      <w:bCs/>
      <w:kern w:val="2"/>
      <w:sz w:val="32"/>
      <w:szCs w:val="32"/>
      <w:lang w:val="en-US" w:eastAsia="zh-CN" w:bidi="ar-SA"/>
    </w:rPr>
  </w:style>
  <w:style w:type="character" w:customStyle="1" w:styleId="53">
    <w:name w:val="正文缩进 Char"/>
    <w:link w:val="11"/>
    <w:autoRedefine/>
    <w:qFormat/>
    <w:uiPriority w:val="0"/>
    <w:rPr>
      <w:rFonts w:eastAsia="宋体"/>
      <w:kern w:val="2"/>
      <w:sz w:val="24"/>
      <w:lang w:val="en-US" w:eastAsia="zh-CN" w:bidi="ar-SA"/>
    </w:rPr>
  </w:style>
  <w:style w:type="character" w:customStyle="1" w:styleId="54">
    <w:name w:val="标题 3 字符"/>
    <w:link w:val="6"/>
    <w:autoRedefine/>
    <w:qFormat/>
    <w:uiPriority w:val="9"/>
    <w:rPr>
      <w:b/>
      <w:bCs/>
      <w:kern w:val="2"/>
      <w:sz w:val="32"/>
      <w:szCs w:val="32"/>
    </w:rPr>
  </w:style>
  <w:style w:type="character" w:customStyle="1" w:styleId="55">
    <w:name w:val="标题 4 Char"/>
    <w:link w:val="7"/>
    <w:autoRedefine/>
    <w:qFormat/>
    <w:uiPriority w:val="0"/>
    <w:rPr>
      <w:rFonts w:ascii="Arial" w:hAnsi="Arial" w:eastAsia="黑体"/>
      <w:b/>
      <w:bCs/>
      <w:kern w:val="2"/>
      <w:sz w:val="28"/>
      <w:szCs w:val="28"/>
    </w:rPr>
  </w:style>
  <w:style w:type="character" w:customStyle="1" w:styleId="56">
    <w:name w:val="正文文本 Char"/>
    <w:link w:val="19"/>
    <w:autoRedefine/>
    <w:qFormat/>
    <w:uiPriority w:val="99"/>
    <w:rPr>
      <w:rFonts w:ascii="Arial" w:hAnsi="Arial"/>
      <w:bCs/>
      <w:kern w:val="2"/>
      <w:sz w:val="24"/>
      <w:szCs w:val="24"/>
    </w:rPr>
  </w:style>
  <w:style w:type="character" w:customStyle="1" w:styleId="57">
    <w:name w:val="正文首行缩进 Char"/>
    <w:link w:val="20"/>
    <w:autoRedefine/>
    <w:qFormat/>
    <w:uiPriority w:val="0"/>
    <w:rPr>
      <w:kern w:val="2"/>
      <w:sz w:val="21"/>
      <w:szCs w:val="24"/>
    </w:rPr>
  </w:style>
  <w:style w:type="character" w:customStyle="1" w:styleId="58">
    <w:name w:val="纯文本 Char"/>
    <w:link w:val="2"/>
    <w:autoRedefine/>
    <w:qFormat/>
    <w:uiPriority w:val="0"/>
    <w:rPr>
      <w:rFonts w:ascii="宋体" w:hAnsi="Courier New" w:eastAsia="宋体"/>
      <w:kern w:val="2"/>
      <w:sz w:val="21"/>
      <w:lang w:val="en-US" w:eastAsia="zh-CN" w:bidi="ar-SA"/>
    </w:rPr>
  </w:style>
  <w:style w:type="character" w:customStyle="1" w:styleId="59">
    <w:name w:val="页脚 Char"/>
    <w:link w:val="27"/>
    <w:autoRedefine/>
    <w:qFormat/>
    <w:uiPriority w:val="0"/>
    <w:rPr>
      <w:rFonts w:eastAsia="宋体"/>
      <w:kern w:val="2"/>
      <w:sz w:val="18"/>
      <w:szCs w:val="18"/>
      <w:lang w:val="en-US" w:eastAsia="zh-CN" w:bidi="ar-SA"/>
    </w:rPr>
  </w:style>
  <w:style w:type="character" w:customStyle="1" w:styleId="60">
    <w:name w:val="页眉 Char"/>
    <w:link w:val="28"/>
    <w:autoRedefine/>
    <w:qFormat/>
    <w:uiPriority w:val="0"/>
    <w:rPr>
      <w:rFonts w:eastAsia="宋体"/>
      <w:kern w:val="2"/>
      <w:sz w:val="18"/>
      <w:szCs w:val="18"/>
      <w:lang w:val="en-US" w:eastAsia="zh-CN" w:bidi="ar-SA"/>
    </w:rPr>
  </w:style>
  <w:style w:type="character" w:customStyle="1" w:styleId="61">
    <w:name w:val="副标题 Char"/>
    <w:link w:val="31"/>
    <w:autoRedefine/>
    <w:qFormat/>
    <w:uiPriority w:val="0"/>
    <w:rPr>
      <w:rFonts w:ascii="Calibri Light" w:hAnsi="Calibri Light" w:eastAsia="楷体_GB2312"/>
      <w:b/>
      <w:bCs/>
      <w:kern w:val="28"/>
      <w:sz w:val="24"/>
      <w:szCs w:val="32"/>
    </w:rPr>
  </w:style>
  <w:style w:type="character" w:customStyle="1" w:styleId="62">
    <w:name w:val="正文文本缩进 3 Char"/>
    <w:link w:val="32"/>
    <w:autoRedefine/>
    <w:qFormat/>
    <w:uiPriority w:val="0"/>
    <w:rPr>
      <w:rFonts w:eastAsia="黑体"/>
      <w:color w:val="000000"/>
      <w:kern w:val="2"/>
      <w:sz w:val="24"/>
      <w:szCs w:val="24"/>
      <w:lang w:val="en-US" w:eastAsia="zh-CN" w:bidi="ar-SA"/>
    </w:rPr>
  </w:style>
  <w:style w:type="character" w:customStyle="1" w:styleId="63">
    <w:name w:val="标题 3 Char"/>
    <w:link w:val="6"/>
    <w:autoRedefine/>
    <w:qFormat/>
    <w:uiPriority w:val="9"/>
    <w:rPr>
      <w:b/>
      <w:bCs/>
      <w:kern w:val="2"/>
      <w:sz w:val="32"/>
      <w:szCs w:val="32"/>
    </w:rPr>
  </w:style>
  <w:style w:type="character" w:customStyle="1" w:styleId="64">
    <w:name w:val="12blk1"/>
    <w:autoRedefine/>
    <w:qFormat/>
    <w:uiPriority w:val="0"/>
    <w:rPr>
      <w:rFonts w:hint="default" w:ascii="_x000B__x000C_" w:hAnsi="_x000B__x000C_"/>
      <w:color w:val="000000"/>
      <w:sz w:val="24"/>
      <w:szCs w:val="24"/>
      <w:u w:val="none"/>
    </w:rPr>
  </w:style>
  <w:style w:type="character" w:customStyle="1" w:styleId="65">
    <w:name w:val="_Style 62"/>
    <w:autoRedefine/>
    <w:qFormat/>
    <w:uiPriority w:val="0"/>
    <w:rPr>
      <w:b/>
      <w:i/>
      <w:sz w:val="21"/>
    </w:rPr>
  </w:style>
  <w:style w:type="character" w:customStyle="1" w:styleId="66">
    <w:name w:val="纯文本 Char1"/>
    <w:autoRedefine/>
    <w:semiHidden/>
    <w:qFormat/>
    <w:uiPriority w:val="0"/>
    <w:rPr>
      <w:sz w:val="20"/>
    </w:rPr>
  </w:style>
  <w:style w:type="character" w:customStyle="1" w:styleId="67">
    <w:name w:val="font41"/>
    <w:autoRedefine/>
    <w:qFormat/>
    <w:uiPriority w:val="0"/>
    <w:rPr>
      <w:rFonts w:hint="eastAsia" w:ascii="宋体" w:hAnsi="宋体" w:eastAsia="宋体" w:cs="宋体"/>
      <w:color w:val="000000"/>
      <w:sz w:val="20"/>
      <w:szCs w:val="20"/>
      <w:u w:val="none"/>
    </w:rPr>
  </w:style>
  <w:style w:type="character" w:customStyle="1" w:styleId="68">
    <w:name w:val="BZ_正文 Char"/>
    <w:autoRedefine/>
    <w:qFormat/>
    <w:uiPriority w:val="0"/>
    <w:rPr>
      <w:sz w:val="20"/>
    </w:rPr>
  </w:style>
  <w:style w:type="character" w:customStyle="1" w:styleId="69">
    <w:name w:val="标题 2 字符1"/>
    <w:autoRedefine/>
    <w:qFormat/>
    <w:uiPriority w:val="0"/>
    <w:rPr>
      <w:rFonts w:ascii="Arial" w:hAnsi="Arial" w:eastAsia="黑体" w:cs="Times New Roman"/>
      <w:b/>
      <w:bCs/>
      <w:sz w:val="32"/>
      <w:szCs w:val="32"/>
      <w:lang w:val="zh-CN" w:eastAsia="zh-CN"/>
    </w:rPr>
  </w:style>
  <w:style w:type="character" w:customStyle="1" w:styleId="70">
    <w:name w:val="para"/>
    <w:autoRedefine/>
    <w:qFormat/>
    <w:uiPriority w:val="0"/>
    <w:rPr>
      <w:rFonts w:eastAsia="宋体"/>
      <w:kern w:val="2"/>
      <w:sz w:val="24"/>
      <w:szCs w:val="24"/>
      <w:lang w:val="en-US" w:eastAsia="zh-CN" w:bidi="ar-SA"/>
    </w:rPr>
  </w:style>
  <w:style w:type="character" w:customStyle="1" w:styleId="71">
    <w:name w:val="z-窗体底端 Char"/>
    <w:link w:val="72"/>
    <w:autoRedefine/>
    <w:qFormat/>
    <w:uiPriority w:val="0"/>
    <w:rPr>
      <w:rFonts w:ascii="Arial" w:hAnsi="等线"/>
      <w:vanish/>
      <w:kern w:val="2"/>
      <w:sz w:val="16"/>
      <w:szCs w:val="24"/>
    </w:rPr>
  </w:style>
  <w:style w:type="paragraph" w:customStyle="1" w:styleId="72">
    <w:name w:val="_Style 69"/>
    <w:basedOn w:val="1"/>
    <w:next w:val="1"/>
    <w:link w:val="71"/>
    <w:autoRedefine/>
    <w:qFormat/>
    <w:uiPriority w:val="0"/>
    <w:pPr>
      <w:pBdr>
        <w:top w:val="single" w:color="auto" w:sz="6" w:space="1"/>
      </w:pBdr>
      <w:jc w:val="center"/>
    </w:pPr>
    <w:rPr>
      <w:rFonts w:ascii="Arial" w:hAnsi="等线"/>
      <w:vanish/>
      <w:sz w:val="16"/>
    </w:rPr>
  </w:style>
  <w:style w:type="character" w:customStyle="1" w:styleId="73">
    <w:name w:val="页眉 Char1"/>
    <w:autoRedefine/>
    <w:qFormat/>
    <w:uiPriority w:val="99"/>
    <w:rPr>
      <w:sz w:val="18"/>
      <w:szCs w:val="18"/>
    </w:rPr>
  </w:style>
  <w:style w:type="character" w:customStyle="1" w:styleId="74">
    <w:name w:val="副标题 Char1"/>
    <w:autoRedefine/>
    <w:qFormat/>
    <w:uiPriority w:val="0"/>
    <w:rPr>
      <w:rFonts w:ascii="Cambria" w:hAnsi="Cambria" w:cs="Times New Roman"/>
      <w:b/>
      <w:bCs/>
      <w:kern w:val="28"/>
      <w:sz w:val="32"/>
      <w:szCs w:val="32"/>
    </w:rPr>
  </w:style>
  <w:style w:type="character" w:customStyle="1" w:styleId="75">
    <w:name w:val="段 Char"/>
    <w:link w:val="76"/>
    <w:autoRedefine/>
    <w:qFormat/>
    <w:uiPriority w:val="0"/>
    <w:rPr>
      <w:rFonts w:ascii="宋体" w:eastAsia="Times New Roman"/>
      <w:lang w:val="en-US" w:eastAsia="zh-CN" w:bidi="ar-SA"/>
    </w:rPr>
  </w:style>
  <w:style w:type="paragraph" w:customStyle="1" w:styleId="76">
    <w:name w:val="段"/>
    <w:link w:val="75"/>
    <w:autoRedefine/>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lang w:val="en-US" w:eastAsia="zh-CN" w:bidi="ar-SA"/>
    </w:rPr>
  </w:style>
  <w:style w:type="character" w:customStyle="1" w:styleId="77">
    <w:name w:val="font01"/>
    <w:autoRedefine/>
    <w:qFormat/>
    <w:uiPriority w:val="0"/>
    <w:rPr>
      <w:color w:val="000000"/>
      <w:sz w:val="20"/>
      <w:u w:val="none"/>
    </w:rPr>
  </w:style>
  <w:style w:type="character" w:customStyle="1" w:styleId="78">
    <w:name w:val="_Style 75"/>
    <w:autoRedefine/>
    <w:qFormat/>
    <w:uiPriority w:val="0"/>
    <w:rPr>
      <w:b/>
      <w:color w:val="auto"/>
      <w:sz w:val="21"/>
    </w:rPr>
  </w:style>
  <w:style w:type="character" w:customStyle="1" w:styleId="79">
    <w:name w:val="纯文本 Char Char Char"/>
    <w:autoRedefine/>
    <w:qFormat/>
    <w:uiPriority w:val="0"/>
    <w:rPr>
      <w:rFonts w:ascii="宋体" w:hAnsi="Courier New" w:eastAsia="宋体"/>
      <w:kern w:val="2"/>
      <w:sz w:val="21"/>
      <w:lang w:val="en-US" w:eastAsia="zh-CN" w:bidi="ar-SA"/>
    </w:rPr>
  </w:style>
  <w:style w:type="character" w:customStyle="1" w:styleId="80">
    <w:name w:val="font1"/>
    <w:autoRedefine/>
    <w:qFormat/>
    <w:uiPriority w:val="0"/>
    <w:rPr>
      <w:rFonts w:hint="eastAsia" w:ascii="宋体" w:hAnsi="宋体" w:eastAsia="宋体"/>
      <w:color w:val="333333"/>
      <w:sz w:val="18"/>
      <w:szCs w:val="18"/>
      <w:u w:val="none"/>
    </w:rPr>
  </w:style>
  <w:style w:type="character" w:customStyle="1" w:styleId="81">
    <w:name w:val="small"/>
    <w:autoRedefine/>
    <w:qFormat/>
    <w:uiPriority w:val="0"/>
    <w:rPr>
      <w:rFonts w:eastAsia="宋体"/>
      <w:kern w:val="2"/>
      <w:sz w:val="24"/>
      <w:szCs w:val="24"/>
      <w:lang w:val="en-US" w:eastAsia="zh-CN" w:bidi="ar-SA"/>
    </w:rPr>
  </w:style>
  <w:style w:type="character" w:customStyle="1" w:styleId="82">
    <w:name w:val="v151"/>
    <w:autoRedefine/>
    <w:qFormat/>
    <w:uiPriority w:val="0"/>
    <w:rPr>
      <w:rFonts w:eastAsia="宋体"/>
      <w:kern w:val="2"/>
      <w:sz w:val="18"/>
      <w:szCs w:val="18"/>
      <w:lang w:val="en-US" w:eastAsia="zh-CN" w:bidi="ar-SA"/>
    </w:rPr>
  </w:style>
  <w:style w:type="character" w:customStyle="1" w:styleId="83">
    <w:name w:val="biaoti-red"/>
    <w:basedOn w:val="41"/>
    <w:autoRedefine/>
    <w:qFormat/>
    <w:uiPriority w:val="0"/>
  </w:style>
  <w:style w:type="character" w:customStyle="1" w:styleId="84">
    <w:name w:val="Default 1"/>
    <w:autoRedefine/>
    <w:qFormat/>
    <w:uiPriority w:val="0"/>
    <w:rPr>
      <w:rFonts w:cs="Verdana"/>
      <w:sz w:val="16"/>
      <w:szCs w:val="16"/>
    </w:rPr>
  </w:style>
  <w:style w:type="character" w:customStyle="1" w:styleId="85">
    <w:name w:val="_Style 82"/>
    <w:autoRedefine/>
    <w:qFormat/>
    <w:uiPriority w:val="0"/>
    <w:rPr>
      <w:i/>
      <w:color w:val="auto"/>
      <w:sz w:val="21"/>
    </w:rPr>
  </w:style>
  <w:style w:type="character" w:customStyle="1" w:styleId="86">
    <w:name w:val="_Style 83"/>
    <w:autoRedefine/>
    <w:qFormat/>
    <w:uiPriority w:val="0"/>
    <w:rPr>
      <w:color w:val="auto"/>
      <w:sz w:val="21"/>
    </w:rPr>
  </w:style>
  <w:style w:type="character" w:customStyle="1" w:styleId="87">
    <w:name w:val="font11"/>
    <w:basedOn w:val="41"/>
    <w:autoRedefine/>
    <w:qFormat/>
    <w:uiPriority w:val="0"/>
    <w:rPr>
      <w:color w:val="000000"/>
      <w:sz w:val="20"/>
      <w:u w:val="none"/>
    </w:rPr>
  </w:style>
  <w:style w:type="character" w:customStyle="1" w:styleId="88">
    <w:name w:val="p141"/>
    <w:autoRedefine/>
    <w:qFormat/>
    <w:uiPriority w:val="0"/>
    <w:rPr>
      <w:sz w:val="21"/>
      <w:szCs w:val="21"/>
    </w:rPr>
  </w:style>
  <w:style w:type="character" w:customStyle="1" w:styleId="89">
    <w:name w:val="!! 正文 Char"/>
    <w:link w:val="90"/>
    <w:autoRedefine/>
    <w:qFormat/>
    <w:uiPriority w:val="0"/>
    <w:rPr>
      <w:rFonts w:ascii="仿宋_GB2312" w:eastAsia="仿宋_GB2312"/>
      <w:sz w:val="28"/>
      <w:szCs w:val="28"/>
      <w:lang w:bidi="ar-SA"/>
    </w:rPr>
  </w:style>
  <w:style w:type="paragraph" w:customStyle="1" w:styleId="90">
    <w:name w:val="!! 正文"/>
    <w:basedOn w:val="1"/>
    <w:link w:val="89"/>
    <w:autoRedefine/>
    <w:qFormat/>
    <w:uiPriority w:val="0"/>
    <w:pPr>
      <w:snapToGrid w:val="0"/>
      <w:spacing w:line="360" w:lineRule="auto"/>
      <w:ind w:firstLine="200" w:firstLineChars="200"/>
    </w:pPr>
    <w:rPr>
      <w:rFonts w:ascii="仿宋_GB2312" w:eastAsia="仿宋_GB2312"/>
      <w:kern w:val="0"/>
      <w:sz w:val="28"/>
      <w:szCs w:val="28"/>
    </w:rPr>
  </w:style>
  <w:style w:type="character" w:customStyle="1" w:styleId="91">
    <w:name w:val="列出段落 字符"/>
    <w:link w:val="92"/>
    <w:autoRedefine/>
    <w:qFormat/>
    <w:uiPriority w:val="34"/>
    <w:rPr>
      <w:rFonts w:ascii="宋体" w:hAnsi="宋体" w:cs="宋体"/>
      <w:sz w:val="24"/>
      <w:szCs w:val="24"/>
    </w:rPr>
  </w:style>
  <w:style w:type="paragraph" w:customStyle="1" w:styleId="92">
    <w:name w:val="List11111111111111"/>
    <w:basedOn w:val="1"/>
    <w:next w:val="93"/>
    <w:link w:val="91"/>
    <w:autoRedefine/>
    <w:qFormat/>
    <w:uiPriority w:val="34"/>
    <w:pPr>
      <w:widowControl/>
      <w:spacing w:before="100" w:beforeAutospacing="1" w:after="100" w:afterAutospacing="1"/>
      <w:jc w:val="left"/>
    </w:pPr>
    <w:rPr>
      <w:rFonts w:ascii="宋体" w:hAnsi="宋体"/>
      <w:kern w:val="0"/>
      <w:sz w:val="24"/>
    </w:rPr>
  </w:style>
  <w:style w:type="paragraph" w:styleId="93">
    <w:name w:val="List Paragraph"/>
    <w:basedOn w:val="1"/>
    <w:link w:val="94"/>
    <w:autoRedefine/>
    <w:qFormat/>
    <w:uiPriority w:val="34"/>
    <w:pPr>
      <w:ind w:firstLine="420" w:firstLineChars="200"/>
    </w:pPr>
    <w:rPr>
      <w:rFonts w:ascii="Calibri" w:hAnsi="Calibri"/>
      <w:szCs w:val="22"/>
    </w:rPr>
  </w:style>
  <w:style w:type="character" w:customStyle="1" w:styleId="94">
    <w:name w:val="列出段落 Char"/>
    <w:link w:val="93"/>
    <w:autoRedefine/>
    <w:qFormat/>
    <w:uiPriority w:val="34"/>
    <w:rPr>
      <w:rFonts w:ascii="Calibri" w:hAnsi="Calibri" w:eastAsia="宋体"/>
      <w:kern w:val="2"/>
      <w:sz w:val="21"/>
      <w:szCs w:val="22"/>
      <w:lang w:bidi="ar-SA"/>
    </w:rPr>
  </w:style>
  <w:style w:type="character" w:customStyle="1" w:styleId="95">
    <w:name w:val="_Style 92"/>
    <w:autoRedefine/>
    <w:qFormat/>
    <w:uiPriority w:val="0"/>
    <w:rPr>
      <w:i/>
      <w:color w:val="auto"/>
      <w:sz w:val="21"/>
    </w:rPr>
  </w:style>
  <w:style w:type="character" w:customStyle="1" w:styleId="96">
    <w:name w:val="themebody1"/>
    <w:autoRedefine/>
    <w:qFormat/>
    <w:uiPriority w:val="0"/>
    <w:rPr>
      <w:rFonts w:eastAsia="宋体"/>
      <w:color w:val="FFFFFF"/>
      <w:kern w:val="2"/>
      <w:sz w:val="24"/>
      <w:szCs w:val="24"/>
      <w:lang w:val="en-US" w:eastAsia="zh-CN" w:bidi="ar-SA"/>
    </w:rPr>
  </w:style>
  <w:style w:type="character" w:customStyle="1" w:styleId="97">
    <w:name w:val="wj1"/>
    <w:autoRedefine/>
    <w:qFormat/>
    <w:uiPriority w:val="0"/>
    <w:rPr>
      <w:color w:val="000000"/>
      <w:sz w:val="18"/>
      <w:szCs w:val="18"/>
      <w:u w:val="none"/>
    </w:rPr>
  </w:style>
  <w:style w:type="character" w:customStyle="1" w:styleId="98">
    <w:name w:val="ft"/>
    <w:autoRedefine/>
    <w:qFormat/>
    <w:uiPriority w:val="0"/>
  </w:style>
  <w:style w:type="character" w:customStyle="1" w:styleId="99">
    <w:name w:val="Title Char"/>
    <w:autoRedefine/>
    <w:qFormat/>
    <w:locked/>
    <w:uiPriority w:val="0"/>
    <w:rPr>
      <w:rFonts w:ascii="Cambria" w:hAnsi="Cambria" w:eastAsia="宋体"/>
      <w:b/>
      <w:sz w:val="32"/>
    </w:rPr>
  </w:style>
  <w:style w:type="character" w:customStyle="1" w:styleId="100">
    <w:name w:val="页脚 Char1"/>
    <w:autoRedefine/>
    <w:qFormat/>
    <w:uiPriority w:val="99"/>
    <w:rPr>
      <w:sz w:val="18"/>
      <w:szCs w:val="18"/>
    </w:rPr>
  </w:style>
  <w:style w:type="character" w:customStyle="1" w:styleId="101">
    <w:name w:val="正文文本缩进 3 Char1"/>
    <w:autoRedefine/>
    <w:semiHidden/>
    <w:qFormat/>
    <w:uiPriority w:val="99"/>
    <w:rPr>
      <w:sz w:val="16"/>
      <w:szCs w:val="16"/>
    </w:rPr>
  </w:style>
  <w:style w:type="character" w:customStyle="1" w:styleId="102">
    <w:name w:val="标题 2 Char1"/>
    <w:autoRedefine/>
    <w:semiHidden/>
    <w:qFormat/>
    <w:uiPriority w:val="9"/>
    <w:rPr>
      <w:rFonts w:ascii="Cambria" w:hAnsi="Cambria" w:eastAsia="宋体" w:cs="Times New Roman"/>
      <w:b/>
      <w:bCs/>
      <w:sz w:val="32"/>
      <w:szCs w:val="32"/>
    </w:rPr>
  </w:style>
  <w:style w:type="character" w:customStyle="1" w:styleId="103">
    <w:name w:val="Title Char2"/>
    <w:autoRedefine/>
    <w:qFormat/>
    <w:locked/>
    <w:uiPriority w:val="0"/>
    <w:rPr>
      <w:rFonts w:ascii="Cambria" w:hAnsi="Cambria" w:eastAsia="宋体" w:cs="Times New Roman"/>
      <w:b/>
      <w:bCs/>
      <w:sz w:val="32"/>
      <w:szCs w:val="32"/>
    </w:rPr>
  </w:style>
  <w:style w:type="character" w:customStyle="1" w:styleId="104">
    <w:name w:val="htd0"/>
    <w:basedOn w:val="41"/>
    <w:autoRedefine/>
    <w:qFormat/>
    <w:uiPriority w:val="0"/>
  </w:style>
  <w:style w:type="character" w:customStyle="1" w:styleId="105">
    <w:name w:val="NormalCharacter"/>
    <w:autoRedefine/>
    <w:semiHidden/>
    <w:qFormat/>
    <w:uiPriority w:val="0"/>
    <w:rPr>
      <w:lang w:val="en-US" w:eastAsia="zh-CN" w:bidi="ar-SA"/>
    </w:rPr>
  </w:style>
  <w:style w:type="character" w:customStyle="1" w:styleId="106">
    <w:name w:val="特点 Char"/>
    <w:autoRedefine/>
    <w:qFormat/>
    <w:uiPriority w:val="0"/>
    <w:rPr>
      <w:sz w:val="20"/>
    </w:rPr>
  </w:style>
  <w:style w:type="character" w:customStyle="1" w:styleId="107">
    <w:name w:val="z-窗体底端 Char1"/>
    <w:autoRedefine/>
    <w:semiHidden/>
    <w:qFormat/>
    <w:uiPriority w:val="99"/>
    <w:rPr>
      <w:rFonts w:ascii="Arial" w:hAnsi="Arial" w:cs="Arial"/>
      <w:vanish/>
      <w:kern w:val="2"/>
      <w:sz w:val="16"/>
      <w:szCs w:val="16"/>
    </w:rPr>
  </w:style>
  <w:style w:type="character" w:customStyle="1" w:styleId="108">
    <w:name w:val="标题 1 Char1"/>
    <w:autoRedefine/>
    <w:qFormat/>
    <w:uiPriority w:val="9"/>
    <w:rPr>
      <w:b/>
      <w:bCs/>
      <w:kern w:val="44"/>
      <w:sz w:val="44"/>
      <w:szCs w:val="44"/>
    </w:rPr>
  </w:style>
  <w:style w:type="character" w:customStyle="1" w:styleId="109">
    <w:name w:val="font81"/>
    <w:autoRedefine/>
    <w:qFormat/>
    <w:uiPriority w:val="0"/>
    <w:rPr>
      <w:rFonts w:hint="eastAsia" w:ascii="宋体" w:hAnsi="宋体" w:eastAsia="宋体" w:cs="宋体"/>
      <w:color w:val="000000"/>
      <w:sz w:val="21"/>
      <w:szCs w:val="21"/>
      <w:u w:val="none"/>
    </w:rPr>
  </w:style>
  <w:style w:type="character" w:customStyle="1" w:styleId="110">
    <w:name w:val="纯文本 Char2"/>
    <w:autoRedefine/>
    <w:qFormat/>
    <w:uiPriority w:val="0"/>
    <w:rPr>
      <w:rFonts w:hAnsi="Courier New" w:cs="Times New Roman"/>
      <w:kern w:val="2"/>
      <w:sz w:val="21"/>
    </w:rPr>
  </w:style>
  <w:style w:type="character" w:customStyle="1" w:styleId="111">
    <w:name w:val="unnamed51"/>
    <w:autoRedefine/>
    <w:qFormat/>
    <w:uiPriority w:val="0"/>
    <w:rPr>
      <w:sz w:val="22"/>
      <w:szCs w:val="22"/>
    </w:rPr>
  </w:style>
  <w:style w:type="paragraph" w:customStyle="1" w:styleId="112">
    <w:name w:val="ff2"/>
    <w:basedOn w:val="5"/>
    <w:autoRedefine/>
    <w:qFormat/>
    <w:uiPriority w:val="0"/>
    <w:pPr>
      <w:tabs>
        <w:tab w:val="left" w:pos="720"/>
      </w:tabs>
      <w:spacing w:before="0" w:after="0" w:line="500" w:lineRule="exact"/>
      <w:ind w:left="567" w:hanging="567"/>
    </w:pPr>
    <w:rPr>
      <w:sz w:val="28"/>
      <w:szCs w:val="28"/>
    </w:rPr>
  </w:style>
  <w:style w:type="paragraph" w:customStyle="1" w:styleId="113">
    <w:name w:val=" Char Char Char Char"/>
    <w:basedOn w:val="15"/>
    <w:autoRedefine/>
    <w:qFormat/>
    <w:uiPriority w:val="0"/>
    <w:rPr>
      <w:rFonts w:ascii="Tahoma" w:hAnsi="Tahoma"/>
      <w:sz w:val="24"/>
    </w:rPr>
  </w:style>
  <w:style w:type="paragraph" w:customStyle="1" w:styleId="114">
    <w:name w:val="Plain Text"/>
    <w:autoRedefine/>
    <w:qFormat/>
    <w:uiPriority w:val="0"/>
    <w:rPr>
      <w:rFonts w:hint="eastAsia" w:ascii="宋体" w:hAnsi="Courier New" w:eastAsia="宋体" w:cs="Times New Roman"/>
      <w:kern w:val="2"/>
      <w:sz w:val="21"/>
      <w:lang w:val="en-US" w:eastAsia="zh-CN" w:bidi="ar-SA"/>
    </w:rPr>
  </w:style>
  <w:style w:type="paragraph" w:customStyle="1" w:styleId="115">
    <w:name w:val="Char Char Char"/>
    <w:basedOn w:val="1"/>
    <w:autoRedefine/>
    <w:qFormat/>
    <w:uiPriority w:val="0"/>
    <w:rPr>
      <w:rFonts w:ascii="Tahoma" w:hAnsi="Tahoma"/>
      <w:sz w:val="24"/>
      <w:szCs w:val="20"/>
    </w:rPr>
  </w:style>
  <w:style w:type="paragraph" w:customStyle="1" w:styleId="116">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7">
    <w:name w:val="我的正文"/>
    <w:autoRedefine/>
    <w:qFormat/>
    <w:uiPriority w:val="0"/>
    <w:pPr>
      <w:spacing w:line="360" w:lineRule="auto"/>
      <w:ind w:firstLine="200" w:firstLineChars="200"/>
      <w:jc w:val="both"/>
    </w:pPr>
    <w:rPr>
      <w:rFonts w:ascii="Calibri" w:hAnsi="Calibri" w:eastAsia="华文仿宋" w:cs="Times New Roman"/>
      <w:kern w:val="2"/>
      <w:sz w:val="28"/>
      <w:szCs w:val="28"/>
      <w:lang w:val="en-US" w:eastAsia="zh-CN" w:bidi="ar-SA"/>
    </w:rPr>
  </w:style>
  <w:style w:type="paragraph" w:customStyle="1" w:styleId="118">
    <w:name w:val="_Style 22"/>
    <w:basedOn w:val="1"/>
    <w:next w:val="93"/>
    <w:autoRedefine/>
    <w:qFormat/>
    <w:uiPriority w:val="34"/>
    <w:pPr>
      <w:spacing w:line="360" w:lineRule="auto"/>
      <w:ind w:firstLine="420" w:firstLineChars="200"/>
    </w:pPr>
    <w:rPr>
      <w:rFonts w:ascii="Calibri" w:hAnsi="Calibri"/>
    </w:rPr>
  </w:style>
  <w:style w:type="paragraph" w:customStyle="1" w:styleId="119">
    <w:name w:val="标准正文格式"/>
    <w:basedOn w:val="1"/>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20">
    <w:name w:val="BodyTextIndent"/>
    <w:basedOn w:val="1"/>
    <w:autoRedefine/>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121">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23">
    <w:name w:val="标题 61"/>
    <w:basedOn w:val="1"/>
    <w:autoRedefine/>
    <w:qFormat/>
    <w:uiPriority w:val="0"/>
    <w:pPr>
      <w:widowControl/>
      <w:jc w:val="left"/>
      <w:outlineLvl w:val="6"/>
    </w:pPr>
    <w:rPr>
      <w:rFonts w:ascii="宋体" w:hAnsi="宋体" w:cs="宋体"/>
      <w:color w:val="00569B"/>
      <w:kern w:val="0"/>
      <w:sz w:val="17"/>
      <w:szCs w:val="17"/>
    </w:rPr>
  </w:style>
  <w:style w:type="paragraph" w:customStyle="1" w:styleId="124">
    <w:name w:val="样式1"/>
    <w:basedOn w:val="7"/>
    <w:autoRedefine/>
    <w:qFormat/>
    <w:uiPriority w:val="0"/>
    <w:pPr>
      <w:spacing w:line="374" w:lineRule="auto"/>
    </w:pPr>
  </w:style>
  <w:style w:type="paragraph" w:customStyle="1" w:styleId="125">
    <w:name w:val="BodyText1I2"/>
    <w:basedOn w:val="120"/>
    <w:autoRedefine/>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126">
    <w:name w:val="正文 New New New New"/>
    <w:autoRedefine/>
    <w:qFormat/>
    <w:uiPriority w:val="0"/>
    <w:pPr>
      <w:widowControl w:val="0"/>
      <w:jc w:val="both"/>
    </w:pPr>
    <w:rPr>
      <w:rFonts w:ascii="Calibri" w:hAnsi="Calibri" w:eastAsia="Arial Unicode MS" w:cs="Arial Unicode MS"/>
      <w:color w:val="000000"/>
      <w:u w:val="none" w:color="000000"/>
      <w:lang w:val="en-US" w:eastAsia="zh-CN" w:bidi="ar-SA"/>
    </w:rPr>
  </w:style>
  <w:style w:type="paragraph" w:customStyle="1" w:styleId="127">
    <w:name w:val="p0"/>
    <w:basedOn w:val="1"/>
    <w:autoRedefine/>
    <w:qFormat/>
    <w:uiPriority w:val="0"/>
    <w:pPr>
      <w:widowControl/>
      <w:spacing w:line="360" w:lineRule="auto"/>
    </w:pPr>
    <w:rPr>
      <w:rFonts w:ascii="Calibri" w:hAnsi="Calibri"/>
      <w:kern w:val="0"/>
      <w:szCs w:val="21"/>
    </w:rPr>
  </w:style>
  <w:style w:type="paragraph" w:customStyle="1" w:styleId="128">
    <w:name w:val=" Char Char1"/>
    <w:basedOn w:val="1"/>
    <w:autoRedefine/>
    <w:qFormat/>
    <w:uiPriority w:val="0"/>
    <w:rPr>
      <w:rFonts w:ascii="Tahoma" w:hAnsi="Tahoma"/>
      <w:sz w:val="24"/>
      <w:szCs w:val="20"/>
    </w:rPr>
  </w:style>
  <w:style w:type="paragraph" w:customStyle="1" w:styleId="129">
    <w:name w:val="l正文"/>
    <w:basedOn w:val="1"/>
    <w:autoRedefine/>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30">
    <w:name w:val="样式 仿宋_GB2312 四号 居中"/>
    <w:basedOn w:val="1"/>
    <w:autoRedefine/>
    <w:qFormat/>
    <w:uiPriority w:val="0"/>
    <w:pPr>
      <w:jc w:val="center"/>
    </w:pPr>
    <w:rPr>
      <w:rFonts w:ascii="仿宋_GB2312" w:hAnsi="仿宋_GB2312" w:eastAsia="Times New Roman" w:cs="宋体"/>
      <w:sz w:val="24"/>
      <w:szCs w:val="20"/>
    </w:rPr>
  </w:style>
  <w:style w:type="paragraph" w:customStyle="1" w:styleId="131">
    <w:name w:val=" 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32">
    <w:name w:val="List Paragraph1"/>
    <w:basedOn w:val="1"/>
    <w:autoRedefine/>
    <w:qFormat/>
    <w:uiPriority w:val="99"/>
    <w:pPr>
      <w:ind w:firstLine="420" w:firstLineChars="200"/>
    </w:pPr>
    <w:rPr>
      <w:rFonts w:ascii="Calibri" w:hAnsi="Calibri" w:cs="黑体"/>
      <w:szCs w:val="22"/>
    </w:rPr>
  </w:style>
  <w:style w:type="paragraph" w:customStyle="1" w:styleId="133">
    <w:name w:val="ff1"/>
    <w:basedOn w:val="4"/>
    <w:autoRedefine/>
    <w:qFormat/>
    <w:uiPriority w:val="0"/>
    <w:pPr>
      <w:keepLines/>
      <w:tabs>
        <w:tab w:val="left" w:pos="425"/>
      </w:tabs>
      <w:spacing w:before="340" w:beforeLines="50" w:after="330" w:afterLines="50" w:line="500" w:lineRule="exact"/>
      <w:ind w:left="425" w:hanging="425"/>
      <w:jc w:val="both"/>
    </w:pPr>
    <w:rPr>
      <w:rFonts w:eastAsia="黑体"/>
      <w:b/>
      <w:bCs/>
      <w:kern w:val="44"/>
      <w:sz w:val="32"/>
      <w:szCs w:val="44"/>
    </w:rPr>
  </w:style>
  <w:style w:type="paragraph" w:customStyle="1" w:styleId="134">
    <w:name w:val="产品手册技术规格类别"/>
    <w:basedOn w:val="1"/>
    <w:autoRedefine/>
    <w:qFormat/>
    <w:uiPriority w:val="0"/>
    <w:pPr>
      <w:numPr>
        <w:ilvl w:val="0"/>
        <w:numId w:val="1"/>
      </w:numPr>
      <w:tabs>
        <w:tab w:val="left" w:pos="420"/>
        <w:tab w:val="clear" w:pos="432"/>
      </w:tabs>
      <w:spacing w:line="400" w:lineRule="exact"/>
    </w:pPr>
    <w:rPr>
      <w:rFonts w:ascii="Arial" w:hAnsi="Arial" w:eastAsia="黑体"/>
      <w:b/>
      <w:szCs w:val="21"/>
    </w:rPr>
  </w:style>
  <w:style w:type="paragraph" w:customStyle="1" w:styleId="135">
    <w:name w:val="*正文"/>
    <w:basedOn w:val="1"/>
    <w:autoRedefine/>
    <w:qFormat/>
    <w:uiPriority w:val="0"/>
    <w:pPr>
      <w:widowControl w:val="0"/>
      <w:spacing w:line="360" w:lineRule="auto"/>
      <w:ind w:firstLine="200" w:firstLineChars="200"/>
      <w:jc w:val="both"/>
    </w:pPr>
    <w:rPr>
      <w:rFonts w:cs="Times New Roman"/>
      <w:sz w:val="22"/>
    </w:rPr>
  </w:style>
  <w:style w:type="paragraph" w:customStyle="1" w:styleId="1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7">
    <w:name w:val="正文 New"/>
    <w:basedOn w:val="1"/>
    <w:autoRedefine/>
    <w:qFormat/>
    <w:uiPriority w:val="0"/>
    <w:rPr>
      <w:rFonts w:ascii="等线" w:hAnsi="等线" w:cs="宋体"/>
      <w:szCs w:val="21"/>
    </w:rPr>
  </w:style>
  <w:style w:type="paragraph" w:customStyle="1" w:styleId="138">
    <w:name w:val=" Char1 Char Char Char"/>
    <w:basedOn w:val="1"/>
    <w:autoRedefine/>
    <w:qFormat/>
    <w:uiPriority w:val="0"/>
    <w:rPr>
      <w:rFonts w:ascii="Tahoma" w:hAnsi="Tahoma"/>
      <w:sz w:val="24"/>
      <w:szCs w:val="20"/>
    </w:rPr>
  </w:style>
  <w:style w:type="paragraph" w:customStyle="1" w:styleId="139">
    <w:name w:val=" Char"/>
    <w:basedOn w:val="1"/>
    <w:autoRedefine/>
    <w:qFormat/>
    <w:uiPriority w:val="0"/>
    <w:rPr>
      <w:rFonts w:ascii="仿宋_GB2312" w:eastAsia="仿宋_GB2312"/>
      <w:b/>
      <w:sz w:val="32"/>
      <w:szCs w:val="32"/>
    </w:rPr>
  </w:style>
  <w:style w:type="paragraph" w:customStyle="1" w:styleId="140">
    <w:name w:val="正文段"/>
    <w:basedOn w:val="1"/>
    <w:autoRedefine/>
    <w:qFormat/>
    <w:uiPriority w:val="0"/>
    <w:pPr>
      <w:widowControl/>
      <w:snapToGrid w:val="0"/>
      <w:spacing w:after="50"/>
      <w:ind w:firstLine="200" w:firstLineChars="200"/>
    </w:pPr>
    <w:rPr>
      <w:kern w:val="0"/>
      <w:sz w:val="24"/>
      <w:szCs w:val="20"/>
    </w:rPr>
  </w:style>
  <w:style w:type="paragraph" w:customStyle="1" w:styleId="141">
    <w:name w:val="List Paragraph2"/>
    <w:basedOn w:val="1"/>
    <w:autoRedefine/>
    <w:qFormat/>
    <w:uiPriority w:val="34"/>
    <w:pPr>
      <w:widowControl/>
      <w:ind w:firstLine="420" w:firstLineChars="200"/>
      <w:jc w:val="left"/>
    </w:pPr>
    <w:rPr>
      <w:kern w:val="0"/>
      <w:sz w:val="24"/>
      <w:szCs w:val="20"/>
    </w:rPr>
  </w:style>
  <w:style w:type="paragraph" w:customStyle="1" w:styleId="142">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143">
    <w:name w:val="样式2"/>
    <w:basedOn w:val="7"/>
    <w:autoRedefine/>
    <w:qFormat/>
    <w:uiPriority w:val="0"/>
    <w:pPr>
      <w:keepLines w:val="0"/>
      <w:widowControl/>
      <w:numPr>
        <w:ilvl w:val="0"/>
        <w:numId w:val="2"/>
      </w:numPr>
      <w:spacing w:before="240" w:after="60" w:line="240" w:lineRule="auto"/>
      <w:jc w:val="left"/>
    </w:pPr>
    <w:rPr>
      <w:rFonts w:eastAsia="宋体"/>
      <w:bCs w:val="0"/>
      <w:kern w:val="0"/>
      <w:sz w:val="24"/>
      <w:szCs w:val="20"/>
      <w:lang w:eastAsia="en-US"/>
    </w:rPr>
  </w:style>
  <w:style w:type="paragraph" w:customStyle="1" w:styleId="144">
    <w:name w:val="小点说明"/>
    <w:basedOn w:val="1"/>
    <w:autoRedefine/>
    <w:qFormat/>
    <w:uiPriority w:val="0"/>
    <w:pPr>
      <w:adjustRightInd w:val="0"/>
      <w:snapToGrid w:val="0"/>
    </w:pPr>
    <w:rPr>
      <w:rFonts w:ascii="仿宋_GB2312" w:eastAsia="仿宋_GB2312"/>
      <w:color w:val="000000"/>
      <w:szCs w:val="18"/>
    </w:rPr>
  </w:style>
  <w:style w:type="paragraph" w:customStyle="1" w:styleId="145">
    <w:name w:val="正文－恩普"/>
    <w:basedOn w:val="11"/>
    <w:autoRedefine/>
    <w:qFormat/>
    <w:uiPriority w:val="0"/>
    <w:pPr>
      <w:framePr w:wrap="around" w:vAnchor="text" w:hAnchor="text" w:y="1"/>
      <w:spacing w:after="0" w:line="360" w:lineRule="auto"/>
    </w:pPr>
    <w:rPr>
      <w:szCs w:val="24"/>
    </w:rPr>
  </w:style>
  <w:style w:type="paragraph" w:customStyle="1" w:styleId="146">
    <w:name w:val="Char Char1 Char Char"/>
    <w:basedOn w:val="1"/>
    <w:autoRedefine/>
    <w:qFormat/>
    <w:uiPriority w:val="0"/>
    <w:pPr>
      <w:ind w:leftChars="100" w:rightChars="100"/>
      <w:jc w:val="left"/>
    </w:pPr>
    <w:rPr>
      <w:rFonts w:ascii="Tahoma" w:hAnsi="Tahoma"/>
      <w:sz w:val="24"/>
      <w:szCs w:val="20"/>
    </w:rPr>
  </w:style>
  <w:style w:type="paragraph" w:customStyle="1" w:styleId="14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8">
    <w:name w:val="Paragraph Style"/>
    <w:autoRedefin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49">
    <w:name w:val="Table Paragraph"/>
    <w:basedOn w:val="1"/>
    <w:autoRedefine/>
    <w:qFormat/>
    <w:uiPriority w:val="1"/>
    <w:pPr>
      <w:widowControl/>
      <w:jc w:val="left"/>
    </w:pPr>
    <w:rPr>
      <w:kern w:val="0"/>
      <w:szCs w:val="20"/>
    </w:rPr>
  </w:style>
  <w:style w:type="paragraph" w:customStyle="1" w:styleId="150">
    <w:name w:val="默认段落字体 Para Char Char Char Char"/>
    <w:basedOn w:val="1"/>
    <w:autoRedefine/>
    <w:qFormat/>
    <w:uiPriority w:val="0"/>
    <w:rPr>
      <w:szCs w:val="20"/>
    </w:rPr>
  </w:style>
  <w:style w:type="paragraph" w:customStyle="1" w:styleId="151">
    <w:name w:val="Char Char"/>
    <w:basedOn w:val="1"/>
    <w:autoRedefine/>
    <w:qFormat/>
    <w:uiPriority w:val="0"/>
    <w:rPr>
      <w:rFonts w:ascii="仿宋_GB2312" w:eastAsia="仿宋_GB2312"/>
      <w:b/>
      <w:sz w:val="32"/>
      <w:szCs w:val="32"/>
    </w:rPr>
  </w:style>
  <w:style w:type="paragraph" w:customStyle="1" w:styleId="152">
    <w:name w:val="模板正文缩进"/>
    <w:basedOn w:val="1"/>
    <w:autoRedefine/>
    <w:qFormat/>
    <w:uiPriority w:val="0"/>
    <w:pPr>
      <w:numPr>
        <w:ilvl w:val="0"/>
        <w:numId w:val="3"/>
      </w:numPr>
      <w:spacing w:before="156" w:beforeLines="50" w:after="156" w:afterLines="50" w:line="520" w:lineRule="exact"/>
    </w:pPr>
    <w:rPr>
      <w:rFonts w:ascii="宋体" w:hAnsi="宋体"/>
      <w:kern w:val="0"/>
      <w:sz w:val="24"/>
    </w:rPr>
  </w:style>
  <w:style w:type="paragraph" w:customStyle="1" w:styleId="153">
    <w:name w:val="Char"/>
    <w:basedOn w:val="1"/>
    <w:autoRedefine/>
    <w:qFormat/>
    <w:uiPriority w:val="0"/>
    <w:rPr>
      <w:rFonts w:ascii="仿宋_GB2312" w:eastAsia="仿宋_GB2312"/>
      <w:b/>
      <w:sz w:val="32"/>
      <w:szCs w:val="32"/>
    </w:rPr>
  </w:style>
  <w:style w:type="paragraph" w:customStyle="1" w:styleId="154">
    <w:name w:val="正文文字表格居中"/>
    <w:basedOn w:val="1"/>
    <w:next w:val="33"/>
    <w:autoRedefine/>
    <w:qFormat/>
    <w:uiPriority w:val="0"/>
    <w:pPr>
      <w:spacing w:line="400" w:lineRule="exact"/>
      <w:jc w:val="center"/>
    </w:pPr>
    <w:rPr>
      <w:b/>
      <w:bCs/>
      <w:sz w:val="24"/>
    </w:rPr>
  </w:style>
  <w:style w:type="paragraph" w:customStyle="1" w:styleId="155">
    <w:name w:val="Default"/>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56">
    <w:name w:val="_Style 16"/>
    <w:basedOn w:val="1"/>
    <w:autoRedefine/>
    <w:qFormat/>
    <w:uiPriority w:val="0"/>
    <w:pPr>
      <w:widowControl/>
      <w:spacing w:after="160" w:line="240" w:lineRule="exact"/>
      <w:jc w:val="left"/>
    </w:pPr>
    <w:rPr>
      <w:rFonts w:ascii="Calibri" w:hAnsi="Calibri"/>
    </w:rPr>
  </w:style>
  <w:style w:type="paragraph" w:customStyle="1" w:styleId="157">
    <w:name w:val="p29"/>
    <w:basedOn w:val="1"/>
    <w:autoRedefine/>
    <w:qFormat/>
    <w:uiPriority w:val="0"/>
    <w:pPr>
      <w:widowControl/>
      <w:spacing w:before="100" w:beforeAutospacing="1" w:after="100" w:afterAutospacing="1" w:line="315" w:lineRule="atLeast"/>
      <w:ind w:firstLine="420"/>
      <w:jc w:val="left"/>
    </w:pPr>
    <w:rPr>
      <w:rFonts w:ascii="宋体" w:hAnsi="宋体" w:cs="宋体"/>
      <w:color w:val="000000"/>
      <w:kern w:val="0"/>
      <w:sz w:val="24"/>
    </w:rPr>
  </w:style>
  <w:style w:type="paragraph" w:customStyle="1" w:styleId="158">
    <w:name w:val=" Char Char Char Char Char Char Char Char Char Char"/>
    <w:basedOn w:val="15"/>
    <w:autoRedefine/>
    <w:qFormat/>
    <w:uiPriority w:val="0"/>
  </w:style>
  <w:style w:type="paragraph" w:customStyle="1" w:styleId="159">
    <w:name w:val="zoey楷体正文"/>
    <w:basedOn w:val="4"/>
    <w:autoRedefine/>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60">
    <w:name w:val="列出段落1"/>
    <w:basedOn w:val="1"/>
    <w:autoRedefine/>
    <w:qFormat/>
    <w:uiPriority w:val="0"/>
    <w:pPr>
      <w:ind w:firstLine="420" w:firstLineChars="200"/>
    </w:pPr>
  </w:style>
  <w:style w:type="paragraph" w:customStyle="1" w:styleId="161">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62">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3">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164">
    <w:name w:val=" Char Char"/>
    <w:basedOn w:val="1"/>
    <w:autoRedefine/>
    <w:qFormat/>
    <w:uiPriority w:val="0"/>
    <w:rPr>
      <w:rFonts w:ascii="Tahoma" w:hAnsi="Tahoma"/>
      <w:sz w:val="24"/>
      <w:szCs w:val="20"/>
    </w:rPr>
  </w:style>
  <w:style w:type="paragraph" w:customStyle="1" w:styleId="165">
    <w:name w:val=" Char1"/>
    <w:basedOn w:val="1"/>
    <w:autoRedefine/>
    <w:qFormat/>
    <w:uiPriority w:val="0"/>
    <w:rPr>
      <w:rFonts w:ascii="Tahoma" w:hAnsi="Tahoma"/>
      <w:sz w:val="24"/>
      <w:szCs w:val="20"/>
    </w:rPr>
  </w:style>
  <w:style w:type="paragraph" w:customStyle="1" w:styleId="166">
    <w:name w:val="_Style 2"/>
    <w:basedOn w:val="1"/>
    <w:autoRedefine/>
    <w:qFormat/>
    <w:uiPriority w:val="0"/>
    <w:pPr>
      <w:ind w:firstLine="420" w:firstLineChars="200"/>
    </w:pPr>
    <w:rPr>
      <w:rFonts w:ascii="Calibri" w:hAnsi="Calibri"/>
    </w:rPr>
  </w:style>
  <w:style w:type="paragraph" w:customStyle="1" w:styleId="167">
    <w:name w:val="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8">
    <w:name w:val="1.1.1B"/>
    <w:basedOn w:val="6"/>
    <w:autoRedefine/>
    <w:qFormat/>
    <w:uiPriority w:val="0"/>
    <w:pPr>
      <w:tabs>
        <w:tab w:val="left" w:pos="567"/>
      </w:tabs>
      <w:spacing w:before="240" w:after="240" w:line="240" w:lineRule="auto"/>
      <w:ind w:left="567" w:hanging="567"/>
    </w:pPr>
    <w:rPr>
      <w:sz w:val="24"/>
    </w:rPr>
  </w:style>
  <w:style w:type="paragraph" w:customStyle="1" w:styleId="169">
    <w:name w:val="表内文字"/>
    <w:basedOn w:val="1"/>
    <w:autoRedefine/>
    <w:qFormat/>
    <w:uiPriority w:val="0"/>
    <w:pPr>
      <w:jc w:val="center"/>
    </w:pPr>
    <w:rPr>
      <w:rFonts w:ascii="仿宋_GB2312" w:eastAsia="仿宋_GB2312"/>
      <w:sz w:val="24"/>
    </w:rPr>
  </w:style>
  <w:style w:type="paragraph" w:customStyle="1" w:styleId="170">
    <w:name w:val="Char1"/>
    <w:basedOn w:val="1"/>
    <w:autoRedefine/>
    <w:qFormat/>
    <w:uiPriority w:val="0"/>
    <w:rPr>
      <w:rFonts w:ascii="仿宋_GB2312" w:eastAsia="仿宋_GB2312"/>
      <w:b/>
      <w:sz w:val="32"/>
      <w:szCs w:val="32"/>
    </w:rPr>
  </w:style>
  <w:style w:type="paragraph" w:customStyle="1" w:styleId="171">
    <w:name w:val=" Char Char9"/>
    <w:basedOn w:val="1"/>
    <w:autoRedefine/>
    <w:qFormat/>
    <w:uiPriority w:val="0"/>
    <w:rPr>
      <w:rFonts w:ascii="宋体" w:hAnsi="宋体" w:cs="宋体"/>
      <w:b/>
      <w:bCs/>
      <w:color w:val="000000"/>
      <w:sz w:val="22"/>
      <w:szCs w:val="22"/>
    </w:rPr>
  </w:style>
  <w:style w:type="paragraph" w:customStyle="1" w:styleId="172">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73">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4">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75">
    <w:name w:val="标题 1 + 仿宋_GB2312"/>
    <w:basedOn w:val="4"/>
    <w:autoRedefine/>
    <w:qFormat/>
    <w:uiPriority w:val="0"/>
    <w:pPr>
      <w:keepLines/>
      <w:spacing w:before="340" w:after="330" w:line="578" w:lineRule="auto"/>
      <w:jc w:val="both"/>
    </w:pPr>
    <w:rPr>
      <w:rFonts w:ascii="仿宋_GB2312" w:eastAsia="仿宋_GB2312"/>
      <w:b/>
      <w:bCs/>
      <w:kern w:val="44"/>
      <w:sz w:val="32"/>
      <w:szCs w:val="32"/>
    </w:rPr>
  </w:style>
  <w:style w:type="paragraph" w:customStyle="1" w:styleId="176">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78">
    <w:name w:val="正文2"/>
    <w:basedOn w:val="1"/>
    <w:autoRedefine/>
    <w:qFormat/>
    <w:uiPriority w:val="0"/>
    <w:pPr>
      <w:spacing w:before="156" w:line="360" w:lineRule="auto"/>
      <w:ind w:firstLine="510" w:firstLineChars="200"/>
    </w:pPr>
    <w:rPr>
      <w:sz w:val="24"/>
      <w:szCs w:val="20"/>
    </w:rPr>
  </w:style>
  <w:style w:type="paragraph" w:customStyle="1" w:styleId="179">
    <w:name w:val="Figure Desription Char"/>
    <w:basedOn w:val="1"/>
    <w:autoRedefine/>
    <w:qFormat/>
    <w:uiPriority w:val="0"/>
  </w:style>
  <w:style w:type="character" w:customStyle="1" w:styleId="180">
    <w:name w:val="font21"/>
    <w:basedOn w:val="41"/>
    <w:autoRedefine/>
    <w:qFormat/>
    <w:uiPriority w:val="0"/>
    <w:rPr>
      <w:rFonts w:hint="eastAsia" w:ascii="宋体" w:hAnsi="宋体" w:eastAsia="宋体" w:cs="宋体"/>
      <w:color w:val="000000"/>
      <w:sz w:val="24"/>
      <w:szCs w:val="24"/>
      <w:u w:val="none"/>
    </w:rPr>
  </w:style>
  <w:style w:type="character" w:customStyle="1" w:styleId="181">
    <w:name w:val="font31"/>
    <w:basedOn w:val="41"/>
    <w:autoRedefine/>
    <w:qFormat/>
    <w:uiPriority w:val="0"/>
    <w:rPr>
      <w:rFonts w:hint="default" w:ascii="Calibri" w:hAnsi="Calibri" w:cs="Calibri"/>
      <w:color w:val="000000"/>
      <w:sz w:val="24"/>
      <w:szCs w:val="24"/>
      <w:u w:val="none"/>
    </w:rPr>
  </w:style>
  <w:style w:type="paragraph" w:customStyle="1" w:styleId="182">
    <w:name w:val="[Normal]"/>
    <w:autoRedefine/>
    <w:qFormat/>
    <w:uiPriority w:val="0"/>
    <w:rPr>
      <w:rFonts w:ascii="宋体" w:hAnsi="宋体" w:eastAsia="宋体" w:cs="Times New Roman"/>
      <w:sz w:val="24"/>
      <w:szCs w:val="22"/>
      <w:lang w:val="zh-CN" w:eastAsia="zh-CN" w:bidi="ar-SA"/>
    </w:rPr>
  </w:style>
  <w:style w:type="paragraph" w:customStyle="1" w:styleId="183">
    <w:name w:val="附表正文"/>
    <w:basedOn w:val="1"/>
    <w:autoRedefine/>
    <w:qFormat/>
    <w:uiPriority w:val="0"/>
    <w:pPr>
      <w:widowControl w:val="0"/>
      <w:snapToGrid w:val="0"/>
      <w:jc w:val="both"/>
    </w:pPr>
    <w:rPr>
      <w:rFonts w:ascii="宋体"/>
      <w:kern w:val="2"/>
    </w:rPr>
  </w:style>
  <w:style w:type="paragraph" w:customStyle="1" w:styleId="184">
    <w:name w:val="规划正文"/>
    <w:basedOn w:val="1"/>
    <w:autoRedefine/>
    <w:qFormat/>
    <w:uiPriority w:val="0"/>
    <w:pPr>
      <w:autoSpaceDE w:val="0"/>
      <w:autoSpaceDN w:val="0"/>
      <w:adjustRightInd w:val="0"/>
      <w:spacing w:beforeLines="20" w:afterLines="20" w:line="600" w:lineRule="exact"/>
      <w:ind w:firstLine="200" w:firstLineChars="200"/>
    </w:pPr>
    <w:rPr>
      <w:rFonts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44335</Words>
  <Characters>48093</Characters>
  <Lines>266</Lines>
  <Paragraphs>74</Paragraphs>
  <TotalTime>1</TotalTime>
  <ScaleCrop>false</ScaleCrop>
  <LinksUpToDate>false</LinksUpToDate>
  <CharactersWithSpaces>52939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2017-10-09T02:51:00Z</dcterms:created>
  <dc:creator>微软用户</dc:creator>
  <cp:lastModifiedBy>微软用户</cp:lastModifiedBy>
  <cp:lastPrinted>2024-03-25T06:15:00Z</cp:lastPrinted>
  <dcterms:modified xsi:type="dcterms:W3CDTF">2024-06-14T12:02:02Z</dcterms:modified>
  <dc:title>平阳县政府采购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18C21BEF6E8B4D4981879C8ACC0B3B52_13</vt:lpwstr>
  </property>
</Properties>
</file>