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E142B">
      <w:pPr>
        <w:autoSpaceDE w:val="0"/>
        <w:autoSpaceDN w:val="0"/>
        <w:spacing w:line="500" w:lineRule="atLeast"/>
        <w:jc w:val="distribute"/>
        <w:textAlignment w:val="bottom"/>
        <w:rPr>
          <w:rFonts w:hint="eastAsia" w:ascii="宋体" w:hAnsi="宋体" w:cs="宋体"/>
          <w:b/>
          <w:bCs/>
          <w:color w:val="auto"/>
          <w:sz w:val="36"/>
          <w:szCs w:val="36"/>
          <w:highlight w:val="none"/>
        </w:rPr>
      </w:pPr>
    </w:p>
    <w:p w14:paraId="2CA199CB">
      <w:pPr>
        <w:autoSpaceDE w:val="0"/>
        <w:autoSpaceDN w:val="0"/>
        <w:spacing w:line="500" w:lineRule="atLeast"/>
        <w:jc w:val="distribute"/>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温州市</w:t>
      </w:r>
      <w:r>
        <w:rPr>
          <w:rFonts w:hint="eastAsia" w:ascii="宋体" w:hAnsi="宋体" w:cs="宋体"/>
          <w:b/>
          <w:bCs/>
          <w:color w:val="auto"/>
          <w:sz w:val="72"/>
          <w:szCs w:val="72"/>
          <w:highlight w:val="none"/>
          <w:lang w:val="en-US" w:eastAsia="zh-CN"/>
        </w:rPr>
        <w:t>瓯海区</w:t>
      </w:r>
      <w:r>
        <w:rPr>
          <w:rFonts w:hint="eastAsia" w:ascii="宋体" w:hAnsi="宋体" w:cs="宋体"/>
          <w:b/>
          <w:bCs/>
          <w:color w:val="auto"/>
          <w:sz w:val="72"/>
          <w:szCs w:val="72"/>
          <w:highlight w:val="none"/>
        </w:rPr>
        <w:t>政府采购</w:t>
      </w:r>
    </w:p>
    <w:p w14:paraId="33BC84E9">
      <w:pPr>
        <w:autoSpaceDE w:val="0"/>
        <w:autoSpaceDN w:val="0"/>
        <w:spacing w:line="500" w:lineRule="atLeast"/>
        <w:jc w:val="distribute"/>
        <w:textAlignment w:val="bottom"/>
        <w:rPr>
          <w:rFonts w:hint="eastAsia" w:ascii="宋体" w:hAnsi="宋体" w:eastAsia="宋体" w:cs="宋体"/>
          <w:bCs/>
          <w:color w:val="auto"/>
          <w:sz w:val="72"/>
          <w:szCs w:val="72"/>
          <w:highlight w:val="none"/>
        </w:rPr>
      </w:pPr>
    </w:p>
    <w:p w14:paraId="7C2322AB">
      <w:pPr>
        <w:spacing w:line="400" w:lineRule="atLeast"/>
        <w:jc w:val="center"/>
        <w:rPr>
          <w:rFonts w:hint="eastAsia" w:ascii="宋体" w:hAnsi="宋体" w:eastAsia="宋体" w:cs="宋体"/>
          <w:b/>
          <w:color w:val="auto"/>
          <w:sz w:val="52"/>
          <w:highlight w:val="none"/>
        </w:rPr>
      </w:pPr>
    </w:p>
    <w:p w14:paraId="06A99B2A">
      <w:pPr>
        <w:spacing w:line="400" w:lineRule="atLeast"/>
        <w:jc w:val="center"/>
        <w:rPr>
          <w:rFonts w:hint="eastAsia" w:ascii="宋体" w:hAnsi="宋体" w:eastAsia="宋体" w:cs="宋体"/>
          <w:b/>
          <w:color w:val="auto"/>
          <w:sz w:val="52"/>
          <w:highlight w:val="none"/>
        </w:rPr>
      </w:pPr>
    </w:p>
    <w:p w14:paraId="28CCA8D5">
      <w:pPr>
        <w:spacing w:line="400" w:lineRule="atLeast"/>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19CC27BA">
      <w:pPr>
        <w:spacing w:line="400" w:lineRule="atLeast"/>
        <w:jc w:val="center"/>
        <w:rPr>
          <w:rFonts w:hint="eastAsia" w:ascii="宋体" w:hAnsi="宋体" w:eastAsia="宋体" w:cs="宋体"/>
          <w:b/>
          <w:color w:val="auto"/>
          <w:sz w:val="32"/>
          <w:highlight w:val="none"/>
        </w:rPr>
      </w:pPr>
    </w:p>
    <w:p w14:paraId="73717675">
      <w:pPr>
        <w:spacing w:line="400" w:lineRule="exact"/>
        <w:jc w:val="center"/>
        <w:rPr>
          <w:rFonts w:hint="eastAsia" w:ascii="宋体" w:hAnsi="宋体" w:eastAsia="宋体" w:cs="宋体"/>
          <w:b/>
          <w:bCs/>
          <w:color w:val="auto"/>
          <w:sz w:val="32"/>
          <w:szCs w:val="32"/>
          <w:highlight w:val="none"/>
        </w:rPr>
      </w:pPr>
    </w:p>
    <w:p w14:paraId="38065105">
      <w:pPr>
        <w:tabs>
          <w:tab w:val="left" w:pos="2850"/>
        </w:tabs>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b/>
      </w:r>
    </w:p>
    <w:p w14:paraId="2A0189D9">
      <w:pPr>
        <w:jc w:val="center"/>
        <w:rPr>
          <w:rFonts w:hint="eastAsia" w:ascii="宋体" w:hAnsi="宋体" w:eastAsia="宋体" w:cs="宋体"/>
          <w:b/>
          <w:bCs/>
          <w:color w:val="auto"/>
          <w:sz w:val="24"/>
          <w:highlight w:val="none"/>
        </w:rPr>
      </w:pPr>
    </w:p>
    <w:p w14:paraId="57A0179F">
      <w:pPr>
        <w:jc w:val="center"/>
        <w:rPr>
          <w:rFonts w:hint="eastAsia" w:ascii="宋体" w:hAnsi="宋体" w:eastAsia="宋体" w:cs="宋体"/>
          <w:b/>
          <w:bCs/>
          <w:color w:val="auto"/>
          <w:sz w:val="24"/>
          <w:highlight w:val="none"/>
        </w:rPr>
      </w:pPr>
    </w:p>
    <w:p w14:paraId="10EF5874">
      <w:pPr>
        <w:pStyle w:val="16"/>
        <w:rPr>
          <w:rFonts w:hint="eastAsia"/>
          <w:color w:val="auto"/>
          <w:highlight w:val="none"/>
        </w:rPr>
      </w:pPr>
    </w:p>
    <w:p w14:paraId="2DCAEAC3">
      <w:pPr>
        <w:jc w:val="center"/>
        <w:rPr>
          <w:rFonts w:hint="eastAsia" w:ascii="宋体" w:hAnsi="宋体" w:eastAsia="宋体" w:cs="宋体"/>
          <w:b/>
          <w:bCs/>
          <w:color w:val="auto"/>
          <w:sz w:val="24"/>
          <w:highlight w:val="none"/>
        </w:rPr>
      </w:pPr>
    </w:p>
    <w:p w14:paraId="51503451">
      <w:pPr>
        <w:tabs>
          <w:tab w:val="left" w:pos="4860"/>
        </w:tabs>
        <w:spacing w:line="600" w:lineRule="exact"/>
        <w:ind w:right="1143" w:firstLine="1841" w:firstLineChars="483"/>
        <w:jc w:val="left"/>
        <w:rPr>
          <w:rFonts w:hint="default"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采购编号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ZXZC20241206</w:t>
      </w:r>
    </w:p>
    <w:p w14:paraId="5C213DC4">
      <w:pPr>
        <w:tabs>
          <w:tab w:val="left" w:pos="4253"/>
        </w:tabs>
        <w:spacing w:line="600" w:lineRule="exact"/>
        <w:ind w:left="3683" w:leftChars="868" w:right="-1" w:hanging="1860" w:hangingChars="488"/>
        <w:jc w:val="left"/>
        <w:rPr>
          <w:rFonts w:hint="default"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项目名称</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2025年瓯海区刑事涉案财物管理服务</w:t>
      </w:r>
    </w:p>
    <w:p w14:paraId="7EFC40B4">
      <w:pPr>
        <w:tabs>
          <w:tab w:val="left" w:pos="4253"/>
        </w:tabs>
        <w:spacing w:line="600" w:lineRule="exact"/>
        <w:ind w:left="1823" w:leftChars="868" w:right="1143"/>
        <w:jc w:val="lef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采购方式</w:t>
      </w:r>
      <w:r>
        <w:rPr>
          <w:rFonts w:hint="eastAsia" w:ascii="宋体" w:hAnsi="宋体" w:eastAsia="宋体" w:cs="宋体"/>
          <w:b/>
          <w:color w:val="auto"/>
          <w:sz w:val="30"/>
          <w:szCs w:val="30"/>
          <w:highlight w:val="none"/>
        </w:rPr>
        <w:t>：竞 争 性 磋 商</w:t>
      </w:r>
    </w:p>
    <w:p w14:paraId="6BD3CBF8">
      <w:pPr>
        <w:jc w:val="center"/>
        <w:rPr>
          <w:rFonts w:hint="eastAsia" w:ascii="宋体" w:hAnsi="宋体" w:eastAsia="宋体" w:cs="宋体"/>
          <w:b/>
          <w:bCs/>
          <w:color w:val="auto"/>
          <w:sz w:val="24"/>
          <w:highlight w:val="none"/>
        </w:rPr>
      </w:pPr>
    </w:p>
    <w:p w14:paraId="5ED20B9D">
      <w:pPr>
        <w:jc w:val="center"/>
        <w:rPr>
          <w:rFonts w:hint="eastAsia" w:ascii="宋体" w:hAnsi="宋体" w:eastAsia="宋体" w:cs="宋体"/>
          <w:b/>
          <w:bCs/>
          <w:color w:val="auto"/>
          <w:sz w:val="24"/>
          <w:highlight w:val="none"/>
        </w:rPr>
      </w:pPr>
    </w:p>
    <w:p w14:paraId="405658AC">
      <w:pPr>
        <w:widowControl/>
        <w:spacing w:before="60" w:after="60" w:line="360" w:lineRule="exact"/>
        <w:ind w:right="60"/>
        <w:jc w:val="left"/>
        <w:rPr>
          <w:rFonts w:hint="eastAsia" w:ascii="宋体" w:hAnsi="宋体" w:eastAsia="宋体" w:cs="宋体"/>
          <w:b/>
          <w:bCs/>
          <w:color w:val="auto"/>
          <w:sz w:val="24"/>
          <w:highlight w:val="none"/>
        </w:rPr>
      </w:pPr>
    </w:p>
    <w:p w14:paraId="51237DCB">
      <w:pPr>
        <w:jc w:val="center"/>
        <w:rPr>
          <w:rFonts w:hint="eastAsia" w:ascii="宋体" w:hAnsi="宋体" w:eastAsia="宋体" w:cs="宋体"/>
          <w:b/>
          <w:bCs/>
          <w:color w:val="auto"/>
          <w:sz w:val="24"/>
          <w:highlight w:val="none"/>
        </w:rPr>
      </w:pPr>
    </w:p>
    <w:p w14:paraId="2473F9D0">
      <w:pPr>
        <w:tabs>
          <w:tab w:val="left" w:pos="5640"/>
        </w:tabs>
        <w:jc w:val="center"/>
        <w:rPr>
          <w:rFonts w:hint="eastAsia" w:ascii="宋体" w:hAnsi="宋体" w:eastAsia="宋体" w:cs="宋体"/>
          <w:b/>
          <w:bCs/>
          <w:color w:val="auto"/>
          <w:sz w:val="24"/>
          <w:highlight w:val="none"/>
        </w:rPr>
      </w:pPr>
    </w:p>
    <w:p w14:paraId="4718E8C1">
      <w:pPr>
        <w:tabs>
          <w:tab w:val="left" w:pos="5640"/>
        </w:tabs>
        <w:jc w:val="center"/>
        <w:rPr>
          <w:rFonts w:hint="eastAsia" w:ascii="宋体" w:hAnsi="宋体" w:eastAsia="宋体" w:cs="宋体"/>
          <w:b/>
          <w:bCs/>
          <w:color w:val="auto"/>
          <w:sz w:val="24"/>
          <w:highlight w:val="none"/>
        </w:rPr>
      </w:pPr>
    </w:p>
    <w:p w14:paraId="4AA55406">
      <w:pPr>
        <w:pStyle w:val="16"/>
        <w:rPr>
          <w:rFonts w:hint="eastAsia"/>
          <w:color w:val="auto"/>
          <w:highlight w:val="none"/>
        </w:rPr>
      </w:pPr>
    </w:p>
    <w:p w14:paraId="3C90113C">
      <w:pPr>
        <w:spacing w:line="600" w:lineRule="exact"/>
        <w:ind w:firstLine="1440" w:firstLineChars="478"/>
        <w:rPr>
          <w:rFonts w:hint="default" w:ascii="宋体" w:hAnsi="宋体" w:eastAsia="宋体" w:cs="宋体"/>
          <w:b/>
          <w:color w:val="auto"/>
          <w:spacing w:val="40"/>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cs="宋体"/>
          <w:b/>
          <w:color w:val="auto"/>
          <w:spacing w:val="12"/>
          <w:sz w:val="30"/>
          <w:szCs w:val="30"/>
          <w:highlight w:val="none"/>
          <w:lang w:eastAsia="zh-CN"/>
        </w:rPr>
        <w:t>温州市公安局瓯海区分局</w:t>
      </w:r>
    </w:p>
    <w:p w14:paraId="3D4C0038">
      <w:pPr>
        <w:spacing w:line="600" w:lineRule="exact"/>
        <w:ind w:firstLine="1437" w:firstLineChars="377"/>
        <w:rPr>
          <w:rFonts w:hint="eastAsia" w:ascii="宋体" w:hAnsi="宋体" w:eastAsia="宋体" w:cs="宋体"/>
          <w:b/>
          <w:color w:val="auto"/>
          <w:spacing w:val="12"/>
          <w:sz w:val="30"/>
          <w:szCs w:val="30"/>
          <w:highlight w:val="none"/>
          <w:lang w:eastAsia="zh-CN"/>
        </w:rPr>
      </w:pPr>
      <w:r>
        <w:rPr>
          <w:rFonts w:hint="eastAsia" w:ascii="宋体" w:hAnsi="宋体" w:eastAsia="宋体" w:cs="宋体"/>
          <w:b/>
          <w:color w:val="auto"/>
          <w:spacing w:val="40"/>
          <w:sz w:val="30"/>
          <w:szCs w:val="30"/>
          <w:highlight w:val="none"/>
        </w:rPr>
        <w:t>采购代理</w:t>
      </w:r>
      <w:r>
        <w:rPr>
          <w:rFonts w:hint="eastAsia" w:ascii="宋体" w:hAnsi="宋体" w:eastAsia="宋体" w:cs="宋体"/>
          <w:b/>
          <w:color w:val="auto"/>
          <w:sz w:val="30"/>
          <w:szCs w:val="30"/>
          <w:highlight w:val="none"/>
        </w:rPr>
        <w:t>：</w:t>
      </w:r>
      <w:r>
        <w:rPr>
          <w:rFonts w:hint="eastAsia" w:ascii="宋体" w:hAnsi="宋体" w:cs="宋体"/>
          <w:b/>
          <w:color w:val="auto"/>
          <w:spacing w:val="12"/>
          <w:sz w:val="30"/>
          <w:szCs w:val="30"/>
          <w:highlight w:val="none"/>
          <w:lang w:eastAsia="zh-CN"/>
        </w:rPr>
        <w:t>温州众鑫招标代理有限公司</w:t>
      </w:r>
    </w:p>
    <w:p w14:paraId="08B6DC58">
      <w:pPr>
        <w:spacing w:line="600" w:lineRule="exact"/>
        <w:jc w:val="center"/>
        <w:rPr>
          <w:rFonts w:hint="eastAsia" w:ascii="宋体" w:hAnsi="宋体" w:eastAsia="宋体" w:cs="宋体"/>
          <w:b/>
          <w:color w:val="auto"/>
          <w:spacing w:val="40"/>
          <w:sz w:val="30"/>
          <w:szCs w:val="30"/>
          <w:highlight w:val="none"/>
        </w:rPr>
      </w:pPr>
    </w:p>
    <w:p w14:paraId="3B366BDF">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五</w:t>
      </w:r>
      <w:r>
        <w:rPr>
          <w:rFonts w:hint="eastAsia" w:ascii="宋体" w:hAnsi="宋体" w:eastAsia="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一</w:t>
      </w:r>
      <w:r>
        <w:rPr>
          <w:rFonts w:hint="eastAsia" w:ascii="宋体" w:hAnsi="宋体" w:eastAsia="宋体" w:cs="宋体"/>
          <w:b/>
          <w:color w:val="auto"/>
          <w:spacing w:val="40"/>
          <w:sz w:val="30"/>
          <w:szCs w:val="30"/>
          <w:highlight w:val="none"/>
        </w:rPr>
        <w:t>月</w:t>
      </w:r>
    </w:p>
    <w:p w14:paraId="3A60A2DE">
      <w:pPr>
        <w:spacing w:line="600" w:lineRule="exact"/>
        <w:jc w:val="center"/>
        <w:rPr>
          <w:rFonts w:hint="eastAsia" w:ascii="宋体" w:hAnsi="宋体" w:eastAsia="宋体" w:cs="宋体"/>
          <w:b/>
          <w:bCs/>
          <w:color w:val="auto"/>
          <w:sz w:val="36"/>
          <w:szCs w:val="36"/>
          <w:highlight w:val="none"/>
        </w:rPr>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5CC9E7FF">
      <w:pPr>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60A1326">
      <w:pPr>
        <w:spacing w:line="600" w:lineRule="exact"/>
        <w:jc w:val="center"/>
        <w:rPr>
          <w:rFonts w:hint="eastAsia" w:ascii="宋体" w:hAnsi="宋体" w:eastAsia="宋体" w:cs="宋体"/>
          <w:b/>
          <w:bCs/>
          <w:color w:val="auto"/>
          <w:sz w:val="32"/>
          <w:szCs w:val="32"/>
          <w:highlight w:val="none"/>
        </w:rPr>
      </w:pPr>
    </w:p>
    <w:p w14:paraId="230721A3">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lang w:eastAsia="zh-CN"/>
        </w:rPr>
        <w:t>温州众鑫招标代理有限公司</w:t>
      </w:r>
      <w:r>
        <w:rPr>
          <w:rFonts w:hint="eastAsia" w:ascii="宋体" w:hAnsi="宋体" w:eastAsia="宋体" w:cs="宋体"/>
          <w:color w:val="auto"/>
          <w:sz w:val="22"/>
          <w:szCs w:val="22"/>
          <w:highlight w:val="none"/>
        </w:rPr>
        <w:t>关于</w:t>
      </w:r>
      <w:r>
        <w:rPr>
          <w:rFonts w:hint="eastAsia" w:ascii="宋体" w:hAnsi="宋体" w:eastAsia="宋体" w:cs="宋体"/>
          <w:color w:val="auto"/>
          <w:sz w:val="22"/>
          <w:szCs w:val="22"/>
          <w:highlight w:val="none"/>
          <w:lang w:eastAsia="zh-CN"/>
        </w:rPr>
        <w:t>2025年瓯海区刑事涉案财物管理服务</w:t>
      </w:r>
      <w:r>
        <w:rPr>
          <w:rFonts w:hint="eastAsia" w:ascii="宋体" w:hAnsi="宋体" w:eastAsia="宋体" w:cs="宋体"/>
          <w:color w:val="auto"/>
          <w:sz w:val="22"/>
          <w:szCs w:val="22"/>
          <w:highlight w:val="none"/>
        </w:rPr>
        <w:t>的竞争性磋商公告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_Toc17034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2ED1DBF">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_Toc26377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731B2FD">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  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_Toc18758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D764715">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"_Toc12369"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_Toc12369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E9CE109">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 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_Toc6942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A51EEFE">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 磋商响应文件的编制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A9EAD36">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"_Toc5988"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 磋商响应文件的递交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_Toc5988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04518E6">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 磋商和评审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267A87C">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"_Toc12141"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七、定标及授予合同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_Toc12141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B1C3DF5">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_Toc29173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341EB57">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磋商原则及方法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_Toc21056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77BC57E">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合同格式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_Toc4830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5F00718">
      <w:pPr>
        <w:pStyle w:val="28"/>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389FE81">
      <w:pPr>
        <w:tabs>
          <w:tab w:val="left" w:pos="7110"/>
        </w:tabs>
        <w:spacing w:line="480" w:lineRule="auto"/>
        <w:rPr>
          <w:rFonts w:hint="eastAsia" w:ascii="宋体" w:hAnsi="宋体" w:eastAsia="宋体" w:cs="宋体"/>
          <w:b/>
          <w:bCs/>
          <w:color w:val="auto"/>
          <w:sz w:val="13"/>
          <w:szCs w:val="13"/>
          <w:highlight w:val="none"/>
        </w:rPr>
      </w:pPr>
      <w:r>
        <w:rPr>
          <w:rFonts w:hint="eastAsia" w:ascii="宋体" w:hAnsi="宋体" w:eastAsia="宋体" w:cs="宋体"/>
          <w:bCs/>
          <w:color w:val="auto"/>
          <w:sz w:val="22"/>
          <w:szCs w:val="22"/>
          <w:highlight w:val="none"/>
        </w:rPr>
        <w:fldChar w:fldCharType="end"/>
      </w:r>
      <w:r>
        <w:rPr>
          <w:rFonts w:hint="eastAsia" w:ascii="宋体" w:hAnsi="宋体" w:eastAsia="宋体" w:cs="宋体"/>
          <w:b/>
          <w:bCs/>
          <w:color w:val="auto"/>
          <w:sz w:val="13"/>
          <w:szCs w:val="13"/>
          <w:highlight w:val="none"/>
        </w:rPr>
        <w:tab/>
      </w:r>
    </w:p>
    <w:p w14:paraId="34DFC5BE">
      <w:pPr>
        <w:tabs>
          <w:tab w:val="left" w:pos="7110"/>
        </w:tabs>
        <w:spacing w:line="48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注：磋商文件中部分</w:t>
      </w:r>
      <w:r>
        <w:rPr>
          <w:rFonts w:hint="eastAsia" w:ascii="宋体" w:hAnsi="宋体" w:eastAsia="宋体" w:cs="宋体"/>
          <w:b/>
          <w:bCs/>
          <w:color w:val="auto"/>
          <w:szCs w:val="21"/>
          <w:highlight w:val="none"/>
        </w:rPr>
        <w:t>加“▲”且</w:t>
      </w:r>
      <w:r>
        <w:rPr>
          <w:rFonts w:hint="eastAsia" w:ascii="宋体" w:hAnsi="宋体" w:eastAsia="宋体" w:cs="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14:paraId="481E1ED3">
      <w:pPr>
        <w:jc w:val="center"/>
        <w:rPr>
          <w:rFonts w:hint="eastAsia" w:ascii="宋体" w:hAnsi="宋体" w:eastAsia="宋体" w:cs="宋体"/>
          <w:color w:val="auto"/>
          <w:sz w:val="18"/>
          <w:szCs w:val="18"/>
          <w:highlight w:val="none"/>
        </w:rPr>
      </w:pPr>
    </w:p>
    <w:p w14:paraId="5A4AB300">
      <w:pPr>
        <w:pStyle w:val="3"/>
        <w:spacing w:before="120" w:after="120"/>
        <w:rPr>
          <w:rFonts w:hint="eastAsia" w:ascii="宋体" w:hAnsi="宋体" w:eastAsia="宋体" w:cs="宋体"/>
          <w:b w:val="0"/>
          <w:bCs w:val="0"/>
          <w:color w:val="auto"/>
          <w:kern w:val="0"/>
          <w:sz w:val="30"/>
          <w:szCs w:val="30"/>
          <w:highlight w:val="none"/>
        </w:rPr>
      </w:pPr>
      <w:r>
        <w:rPr>
          <w:rFonts w:hint="eastAsia" w:ascii="宋体" w:hAnsi="宋体" w:eastAsia="宋体" w:cs="宋体"/>
          <w:color w:val="auto"/>
          <w:highlight w:val="none"/>
        </w:rPr>
        <w:br w:type="page"/>
      </w:r>
      <w:bookmarkStart w:id="0" w:name="_Toc15028"/>
      <w:bookmarkStart w:id="1" w:name="_Toc434310670"/>
      <w:bookmarkStart w:id="2" w:name="_Toc17034"/>
      <w:bookmarkStart w:id="3" w:name="_Toc477287569"/>
      <w:r>
        <w:rPr>
          <w:rFonts w:hint="eastAsia" w:ascii="宋体" w:hAnsi="宋体" w:eastAsia="宋体" w:cs="宋体"/>
          <w:color w:val="auto"/>
          <w:sz w:val="36"/>
          <w:szCs w:val="36"/>
          <w:highlight w:val="none"/>
          <w:lang w:eastAsia="zh-CN"/>
        </w:rPr>
        <w:t>温州众鑫招标代理有限公司</w:t>
      </w:r>
      <w:r>
        <w:rPr>
          <w:rFonts w:hint="eastAsia" w:ascii="宋体" w:hAnsi="宋体" w:eastAsia="宋体" w:cs="宋体"/>
          <w:color w:val="auto"/>
          <w:sz w:val="36"/>
          <w:szCs w:val="36"/>
          <w:highlight w:val="none"/>
        </w:rPr>
        <w:t>关于</w:t>
      </w:r>
      <w:r>
        <w:rPr>
          <w:rFonts w:hint="eastAsia" w:ascii="宋体" w:hAnsi="宋体" w:eastAsia="宋体" w:cs="宋体"/>
          <w:color w:val="auto"/>
          <w:sz w:val="36"/>
          <w:szCs w:val="36"/>
          <w:highlight w:val="none"/>
          <w:lang w:eastAsia="zh-CN"/>
        </w:rPr>
        <w:t>2025年瓯海区刑事涉案财物管理服务</w:t>
      </w:r>
      <w:r>
        <w:rPr>
          <w:rFonts w:hint="eastAsia" w:ascii="宋体" w:hAnsi="宋体" w:eastAsia="宋体" w:cs="宋体"/>
          <w:color w:val="auto"/>
          <w:sz w:val="36"/>
          <w:szCs w:val="36"/>
          <w:highlight w:val="none"/>
        </w:rPr>
        <w:t>的竞争性磋商公告</w:t>
      </w:r>
      <w:bookmarkEnd w:id="0"/>
      <w:bookmarkEnd w:id="1"/>
      <w:bookmarkEnd w:id="2"/>
      <w:bookmarkEnd w:id="3"/>
    </w:p>
    <w:p w14:paraId="393F1AF0">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2FF847EB">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u w:val="single"/>
          <w:lang w:eastAsia="zh-CN"/>
        </w:rPr>
        <w:t>2025年瓯海区刑事涉案财物管理服务</w:t>
      </w:r>
      <w:r>
        <w:rPr>
          <w:rFonts w:hint="eastAsia" w:ascii="宋体" w:hAnsi="宋体" w:eastAsia="宋体" w:cs="宋体"/>
          <w:color w:val="auto"/>
          <w:sz w:val="22"/>
          <w:szCs w:val="22"/>
          <w:highlight w:val="none"/>
          <w:u w:val="single"/>
        </w:rPr>
        <w:t>项目的潜在供应商应在政采云平台（www.zcygov.cn）获取（下载）磋商文件，并于</w:t>
      </w:r>
      <w:r>
        <w:rPr>
          <w:rFonts w:hint="eastAsia" w:ascii="宋体" w:hAnsi="宋体" w:eastAsia="宋体" w:cs="宋体"/>
          <w:color w:val="auto"/>
          <w:sz w:val="22"/>
          <w:szCs w:val="22"/>
          <w:highlight w:val="none"/>
          <w:u w:val="single"/>
          <w:lang w:eastAsia="zh-CN"/>
        </w:rPr>
        <w:t>202</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 xml:space="preserve"> 20  </w:t>
      </w:r>
      <w:r>
        <w:rPr>
          <w:rFonts w:hint="eastAsia" w:ascii="宋体" w:hAnsi="宋体" w:eastAsia="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09</w:t>
      </w:r>
      <w:r>
        <w:rPr>
          <w:rFonts w:hint="eastAsia" w:ascii="宋体" w:hAnsi="宋体" w:eastAsia="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0（北京时间）前提交（上传）响应文件。</w:t>
      </w:r>
    </w:p>
    <w:p w14:paraId="12518B98">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一、项目基本情况</w:t>
      </w:r>
    </w:p>
    <w:p w14:paraId="0031301B">
      <w:pPr>
        <w:widowControl/>
        <w:spacing w:before="60" w:after="60" w:line="360" w:lineRule="exact"/>
        <w:ind w:left="60" w:right="60"/>
        <w:jc w:val="left"/>
        <w:rPr>
          <w:rFonts w:hint="default"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项目编号：</w:t>
      </w:r>
      <w:r>
        <w:rPr>
          <w:rFonts w:hint="eastAsia" w:ascii="宋体" w:hAnsi="宋体" w:cs="宋体"/>
          <w:bCs/>
          <w:color w:val="auto"/>
          <w:kern w:val="0"/>
          <w:sz w:val="22"/>
          <w:szCs w:val="22"/>
          <w:highlight w:val="none"/>
          <w:lang w:eastAsia="zh-CN"/>
        </w:rPr>
        <w:t>ZXZC20241206</w:t>
      </w:r>
    </w:p>
    <w:p w14:paraId="4ABFACCE">
      <w:pPr>
        <w:widowControl/>
        <w:spacing w:before="60" w:after="60" w:line="360" w:lineRule="exact"/>
        <w:ind w:left="60" w:right="60"/>
        <w:jc w:val="left"/>
        <w:rPr>
          <w:rFonts w:hint="default"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项目名称：</w:t>
      </w:r>
      <w:r>
        <w:rPr>
          <w:rFonts w:hint="eastAsia" w:ascii="宋体" w:hAnsi="宋体" w:cs="宋体"/>
          <w:bCs/>
          <w:color w:val="auto"/>
          <w:kern w:val="0"/>
          <w:sz w:val="22"/>
          <w:szCs w:val="22"/>
          <w:highlight w:val="none"/>
          <w:lang w:eastAsia="zh-CN"/>
        </w:rPr>
        <w:t>2025年瓯海区刑事涉案财物管理服务</w:t>
      </w:r>
    </w:p>
    <w:p w14:paraId="301DAAAB">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采购方式：竞争性磋商 </w:t>
      </w:r>
    </w:p>
    <w:p w14:paraId="3FFF084C">
      <w:pPr>
        <w:widowControl/>
        <w:spacing w:before="60" w:after="60" w:line="360" w:lineRule="exact"/>
        <w:ind w:left="60" w:right="60" w:firstLine="440"/>
        <w:jc w:val="left"/>
        <w:rPr>
          <w:rFonts w:hint="default"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rPr>
        <w:t>预算金额（元）：</w:t>
      </w:r>
      <w:r>
        <w:rPr>
          <w:rFonts w:hint="eastAsia" w:ascii="宋体" w:hAnsi="宋体" w:cs="宋体"/>
          <w:b w:val="0"/>
          <w:bCs/>
          <w:color w:val="auto"/>
          <w:kern w:val="0"/>
          <w:sz w:val="22"/>
          <w:szCs w:val="22"/>
          <w:highlight w:val="none"/>
          <w:lang w:val="en-US" w:eastAsia="zh-CN"/>
        </w:rPr>
        <w:t>1100000</w:t>
      </w:r>
    </w:p>
    <w:p w14:paraId="4E25B5A6">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2025年瓯海区刑事涉案财物管理服务</w:t>
      </w:r>
      <w:r>
        <w:rPr>
          <w:rFonts w:hint="eastAsia" w:ascii="宋体" w:hAnsi="宋体" w:eastAsia="宋体" w:cs="宋体"/>
          <w:bCs/>
          <w:color w:val="auto"/>
          <w:kern w:val="0"/>
          <w:sz w:val="22"/>
          <w:szCs w:val="22"/>
          <w:highlight w:val="none"/>
        </w:rPr>
        <w:t xml:space="preserve">，具体采购内容及要求详见磋商文件相关部分 </w:t>
      </w:r>
    </w:p>
    <w:p w14:paraId="52200EC8">
      <w:pPr>
        <w:widowControl/>
        <w:spacing w:before="60" w:after="60" w:line="360" w:lineRule="exact"/>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合同履约期限：</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年</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 xml:space="preserve">   </w:t>
      </w:r>
    </w:p>
    <w:p w14:paraId="450D1025">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本项目（否）接受联合体投标。</w:t>
      </w:r>
    </w:p>
    <w:p w14:paraId="25ECAB8A">
      <w:pPr>
        <w:widowControl/>
        <w:spacing w:before="60" w:after="60" w:line="360" w:lineRule="exact"/>
        <w:ind w:left="60" w:right="60" w:firstLine="441"/>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二、申请人的资格要求</w:t>
      </w:r>
    </w:p>
    <w:p w14:paraId="0A00E89E">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16DF3458">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2.落实政府采购政策需满足的资格要求：</w:t>
      </w:r>
      <w:r>
        <w:rPr>
          <w:rFonts w:hint="eastAsia" w:ascii="宋体" w:hAnsi="宋体" w:cs="宋体"/>
          <w:bCs/>
          <w:color w:val="auto"/>
          <w:kern w:val="0"/>
          <w:sz w:val="22"/>
          <w:szCs w:val="22"/>
          <w:highlight w:val="none"/>
          <w:lang w:val="en-US" w:eastAsia="zh-CN"/>
        </w:rPr>
        <w:t>无</w:t>
      </w:r>
    </w:p>
    <w:p w14:paraId="67D0A676">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3.本项目的特定资格要求：</w:t>
      </w:r>
      <w:r>
        <w:rPr>
          <w:rFonts w:hint="eastAsia" w:ascii="宋体" w:hAnsi="宋体" w:cs="宋体"/>
          <w:bCs/>
          <w:color w:val="auto"/>
          <w:kern w:val="0"/>
          <w:sz w:val="22"/>
          <w:szCs w:val="22"/>
          <w:highlight w:val="none"/>
          <w:lang w:val="en-US" w:eastAsia="zh-CN"/>
        </w:rPr>
        <w:t xml:space="preserve">无 </w:t>
      </w:r>
    </w:p>
    <w:p w14:paraId="1195514F">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三、获取（下载）采购文件</w:t>
      </w:r>
    </w:p>
    <w:p w14:paraId="2345F3C2">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1.时间：公告发布之日起至</w:t>
      </w: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w:t>
      </w:r>
      <w:r>
        <w:rPr>
          <w:rFonts w:hint="eastAsia" w:ascii="宋体" w:hAnsi="宋体" w:cs="宋体"/>
          <w:color w:val="auto"/>
          <w:kern w:val="0"/>
          <w:sz w:val="22"/>
          <w:szCs w:val="22"/>
          <w:highlight w:val="none"/>
          <w:lang w:val="en-US" w:eastAsia="zh-CN"/>
        </w:rPr>
        <w:t xml:space="preserve"> 1 </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lang w:val="en-US" w:eastAsia="zh-CN"/>
        </w:rPr>
        <w:t xml:space="preserve"> 20 </w:t>
      </w:r>
      <w:r>
        <w:rPr>
          <w:rFonts w:hint="eastAsia" w:ascii="宋体" w:hAnsi="宋体" w:eastAsia="宋体" w:cs="宋体"/>
          <w:color w:val="auto"/>
          <w:kern w:val="0"/>
          <w:sz w:val="22"/>
          <w:szCs w:val="22"/>
          <w:highlight w:val="none"/>
        </w:rPr>
        <w:t>日 ，每天上午00:00至12:00 ，下午12:00至23:59（北京时间，线上获取法定节假日均可，线下获取文件法定节假日除外）。</w:t>
      </w:r>
    </w:p>
    <w:p w14:paraId="40722302">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2.地点：政采云平台（www.zcygov.cn）。</w:t>
      </w:r>
    </w:p>
    <w:p w14:paraId="1A6D939F">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3.方式：供应商登录政采云平台https://www.zcygov.cn/在线申请获取采购文件（进入“项目采购”应用，在获取采购文件菜单中选择项目，申请获取采购文件） </w:t>
      </w:r>
      <w:r>
        <w:rPr>
          <w:rFonts w:hint="eastAsia" w:ascii="宋体" w:hAnsi="宋体" w:eastAsia="宋体" w:cs="宋体"/>
          <w:color w:val="auto"/>
          <w:sz w:val="22"/>
          <w:szCs w:val="22"/>
          <w:highlight w:val="none"/>
        </w:rPr>
        <w:t>。</w:t>
      </w:r>
    </w:p>
    <w:p w14:paraId="5813CF09">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07D2AAA8">
      <w:pPr>
        <w:widowControl/>
        <w:spacing w:before="60" w:after="60" w:line="360" w:lineRule="exact"/>
        <w:ind w:right="60" w:firstLine="440"/>
        <w:jc w:val="left"/>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4．售价（元）：0</w:t>
      </w:r>
    </w:p>
    <w:p w14:paraId="25D615AB">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四、响应文件提交（上传） </w:t>
      </w:r>
    </w:p>
    <w:p w14:paraId="64353B48">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 xml:space="preserve"> 1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20 </w:t>
      </w:r>
      <w:r>
        <w:rPr>
          <w:rFonts w:hint="eastAsia" w:ascii="宋体" w:hAnsi="宋体" w:eastAsia="宋体" w:cs="宋体"/>
          <w:color w:val="auto"/>
          <w:sz w:val="22"/>
          <w:szCs w:val="22"/>
          <w:highlight w:val="none"/>
        </w:rPr>
        <w:t xml:space="preserve">日 </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0（北京时间）</w:t>
      </w:r>
    </w:p>
    <w:p w14:paraId="147A5802">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地点（网址）：通过“政府采购云平台（www.zcygov.cn）”在线递交  </w:t>
      </w:r>
    </w:p>
    <w:p w14:paraId="5B1C4079">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五、响应文件开启 </w:t>
      </w:r>
    </w:p>
    <w:p w14:paraId="2F8966BB">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开启时间：</w:t>
      </w:r>
      <w:r>
        <w:rPr>
          <w:rFonts w:hint="eastAsia" w:ascii="宋体" w:hAnsi="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 xml:space="preserve"> 1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20 </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0（北京时间）</w:t>
      </w:r>
    </w:p>
    <w:p w14:paraId="579B9766">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地点（网址）：通过“政府采购云平台（www.zcygov.cn）”在线开标 </w:t>
      </w:r>
    </w:p>
    <w:p w14:paraId="33F0919E">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六、公告期限</w:t>
      </w:r>
    </w:p>
    <w:p w14:paraId="0C164856">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自本公告发布之日起3个工作日。</w:t>
      </w:r>
    </w:p>
    <w:p w14:paraId="7C861FF4">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七、其他补充事宜</w:t>
      </w:r>
    </w:p>
    <w:p w14:paraId="00B0572E">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89D133">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9862C1B">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.其他事项：</w:t>
      </w:r>
    </w:p>
    <w:p w14:paraId="30152C16">
      <w:pPr>
        <w:widowControl/>
        <w:numPr>
          <w:ilvl w:val="0"/>
          <w:numId w:val="1"/>
        </w:numPr>
        <w:spacing w:before="60" w:after="60" w:line="360" w:lineRule="exact"/>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目通过“政采云平台（www.zcygov.cn）”实行在线投标响应（电子投标），供应商应按照本磋商文件和“政采云平台”的要求，编制并加密磋商响应文件。电子投标具体操作流程详见《供应商项目采购-电子招投标操作指南》。</w:t>
      </w:r>
    </w:p>
    <w:p w14:paraId="3999E74B">
      <w:pPr>
        <w:widowControl/>
        <w:numPr>
          <w:ilvl w:val="0"/>
          <w:numId w:val="1"/>
        </w:numPr>
        <w:spacing w:before="60" w:after="60" w:line="360" w:lineRule="exact"/>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zh-CN"/>
        </w:rPr>
        <w:t>为支持和促进中小企业发展</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进一步发挥政府采购政策功能</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温州市财政局出台了《温州市财政局关于温州市政府采购支持中小企业信用融资的通知》</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温财采〔</w:t>
      </w:r>
      <w:r>
        <w:rPr>
          <w:rFonts w:hint="eastAsia" w:ascii="宋体" w:hAnsi="宋体" w:eastAsia="宋体" w:cs="宋体"/>
          <w:bCs/>
          <w:color w:val="auto"/>
          <w:kern w:val="0"/>
          <w:sz w:val="22"/>
          <w:szCs w:val="22"/>
          <w:highlight w:val="none"/>
        </w:rPr>
        <w:t>2020</w:t>
      </w:r>
      <w:r>
        <w:rPr>
          <w:rFonts w:hint="eastAsia" w:ascii="宋体" w:hAnsi="宋体" w:eastAsia="宋体" w:cs="宋体"/>
          <w:bCs/>
          <w:color w:val="auto"/>
          <w:kern w:val="0"/>
          <w:sz w:val="22"/>
          <w:szCs w:val="22"/>
          <w:highlight w:val="none"/>
          <w:lang w:val="zh-CN"/>
        </w:rPr>
        <w:t>〕</w:t>
      </w:r>
      <w:r>
        <w:rPr>
          <w:rFonts w:hint="eastAsia" w:ascii="宋体" w:hAnsi="宋体" w:eastAsia="宋体" w:cs="宋体"/>
          <w:bCs/>
          <w:color w:val="auto"/>
          <w:kern w:val="0"/>
          <w:sz w:val="22"/>
          <w:szCs w:val="22"/>
          <w:highlight w:val="none"/>
        </w:rPr>
        <w:t>3</w:t>
      </w:r>
      <w:r>
        <w:rPr>
          <w:rFonts w:hint="eastAsia" w:ascii="宋体" w:hAnsi="宋体" w:eastAsia="宋体" w:cs="宋体"/>
          <w:bCs/>
          <w:color w:val="auto"/>
          <w:kern w:val="0"/>
          <w:sz w:val="22"/>
          <w:szCs w:val="22"/>
          <w:highlight w:val="none"/>
          <w:lang w:val="zh-CN"/>
        </w:rPr>
        <w:t>号</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供应商若有融资意向</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可直接登录</w:t>
      </w:r>
      <w:r>
        <w:rPr>
          <w:rFonts w:hint="eastAsia" w:ascii="宋体" w:hAnsi="宋体" w:eastAsia="宋体" w:cs="宋体"/>
          <w:bCs/>
          <w:color w:val="auto"/>
          <w:kern w:val="0"/>
          <w:sz w:val="22"/>
          <w:szCs w:val="22"/>
          <w:highlight w:val="none"/>
        </w:rPr>
        <w:t>http://jinrong.zcygov.cn，</w:t>
      </w:r>
      <w:r>
        <w:rPr>
          <w:rFonts w:hint="eastAsia" w:ascii="宋体" w:hAnsi="宋体" w:eastAsia="宋体" w:cs="宋体"/>
          <w:bCs/>
          <w:color w:val="auto"/>
          <w:kern w:val="0"/>
          <w:sz w:val="22"/>
          <w:szCs w:val="22"/>
          <w:highlight w:val="none"/>
          <w:lang w:val="zh-CN"/>
        </w:rPr>
        <w:t>查看信用融资政策文件及各相关银行服务方案</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val="zh-CN"/>
        </w:rPr>
        <w:t>也可直接向各银行咨询相关业务。</w:t>
      </w:r>
    </w:p>
    <w:p w14:paraId="56EDC702">
      <w:pPr>
        <w:widowControl/>
        <w:spacing w:before="60" w:after="60" w:line="360" w:lineRule="exact"/>
        <w:ind w:left="60" w:right="60"/>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八、凡</w:t>
      </w:r>
      <w:r>
        <w:rPr>
          <w:rFonts w:hint="eastAsia" w:ascii="宋体" w:hAnsi="宋体" w:eastAsia="宋体" w:cs="宋体"/>
          <w:b/>
          <w:bCs/>
          <w:color w:val="auto"/>
          <w:kern w:val="0"/>
          <w:sz w:val="22"/>
          <w:szCs w:val="22"/>
          <w:highlight w:val="none"/>
        </w:rPr>
        <w:t>对本次采购提出询问、质疑、投诉，请按以下方式联系</w:t>
      </w:r>
    </w:p>
    <w:p w14:paraId="2524B122">
      <w:pPr>
        <w:widowControl/>
        <w:spacing w:before="60" w:after="60" w:line="360" w:lineRule="exact"/>
        <w:ind w:left="61" w:leftChars="0" w:right="60" w:firstLine="440" w:firstLineChars="200"/>
        <w:jc w:val="left"/>
        <w:rPr>
          <w:rFonts w:ascii="宋体" w:hAnsi="宋体" w:cs="宋体"/>
          <w:bCs/>
          <w:color w:val="auto"/>
          <w:kern w:val="0"/>
          <w:sz w:val="22"/>
          <w:szCs w:val="22"/>
          <w:highlight w:val="none"/>
        </w:rPr>
      </w:pPr>
      <w:bookmarkStart w:id="4" w:name="_Toc246261260"/>
      <w:bookmarkStart w:id="5" w:name="_Toc221356881"/>
      <w:bookmarkStart w:id="6" w:name="_Toc262049413"/>
      <w:bookmarkStart w:id="7" w:name="_Toc221356946"/>
      <w:bookmarkStart w:id="8" w:name="_Toc221374621"/>
      <w:bookmarkStart w:id="9" w:name="_Toc221423614"/>
      <w:bookmarkStart w:id="10" w:name="_Toc223715993"/>
      <w:bookmarkStart w:id="11" w:name="_Toc239145349"/>
      <w:bookmarkStart w:id="12" w:name="_Toc249758707"/>
      <w:bookmarkStart w:id="13" w:name="_Toc249758859"/>
      <w:bookmarkStart w:id="14" w:name="_Toc222114874"/>
      <w:bookmarkStart w:id="15" w:name="_Toc245191309"/>
      <w:bookmarkStart w:id="16" w:name="_Toc245722276"/>
      <w:bookmarkStart w:id="17" w:name="_Toc241404197"/>
      <w:bookmarkStart w:id="18" w:name="_Toc262105498"/>
      <w:r>
        <w:rPr>
          <w:rFonts w:hint="eastAsia" w:ascii="宋体" w:hAnsi="宋体" w:cs="宋体"/>
          <w:bCs/>
          <w:color w:val="auto"/>
          <w:kern w:val="0"/>
          <w:sz w:val="22"/>
          <w:szCs w:val="22"/>
          <w:highlight w:val="none"/>
        </w:rPr>
        <w:t>采购人：</w:t>
      </w:r>
      <w:r>
        <w:rPr>
          <w:rFonts w:hint="eastAsia" w:ascii="宋体" w:hAnsi="宋体" w:cs="宋体"/>
          <w:bCs/>
          <w:color w:val="auto"/>
          <w:kern w:val="0"/>
          <w:sz w:val="22"/>
          <w:szCs w:val="22"/>
          <w:highlight w:val="none"/>
          <w:lang w:eastAsia="zh-CN"/>
        </w:rPr>
        <w:t>温州市公安局瓯海区分局</w:t>
      </w:r>
    </w:p>
    <w:p w14:paraId="71A2B8EE">
      <w:pPr>
        <w:keepNext w:val="0"/>
        <w:keepLines w:val="0"/>
        <w:pageBreakBefore w:val="0"/>
        <w:kinsoku/>
        <w:wordWrap/>
        <w:overflowPunct/>
        <w:topLinePunct w:val="0"/>
        <w:bidi w:val="0"/>
        <w:adjustRightInd/>
        <w:snapToGrid/>
        <w:spacing w:line="360" w:lineRule="exact"/>
        <w:ind w:left="0" w:leftChars="0" w:firstLine="418" w:firstLineChars="190"/>
        <w:jc w:val="left"/>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地址：温州市瓯海区瓯海大道1166号</w:t>
      </w:r>
    </w:p>
    <w:p w14:paraId="472DE549">
      <w:pPr>
        <w:keepNext w:val="0"/>
        <w:keepLines w:val="0"/>
        <w:pageBreakBefore w:val="0"/>
        <w:kinsoku/>
        <w:wordWrap/>
        <w:overflowPunct/>
        <w:topLinePunct w:val="0"/>
        <w:bidi w:val="0"/>
        <w:adjustRightInd/>
        <w:snapToGrid/>
        <w:spacing w:line="360" w:lineRule="exact"/>
        <w:ind w:left="0" w:leftChars="0" w:firstLine="418" w:firstLineChars="190"/>
        <w:jc w:val="left"/>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联系人：</w:t>
      </w:r>
      <w:r>
        <w:rPr>
          <w:rFonts w:hint="eastAsia" w:ascii="宋体" w:hAnsi="宋体" w:cs="Arial"/>
          <w:color w:val="auto"/>
          <w:sz w:val="22"/>
          <w:szCs w:val="22"/>
          <w:highlight w:val="none"/>
          <w:lang w:val="en-US" w:eastAsia="zh-CN"/>
        </w:rPr>
        <w:t xml:space="preserve">杨先生 </w:t>
      </w:r>
      <w:bookmarkStart w:id="224" w:name="_GoBack"/>
      <w:bookmarkEnd w:id="224"/>
    </w:p>
    <w:p w14:paraId="787BBDE5">
      <w:pPr>
        <w:keepNext w:val="0"/>
        <w:keepLines w:val="0"/>
        <w:pageBreakBefore w:val="0"/>
        <w:kinsoku/>
        <w:wordWrap/>
        <w:overflowPunct/>
        <w:topLinePunct w:val="0"/>
        <w:bidi w:val="0"/>
        <w:adjustRightInd/>
        <w:snapToGrid/>
        <w:spacing w:line="360" w:lineRule="exact"/>
        <w:ind w:left="0" w:leftChars="0" w:firstLine="418" w:firstLineChars="190"/>
        <w:jc w:val="left"/>
        <w:rPr>
          <w:rFonts w:hint="eastAsia" w:ascii="宋体" w:hAnsi="宋体" w:cs="Arial"/>
          <w:color w:val="auto"/>
          <w:sz w:val="22"/>
          <w:szCs w:val="22"/>
          <w:highlight w:val="none"/>
          <w:lang w:eastAsia="zh-CN"/>
        </w:rPr>
      </w:pPr>
      <w:r>
        <w:rPr>
          <w:rFonts w:hint="eastAsia" w:ascii="宋体" w:hAnsi="宋体" w:cs="Arial"/>
          <w:color w:val="auto"/>
          <w:sz w:val="22"/>
          <w:szCs w:val="22"/>
          <w:highlight w:val="none"/>
          <w:lang w:eastAsia="zh-CN"/>
        </w:rPr>
        <w:t>电话 / 传真：</w:t>
      </w:r>
      <w:r>
        <w:rPr>
          <w:rFonts w:hint="eastAsia" w:ascii="宋体" w:hAnsi="宋体" w:cs="Arial"/>
          <w:color w:val="auto"/>
          <w:sz w:val="22"/>
          <w:szCs w:val="22"/>
          <w:highlight w:val="none"/>
          <w:lang w:val="en-US" w:eastAsia="zh-CN"/>
        </w:rPr>
        <w:t>0577-88588027</w:t>
      </w:r>
    </w:p>
    <w:p w14:paraId="67F9004B">
      <w:pPr>
        <w:widowControl/>
        <w:spacing w:before="60" w:after="60" w:line="360" w:lineRule="exact"/>
        <w:ind w:left="61" w:leftChars="0"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w:t>
      </w:r>
      <w:r>
        <w:rPr>
          <w:rFonts w:hint="eastAsia" w:ascii="宋体" w:hAnsi="宋体" w:cs="Arial"/>
          <w:color w:val="auto"/>
          <w:sz w:val="22"/>
          <w:szCs w:val="22"/>
          <w:highlight w:val="none"/>
          <w:lang w:val="en-US" w:eastAsia="zh-CN"/>
        </w:rPr>
        <w:t xml:space="preserve">周先生 </w:t>
      </w:r>
      <w:r>
        <w:rPr>
          <w:rFonts w:hint="eastAsia" w:ascii="宋体" w:hAnsi="宋体" w:cs="宋体"/>
          <w:bCs/>
          <w:color w:val="auto"/>
          <w:kern w:val="0"/>
          <w:sz w:val="22"/>
          <w:szCs w:val="22"/>
          <w:highlight w:val="none"/>
          <w:lang w:val="en-US" w:eastAsia="zh-CN"/>
        </w:rPr>
        <w:t xml:space="preserve"> </w:t>
      </w:r>
    </w:p>
    <w:p w14:paraId="011382D1">
      <w:pPr>
        <w:widowControl/>
        <w:spacing w:before="60" w:after="60" w:line="360" w:lineRule="exact"/>
        <w:ind w:left="61" w:leftChars="0"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电话 / 传真：0577</w:t>
      </w:r>
      <w:r>
        <w:rPr>
          <w:rFonts w:hint="eastAsia" w:ascii="宋体" w:hAnsi="宋体" w:cs="宋体"/>
          <w:bCs/>
          <w:color w:val="auto"/>
          <w:kern w:val="0"/>
          <w:sz w:val="22"/>
          <w:szCs w:val="22"/>
          <w:highlight w:val="none"/>
          <w:lang w:val="en-US" w:eastAsia="zh-CN"/>
        </w:rPr>
        <w:t>-</w:t>
      </w:r>
      <w:r>
        <w:rPr>
          <w:rFonts w:hint="eastAsia" w:ascii="宋体" w:hAnsi="宋体" w:cs="宋体"/>
          <w:bCs/>
          <w:color w:val="auto"/>
          <w:kern w:val="0"/>
          <w:sz w:val="22"/>
          <w:szCs w:val="22"/>
          <w:highlight w:val="none"/>
        </w:rPr>
        <w:t>88588027</w:t>
      </w:r>
      <w:r>
        <w:rPr>
          <w:rFonts w:hint="eastAsia" w:ascii="宋体" w:hAnsi="宋体" w:cs="宋体"/>
          <w:bCs/>
          <w:color w:val="auto"/>
          <w:kern w:val="0"/>
          <w:sz w:val="22"/>
          <w:szCs w:val="22"/>
          <w:highlight w:val="none"/>
          <w:lang w:val="en-US" w:eastAsia="zh-CN"/>
        </w:rPr>
        <w:t xml:space="preserve"> </w:t>
      </w:r>
    </w:p>
    <w:p w14:paraId="68D01FCC">
      <w:pPr>
        <w:keepNext w:val="0"/>
        <w:keepLines w:val="0"/>
        <w:pageBreakBefore w:val="0"/>
        <w:widowControl/>
        <w:kinsoku/>
        <w:wordWrap/>
        <w:overflowPunct/>
        <w:topLinePunct w:val="0"/>
        <w:autoSpaceDE/>
        <w:autoSpaceDN/>
        <w:bidi w:val="0"/>
        <w:adjustRightInd/>
        <w:snapToGrid/>
        <w:spacing w:before="60" w:after="60" w:line="400" w:lineRule="exact"/>
        <w:ind w:left="61" w:leftChars="0" w:right="60" w:firstLine="440" w:firstLineChars="200"/>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招标代理机构：</w:t>
      </w:r>
      <w:r>
        <w:rPr>
          <w:rFonts w:hint="eastAsia" w:ascii="宋体" w:hAnsi="宋体" w:cs="宋体"/>
          <w:bCs/>
          <w:color w:val="auto"/>
          <w:kern w:val="0"/>
          <w:sz w:val="22"/>
          <w:szCs w:val="22"/>
          <w:highlight w:val="none"/>
          <w:lang w:eastAsia="zh-CN"/>
        </w:rPr>
        <w:t>温州众鑫招标代理有限公司</w:t>
      </w:r>
    </w:p>
    <w:p w14:paraId="06B50FF4">
      <w:pPr>
        <w:keepNext w:val="0"/>
        <w:keepLines w:val="0"/>
        <w:pageBreakBefore w:val="0"/>
        <w:widowControl/>
        <w:kinsoku/>
        <w:wordWrap/>
        <w:overflowPunct/>
        <w:topLinePunct w:val="0"/>
        <w:autoSpaceDE/>
        <w:autoSpaceDN/>
        <w:bidi w:val="0"/>
        <w:adjustRightInd/>
        <w:snapToGrid/>
        <w:spacing w:before="60" w:after="60" w:line="400" w:lineRule="exact"/>
        <w:ind w:left="61" w:leftChars="0" w:right="60" w:firstLine="440" w:firstLineChars="200"/>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地址：</w:t>
      </w:r>
      <w:r>
        <w:rPr>
          <w:rFonts w:hint="eastAsia" w:ascii="宋体" w:hAnsi="宋体" w:cs="宋体"/>
          <w:bCs/>
          <w:color w:val="auto"/>
          <w:kern w:val="0"/>
          <w:sz w:val="22"/>
          <w:szCs w:val="22"/>
          <w:highlight w:val="none"/>
          <w:lang w:eastAsia="zh-CN"/>
        </w:rPr>
        <w:t>温州市鹿城区锦绣路锦绣中城大厦8楼803室</w:t>
      </w:r>
    </w:p>
    <w:p w14:paraId="3CEFF1E2">
      <w:pPr>
        <w:keepNext w:val="0"/>
        <w:keepLines w:val="0"/>
        <w:pageBreakBefore w:val="0"/>
        <w:widowControl/>
        <w:kinsoku/>
        <w:wordWrap/>
        <w:overflowPunct/>
        <w:topLinePunct w:val="0"/>
        <w:autoSpaceDE/>
        <w:autoSpaceDN/>
        <w:bidi w:val="0"/>
        <w:adjustRightInd/>
        <w:snapToGrid/>
        <w:spacing w:before="60" w:after="60" w:line="400" w:lineRule="exact"/>
        <w:ind w:left="61" w:leftChars="29" w:right="60" w:firstLine="440" w:firstLineChars="200"/>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联系人：</w:t>
      </w:r>
      <w:r>
        <w:rPr>
          <w:rFonts w:hint="eastAsia" w:ascii="宋体" w:hAnsi="宋体" w:cs="宋体"/>
          <w:bCs/>
          <w:color w:val="auto"/>
          <w:kern w:val="0"/>
          <w:sz w:val="22"/>
          <w:szCs w:val="22"/>
          <w:highlight w:val="none"/>
          <w:lang w:eastAsia="zh-CN"/>
        </w:rPr>
        <w:t>叶先生</w:t>
      </w:r>
    </w:p>
    <w:p w14:paraId="405BB3FC">
      <w:pPr>
        <w:keepNext w:val="0"/>
        <w:keepLines w:val="0"/>
        <w:pageBreakBefore w:val="0"/>
        <w:widowControl/>
        <w:kinsoku/>
        <w:wordWrap/>
        <w:overflowPunct/>
        <w:topLinePunct w:val="0"/>
        <w:autoSpaceDE/>
        <w:autoSpaceDN/>
        <w:bidi w:val="0"/>
        <w:adjustRightInd/>
        <w:snapToGrid/>
        <w:spacing w:before="60" w:after="60" w:line="400" w:lineRule="exact"/>
        <w:ind w:left="61" w:leftChars="29" w:right="60" w:firstLine="440" w:firstLineChars="200"/>
        <w:jc w:val="left"/>
        <w:textAlignment w:val="auto"/>
        <w:rPr>
          <w:rFonts w:hint="default" w:ascii="宋体" w:hAnsi="宋体" w:eastAsia="宋体" w:cs="宋体"/>
          <w:bCs/>
          <w:color w:val="auto"/>
          <w:kern w:val="0"/>
          <w:sz w:val="22"/>
          <w:szCs w:val="22"/>
          <w:highlight w:val="none"/>
          <w:lang w:val="en-US"/>
        </w:rPr>
      </w:pP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eastAsia="zh-CN"/>
        </w:rPr>
        <w:t>1732881686</w:t>
      </w:r>
      <w:r>
        <w:rPr>
          <w:rFonts w:hint="eastAsia" w:ascii="宋体" w:hAnsi="宋体" w:cs="宋体"/>
          <w:bCs/>
          <w:color w:val="auto"/>
          <w:kern w:val="0"/>
          <w:sz w:val="22"/>
          <w:szCs w:val="22"/>
          <w:highlight w:val="none"/>
          <w:lang w:val="en-US" w:eastAsia="zh-CN"/>
        </w:rPr>
        <w:t>9</w:t>
      </w:r>
    </w:p>
    <w:p w14:paraId="7A2FFC9C">
      <w:pPr>
        <w:keepNext w:val="0"/>
        <w:keepLines w:val="0"/>
        <w:pageBreakBefore w:val="0"/>
        <w:widowControl/>
        <w:kinsoku/>
        <w:wordWrap/>
        <w:overflowPunct/>
        <w:topLinePunct w:val="0"/>
        <w:autoSpaceDE/>
        <w:autoSpaceDN/>
        <w:bidi w:val="0"/>
        <w:adjustRightInd/>
        <w:snapToGrid/>
        <w:spacing w:before="60" w:after="60" w:line="400" w:lineRule="exact"/>
        <w:ind w:left="61" w:leftChars="29" w:right="60"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质疑联系人：</w:t>
      </w:r>
      <w:r>
        <w:rPr>
          <w:rFonts w:hint="eastAsia" w:ascii="宋体" w:hAnsi="宋体" w:cs="宋体"/>
          <w:bCs/>
          <w:color w:val="auto"/>
          <w:kern w:val="0"/>
          <w:sz w:val="22"/>
          <w:szCs w:val="22"/>
          <w:highlight w:val="none"/>
          <w:lang w:eastAsia="zh-CN"/>
        </w:rPr>
        <w:t>陈先生</w:t>
      </w:r>
      <w:r>
        <w:rPr>
          <w:rFonts w:hint="eastAsia" w:ascii="宋体" w:hAnsi="宋体" w:eastAsia="宋体" w:cs="宋体"/>
          <w:bCs/>
          <w:color w:val="auto"/>
          <w:kern w:val="0"/>
          <w:sz w:val="22"/>
          <w:szCs w:val="22"/>
          <w:highlight w:val="none"/>
        </w:rPr>
        <w:t> </w:t>
      </w:r>
    </w:p>
    <w:p w14:paraId="6648213C">
      <w:pPr>
        <w:keepNext w:val="0"/>
        <w:keepLines w:val="0"/>
        <w:pageBreakBefore w:val="0"/>
        <w:widowControl/>
        <w:kinsoku/>
        <w:wordWrap/>
        <w:overflowPunct/>
        <w:topLinePunct w:val="0"/>
        <w:autoSpaceDE/>
        <w:autoSpaceDN/>
        <w:bidi w:val="0"/>
        <w:adjustRightInd/>
        <w:snapToGrid/>
        <w:spacing w:before="60" w:after="60" w:line="400" w:lineRule="exact"/>
        <w:ind w:left="61" w:leftChars="29" w:right="60" w:firstLine="440" w:firstLineChars="200"/>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质疑联系方式：</w:t>
      </w:r>
      <w:r>
        <w:rPr>
          <w:rFonts w:hint="eastAsia" w:ascii="宋体" w:hAnsi="宋体" w:cs="宋体"/>
          <w:bCs/>
          <w:color w:val="auto"/>
          <w:kern w:val="0"/>
          <w:sz w:val="22"/>
          <w:szCs w:val="22"/>
          <w:highlight w:val="none"/>
          <w:lang w:eastAsia="zh-CN"/>
        </w:rPr>
        <w:t xml:space="preserve">0577-88578666 </w:t>
      </w:r>
    </w:p>
    <w:p w14:paraId="3586F073">
      <w:pPr>
        <w:widowControl/>
        <w:spacing w:before="60" w:after="60" w:line="360" w:lineRule="exact"/>
        <w:ind w:left="61" w:leftChars="29"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同级政府采购监管部门：温州市瓯海区财政局</w:t>
      </w:r>
    </w:p>
    <w:p w14:paraId="1406C4A7">
      <w:pPr>
        <w:widowControl/>
        <w:spacing w:before="60" w:after="60" w:line="360" w:lineRule="exact"/>
        <w:ind w:left="61" w:leftChars="29"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地址：温州市瓯海区行政服务中心1号楼</w:t>
      </w:r>
    </w:p>
    <w:p w14:paraId="7110FDE9">
      <w:pPr>
        <w:widowControl/>
        <w:spacing w:before="60" w:after="60" w:line="360" w:lineRule="exact"/>
        <w:ind w:left="61" w:leftChars="29"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徐</w:t>
      </w:r>
      <w:r>
        <w:rPr>
          <w:rFonts w:hint="eastAsia" w:ascii="宋体" w:hAnsi="宋体" w:cs="宋体"/>
          <w:bCs/>
          <w:color w:val="auto"/>
          <w:kern w:val="0"/>
          <w:sz w:val="22"/>
          <w:szCs w:val="22"/>
          <w:highlight w:val="none"/>
        </w:rPr>
        <w:t>先生</w:t>
      </w:r>
    </w:p>
    <w:p w14:paraId="3CE6E46F">
      <w:pPr>
        <w:keepNext w:val="0"/>
        <w:keepLines w:val="0"/>
        <w:pageBreakBefore w:val="0"/>
        <w:widowControl/>
        <w:kinsoku/>
        <w:wordWrap/>
        <w:overflowPunct/>
        <w:topLinePunct w:val="0"/>
        <w:autoSpaceDE/>
        <w:autoSpaceDN/>
        <w:bidi w:val="0"/>
        <w:adjustRightInd/>
        <w:snapToGrid/>
        <w:spacing w:before="60" w:after="60" w:line="400" w:lineRule="exact"/>
        <w:ind w:left="61" w:leftChars="29" w:right="60"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cs="宋体"/>
          <w:bCs/>
          <w:color w:val="auto"/>
          <w:kern w:val="0"/>
          <w:sz w:val="22"/>
          <w:szCs w:val="22"/>
          <w:highlight w:val="none"/>
        </w:rPr>
        <w:t>联系电话：0577-88522238   </w:t>
      </w:r>
      <w:r>
        <w:rPr>
          <w:rFonts w:hint="eastAsia" w:ascii="宋体" w:hAnsi="宋体" w:eastAsia="宋体" w:cs="宋体"/>
          <w:bCs/>
          <w:color w:val="auto"/>
          <w:kern w:val="0"/>
          <w:sz w:val="22"/>
          <w:szCs w:val="22"/>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1E189A2">
      <w:pPr>
        <w:pStyle w:val="3"/>
        <w:spacing w:before="120" w:after="120"/>
        <w:rPr>
          <w:rFonts w:hint="eastAsia" w:ascii="宋体" w:hAnsi="宋体" w:eastAsia="宋体" w:cs="宋体"/>
          <w:color w:val="auto"/>
          <w:sz w:val="36"/>
          <w:szCs w:val="36"/>
          <w:highlight w:val="none"/>
        </w:rPr>
      </w:pPr>
      <w:bookmarkStart w:id="19" w:name="_Toc249758708"/>
      <w:bookmarkStart w:id="20" w:name="_Toc262105499"/>
      <w:bookmarkStart w:id="21" w:name="_Toc241404198"/>
      <w:bookmarkStart w:id="22" w:name="_Toc222114875"/>
      <w:bookmarkStart w:id="23" w:name="_Toc221374622"/>
      <w:bookmarkStart w:id="24" w:name="_Toc26377"/>
      <w:bookmarkStart w:id="25" w:name="_Toc221423615"/>
      <w:bookmarkStart w:id="26" w:name="_Toc262049414"/>
      <w:bookmarkStart w:id="27" w:name="_Toc221356882"/>
      <w:bookmarkStart w:id="28" w:name="_Toc223715994"/>
      <w:bookmarkStart w:id="29" w:name="_Toc245191310"/>
      <w:bookmarkStart w:id="30" w:name="_Toc221356947"/>
      <w:bookmarkStart w:id="31" w:name="_Toc249758860"/>
      <w:bookmarkStart w:id="32" w:name="_Toc239145350"/>
      <w:bookmarkStart w:id="33" w:name="_Toc246261261"/>
      <w:bookmarkStart w:id="34" w:name="_Toc245722277"/>
      <w:r>
        <w:rPr>
          <w:rFonts w:hint="eastAsia" w:ascii="宋体" w:hAnsi="宋体" w:eastAsia="宋体" w:cs="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E776C47">
      <w:pPr>
        <w:pStyle w:val="3"/>
        <w:spacing w:before="120" w:after="120"/>
        <w:rPr>
          <w:rFonts w:hint="eastAsia" w:ascii="宋体" w:hAnsi="宋体" w:eastAsia="宋体" w:cs="宋体"/>
          <w:color w:val="auto"/>
          <w:sz w:val="26"/>
          <w:szCs w:val="26"/>
          <w:highlight w:val="none"/>
        </w:rPr>
      </w:pPr>
      <w:bookmarkStart w:id="35" w:name="_Toc18758"/>
      <w:bookmarkStart w:id="36" w:name="_Toc245191311"/>
      <w:bookmarkStart w:id="37" w:name="_Toc221356883"/>
      <w:bookmarkStart w:id="38" w:name="_Toc221423616"/>
      <w:bookmarkStart w:id="39" w:name="_Toc262049415"/>
      <w:bookmarkStart w:id="40" w:name="_Toc221356948"/>
      <w:bookmarkStart w:id="41" w:name="_Toc246261262"/>
      <w:bookmarkStart w:id="42" w:name="_Toc239145351"/>
      <w:bookmarkStart w:id="43" w:name="_Toc223715995"/>
      <w:bookmarkStart w:id="44" w:name="_Toc241404199"/>
      <w:bookmarkStart w:id="45" w:name="_Toc245722278"/>
      <w:bookmarkStart w:id="46" w:name="_Toc221374623"/>
      <w:bookmarkStart w:id="47" w:name="_Toc249758709"/>
      <w:bookmarkStart w:id="48" w:name="_Toc222114876"/>
      <w:bookmarkStart w:id="49" w:name="_Toc262105500"/>
      <w:bookmarkStart w:id="50" w:name="_Toc249758861"/>
      <w:r>
        <w:rPr>
          <w:rFonts w:hint="eastAsia" w:ascii="宋体" w:hAnsi="宋体" w:eastAsia="宋体" w:cs="宋体"/>
          <w:color w:val="auto"/>
          <w:sz w:val="26"/>
          <w:szCs w:val="26"/>
          <w:highlight w:val="none"/>
        </w:rPr>
        <w:t xml:space="preserve">一、  </w:t>
      </w:r>
      <w:bookmarkStart w:id="51" w:name="_Toc27051"/>
      <w:r>
        <w:rPr>
          <w:rFonts w:hint="eastAsia" w:ascii="宋体" w:hAnsi="宋体" w:eastAsia="宋体" w:cs="宋体"/>
          <w:color w:val="auto"/>
          <w:sz w:val="26"/>
          <w:szCs w:val="26"/>
          <w:highlight w:val="none"/>
        </w:rPr>
        <w:t>供应商须知前附表</w:t>
      </w:r>
      <w:bookmarkEnd w:id="35"/>
      <w:bookmarkEnd w:id="51"/>
    </w:p>
    <w:tbl>
      <w:tblPr>
        <w:tblStyle w:val="39"/>
        <w:tblW w:w="4982" w:type="pct"/>
        <w:tblInd w:w="0" w:type="dxa"/>
        <w:tblLayout w:type="autofit"/>
        <w:tblCellMar>
          <w:top w:w="0" w:type="dxa"/>
          <w:left w:w="108" w:type="dxa"/>
          <w:bottom w:w="0" w:type="dxa"/>
          <w:right w:w="108" w:type="dxa"/>
        </w:tblCellMar>
      </w:tblPr>
      <w:tblGrid>
        <w:gridCol w:w="776"/>
        <w:gridCol w:w="1517"/>
        <w:gridCol w:w="7526"/>
      </w:tblGrid>
      <w:tr w14:paraId="21DDFE9E">
        <w:tblPrEx>
          <w:tblCellMar>
            <w:top w:w="0" w:type="dxa"/>
            <w:left w:w="108" w:type="dxa"/>
            <w:bottom w:w="0" w:type="dxa"/>
            <w:right w:w="108" w:type="dxa"/>
          </w:tblCellMar>
        </w:tblPrEx>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EF792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4EEF5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条款名称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D158E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编列内容</w:t>
            </w:r>
          </w:p>
        </w:tc>
      </w:tr>
      <w:tr w14:paraId="18DACD9A">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1E48F4">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FFD269">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3E8097">
            <w:pPr>
              <w:spacing w:line="400" w:lineRule="exac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cs="宋体"/>
                <w:color w:val="auto"/>
                <w:kern w:val="0"/>
                <w:sz w:val="22"/>
                <w:szCs w:val="22"/>
                <w:highlight w:val="none"/>
                <w:lang w:eastAsia="zh-CN"/>
              </w:rPr>
              <w:t>温州市公安局瓯海区分局</w:t>
            </w:r>
          </w:p>
          <w:p w14:paraId="47963485">
            <w:pPr>
              <w:spacing w:line="400" w:lineRule="exac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r>
              <w:rPr>
                <w:rFonts w:hint="eastAsia" w:ascii="宋体" w:hAnsi="宋体" w:cs="Arial"/>
                <w:color w:val="auto"/>
                <w:sz w:val="22"/>
                <w:szCs w:val="22"/>
                <w:highlight w:val="none"/>
                <w:lang w:val="en-US" w:eastAsia="zh-CN"/>
              </w:rPr>
              <w:t>杨先生</w:t>
            </w:r>
            <w:r>
              <w:rPr>
                <w:rFonts w:hint="eastAsia" w:ascii="宋体" w:hAnsi="宋体" w:cs="宋体"/>
                <w:color w:val="auto"/>
                <w:kern w:val="0"/>
                <w:sz w:val="22"/>
                <w:szCs w:val="22"/>
                <w:highlight w:val="none"/>
                <w:lang w:val="en-US" w:eastAsia="zh-CN"/>
              </w:rPr>
              <w:t xml:space="preserve"> </w:t>
            </w:r>
          </w:p>
          <w:p w14:paraId="14B34837">
            <w:pPr>
              <w:spacing w:line="400" w:lineRule="exac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电话 / 传真：</w:t>
            </w:r>
            <w:r>
              <w:rPr>
                <w:rFonts w:hint="eastAsia" w:ascii="宋体" w:hAnsi="宋体" w:cs="宋体"/>
                <w:bCs/>
                <w:color w:val="auto"/>
                <w:kern w:val="0"/>
                <w:sz w:val="22"/>
                <w:szCs w:val="22"/>
                <w:highlight w:val="none"/>
              </w:rPr>
              <w:t>0577</w:t>
            </w:r>
            <w:r>
              <w:rPr>
                <w:rFonts w:hint="eastAsia" w:ascii="宋体" w:hAnsi="宋体" w:cs="宋体"/>
                <w:bCs/>
                <w:color w:val="auto"/>
                <w:kern w:val="0"/>
                <w:sz w:val="22"/>
                <w:szCs w:val="22"/>
                <w:highlight w:val="none"/>
                <w:lang w:val="en-US" w:eastAsia="zh-CN"/>
              </w:rPr>
              <w:t>-</w:t>
            </w:r>
            <w:r>
              <w:rPr>
                <w:rFonts w:hint="eastAsia" w:ascii="宋体" w:hAnsi="宋体" w:cs="宋体"/>
                <w:bCs/>
                <w:color w:val="auto"/>
                <w:kern w:val="0"/>
                <w:sz w:val="22"/>
                <w:szCs w:val="22"/>
                <w:highlight w:val="none"/>
              </w:rPr>
              <w:t>88588027</w:t>
            </w:r>
            <w:r>
              <w:rPr>
                <w:rFonts w:hint="eastAsia" w:ascii="宋体" w:hAnsi="宋体" w:cs="宋体"/>
                <w:color w:val="auto"/>
                <w:kern w:val="0"/>
                <w:sz w:val="22"/>
                <w:szCs w:val="22"/>
                <w:highlight w:val="none"/>
                <w:lang w:val="en-US" w:eastAsia="zh-CN"/>
              </w:rPr>
              <w:t xml:space="preserve"> </w:t>
            </w:r>
          </w:p>
        </w:tc>
      </w:tr>
      <w:tr w14:paraId="20450D5D">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06962D">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494E4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5FEA01">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采购代理机构名称：</w:t>
            </w:r>
            <w:r>
              <w:rPr>
                <w:rFonts w:hint="eastAsia" w:ascii="宋体" w:hAnsi="宋体" w:cs="宋体"/>
                <w:color w:val="auto"/>
                <w:sz w:val="22"/>
                <w:szCs w:val="22"/>
                <w:highlight w:val="none"/>
                <w:lang w:eastAsia="zh-CN"/>
              </w:rPr>
              <w:t>温州众鑫招标代理有限公司</w:t>
            </w:r>
          </w:p>
          <w:p w14:paraId="266364C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cs="宋体"/>
                <w:color w:val="auto"/>
                <w:sz w:val="22"/>
                <w:szCs w:val="22"/>
                <w:highlight w:val="none"/>
                <w:lang w:eastAsia="zh-CN"/>
              </w:rPr>
              <w:t>温州市鹿城区锦绣路锦绣中城大厦8楼803室</w:t>
            </w:r>
          </w:p>
          <w:p w14:paraId="520E649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叶先生</w:t>
            </w:r>
            <w:r>
              <w:rPr>
                <w:rFonts w:hint="eastAsia" w:ascii="宋体" w:hAnsi="宋体" w:eastAsia="宋体" w:cs="宋体"/>
                <w:color w:val="auto"/>
                <w:sz w:val="22"/>
                <w:szCs w:val="22"/>
                <w:highlight w:val="none"/>
              </w:rPr>
              <w:t xml:space="preserve">  </w:t>
            </w:r>
          </w:p>
          <w:p w14:paraId="08558B62">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eastAsia="zh-CN"/>
              </w:rPr>
              <w:t xml:space="preserve">0577-88578666 </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17328816869</w:t>
            </w:r>
          </w:p>
        </w:tc>
      </w:tr>
      <w:tr w14:paraId="6B54EEB7">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44501B">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BFC0E7">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6D184A">
            <w:pPr>
              <w:spacing w:line="400" w:lineRule="exact"/>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2025年瓯海区刑事涉案财物管理服务</w:t>
            </w:r>
          </w:p>
          <w:p w14:paraId="026718A3">
            <w:pPr>
              <w:spacing w:line="400" w:lineRule="exact"/>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磋商编号：</w:t>
            </w:r>
            <w:r>
              <w:rPr>
                <w:rFonts w:hint="eastAsia" w:ascii="宋体" w:hAnsi="宋体" w:cs="宋体"/>
                <w:color w:val="auto"/>
                <w:sz w:val="22"/>
                <w:szCs w:val="22"/>
                <w:highlight w:val="none"/>
                <w:lang w:eastAsia="zh-CN"/>
              </w:rPr>
              <w:t>ZXZC20241206</w:t>
            </w:r>
          </w:p>
        </w:tc>
      </w:tr>
      <w:tr w14:paraId="1F5B40F3">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DA79E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181BE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采购内容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D2D564">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具体内容及要求见竞争性磋商文件。</w:t>
            </w:r>
          </w:p>
        </w:tc>
      </w:tr>
      <w:tr w14:paraId="1740349A">
        <w:tblPrEx>
          <w:tblCellMar>
            <w:top w:w="0" w:type="dxa"/>
            <w:left w:w="108" w:type="dxa"/>
            <w:bottom w:w="0" w:type="dxa"/>
            <w:right w:w="108" w:type="dxa"/>
          </w:tblCellMar>
        </w:tblPrEx>
        <w:trPr>
          <w:trHeight w:val="67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69380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5B1640">
            <w:pPr>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b/>
                <w:color w:val="auto"/>
                <w:kern w:val="0"/>
                <w:sz w:val="22"/>
                <w:szCs w:val="22"/>
                <w:highlight w:val="none"/>
              </w:rPr>
              <w:t>核心产品</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63290E">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本项目为服务类采购，无核心产品。</w:t>
            </w:r>
          </w:p>
        </w:tc>
      </w:tr>
      <w:tr w14:paraId="4288DCC7">
        <w:tblPrEx>
          <w:tblCellMar>
            <w:top w:w="0" w:type="dxa"/>
            <w:left w:w="108" w:type="dxa"/>
            <w:bottom w:w="0" w:type="dxa"/>
            <w:right w:w="108" w:type="dxa"/>
          </w:tblCellMar>
        </w:tblPrEx>
        <w:trPr>
          <w:trHeight w:val="116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EBC04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B1CE3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b/>
                <w:bCs/>
                <w:color w:val="auto"/>
                <w:kern w:val="0"/>
                <w:sz w:val="22"/>
                <w:szCs w:val="22"/>
                <w:highlight w:val="none"/>
                <w:u w:val="single"/>
              </w:rPr>
              <w:t>供应商</w:t>
            </w:r>
            <w:r>
              <w:rPr>
                <w:rFonts w:hint="eastAsia" w:ascii="宋体" w:hAnsi="宋体" w:eastAsia="宋体" w:cs="宋体"/>
                <w:b/>
                <w:bCs/>
                <w:color w:val="auto"/>
                <w:kern w:val="0"/>
                <w:sz w:val="22"/>
                <w:szCs w:val="22"/>
                <w:highlight w:val="none"/>
                <w:u w:val="single"/>
                <w:lang w:val="zh-CN"/>
              </w:rPr>
              <w:t>资质格要求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957199">
            <w:pPr>
              <w:widowControl/>
              <w:spacing w:before="60" w:after="60" w:line="360" w:lineRule="exact"/>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详见磋商公告</w:t>
            </w:r>
          </w:p>
        </w:tc>
      </w:tr>
      <w:tr w14:paraId="413CE7EC">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7CB98A">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5F93A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是否接受联合体磋商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A8C520">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不接受</w:t>
            </w:r>
          </w:p>
          <w:p w14:paraId="62479EC2">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□接受</w:t>
            </w:r>
          </w:p>
        </w:tc>
      </w:tr>
      <w:tr w14:paraId="061B85E1">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FA121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660D3C">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踏勘现场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DBD926">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□组织</w:t>
            </w:r>
          </w:p>
          <w:p w14:paraId="106C0459">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不组织</w:t>
            </w:r>
          </w:p>
        </w:tc>
      </w:tr>
      <w:tr w14:paraId="3D5EDF35">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5E9DD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A71D9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投标预备会</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6FFEC0">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□召开</w:t>
            </w: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不召开</w:t>
            </w:r>
          </w:p>
        </w:tc>
      </w:tr>
      <w:tr w14:paraId="2A9E9A6E">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531F9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9207BD">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33957F">
            <w:pPr>
              <w:autoSpaceDE w:val="0"/>
              <w:autoSpaceDN w:val="0"/>
              <w:adjustRightIn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见竞争性磋商公告</w:t>
            </w:r>
          </w:p>
        </w:tc>
      </w:tr>
      <w:tr w14:paraId="62EDD78D">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CA53E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59667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BCE6B2">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lang w:val="zh-CN"/>
              </w:rPr>
              <w:t>不允许</w:t>
            </w:r>
          </w:p>
          <w:p w14:paraId="2215BFC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zh-CN"/>
              </w:rPr>
              <w:sym w:font="Wingdings 2" w:char="00A3"/>
            </w:r>
            <w:r>
              <w:rPr>
                <w:rFonts w:hint="eastAsia" w:ascii="宋体" w:hAnsi="宋体" w:eastAsia="宋体" w:cs="宋体"/>
                <w:color w:val="auto"/>
                <w:sz w:val="22"/>
                <w:szCs w:val="22"/>
                <w:highlight w:val="none"/>
                <w:lang w:val="zh-CN"/>
              </w:rPr>
              <w:t>允许</w:t>
            </w: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允许大中型企业向小微企业合理分包，若分包需在投标文件内提供分包意向书，明确分包内容及金额比例。</w:t>
            </w:r>
          </w:p>
        </w:tc>
      </w:tr>
      <w:tr w14:paraId="3913039E">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680D9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6089C4">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偏离</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D8033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宋体" w:hAnsi="宋体" w:eastAsia="宋体" w:cs="宋体"/>
                <w:color w:val="auto"/>
                <w:kern w:val="0"/>
                <w:sz w:val="22"/>
                <w:szCs w:val="22"/>
                <w:highlight w:val="none"/>
              </w:rPr>
              <w:t>磋商小组</w:t>
            </w:r>
            <w:r>
              <w:rPr>
                <w:rFonts w:hint="eastAsia" w:ascii="宋体" w:hAnsi="宋体" w:eastAsia="宋体" w:cs="宋体"/>
                <w:color w:val="auto"/>
                <w:kern w:val="0"/>
                <w:sz w:val="22"/>
                <w:szCs w:val="22"/>
                <w:highlight w:val="none"/>
                <w:lang w:val="zh-CN"/>
              </w:rPr>
              <w:t>有权做无效标处理，详见评标办法。</w:t>
            </w:r>
          </w:p>
        </w:tc>
      </w:tr>
      <w:tr w14:paraId="7F9D4741">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E7AFF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5C07F1">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磋商有效期</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647B90">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自磋商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截止时间起生效，有效期90天。</w:t>
            </w:r>
          </w:p>
        </w:tc>
      </w:tr>
      <w:tr w14:paraId="1AFE4FF4">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0B72A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385D8B">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投标保证金</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433694">
            <w:pPr>
              <w:autoSpaceDE w:val="0"/>
              <w:autoSpaceDN w:val="0"/>
              <w:adjustRightIn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无需提交</w:t>
            </w:r>
          </w:p>
        </w:tc>
      </w:tr>
      <w:tr w14:paraId="1B23D905">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12DEF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8D77D0">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EC10C3">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由“资格响应文件”、“</w:t>
            </w:r>
            <w:r>
              <w:rPr>
                <w:rFonts w:hint="eastAsia" w:ascii="宋体" w:hAnsi="宋体" w:eastAsia="宋体" w:cs="宋体"/>
                <w:b/>
                <w:bCs/>
                <w:color w:val="auto"/>
                <w:kern w:val="0"/>
                <w:sz w:val="22"/>
                <w:szCs w:val="22"/>
                <w:highlight w:val="none"/>
              </w:rPr>
              <w:t>商务技术响应文件</w:t>
            </w:r>
            <w:r>
              <w:rPr>
                <w:rFonts w:hint="eastAsia" w:ascii="宋体" w:hAnsi="宋体" w:eastAsia="宋体" w:cs="宋体"/>
                <w:b/>
                <w:bCs/>
                <w:color w:val="auto"/>
                <w:kern w:val="0"/>
                <w:sz w:val="22"/>
                <w:szCs w:val="22"/>
                <w:highlight w:val="none"/>
                <w:lang w:val="zh-CN"/>
              </w:rPr>
              <w:t>”和“报价响应文件”三个部分组成。</w:t>
            </w:r>
          </w:p>
        </w:tc>
      </w:tr>
      <w:tr w14:paraId="4C0354BE">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7B7F9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3A0814">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的编制</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A56CBF">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供应商应先安装“政采云</w:t>
            </w: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客户端”，并按照本</w:t>
            </w:r>
            <w:r>
              <w:rPr>
                <w:rFonts w:hint="eastAsia" w:ascii="宋体" w:hAnsi="宋体" w:eastAsia="宋体" w:cs="宋体"/>
                <w:b/>
                <w:bCs/>
                <w:color w:val="auto"/>
                <w:kern w:val="0"/>
                <w:sz w:val="22"/>
                <w:szCs w:val="22"/>
                <w:highlight w:val="none"/>
              </w:rPr>
              <w:t>竞争性磋商</w:t>
            </w:r>
            <w:r>
              <w:rPr>
                <w:rFonts w:hint="eastAsia" w:ascii="宋体" w:hAnsi="宋体" w:eastAsia="宋体" w:cs="宋体"/>
                <w:b/>
                <w:bCs/>
                <w:color w:val="auto"/>
                <w:kern w:val="0"/>
                <w:sz w:val="22"/>
                <w:szCs w:val="22"/>
                <w:highlight w:val="none"/>
                <w:lang w:val="zh-CN"/>
              </w:rPr>
              <w:t>文件和“《政府采购项目电子交易管理操作指南-供应商》”的要求，编制并加密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w:t>
            </w:r>
          </w:p>
        </w:tc>
      </w:tr>
      <w:tr w14:paraId="640B6651">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D19F9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372AA0">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签字或盖章要求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408F7E">
            <w:p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磋商响应文件的相应位置应加盖：电子签章。（或先制作word版打印，相应位置签字或盖章后再扫描上传）</w:t>
            </w:r>
          </w:p>
        </w:tc>
      </w:tr>
      <w:tr w14:paraId="20062A4A">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32811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D8294D">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文件形式、制作及组成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8465B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本项目实行在线投标响应（电子投标）。</w:t>
            </w:r>
          </w:p>
          <w:p w14:paraId="59677CBA">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供应商须准备电子磋商响应文件（包括“电子加密磋商响应文件”和“备份磋商响应文件”两类，在磋商响应文件编制完成后同时生成）。</w:t>
            </w:r>
          </w:p>
          <w:p w14:paraId="3439B18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14:paraId="0426603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14:paraId="63966B32">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kern w:val="0"/>
                <w:sz w:val="22"/>
                <w:szCs w:val="22"/>
                <w:highlight w:val="none"/>
                <w:lang w:val="zh-CN"/>
              </w:rPr>
              <w:t>以上两类磋商响应文件均由资格审查资料、商务技术文件、报价文件三部分组成。</w:t>
            </w:r>
          </w:p>
        </w:tc>
      </w:tr>
      <w:tr w14:paraId="53D25E92">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52ADC9">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A47687">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文件的上传和递交</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2D73FA">
            <w:pPr>
              <w:pStyle w:val="186"/>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（1）“电子加密磋商响应文件”的上传、递交：</w:t>
            </w:r>
          </w:p>
          <w:p w14:paraId="3DF50CC9">
            <w:pPr>
              <w:pStyle w:val="186"/>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供应商应在磋商响应文件递交截止时间前将“电子加密磋商响应文件”成功上传递交至“政采云平台”，否则投标无效。</w:t>
            </w:r>
          </w:p>
          <w:p w14:paraId="26A3F64A">
            <w:pPr>
              <w:pStyle w:val="186"/>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“电子加密磋商响应文件”成功上传递交后，供应商可自行打印磋商响应文件接收回执。</w:t>
            </w:r>
          </w:p>
          <w:p w14:paraId="3A8B86D3">
            <w:pPr>
              <w:pStyle w:val="186"/>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（2）“备份磋商响应文件”的密封包装、递交：</w:t>
            </w:r>
          </w:p>
          <w:p w14:paraId="52347334">
            <w:pPr>
              <w:pStyle w:val="186"/>
              <w:numPr>
                <w:ilvl w:val="0"/>
                <w:numId w:val="3"/>
              </w:numPr>
              <w:autoSpaceDE w:val="0"/>
              <w:autoSpaceDN w:val="0"/>
              <w:adjustRightInd w:val="0"/>
              <w:spacing w:line="400" w:lineRule="exact"/>
              <w:ind w:firstLine="0"/>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供应商在“政采云平台”完成“电子加密磋商响应文件”的上传递交后，可以（建议）以电子邮件形式在提交磋商响应文件截止时间前传送至采购代理机构邮箱</w:t>
            </w:r>
            <w:r>
              <w:rPr>
                <w:rFonts w:hint="eastAsia" w:cs="宋体"/>
                <w:b/>
                <w:bCs/>
                <w:color w:val="auto"/>
                <w:sz w:val="22"/>
                <w:highlight w:val="none"/>
                <w:lang w:eastAsia="zh-CN"/>
              </w:rPr>
              <w:t>1620818539@qq.com</w:t>
            </w:r>
            <w:r>
              <w:rPr>
                <w:rFonts w:hint="eastAsia" w:ascii="宋体" w:hAnsi="宋体" w:eastAsia="宋体" w:cs="宋体"/>
                <w:b/>
                <w:bCs/>
                <w:color w:val="auto"/>
                <w:sz w:val="22"/>
                <w:highlight w:val="none"/>
              </w:rPr>
              <w:t>。传送的备份标书需打包压缩并加密，加密密码由</w:t>
            </w:r>
            <w:r>
              <w:rPr>
                <w:rFonts w:hint="eastAsia" w:ascii="宋体" w:hAnsi="宋体" w:eastAsia="宋体" w:cs="宋体"/>
                <w:b/>
                <w:bCs/>
                <w:color w:val="auto"/>
                <w:sz w:val="22"/>
                <w:highlight w:val="none"/>
                <w:lang w:val="en-US"/>
              </w:rPr>
              <w:t>供应商</w:t>
            </w:r>
            <w:r>
              <w:rPr>
                <w:rFonts w:hint="eastAsia" w:ascii="宋体" w:hAnsi="宋体" w:eastAsia="宋体" w:cs="宋体"/>
                <w:b/>
                <w:bCs/>
                <w:color w:val="auto"/>
                <w:sz w:val="22"/>
                <w:highlight w:val="none"/>
              </w:rPr>
              <w:t>自行保管。</w:t>
            </w:r>
          </w:p>
          <w:p w14:paraId="28AAB235">
            <w:pPr>
              <w:pStyle w:val="186"/>
              <w:numPr>
                <w:ilvl w:val="0"/>
                <w:numId w:val="3"/>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14:paraId="1D9BB865">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07CD2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10AC78">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电子响应文件的解密和异常情况处理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F8A254">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（1）磋商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宋体" w:hAnsi="宋体" w:eastAsia="宋体" w:cs="宋体"/>
                <w:b/>
                <w:bCs/>
                <w:color w:val="auto"/>
                <w:kern w:val="0"/>
                <w:sz w:val="22"/>
                <w:szCs w:val="22"/>
                <w:highlight w:val="none"/>
              </w:rPr>
              <w:t>电子响应</w:t>
            </w:r>
            <w:r>
              <w:rPr>
                <w:rFonts w:hint="eastAsia" w:ascii="宋体" w:hAnsi="宋体" w:eastAsia="宋体" w:cs="宋体"/>
                <w:b/>
                <w:bCs/>
                <w:color w:val="auto"/>
                <w:kern w:val="0"/>
                <w:sz w:val="22"/>
                <w:szCs w:val="22"/>
                <w:highlight w:val="none"/>
                <w:lang w:val="zh-CN"/>
              </w:rPr>
              <w:t>文件必须插入CA），在线解密电子响应文件时间为接到解密通知后</w:t>
            </w: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zh-CN"/>
              </w:rPr>
              <w:t>0分钟内。</w:t>
            </w:r>
          </w:p>
          <w:p w14:paraId="08D2AFFE">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w:t>
            </w:r>
            <w:r>
              <w:rPr>
                <w:rFonts w:hint="eastAsia" w:ascii="宋体" w:hAnsi="宋体" w:cs="宋体"/>
                <w:b/>
                <w:bCs/>
                <w:color w:val="auto"/>
                <w:kern w:val="0"/>
                <w:sz w:val="22"/>
                <w:szCs w:val="22"/>
                <w:highlight w:val="none"/>
                <w:lang w:val="zh-CN"/>
              </w:rPr>
              <w:t>1620818539@qq.com</w:t>
            </w:r>
            <w:r>
              <w:rPr>
                <w:rFonts w:hint="eastAsia" w:ascii="宋体" w:hAnsi="宋体" w:eastAsia="宋体" w:cs="宋体"/>
                <w:b/>
                <w:bCs/>
                <w:color w:val="auto"/>
                <w:kern w:val="0"/>
                <w:sz w:val="22"/>
                <w:szCs w:val="22"/>
                <w:highlight w:val="none"/>
                <w:lang w:val="zh-CN"/>
              </w:rPr>
              <w:t>,采购代理机构收到解密密码后通过【异常处理】的端口对供应商的备份响应文件进行上传（上传成功后，“电子</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文件”自动失效），不能成功上传的视为</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文件撤回）。</w:t>
            </w:r>
          </w:p>
          <w:p w14:paraId="1C2D2C0E">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kern w:val="0"/>
                <w:sz w:val="22"/>
                <w:szCs w:val="22"/>
                <w:highlight w:val="none"/>
              </w:rPr>
              <w:t>3）响应</w:t>
            </w:r>
            <w:r>
              <w:rPr>
                <w:rFonts w:hint="eastAsia" w:ascii="宋体" w:hAnsi="宋体" w:eastAsia="宋体" w:cs="宋体"/>
                <w:b/>
                <w:bCs/>
                <w:color w:val="auto"/>
                <w:kern w:val="0"/>
                <w:sz w:val="22"/>
                <w:szCs w:val="22"/>
                <w:highlight w:val="none"/>
                <w:lang w:val="zh-CN"/>
              </w:rPr>
              <w:t>文件的启用，按先后顺序分别为电子响应文件、以电子邮件形式的备份响应文件，在下一顺位的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文件启用之后，前一顺位的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w:t>
            </w:r>
          </w:p>
        </w:tc>
      </w:tr>
      <w:tr w14:paraId="7386AE54">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F5560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054885">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政采云系统默认供应商自动放弃的情形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7995F3">
            <w:pPr>
              <w:numPr>
                <w:ilvl w:val="0"/>
                <w:numId w:val="4"/>
              </w:numPr>
              <w:autoSpaceDE w:val="0"/>
              <w:autoSpaceDN w:val="0"/>
              <w:adjustRightInd w:val="0"/>
              <w:spacing w:line="400" w:lineRule="exact"/>
              <w:ind w:firstLine="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供应商未按规定上传电子响应文件的；</w:t>
            </w:r>
          </w:p>
          <w:p w14:paraId="4594F32F">
            <w:pPr>
              <w:numPr>
                <w:ilvl w:val="0"/>
                <w:numId w:val="4"/>
              </w:numPr>
              <w:autoSpaceDE w:val="0"/>
              <w:autoSpaceDN w:val="0"/>
              <w:adjustRightInd w:val="0"/>
              <w:spacing w:line="400" w:lineRule="exact"/>
              <w:ind w:firstLine="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在解密期限内供应商电子响应文件解密失败，且经异常处理后政采云电子交易系统仍未能解决的。</w:t>
            </w:r>
          </w:p>
        </w:tc>
      </w:tr>
      <w:tr w14:paraId="161D9E0B">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A18B7C">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3F48AD">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开标时间</w:t>
            </w:r>
          </w:p>
          <w:p w14:paraId="691F0DF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和地点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EC0ED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详见竞争性磋商公告</w:t>
            </w:r>
          </w:p>
          <w:p w14:paraId="39A9AB6D">
            <w:pPr>
              <w:pStyle w:val="16"/>
              <w:spacing w:line="400" w:lineRule="exact"/>
              <w:ind w:firstLine="42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注：本项目为电子招投标，相关的招投标流程（</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文件下载、电子</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文件上传、</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等程序）均在浙江政府采购网“政府采购云平台”进行，</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不必前往现场进行</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活动等事宜</w:t>
            </w:r>
          </w:p>
        </w:tc>
      </w:tr>
      <w:tr w14:paraId="72F17303">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B9DDC2">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B2CAF4">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询标澄清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A08D80">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（1）在</w:t>
            </w:r>
            <w:r>
              <w:rPr>
                <w:rFonts w:hint="eastAsia" w:ascii="宋体" w:hAnsi="宋体" w:eastAsia="宋体" w:cs="宋体"/>
                <w:color w:val="auto"/>
                <w:highlight w:val="none"/>
              </w:rPr>
              <w:t>评标</w:t>
            </w:r>
            <w:r>
              <w:rPr>
                <w:rFonts w:hint="eastAsia" w:ascii="宋体" w:hAnsi="宋体" w:eastAsia="宋体" w:cs="宋体"/>
                <w:color w:val="auto"/>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508F78EB">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在评标</w:t>
            </w:r>
            <w:r>
              <w:rPr>
                <w:rFonts w:hint="eastAsia" w:ascii="宋体" w:hAnsi="宋体" w:eastAsia="宋体" w:cs="宋体"/>
                <w:color w:val="auto"/>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14:paraId="78F3BF98">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1E2C83B3">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36D0C5">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8C7595">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w:t>
            </w:r>
          </w:p>
          <w:p w14:paraId="4A7969C0">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的组建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3A1857">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5DCAE918">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02EF80">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1E90EC">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履约担保</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AF7D68">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position w:val="-4"/>
                <w:sz w:val="22"/>
                <w:szCs w:val="22"/>
                <w:highlight w:val="none"/>
                <w:lang w:eastAsia="zh-CN"/>
              </w:rPr>
              <w:instrText xml:space="preserve">,</w:instrText>
            </w:r>
            <w:r>
              <w:rPr>
                <w:rFonts w:hint="eastAsia" w:ascii="宋体" w:hAnsi="宋体" w:eastAsia="宋体" w:cs="宋体"/>
                <w:color w:val="auto"/>
                <w:kern w:val="0"/>
                <w:position w:val="-1"/>
                <w:sz w:val="15"/>
                <w:szCs w:val="22"/>
                <w:highlight w:val="none"/>
                <w:lang w:eastAsia="zh-CN"/>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不需要</w:t>
            </w:r>
          </w:p>
          <w:p w14:paraId="518613C4">
            <w:pPr>
              <w:spacing w:line="400" w:lineRule="exac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需要</w:t>
            </w:r>
          </w:p>
        </w:tc>
      </w:tr>
      <w:tr w14:paraId="37E13887">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1D6DD47">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3C46FA">
            <w:pPr>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14:paraId="6DD2A40C">
            <w:pPr>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扶持政策</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823A98">
            <w:pPr>
              <w:numPr>
                <w:ilvl w:val="0"/>
                <w:numId w:val="5"/>
              </w:num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中小微企业扶持政策</w:t>
            </w:r>
          </w:p>
          <w:p w14:paraId="271B6005">
            <w:pPr>
              <w:numPr>
                <w:ilvl w:val="0"/>
                <w:numId w:val="6"/>
              </w:numPr>
              <w:autoSpaceDE w:val="0"/>
              <w:autoSpaceDN w:val="0"/>
              <w:adjustRightInd w:val="0"/>
              <w:spacing w:line="400" w:lineRule="exact"/>
              <w:ind w:left="425" w:leftChars="0" w:hanging="425" w:firstLineChars="0"/>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本次采购为</w:t>
            </w:r>
            <w:r>
              <w:rPr>
                <w:rFonts w:hint="eastAsia" w:ascii="宋体" w:hAnsi="宋体" w:eastAsia="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否</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lang w:val="zh-CN"/>
              </w:rPr>
              <w:t>专门面向中小企业预留采购份额的采购项目。</w:t>
            </w:r>
            <w:r>
              <w:rPr>
                <w:rFonts w:hint="eastAsia" w:ascii="宋体" w:hAnsi="宋体" w:eastAsia="宋体" w:cs="宋体"/>
                <w:b/>
                <w:bCs/>
                <w:color w:val="auto"/>
                <w:sz w:val="22"/>
                <w:szCs w:val="22"/>
                <w:highlight w:val="none"/>
                <w:lang w:val="zh-CN"/>
              </w:rPr>
              <w:t>本项目对小型和微型企业产品的价格给予</w:t>
            </w:r>
            <w:r>
              <w:rPr>
                <w:rFonts w:hint="eastAsia" w:ascii="宋体" w:hAnsi="宋体" w:eastAsia="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zh-CN"/>
              </w:rPr>
              <w:t>%的扣除，用扣除后的价格参与评审。</w:t>
            </w:r>
          </w:p>
          <w:p w14:paraId="5F37E6FE">
            <w:pPr>
              <w:numPr>
                <w:ilvl w:val="0"/>
                <w:numId w:val="6"/>
              </w:numPr>
              <w:autoSpaceDE w:val="0"/>
              <w:autoSpaceDN w:val="0"/>
              <w:adjustRightInd w:val="0"/>
              <w:spacing w:line="400" w:lineRule="exact"/>
              <w:ind w:left="425" w:leftChars="0" w:hanging="425" w:firstLineChars="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对于联合体协议或者分包意向协议约定小微企业合同份额占到合同总金额30%以上的，对其投标报价给予</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lang w:val="zh-CN"/>
              </w:rPr>
              <w:t>%的扣除，用扣除后的价格参与评审。</w:t>
            </w:r>
          </w:p>
          <w:p w14:paraId="34F76B1D">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FFDFF3">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本次采购对应的中小企业划分标准所属行业是：</w:t>
            </w:r>
            <w:r>
              <w:rPr>
                <w:rFonts w:hint="eastAsia" w:ascii="宋体" w:hAnsi="宋体" w:eastAsia="宋体" w:cs="宋体"/>
                <w:b/>
                <w:bCs/>
                <w:color w:val="auto"/>
                <w:sz w:val="22"/>
                <w:szCs w:val="22"/>
                <w:highlight w:val="none"/>
                <w:lang w:val="zh-CN" w:eastAsia="zh-CN"/>
              </w:rPr>
              <w:t>其他未列明行业</w:t>
            </w:r>
            <w:r>
              <w:rPr>
                <w:rFonts w:hint="eastAsia" w:ascii="宋体" w:hAnsi="宋体" w:eastAsia="宋体" w:cs="宋体"/>
                <w:b w:val="0"/>
                <w:bCs w:val="0"/>
                <w:color w:val="auto"/>
                <w:sz w:val="22"/>
                <w:szCs w:val="22"/>
                <w:highlight w:val="none"/>
                <w:lang w:val="zh-CN"/>
              </w:rPr>
              <w:t>（</w:t>
            </w:r>
            <w:r>
              <w:rPr>
                <w:rFonts w:hint="eastAsia" w:ascii="宋体" w:hAnsi="宋体" w:eastAsia="宋体" w:cs="宋体"/>
                <w:color w:val="auto"/>
                <w:sz w:val="22"/>
                <w:szCs w:val="22"/>
                <w:highlight w:val="none"/>
                <w:lang w:val="zh-CN"/>
              </w:rPr>
              <w:t>从业人员300人以下的为中小微型企业。其中，从业人员100人及以上的为中型企业；从业人员10人及以上的为小型企业；从业人员10人以下的为微型企业。）</w:t>
            </w:r>
          </w:p>
          <w:p w14:paraId="223F17A0">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以联合体形式参加政府采购活动，联合体各方均为小微企业的，联合体视同小微企业。本项目不接受联合体投标。</w:t>
            </w:r>
          </w:p>
          <w:p w14:paraId="3E38EB11">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供应商应当出具《中小企业声明函》，否则资格审查不予通过。</w:t>
            </w:r>
          </w:p>
          <w:p w14:paraId="5777020F">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6F6E595B">
            <w:pPr>
              <w:numPr>
                <w:ilvl w:val="0"/>
                <w:numId w:val="6"/>
              </w:numPr>
              <w:autoSpaceDE w:val="0"/>
              <w:autoSpaceDN w:val="0"/>
              <w:adjustRightInd w:val="0"/>
              <w:spacing w:line="400" w:lineRule="exact"/>
              <w:ind w:left="425" w:leftChars="0" w:hanging="425"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14:paraId="234AFEFF">
            <w:pPr>
              <w:numPr>
                <w:ilvl w:val="0"/>
                <w:numId w:val="6"/>
              </w:numPr>
              <w:autoSpaceDE w:val="0"/>
              <w:autoSpaceDN w:val="0"/>
              <w:adjustRightInd w:val="0"/>
              <w:spacing w:line="400" w:lineRule="exact"/>
              <w:rPr>
                <w:rFonts w:hint="eastAsia"/>
                <w:color w:val="auto"/>
                <w:highlight w:val="none"/>
                <w:lang w:val="zh-CN"/>
              </w:rPr>
            </w:pPr>
            <w:r>
              <w:rPr>
                <w:rFonts w:hint="eastAsia" w:ascii="宋体" w:hAnsi="宋体" w:eastAsia="宋体" w:cs="宋体"/>
                <w:color w:val="auto"/>
                <w:kern w:val="0"/>
                <w:sz w:val="22"/>
                <w:szCs w:val="22"/>
                <w:highlight w:val="none"/>
                <w:lang w:val="zh-CN"/>
              </w:rPr>
              <w:t>符合小微企业划分标准的个体工商户，视同小微企业。</w:t>
            </w:r>
          </w:p>
          <w:p w14:paraId="61E58FE8">
            <w:pPr>
              <w:numPr>
                <w:ilvl w:val="0"/>
                <w:numId w:val="5"/>
              </w:num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节能产品 、环境标志产品扶持政策说明</w:t>
            </w:r>
          </w:p>
          <w:p w14:paraId="1FDCB852">
            <w:pPr>
              <w:autoSpaceDE w:val="0"/>
              <w:autoSpaceDN w:val="0"/>
              <w:adjustRightInd w:val="0"/>
              <w:spacing w:line="400" w:lineRule="exact"/>
              <w:ind w:firstLine="442" w:firstLineChars="20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供应商所投产品属于节能产品或环境标志产品，给予适当加分。</w:t>
            </w:r>
          </w:p>
          <w:p w14:paraId="4E33AF1D">
            <w:pPr>
              <w:autoSpaceDE w:val="0"/>
              <w:autoSpaceDN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详见评分细则。</w:t>
            </w:r>
          </w:p>
          <w:p w14:paraId="7E7D09F0">
            <w:pPr>
              <w:numPr>
                <w:ilvl w:val="0"/>
                <w:numId w:val="5"/>
              </w:num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政府采购金融服务相关信息告知函</w:t>
            </w:r>
          </w:p>
          <w:p w14:paraId="114E0B99">
            <w:pPr>
              <w:autoSpaceDE w:val="0"/>
              <w:autoSpaceDN w:val="0"/>
              <w:adjustRightInd w:val="0"/>
              <w:spacing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为优化政府采购营商环境，缓解供应商资金难题，助力打赢疫情防控阻击战，</w:t>
            </w:r>
            <w:r>
              <w:rPr>
                <w:rFonts w:hint="eastAsia"/>
                <w:color w:val="auto"/>
                <w:sz w:val="22"/>
                <w:szCs w:val="22"/>
                <w:highlight w:val="none"/>
                <w:lang w:val="zh-CN"/>
              </w:rPr>
              <w:t>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w:t>
            </w:r>
            <w:r>
              <w:rPr>
                <w:rFonts w:hint="eastAsia" w:ascii="宋体" w:hAnsi="宋体" w:eastAsia="宋体" w:cs="宋体"/>
                <w:color w:val="auto"/>
                <w:sz w:val="22"/>
                <w:szCs w:val="22"/>
                <w:highlight w:val="none"/>
                <w:lang w:val="zh-CN"/>
              </w:rPr>
              <w:t>，现将政府采购金融服务相关信息予以告知。</w:t>
            </w:r>
          </w:p>
          <w:p w14:paraId="78C50128">
            <w:pPr>
              <w:autoSpaceDE w:val="0"/>
              <w:autoSpaceDN w:val="0"/>
              <w:adjustRightInd w:val="0"/>
              <w:spacing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39B5590B">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9FCFFD">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ACCA87">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供应商信用查询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E57E73">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7E821C29">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（2）供应商信用信息查询记录和证据留存的具体方式：网页截图打印；</w:t>
            </w:r>
          </w:p>
          <w:p w14:paraId="164B661E">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（3）信用信息的使用规则：</w:t>
            </w:r>
          </w:p>
          <w:p w14:paraId="614D9A8D">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14:paraId="27247EDC">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14:paraId="08EFF270">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（4）具有以上（3）所述信息记录的供应商，其投标做无效投标处理。</w:t>
            </w:r>
          </w:p>
        </w:tc>
      </w:tr>
      <w:tr w14:paraId="021132B7">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6B7AFC">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9B5AB0">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合同备案</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1BC033">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（1）成交供应商在中标通知书发出之日起30日历天内与采购人签订合同。</w:t>
            </w:r>
          </w:p>
          <w:p w14:paraId="1810DA92">
            <w:pPr>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cs="宋体"/>
                <w:b/>
                <w:color w:val="auto"/>
                <w:sz w:val="22"/>
                <w:szCs w:val="22"/>
                <w:highlight w:val="none"/>
                <w:u w:val="single"/>
                <w:lang w:eastAsia="zh-CN"/>
              </w:rPr>
              <w:t>1620818539@qq.com</w:t>
            </w:r>
            <w:r>
              <w:rPr>
                <w:rFonts w:hint="eastAsia" w:ascii="宋体" w:hAnsi="宋体" w:eastAsia="宋体" w:cs="宋体"/>
                <w:color w:val="auto"/>
                <w:sz w:val="22"/>
                <w:szCs w:val="22"/>
                <w:highlight w:val="none"/>
              </w:rPr>
              <w:t>。</w:t>
            </w:r>
          </w:p>
        </w:tc>
      </w:tr>
      <w:tr w14:paraId="143F5C49">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ADE158">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4FFCF9">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合同履约管理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FA9A8F">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C0976BC">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55D0F2">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377C69">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解释权</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AA3F49">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7B5D089">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60FA2A">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04FA03">
            <w:p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采购代理服务费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DAD3A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aps w:val="0"/>
                <w:color w:val="auto"/>
                <w:spacing w:val="0"/>
                <w:w w:val="100"/>
                <w:sz w:val="21"/>
                <w:szCs w:val="21"/>
                <w:highlight w:val="none"/>
              </w:rPr>
              <w:t>本采购项目代理服务费</w:t>
            </w:r>
            <w:r>
              <w:rPr>
                <w:rFonts w:hint="eastAsia" w:ascii="宋体" w:hAnsi="宋体" w:eastAsia="宋体" w:cs="宋体"/>
                <w:caps w:val="0"/>
                <w:color w:val="auto"/>
                <w:spacing w:val="0"/>
                <w:w w:val="100"/>
                <w:sz w:val="21"/>
                <w:szCs w:val="21"/>
                <w:highlight w:val="none"/>
                <w:lang w:eastAsia="zh-CN"/>
              </w:rPr>
              <w:t>根据</w:t>
            </w:r>
            <w:r>
              <w:rPr>
                <w:rFonts w:hint="eastAsia" w:ascii="宋体" w:hAnsi="宋体" w:eastAsia="宋体" w:cs="宋体"/>
                <w:caps w:val="0"/>
                <w:color w:val="auto"/>
                <w:spacing w:val="0"/>
                <w:w w:val="100"/>
                <w:sz w:val="21"/>
                <w:szCs w:val="21"/>
                <w:highlight w:val="none"/>
              </w:rPr>
              <w:t>《招标代理服务收费管理暂行办法》</w:t>
            </w:r>
            <w:r>
              <w:rPr>
                <w:rFonts w:hint="eastAsia" w:ascii="宋体" w:hAnsi="宋体" w:eastAsia="宋体" w:cs="宋体"/>
                <w:caps w:val="0"/>
                <w:color w:val="auto"/>
                <w:spacing w:val="0"/>
                <w:w w:val="100"/>
                <w:sz w:val="21"/>
                <w:szCs w:val="21"/>
                <w:highlight w:val="none"/>
                <w:lang w:eastAsia="zh-CN"/>
              </w:rPr>
              <w:t>（</w:t>
            </w:r>
            <w:r>
              <w:rPr>
                <w:rFonts w:hint="eastAsia" w:ascii="宋体" w:hAnsi="宋体" w:eastAsia="宋体" w:cs="宋体"/>
                <w:caps w:val="0"/>
                <w:color w:val="auto"/>
                <w:spacing w:val="0"/>
                <w:w w:val="100"/>
                <w:sz w:val="21"/>
                <w:szCs w:val="21"/>
                <w:highlight w:val="none"/>
              </w:rPr>
              <w:t>计价格〔2002〕1980号</w:t>
            </w:r>
            <w:r>
              <w:rPr>
                <w:rFonts w:hint="eastAsia" w:ascii="宋体" w:hAnsi="宋体" w:eastAsia="宋体" w:cs="宋体"/>
                <w:caps w:val="0"/>
                <w:color w:val="auto"/>
                <w:spacing w:val="0"/>
                <w:w w:val="100"/>
                <w:sz w:val="21"/>
                <w:szCs w:val="21"/>
                <w:highlight w:val="none"/>
                <w:lang w:eastAsia="zh-CN"/>
              </w:rPr>
              <w:t>）</w:t>
            </w:r>
            <w:r>
              <w:rPr>
                <w:rFonts w:hint="eastAsia" w:ascii="宋体" w:hAnsi="宋体" w:cs="宋体"/>
                <w:caps w:val="0"/>
                <w:color w:val="auto"/>
                <w:spacing w:val="0"/>
                <w:w w:val="100"/>
                <w:sz w:val="21"/>
                <w:szCs w:val="21"/>
                <w:highlight w:val="none"/>
                <w:lang w:val="en-US" w:eastAsia="zh-CN"/>
              </w:rPr>
              <w:t>服务</w:t>
            </w:r>
            <w:r>
              <w:rPr>
                <w:rFonts w:hint="eastAsia" w:ascii="宋体" w:hAnsi="宋体" w:eastAsia="宋体" w:cs="宋体"/>
                <w:caps w:val="0"/>
                <w:color w:val="auto"/>
                <w:spacing w:val="0"/>
                <w:w w:val="100"/>
                <w:sz w:val="21"/>
                <w:szCs w:val="21"/>
                <w:highlight w:val="none"/>
              </w:rPr>
              <w:t>类收费标准</w:t>
            </w:r>
            <w:r>
              <w:rPr>
                <w:rFonts w:hint="eastAsia" w:ascii="宋体" w:hAnsi="宋体" w:eastAsia="宋体" w:cs="宋体"/>
                <w:caps w:val="0"/>
                <w:color w:val="auto"/>
                <w:spacing w:val="0"/>
                <w:w w:val="100"/>
                <w:sz w:val="21"/>
                <w:szCs w:val="21"/>
                <w:highlight w:val="none"/>
                <w:lang w:val="en-US" w:eastAsia="zh-CN"/>
              </w:rPr>
              <w:t>的90%</w:t>
            </w:r>
            <w:r>
              <w:rPr>
                <w:rFonts w:hint="eastAsia" w:ascii="宋体" w:hAnsi="宋体" w:eastAsia="宋体" w:cs="宋体"/>
                <w:caps w:val="0"/>
                <w:color w:val="auto"/>
                <w:spacing w:val="0"/>
                <w:w w:val="100"/>
                <w:sz w:val="21"/>
                <w:szCs w:val="21"/>
                <w:highlight w:val="none"/>
              </w:rPr>
              <w:t>计算，</w:t>
            </w:r>
            <w:r>
              <w:rPr>
                <w:rFonts w:hint="eastAsia" w:ascii="宋体" w:hAnsi="宋体" w:eastAsia="宋体" w:cs="宋体"/>
                <w:color w:val="auto"/>
                <w:sz w:val="22"/>
                <w:szCs w:val="22"/>
                <w:highlight w:val="none"/>
              </w:rPr>
              <w:t>由中标（成交）单位一次性支付给采购代理机构，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在报价时应充分考虑该部分费用；</w:t>
            </w:r>
          </w:p>
          <w:p w14:paraId="52CA5B3A">
            <w:p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（2）采购代理服务费可以是现金、支票或汇票。</w:t>
            </w:r>
          </w:p>
        </w:tc>
      </w:tr>
    </w:tbl>
    <w:p w14:paraId="24F58538">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52" w:name="_Toc12369"/>
      <w:r>
        <w:rPr>
          <w:rFonts w:hint="eastAsia" w:ascii="宋体" w:hAnsi="宋体" w:eastAsia="宋体" w:cs="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2E4C0395">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本次采购是按照《中华人民共和国政府采购法》、《政府采购货物和服务采购投标管理办法》、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和《关于进一步规范政府采购活动的若干意见》等法律及有关法规组织和实施的。</w:t>
      </w:r>
    </w:p>
    <w:p w14:paraId="753AF7CD">
      <w:pPr>
        <w:numPr>
          <w:ilvl w:val="0"/>
          <w:numId w:val="7"/>
        </w:numPr>
        <w:tabs>
          <w:tab w:val="left" w:pos="90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合格供应商要求以磋商公告对供应商资格条件要求的表述为准。</w:t>
      </w:r>
    </w:p>
    <w:p w14:paraId="19792D22">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磋商供应商代表</w:t>
      </w:r>
    </w:p>
    <w:p w14:paraId="2CDEA2B7">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指全权代表磋商供应商参加磋商活动并签署磋商响应文件的人。如果磋商供应商代表不是法定代表人（负责人），须持有《法定代表人（负责人）授权书》。</w:t>
      </w:r>
    </w:p>
    <w:p w14:paraId="15740B45">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磋商费用</w:t>
      </w:r>
    </w:p>
    <w:p w14:paraId="2B758BD1">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磋商供应商应承担所有与准备和参加磋商有关费用，不论磋商的结果如何，采购人均无义务和责任承担这些费用。</w:t>
      </w:r>
    </w:p>
    <w:p w14:paraId="258AF8F4">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优化政府采购金融服务</w:t>
      </w:r>
    </w:p>
    <w:p w14:paraId="4B9BBC94">
      <w:pPr>
        <w:spacing w:line="400" w:lineRule="exact"/>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38B3296">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p w14:paraId="089F924B">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供应商应仔细阅读磋商文件的所有内容，按照磋商文件的要求提交磋商响应文件，并对所提供的全部资料的真实性承担法律责任。</w:t>
      </w:r>
    </w:p>
    <w:p w14:paraId="3806C978">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bookmarkStart w:id="53" w:name="_Hlk37697637"/>
      <w:r>
        <w:rPr>
          <w:rFonts w:hint="eastAsia" w:ascii="宋体" w:hAnsi="宋体" w:eastAsia="宋体" w:cs="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16B35F0E">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14:paraId="73E30BE8">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1226305">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683B1E6D">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7DFA557E">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54" w:name="_Toc223715996"/>
      <w:bookmarkStart w:id="55" w:name="_Toc245722279"/>
      <w:bookmarkStart w:id="56" w:name="_Toc246261263"/>
      <w:bookmarkStart w:id="57" w:name="_Toc262105501"/>
      <w:bookmarkStart w:id="58" w:name="_Toc249758862"/>
      <w:bookmarkStart w:id="59" w:name="_Toc221374624"/>
      <w:bookmarkStart w:id="60" w:name="_Toc221356884"/>
      <w:bookmarkStart w:id="61" w:name="_Toc221356949"/>
      <w:bookmarkStart w:id="62" w:name="_Toc221423617"/>
      <w:bookmarkStart w:id="63" w:name="_Toc249758710"/>
      <w:bookmarkStart w:id="64" w:name="_Toc245191312"/>
      <w:bookmarkStart w:id="65" w:name="_Toc239145352"/>
      <w:bookmarkStart w:id="66" w:name="_Toc6942"/>
      <w:bookmarkStart w:id="67" w:name="_Toc262049416"/>
      <w:bookmarkStart w:id="68" w:name="_Toc241404200"/>
      <w:bookmarkStart w:id="69" w:name="_Toc222114877"/>
      <w:r>
        <w:rPr>
          <w:rFonts w:hint="eastAsia" w:ascii="宋体" w:hAnsi="宋体" w:eastAsia="宋体" w:cs="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F4A7B3B">
      <w:pPr>
        <w:numPr>
          <w:ilvl w:val="0"/>
          <w:numId w:val="9"/>
        </w:numPr>
        <w:tabs>
          <w:tab w:val="left" w:pos="425"/>
          <w:tab w:val="left" w:pos="90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磋商文件由磋商磋商文件目录所列内容及相关资料组成。</w:t>
      </w:r>
    </w:p>
    <w:p w14:paraId="511B1491">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磋商文件的澄清</w:t>
      </w:r>
    </w:p>
    <w:p w14:paraId="23DABA07">
      <w:pPr>
        <w:numPr>
          <w:ilvl w:val="1"/>
          <w:numId w:val="10"/>
        </w:numPr>
        <w:spacing w:line="400" w:lineRule="exact"/>
        <w:ind w:left="525"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53E4D243">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磋商文件的修改</w:t>
      </w:r>
    </w:p>
    <w:p w14:paraId="0585D02D">
      <w:pPr>
        <w:numPr>
          <w:ilvl w:val="1"/>
          <w:numId w:val="11"/>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在磋商响应文件递交截止期5天前，采购人无论是出于何种原因，均可对磋商文件用补充文件的方式进行修改，并在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上发布变更公告。</w:t>
      </w:r>
    </w:p>
    <w:p w14:paraId="239124C5">
      <w:pPr>
        <w:numPr>
          <w:ilvl w:val="1"/>
          <w:numId w:val="11"/>
        </w:numPr>
        <w:tabs>
          <w:tab w:val="left" w:pos="220"/>
          <w:tab w:val="left" w:pos="360"/>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磋商文件如有补充更正均见浙江政府采购网（http://www.zjzfcg.gov.cn/）。供应商须自行查看是否有补充更正文件，并按补充更正文件要求磋商，否则责任自负</w:t>
      </w:r>
      <w:r>
        <w:rPr>
          <w:rFonts w:hint="eastAsia" w:ascii="宋体" w:hAnsi="宋体" w:eastAsia="宋体" w:cs="宋体"/>
          <w:color w:val="auto"/>
          <w:sz w:val="22"/>
          <w:szCs w:val="22"/>
          <w:highlight w:val="none"/>
        </w:rPr>
        <w:t>。</w:t>
      </w:r>
    </w:p>
    <w:p w14:paraId="676ED5AB">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p w14:paraId="06937C4B">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供应商认为磋商文件、采购过程、成交或者成交结果使自己的权益受到损害的，可以在知道</w:t>
      </w:r>
      <w:r>
        <w:rPr>
          <w:rFonts w:hint="eastAsia" w:ascii="宋体" w:hAnsi="宋体" w:eastAsia="宋体" w:cs="宋体"/>
          <w:color w:val="auto"/>
          <w:sz w:val="22"/>
          <w:szCs w:val="22"/>
          <w:highlight w:val="none"/>
        </w:rPr>
        <w:t>或者应知其权益受到损害之日起7个工作日内，以书面形式向采购人、采购代理机构提出质疑。逾期提出的，采购组织机构将不予受理、答复。</w:t>
      </w:r>
    </w:p>
    <w:p w14:paraId="25FF0BBA">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供应商提出质疑应当提交质疑函和必要的证明材料，质疑函范本请到“浙江政府采购网下载专区”下载，质疑函内容及签署等相关要求请参看《政府采购质疑和投诉办法》相关规定。</w:t>
      </w:r>
    </w:p>
    <w:p w14:paraId="1939324B">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提出质疑的供应商应当是参与本项目招标活动的供应商。供应商在法定质疑期内一次性提出针对同一采购程序环节的质疑。</w:t>
      </w:r>
    </w:p>
    <w:p w14:paraId="6FB498C6">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根据《政府采购质疑和投诉办法》第三十七条的规定，投诉人在全国范围12个月内三次以上投诉查无实据的，由财政部门列入不良行为记录名单。</w:t>
      </w:r>
    </w:p>
    <w:p w14:paraId="50C6A982">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p w14:paraId="3A1B8D74">
      <w:pPr>
        <w:tabs>
          <w:tab w:val="left" w:pos="540"/>
        </w:tabs>
        <w:spacing w:line="400" w:lineRule="exact"/>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5ED5D22">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70" w:name="_Toc249758711"/>
      <w:bookmarkStart w:id="71" w:name="_Toc239145353"/>
      <w:bookmarkStart w:id="72" w:name="_Toc245191313"/>
      <w:bookmarkStart w:id="73" w:name="_Toc241404201"/>
      <w:bookmarkStart w:id="74" w:name="_Toc24411"/>
      <w:bookmarkStart w:id="75" w:name="_Toc246261264"/>
      <w:bookmarkStart w:id="76" w:name="_Toc221356950"/>
      <w:bookmarkStart w:id="77" w:name="_Toc249758863"/>
      <w:bookmarkStart w:id="78" w:name="_Toc262049417"/>
      <w:bookmarkStart w:id="79" w:name="_Toc223715997"/>
      <w:bookmarkStart w:id="80" w:name="_Toc221356885"/>
      <w:bookmarkStart w:id="81" w:name="_Toc221374625"/>
      <w:bookmarkStart w:id="82" w:name="_Toc221423618"/>
      <w:bookmarkStart w:id="83" w:name="_Toc245722280"/>
      <w:bookmarkStart w:id="84" w:name="_Toc222114878"/>
      <w:bookmarkStart w:id="85" w:name="_Toc262105502"/>
      <w:r>
        <w:rPr>
          <w:rFonts w:hint="eastAsia" w:ascii="宋体" w:hAnsi="宋体" w:eastAsia="宋体" w:cs="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F732F8">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磋商供应商应认真阅读磋商文件中所有事项格式、条款和技术规范等。</w:t>
      </w:r>
      <w:r>
        <w:rPr>
          <w:rFonts w:hint="eastAsia" w:ascii="宋体" w:hAnsi="宋体" w:eastAsia="宋体" w:cs="宋体"/>
          <w:b/>
          <w:color w:val="auto"/>
          <w:sz w:val="22"/>
          <w:szCs w:val="22"/>
          <w:highlight w:val="none"/>
        </w:rPr>
        <w:t>磋商供应商没有按照磋商文件要求提交全部资料，或者没有对磋商文件各个方面做出实质性响应，导致报价被拒绝的风险由供应商人自行承担。</w:t>
      </w:r>
    </w:p>
    <w:p w14:paraId="79759027">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磋商响应文件的构成</w:t>
      </w:r>
    </w:p>
    <w:p w14:paraId="29D3F536">
      <w:pPr>
        <w:tabs>
          <w:tab w:val="left" w:pos="360"/>
          <w:tab w:val="left" w:pos="1135"/>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磋商响应文件由由资格文件、报价文件、商务技术文件三部分构成：</w:t>
      </w:r>
    </w:p>
    <w:p w14:paraId="4579ABE9">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（1）资格文件</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46A5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494811D">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4" w:type="dxa"/>
            <w:vAlign w:val="center"/>
          </w:tcPr>
          <w:p w14:paraId="37365BE4">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523" w:type="dxa"/>
            <w:vAlign w:val="center"/>
          </w:tcPr>
          <w:p w14:paraId="33E2DB3A">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094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8B71C21">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p>
        </w:tc>
        <w:tc>
          <w:tcPr>
            <w:tcW w:w="7514" w:type="dxa"/>
            <w:vAlign w:val="center"/>
          </w:tcPr>
          <w:p w14:paraId="3D26D9EF">
            <w:pPr>
              <w:spacing w:line="40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3BC8ECEA">
            <w:pPr>
              <w:overflowPunct w:val="0"/>
              <w:spacing w:line="400" w:lineRule="exact"/>
              <w:jc w:val="center"/>
              <w:rPr>
                <w:rFonts w:hint="eastAsia" w:ascii="宋体" w:hAnsi="宋体" w:eastAsia="宋体" w:cs="宋体"/>
                <w:b/>
                <w:color w:val="auto"/>
                <w:sz w:val="22"/>
                <w:szCs w:val="22"/>
                <w:highlight w:val="none"/>
              </w:rPr>
            </w:pPr>
          </w:p>
        </w:tc>
      </w:tr>
      <w:tr w14:paraId="1FD8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3895C57">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7514" w:type="dxa"/>
            <w:vAlign w:val="center"/>
          </w:tcPr>
          <w:p w14:paraId="45003FA1">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法定代表人声明书或法定代表人授权书</w:t>
            </w:r>
          </w:p>
        </w:tc>
        <w:tc>
          <w:tcPr>
            <w:tcW w:w="1523" w:type="dxa"/>
            <w:vMerge w:val="restart"/>
            <w:vAlign w:val="center"/>
          </w:tcPr>
          <w:p w14:paraId="2059AB57">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w:t>
            </w:r>
          </w:p>
        </w:tc>
      </w:tr>
      <w:tr w14:paraId="6B19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929AF12">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7514" w:type="dxa"/>
            <w:vAlign w:val="center"/>
          </w:tcPr>
          <w:p w14:paraId="0EE349DD">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参与政府采购活动投标资格声明函</w:t>
            </w:r>
          </w:p>
        </w:tc>
        <w:tc>
          <w:tcPr>
            <w:tcW w:w="1523" w:type="dxa"/>
            <w:vMerge w:val="continue"/>
            <w:vAlign w:val="center"/>
          </w:tcPr>
          <w:p w14:paraId="43A0C99E">
            <w:pPr>
              <w:spacing w:line="400" w:lineRule="exact"/>
              <w:jc w:val="center"/>
              <w:rPr>
                <w:rFonts w:hint="eastAsia" w:ascii="宋体" w:hAnsi="宋体" w:eastAsia="宋体" w:cs="宋体"/>
                <w:color w:val="auto"/>
                <w:sz w:val="22"/>
                <w:szCs w:val="22"/>
                <w:highlight w:val="none"/>
              </w:rPr>
            </w:pPr>
          </w:p>
        </w:tc>
      </w:tr>
      <w:tr w14:paraId="516F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6A26CE0">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7514" w:type="dxa"/>
            <w:vAlign w:val="center"/>
          </w:tcPr>
          <w:p w14:paraId="68C6D793">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诚信投标承诺书</w:t>
            </w:r>
          </w:p>
        </w:tc>
        <w:tc>
          <w:tcPr>
            <w:tcW w:w="1523" w:type="dxa"/>
            <w:vMerge w:val="continue"/>
            <w:vAlign w:val="center"/>
          </w:tcPr>
          <w:p w14:paraId="1BE690EB">
            <w:pPr>
              <w:spacing w:line="400" w:lineRule="exact"/>
              <w:jc w:val="center"/>
              <w:rPr>
                <w:rFonts w:hint="eastAsia" w:ascii="宋体" w:hAnsi="宋体" w:eastAsia="宋体" w:cs="宋体"/>
                <w:color w:val="auto"/>
                <w:sz w:val="22"/>
                <w:szCs w:val="22"/>
                <w:highlight w:val="none"/>
              </w:rPr>
            </w:pPr>
          </w:p>
        </w:tc>
      </w:tr>
      <w:tr w14:paraId="26F3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AF2C3DC">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514" w:type="dxa"/>
            <w:vAlign w:val="center"/>
          </w:tcPr>
          <w:p w14:paraId="4A9131AF">
            <w:pPr>
              <w:spacing w:line="400" w:lineRule="exact"/>
              <w:rPr>
                <w:rFonts w:hint="default"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供应商“信用中国”(www.creditchina.gov.cn)；“中国政府采购网”（http://www.ccgp.gov.cn/）信用记录网页截图（采购公告发布之日至磋商截止时间前）；</w:t>
            </w:r>
          </w:p>
        </w:tc>
        <w:tc>
          <w:tcPr>
            <w:tcW w:w="1523" w:type="dxa"/>
            <w:vAlign w:val="center"/>
          </w:tcPr>
          <w:p w14:paraId="5010161D">
            <w:pPr>
              <w:spacing w:line="400" w:lineRule="exact"/>
              <w:jc w:val="center"/>
              <w:rPr>
                <w:rFonts w:hint="eastAsia" w:ascii="宋体" w:hAnsi="宋体" w:eastAsia="宋体" w:cs="宋体"/>
                <w:color w:val="auto"/>
                <w:sz w:val="22"/>
                <w:szCs w:val="22"/>
                <w:highlight w:val="none"/>
              </w:rPr>
            </w:pPr>
          </w:p>
        </w:tc>
      </w:tr>
      <w:tr w14:paraId="74DD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ACA4A8B">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6）</w:t>
            </w:r>
          </w:p>
        </w:tc>
        <w:tc>
          <w:tcPr>
            <w:tcW w:w="7514" w:type="dxa"/>
            <w:vAlign w:val="center"/>
          </w:tcPr>
          <w:p w14:paraId="33471DC3">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供应商认为其他需要提供的材料</w:t>
            </w:r>
          </w:p>
        </w:tc>
        <w:tc>
          <w:tcPr>
            <w:tcW w:w="1523" w:type="dxa"/>
            <w:vAlign w:val="center"/>
          </w:tcPr>
          <w:p w14:paraId="5BFB2ADF">
            <w:pPr>
              <w:spacing w:line="400" w:lineRule="exact"/>
              <w:jc w:val="center"/>
              <w:rPr>
                <w:rFonts w:hint="eastAsia" w:ascii="宋体" w:hAnsi="宋体" w:eastAsia="宋体" w:cs="宋体"/>
                <w:bCs/>
                <w:color w:val="auto"/>
                <w:sz w:val="22"/>
                <w:szCs w:val="22"/>
                <w:highlight w:val="none"/>
              </w:rPr>
            </w:pPr>
          </w:p>
        </w:tc>
      </w:tr>
    </w:tbl>
    <w:p w14:paraId="4E48866C">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5332AE31">
      <w:pPr>
        <w:spacing w:line="40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kern w:val="0"/>
          <w:sz w:val="22"/>
          <w:szCs w:val="22"/>
          <w:highlight w:val="none"/>
        </w:rPr>
        <w:t>报价文件</w:t>
      </w:r>
    </w:p>
    <w:tbl>
      <w:tblPr>
        <w:tblStyle w:val="3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2CF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34444E">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513" w:type="dxa"/>
            <w:vAlign w:val="center"/>
          </w:tcPr>
          <w:p w14:paraId="3A2A59D3">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1524" w:type="dxa"/>
            <w:vAlign w:val="center"/>
          </w:tcPr>
          <w:p w14:paraId="36912B26">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7CA7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508A78">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7513" w:type="dxa"/>
            <w:vAlign w:val="center"/>
          </w:tcPr>
          <w:p w14:paraId="0B789BB9">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报价一览表</w:t>
            </w:r>
          </w:p>
        </w:tc>
        <w:tc>
          <w:tcPr>
            <w:tcW w:w="1524" w:type="dxa"/>
            <w:vMerge w:val="restart"/>
            <w:vAlign w:val="center"/>
          </w:tcPr>
          <w:p w14:paraId="19BED7EB">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附件二</w:t>
            </w:r>
          </w:p>
        </w:tc>
      </w:tr>
      <w:tr w14:paraId="794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21DEC1">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7513" w:type="dxa"/>
            <w:vAlign w:val="center"/>
          </w:tcPr>
          <w:p w14:paraId="0E0B8974">
            <w:pPr>
              <w:spacing w:line="43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分项报价表</w:t>
            </w:r>
          </w:p>
        </w:tc>
        <w:tc>
          <w:tcPr>
            <w:tcW w:w="1524" w:type="dxa"/>
            <w:vMerge w:val="continue"/>
            <w:vAlign w:val="center"/>
          </w:tcPr>
          <w:p w14:paraId="3CA5A7C5">
            <w:pPr>
              <w:spacing w:line="400" w:lineRule="exact"/>
              <w:jc w:val="center"/>
              <w:rPr>
                <w:rFonts w:hint="eastAsia" w:ascii="宋体" w:hAnsi="宋体" w:eastAsia="宋体" w:cs="宋体"/>
                <w:color w:val="auto"/>
                <w:kern w:val="0"/>
                <w:sz w:val="22"/>
                <w:szCs w:val="22"/>
                <w:highlight w:val="none"/>
              </w:rPr>
            </w:pPr>
          </w:p>
        </w:tc>
      </w:tr>
      <w:tr w14:paraId="25CC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C77B12B">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7513" w:type="dxa"/>
            <w:vAlign w:val="center"/>
          </w:tcPr>
          <w:p w14:paraId="23EB6168">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小微企业（或监狱企业、残疾人福利单位）声明函</w:t>
            </w:r>
          </w:p>
        </w:tc>
        <w:tc>
          <w:tcPr>
            <w:tcW w:w="1524" w:type="dxa"/>
            <w:vMerge w:val="continue"/>
            <w:vAlign w:val="center"/>
          </w:tcPr>
          <w:p w14:paraId="17DA3288">
            <w:pPr>
              <w:spacing w:line="400" w:lineRule="exact"/>
              <w:jc w:val="center"/>
              <w:rPr>
                <w:rFonts w:hint="eastAsia" w:ascii="宋体" w:hAnsi="宋体" w:eastAsia="宋体" w:cs="宋体"/>
                <w:color w:val="auto"/>
                <w:kern w:val="0"/>
                <w:sz w:val="22"/>
                <w:szCs w:val="22"/>
                <w:highlight w:val="none"/>
              </w:rPr>
            </w:pPr>
          </w:p>
        </w:tc>
      </w:tr>
    </w:tbl>
    <w:p w14:paraId="74BF6A1F">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（3）</w:t>
      </w:r>
      <w:r>
        <w:rPr>
          <w:rFonts w:hint="eastAsia" w:ascii="宋体" w:hAnsi="宋体" w:eastAsia="宋体" w:cs="宋体"/>
          <w:b/>
          <w:color w:val="auto"/>
          <w:sz w:val="22"/>
          <w:szCs w:val="22"/>
          <w:highlight w:val="none"/>
        </w:rPr>
        <w:t>商务技术文件</w:t>
      </w:r>
    </w:p>
    <w:tbl>
      <w:tblPr>
        <w:tblStyle w:val="3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0CF8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1447D53">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3" w:type="dxa"/>
            <w:vAlign w:val="center"/>
          </w:tcPr>
          <w:p w14:paraId="7F2D3308">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524" w:type="dxa"/>
            <w:vAlign w:val="center"/>
          </w:tcPr>
          <w:p w14:paraId="0A3B4F72">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 注</w:t>
            </w:r>
          </w:p>
        </w:tc>
      </w:tr>
      <w:tr w14:paraId="78E5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49CB14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13" w:type="dxa"/>
            <w:vAlign w:val="center"/>
          </w:tcPr>
          <w:p w14:paraId="2867E39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磋商函</w:t>
            </w:r>
          </w:p>
        </w:tc>
        <w:tc>
          <w:tcPr>
            <w:tcW w:w="1524" w:type="dxa"/>
            <w:vAlign w:val="center"/>
          </w:tcPr>
          <w:p w14:paraId="01A536AE">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r w14:paraId="1319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D27607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13" w:type="dxa"/>
            <w:vAlign w:val="center"/>
          </w:tcPr>
          <w:p w14:paraId="7B8BF99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技术规格、商务条款偏离表</w:t>
            </w:r>
          </w:p>
        </w:tc>
        <w:tc>
          <w:tcPr>
            <w:tcW w:w="1524" w:type="dxa"/>
            <w:vAlign w:val="center"/>
          </w:tcPr>
          <w:p w14:paraId="3F94D265">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14:paraId="1AD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8425829">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513" w:type="dxa"/>
            <w:vAlign w:val="center"/>
          </w:tcPr>
          <w:p w14:paraId="3E894642">
            <w:pPr>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投标技术方案（按“评标细则”相关评分内容逐项编制，格式自拟）</w:t>
            </w:r>
          </w:p>
        </w:tc>
        <w:tc>
          <w:tcPr>
            <w:tcW w:w="1524" w:type="dxa"/>
            <w:vAlign w:val="center"/>
          </w:tcPr>
          <w:p w14:paraId="49D25B60">
            <w:pPr>
              <w:spacing w:line="400" w:lineRule="exact"/>
              <w:jc w:val="center"/>
              <w:rPr>
                <w:rFonts w:hint="eastAsia" w:ascii="宋体" w:hAnsi="宋体" w:eastAsia="宋体" w:cs="宋体"/>
                <w:color w:val="auto"/>
                <w:sz w:val="22"/>
                <w:szCs w:val="22"/>
                <w:highlight w:val="none"/>
              </w:rPr>
            </w:pPr>
          </w:p>
        </w:tc>
      </w:tr>
      <w:tr w14:paraId="03EB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CA4776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513" w:type="dxa"/>
            <w:vAlign w:val="center"/>
          </w:tcPr>
          <w:p w14:paraId="7E39DDA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52A63E10">
            <w:pPr>
              <w:spacing w:line="400" w:lineRule="exact"/>
              <w:jc w:val="center"/>
              <w:rPr>
                <w:rFonts w:hint="eastAsia" w:ascii="宋体" w:hAnsi="宋体" w:eastAsia="宋体" w:cs="宋体"/>
                <w:color w:val="auto"/>
                <w:sz w:val="22"/>
                <w:szCs w:val="22"/>
                <w:highlight w:val="none"/>
              </w:rPr>
            </w:pPr>
          </w:p>
        </w:tc>
      </w:tr>
      <w:tr w14:paraId="6191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4E2845F">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513" w:type="dxa"/>
            <w:vAlign w:val="center"/>
          </w:tcPr>
          <w:p w14:paraId="33AB34D8">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结合</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评分细则供应商认为需要提供的其他技术资料</w:t>
            </w:r>
          </w:p>
        </w:tc>
        <w:tc>
          <w:tcPr>
            <w:tcW w:w="1524" w:type="dxa"/>
            <w:vAlign w:val="center"/>
          </w:tcPr>
          <w:p w14:paraId="14F4225E">
            <w:pPr>
              <w:spacing w:line="400" w:lineRule="exact"/>
              <w:jc w:val="center"/>
              <w:rPr>
                <w:rFonts w:hint="eastAsia" w:ascii="宋体" w:hAnsi="宋体" w:eastAsia="宋体" w:cs="宋体"/>
                <w:color w:val="auto"/>
                <w:sz w:val="22"/>
                <w:szCs w:val="22"/>
                <w:highlight w:val="none"/>
              </w:rPr>
            </w:pPr>
          </w:p>
        </w:tc>
      </w:tr>
    </w:tbl>
    <w:p w14:paraId="5AFB9413">
      <w:pPr>
        <w:spacing w:line="400" w:lineRule="exact"/>
        <w:ind w:left="187" w:leftChars="85" w:hanging="9" w:hangingChars="4"/>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说明：</w:t>
      </w:r>
    </w:p>
    <w:p w14:paraId="6F33C7CB">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供应商可根据磋商文件中的采购内容及需求和商务技术文件评分细则，提供供应商认为需要提供的文件和资料。</w:t>
      </w:r>
    </w:p>
    <w:p w14:paraId="0CAD5597">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3703229">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以上所需的各种证书、证件、证明等若系复印件、扫描件，须加盖供应商有效的公章。</w:t>
      </w:r>
    </w:p>
    <w:p w14:paraId="5CFF338C">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14:paraId="7F62AAC1">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磋商响应文件编制</w:t>
      </w:r>
    </w:p>
    <w:p w14:paraId="3C10277E">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14:paraId="758B32B6">
      <w:pPr>
        <w:numPr>
          <w:ilvl w:val="1"/>
          <w:numId w:val="15"/>
        </w:numPr>
        <w:tabs>
          <w:tab w:val="left" w:pos="220"/>
          <w:tab w:val="clear" w:pos="992"/>
        </w:tabs>
        <w:spacing w:line="400" w:lineRule="exact"/>
        <w:ind w:left="420" w:hanging="34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0A4392BD">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w:t>
      </w:r>
    </w:p>
    <w:p w14:paraId="30FD71EF">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磋商响应文件内容不完整、编排混乱导致磋商响应文件被误读、漏读或者查找不到相关内容的，是供应商的责任。</w:t>
      </w:r>
    </w:p>
    <w:p w14:paraId="77D7FD67">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磋商响应文件因字迹潦草或表达不清所引起的后果由供应商负责。</w:t>
      </w:r>
    </w:p>
    <w:p w14:paraId="55E59B31">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1228F815">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磋商响应文件的签章</w:t>
      </w:r>
    </w:p>
    <w:p w14:paraId="4F9EDB60">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磋商响应文件的签章要求：供应商须知前附表第17款；</w:t>
      </w:r>
    </w:p>
    <w:p w14:paraId="677BD880">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磋商响应文件应由供应商法定代表人或其授权代表签章（电子签章），并同时加盖供应商公章（电子签章）。</w:t>
      </w:r>
      <w:r>
        <w:rPr>
          <w:rFonts w:hint="eastAsia" w:ascii="宋体" w:hAnsi="宋体" w:eastAsia="宋体" w:cs="宋体"/>
          <w:color w:val="auto"/>
          <w:kern w:val="0"/>
          <w:sz w:val="22"/>
          <w:szCs w:val="22"/>
          <w:highlight w:val="none"/>
          <w:lang w:val="zh-CN"/>
        </w:rPr>
        <w:t>（或先制作word版打印，相应位置签字或盖章后再扫描上传）</w:t>
      </w:r>
    </w:p>
    <w:p w14:paraId="780D29ED">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磋商响应文件的形式</w:t>
      </w:r>
    </w:p>
    <w:p w14:paraId="5B446AF7">
      <w:pPr>
        <w:tabs>
          <w:tab w:val="left" w:pos="36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磋商响应文件的形式：见供应商须知前附表第18款；</w:t>
      </w:r>
    </w:p>
    <w:p w14:paraId="4062840A">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政采云系统默认供应商自动放弃的情形</w:t>
      </w:r>
    </w:p>
    <w:p w14:paraId="7C13605A">
      <w:pPr>
        <w:tabs>
          <w:tab w:val="left" w:pos="5355"/>
        </w:tabs>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政采云系统默认供应商自动放弃的情形</w:t>
      </w:r>
      <w:r>
        <w:rPr>
          <w:rFonts w:hint="eastAsia" w:ascii="宋体" w:hAnsi="宋体" w:eastAsia="宋体" w:cs="宋体"/>
          <w:color w:val="auto"/>
          <w:sz w:val="22"/>
          <w:szCs w:val="22"/>
          <w:highlight w:val="none"/>
        </w:rPr>
        <w:t>：见供应商须知前附表第21款。</w:t>
      </w:r>
    </w:p>
    <w:p w14:paraId="7AC20DDE">
      <w:pPr>
        <w:numPr>
          <w:ilvl w:val="0"/>
          <w:numId w:val="13"/>
        </w:numPr>
        <w:spacing w:line="400" w:lineRule="exact"/>
        <w:ind w:hanging="562"/>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磋商报价</w:t>
      </w:r>
    </w:p>
    <w:p w14:paraId="68217D6D">
      <w:pPr>
        <w:numPr>
          <w:ilvl w:val="1"/>
          <w:numId w:val="17"/>
        </w:numPr>
        <w:tabs>
          <w:tab w:val="left" w:pos="420"/>
          <w:tab w:val="left" w:pos="525"/>
          <w:tab w:val="clear" w:pos="992"/>
        </w:tabs>
        <w:spacing w:line="460" w:lineRule="exact"/>
        <w:ind w:left="64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w:t>
      </w:r>
      <w:r>
        <w:rPr>
          <w:rFonts w:hint="eastAsia" w:ascii="宋体" w:hAnsi="宋体" w:cs="宋体"/>
          <w:b/>
          <w:bCs/>
          <w:color w:val="auto"/>
          <w:sz w:val="22"/>
          <w:szCs w:val="22"/>
          <w:highlight w:val="none"/>
          <w:u w:val="single"/>
        </w:rPr>
        <w:t>磋商报价是指在正确地完全履行合同义务后采购人应支付给成交供应商的合同价款，</w:t>
      </w:r>
      <w:r>
        <w:rPr>
          <w:rFonts w:hint="eastAsia" w:ascii="宋体" w:hAnsi="宋体" w:cs="宋体"/>
          <w:b/>
          <w:color w:val="auto"/>
          <w:sz w:val="22"/>
          <w:highlight w:val="none"/>
          <w:u w:val="single"/>
        </w:rPr>
        <w:t>包括</w:t>
      </w:r>
      <w:r>
        <w:rPr>
          <w:rFonts w:hint="eastAsia" w:ascii="宋体" w:hAnsi="宋体"/>
          <w:b/>
          <w:bCs/>
          <w:color w:val="auto"/>
          <w:sz w:val="22"/>
          <w:szCs w:val="22"/>
          <w:highlight w:val="none"/>
          <w:u w:val="single"/>
        </w:rPr>
        <w:t>所有技术服务、技术服务人员工资、奖金、社保金（失业、养老、医保等）、企业利润、税金、采购代理服务费</w:t>
      </w:r>
      <w:r>
        <w:rPr>
          <w:rFonts w:hint="eastAsia" w:ascii="宋体" w:hAnsi="宋体" w:cs="宋体"/>
          <w:b/>
          <w:color w:val="auto"/>
          <w:sz w:val="22"/>
          <w:highlight w:val="none"/>
          <w:u w:val="single"/>
        </w:rPr>
        <w:t>等全部本身和不可或缺的所有工作开支等各项全部费用并承担一切风险责任。供应商</w:t>
      </w:r>
      <w:r>
        <w:rPr>
          <w:rFonts w:hint="eastAsia" w:ascii="宋体" w:hAnsi="宋体" w:cs="宋体"/>
          <w:b/>
          <w:bCs/>
          <w:color w:val="auto"/>
          <w:sz w:val="22"/>
          <w:szCs w:val="22"/>
          <w:highlight w:val="none"/>
          <w:u w:val="single"/>
        </w:rPr>
        <w:t>应根据上述因素自行考虑含入磋商报价。</w:t>
      </w:r>
    </w:p>
    <w:p w14:paraId="22F36729">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14:paraId="5EA39537">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所有报价均以人民币报价，以其它货币报价的磋商不予接受。</w:t>
      </w:r>
    </w:p>
    <w:p w14:paraId="13ECB678">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采购人不接受任何选择报价，对每项内容只允许一个报价。</w:t>
      </w:r>
    </w:p>
    <w:p w14:paraId="636810AD">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采购人要求分类报价是为了方便评标，但在任何情况下不限制采购人以其认为最合适的条款、条件签订合同的权利。</w:t>
      </w:r>
    </w:p>
    <w:p w14:paraId="04282F64">
      <w:pPr>
        <w:numPr>
          <w:ilvl w:val="1"/>
          <w:numId w:val="17"/>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磋商供应商所报的价格在合同执行过程中是固定不变的，不得以任何理由予以变更。任何包含价格调整的要求，将被认为是非实质性响应报价而予以拒绝。</w:t>
      </w:r>
    </w:p>
    <w:p w14:paraId="757E8111">
      <w:pPr>
        <w:numPr>
          <w:ilvl w:val="1"/>
          <w:numId w:val="17"/>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最低报价不能作为成交的保证。</w:t>
      </w:r>
    </w:p>
    <w:p w14:paraId="70A8AFBC">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供应商如发生下列情况之一，将上报同级政府采购监督管理部门，追究其责任：</w:t>
      </w:r>
    </w:p>
    <w:p w14:paraId="61A3E982">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供应商在磋商文件规定的投标有效期内撤回投标；</w:t>
      </w:r>
    </w:p>
    <w:p w14:paraId="0A094F5A">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成交供应商未按成交通知书中规定的时间与采购人签订合同；</w:t>
      </w:r>
    </w:p>
    <w:p w14:paraId="561DE715">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供应商在磋商文件中提供虚假技术指标及参数，经磋商小组确认属实的。</w:t>
      </w:r>
    </w:p>
    <w:p w14:paraId="6C345B56">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经同级政府采购监督管理部门审查认定供应商有违反《中华人民共和国政府采购法》等有关法律法规的行为。</w:t>
      </w:r>
    </w:p>
    <w:p w14:paraId="1A3AB584">
      <w:pPr>
        <w:numPr>
          <w:ilvl w:val="0"/>
          <w:numId w:val="13"/>
        </w:numPr>
        <w:spacing w:line="40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报价文件有效期</w:t>
      </w:r>
    </w:p>
    <w:p w14:paraId="43C9BC90">
      <w:pPr>
        <w:numPr>
          <w:ilvl w:val="1"/>
          <w:numId w:val="19"/>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自开标之日起 90天内报价应保持有效。报价有效期短于这个规定期限将视为非响应性报价而予以拒绝。</w:t>
      </w:r>
    </w:p>
    <w:p w14:paraId="298063A0">
      <w:pPr>
        <w:numPr>
          <w:ilvl w:val="1"/>
          <w:numId w:val="19"/>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6FA11357">
      <w:pPr>
        <w:spacing w:before="100" w:beforeAutospacing="1" w:after="100" w:afterAutospacing="1" w:line="440" w:lineRule="exact"/>
        <w:ind w:left="783" w:hanging="783" w:hangingChars="300"/>
        <w:jc w:val="center"/>
        <w:outlineLvl w:val="0"/>
        <w:rPr>
          <w:rFonts w:hint="eastAsia" w:ascii="宋体" w:hAnsi="宋体" w:eastAsia="宋体" w:cs="宋体"/>
          <w:color w:val="auto"/>
          <w:sz w:val="22"/>
          <w:szCs w:val="22"/>
          <w:highlight w:val="none"/>
        </w:rPr>
      </w:pPr>
      <w:bookmarkStart w:id="86" w:name="_Toc221374626"/>
      <w:bookmarkStart w:id="87" w:name="_Toc246261265"/>
      <w:bookmarkStart w:id="88" w:name="_Toc249758712"/>
      <w:bookmarkStart w:id="89" w:name="_Toc5988"/>
      <w:bookmarkStart w:id="90" w:name="_Toc262049418"/>
      <w:bookmarkStart w:id="91" w:name="_Toc223715998"/>
      <w:bookmarkStart w:id="92" w:name="_Toc262105503"/>
      <w:bookmarkStart w:id="93" w:name="_Toc221356887"/>
      <w:bookmarkStart w:id="94" w:name="_Toc249758864"/>
      <w:bookmarkStart w:id="95" w:name="_Toc245722281"/>
      <w:bookmarkStart w:id="96" w:name="_Toc221423619"/>
      <w:bookmarkStart w:id="97" w:name="_Toc221356951"/>
      <w:bookmarkStart w:id="98" w:name="_Toc239145354"/>
      <w:bookmarkStart w:id="99" w:name="_Toc241404202"/>
      <w:bookmarkStart w:id="100" w:name="_Toc222114879"/>
      <w:bookmarkStart w:id="101" w:name="_Toc245191314"/>
      <w:r>
        <w:rPr>
          <w:rFonts w:hint="eastAsia" w:ascii="宋体" w:hAnsi="宋体" w:eastAsia="宋体" w:cs="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526BDD3">
      <w:pPr>
        <w:numPr>
          <w:ilvl w:val="0"/>
          <w:numId w:val="20"/>
        </w:numPr>
        <w:tabs>
          <w:tab w:val="left" w:pos="540"/>
          <w:tab w:val="clear" w:pos="420"/>
        </w:tabs>
        <w:spacing w:line="400" w:lineRule="exact"/>
        <w:rPr>
          <w:rFonts w:hint="eastAsia" w:ascii="宋体" w:hAnsi="宋体" w:eastAsia="宋体" w:cs="宋体"/>
          <w:b/>
          <w:color w:val="auto"/>
          <w:sz w:val="22"/>
          <w:szCs w:val="22"/>
          <w:highlight w:val="none"/>
        </w:rPr>
      </w:pPr>
      <w:bookmarkStart w:id="102" w:name="_Toc333430596"/>
      <w:r>
        <w:rPr>
          <w:rFonts w:hint="eastAsia" w:ascii="宋体" w:hAnsi="宋体" w:eastAsia="宋体" w:cs="宋体"/>
          <w:bCs/>
          <w:color w:val="auto"/>
          <w:sz w:val="22"/>
          <w:szCs w:val="22"/>
          <w:highlight w:val="none"/>
        </w:rPr>
        <w:t>磋商响应文件的递交</w:t>
      </w:r>
    </w:p>
    <w:p w14:paraId="286A8259">
      <w:pPr>
        <w:tabs>
          <w:tab w:val="left" w:pos="360"/>
          <w:tab w:val="left" w:pos="540"/>
        </w:tabs>
        <w:spacing w:line="40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本项目实行网上投标。响应文件</w:t>
      </w:r>
      <w:r>
        <w:rPr>
          <w:rFonts w:hint="eastAsia" w:ascii="宋体" w:hAnsi="宋体" w:eastAsia="宋体" w:cs="宋体"/>
          <w:bCs/>
          <w:color w:val="auto"/>
          <w:kern w:val="0"/>
          <w:sz w:val="22"/>
          <w:szCs w:val="22"/>
          <w:highlight w:val="none"/>
        </w:rPr>
        <w:t>的上传、递交：见供应商须知前附表第18款。</w:t>
      </w:r>
    </w:p>
    <w:p w14:paraId="4F19C049">
      <w:pPr>
        <w:numPr>
          <w:ilvl w:val="0"/>
          <w:numId w:val="20"/>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“电子加密磋商响应文件”解密和异常情况处理。</w:t>
      </w:r>
    </w:p>
    <w:p w14:paraId="70F3E354">
      <w:pPr>
        <w:tabs>
          <w:tab w:val="left" w:pos="540"/>
        </w:tabs>
        <w:spacing w:line="40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“电子加密磋商响应文件”解密：见供应商须知前附表第19款。</w:t>
      </w:r>
    </w:p>
    <w:p w14:paraId="7F58B210">
      <w:pPr>
        <w:numPr>
          <w:ilvl w:val="0"/>
          <w:numId w:val="20"/>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磋商响应文件的修改和撤回</w:t>
      </w:r>
    </w:p>
    <w:p w14:paraId="070B4911">
      <w:pPr>
        <w:numPr>
          <w:ilvl w:val="1"/>
          <w:numId w:val="21"/>
        </w:numPr>
        <w:tabs>
          <w:tab w:val="left" w:pos="540"/>
          <w:tab w:val="clear" w:pos="992"/>
        </w:tabs>
        <w:spacing w:line="40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14:paraId="6288C829">
      <w:pPr>
        <w:numPr>
          <w:ilvl w:val="1"/>
          <w:numId w:val="21"/>
        </w:numPr>
        <w:tabs>
          <w:tab w:val="left" w:pos="540"/>
          <w:tab w:val="clear" w:pos="992"/>
        </w:tabs>
        <w:spacing w:line="40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▲磋商截止时间前未完成传输的，视为撤回磋商响应文件。磋商响应截止时间后送达的投标响应文件，将被政采云平台拒收。</w:t>
      </w:r>
    </w:p>
    <w:p w14:paraId="3EF7E8F0">
      <w:pPr>
        <w:numPr>
          <w:ilvl w:val="0"/>
          <w:numId w:val="20"/>
        </w:numPr>
        <w:tabs>
          <w:tab w:val="left" w:pos="540"/>
          <w:tab w:val="clear" w:pos="42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发生下列情况之一的磋商响应文件将不予受理</w:t>
      </w:r>
      <w:r>
        <w:rPr>
          <w:rFonts w:hint="eastAsia" w:ascii="宋体" w:hAnsi="宋体" w:eastAsia="宋体" w:cs="宋体"/>
          <w:bCs/>
          <w:color w:val="auto"/>
          <w:sz w:val="22"/>
          <w:szCs w:val="22"/>
          <w:highlight w:val="none"/>
        </w:rPr>
        <w:t>：</w:t>
      </w:r>
    </w:p>
    <w:p w14:paraId="077C7119">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在磋商截止时间以后上传的磋商响应文件；</w:t>
      </w:r>
    </w:p>
    <w:p w14:paraId="5DC34B3C">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仅递交了“备份磋商响应文件”而未将电子加密磋商响应文件上传至“政府采购云平台”的；</w:t>
      </w:r>
    </w:p>
    <w:p w14:paraId="386D1168">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 xml:space="preserve">未在规定时间解密，或者，解密失败且经异常处理政采云系统仍未能识别的； </w:t>
      </w:r>
    </w:p>
    <w:p w14:paraId="08305281">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以纸质形式提交的；</w:t>
      </w:r>
    </w:p>
    <w:p w14:paraId="132034C4">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03" w:name="_Toc26870"/>
      <w:r>
        <w:rPr>
          <w:rFonts w:hint="eastAsia" w:ascii="宋体" w:hAnsi="宋体" w:eastAsia="宋体" w:cs="宋体"/>
          <w:b/>
          <w:bCs/>
          <w:color w:val="auto"/>
          <w:sz w:val="26"/>
          <w:szCs w:val="26"/>
          <w:highlight w:val="none"/>
        </w:rPr>
        <w:t>六、 磋商和评审</w:t>
      </w:r>
      <w:bookmarkEnd w:id="102"/>
      <w:bookmarkEnd w:id="103"/>
    </w:p>
    <w:p w14:paraId="3A9DCD36">
      <w:pPr>
        <w:spacing w:line="400" w:lineRule="exact"/>
        <w:ind w:left="674" w:leftChars="17" w:hanging="638" w:hangingChars="290"/>
        <w:rPr>
          <w:rFonts w:hint="eastAsia" w:ascii="宋体" w:hAnsi="宋体" w:eastAsia="宋体" w:cs="宋体"/>
          <w:color w:val="auto"/>
          <w:sz w:val="22"/>
          <w:szCs w:val="22"/>
          <w:highlight w:val="none"/>
        </w:rPr>
      </w:pPr>
      <w:bookmarkStart w:id="104" w:name="_Toc246261268"/>
      <w:bookmarkStart w:id="105" w:name="_Toc221374629"/>
      <w:bookmarkStart w:id="106" w:name="_Toc239145357"/>
      <w:bookmarkStart w:id="107" w:name="_Toc223716001"/>
      <w:bookmarkStart w:id="108" w:name="_Toc221356954"/>
      <w:bookmarkStart w:id="109" w:name="_Toc262105506"/>
      <w:bookmarkStart w:id="110" w:name="_Toc262049421"/>
      <w:bookmarkStart w:id="111" w:name="_Toc249758715"/>
      <w:bookmarkStart w:id="112" w:name="_Toc245722284"/>
      <w:bookmarkStart w:id="113" w:name="_Toc221356890"/>
      <w:bookmarkStart w:id="114" w:name="_Toc221423622"/>
      <w:bookmarkStart w:id="115" w:name="_Toc249758867"/>
      <w:bookmarkStart w:id="116" w:name="_Toc222114882"/>
      <w:bookmarkStart w:id="117" w:name="_Toc241404205"/>
      <w:bookmarkStart w:id="118" w:name="_Toc245191317"/>
      <w:r>
        <w:rPr>
          <w:rFonts w:hint="eastAsia" w:ascii="宋体" w:hAnsi="宋体" w:eastAsia="宋体" w:cs="宋体"/>
          <w:color w:val="auto"/>
          <w:sz w:val="22"/>
          <w:szCs w:val="22"/>
          <w:highlight w:val="none"/>
        </w:rPr>
        <w:t>1．磋商小组</w:t>
      </w:r>
    </w:p>
    <w:p w14:paraId="01DE4F69">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政府采购代理机构依法组建磋商小组，磋商小组的成员在磋商过程中必须严格遵守《政府采购法》、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等有关法律、法规的规定。不得泄露评审情况和评审中获悉的商业秘密。</w:t>
      </w:r>
    </w:p>
    <w:p w14:paraId="066364ED">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磋商小组由3人（含）以上的单数组成，磋商小组负责对磋商响应文件进行审查、质疑、评估、比较及确定成交候选人。</w:t>
      </w:r>
    </w:p>
    <w:p w14:paraId="43E23C9B">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2．开标（三阶段）</w:t>
      </w:r>
    </w:p>
    <w:p w14:paraId="3FD0DB51">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2.1 开标第一阶段 </w:t>
      </w:r>
    </w:p>
    <w:p w14:paraId="5A5554B5">
      <w:pPr>
        <w:numPr>
          <w:ilvl w:val="0"/>
          <w:numId w:val="23"/>
        </w:num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截止时间后，采购组织机构将向各供应商发出解密通知，各供应商代表应当在接到解密通知后登录政采云平台，对电子响应文件进行在线解密。</w:t>
      </w:r>
    </w:p>
    <w:p w14:paraId="2D0DE443">
      <w:pPr>
        <w:numPr>
          <w:ilvl w:val="0"/>
          <w:numId w:val="23"/>
        </w:numPr>
        <w:spacing w:line="400" w:lineRule="exac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异常处理：</w:t>
      </w:r>
      <w:r>
        <w:rPr>
          <w:rFonts w:hint="eastAsia" w:ascii="宋体" w:hAnsi="宋体" w:eastAsia="宋体" w:cs="宋体"/>
          <w:b/>
          <w:bCs/>
          <w:color w:val="auto"/>
          <w:sz w:val="22"/>
          <w:szCs w:val="22"/>
          <w:highlight w:val="none"/>
          <w:u w:val="single"/>
        </w:rPr>
        <w:t>如政采云上电子响应文件出现解密失败情况，供应商可根据自身意愿确认是否将备份标书压缩包的解密密码传送至采购代理机构邮箱</w:t>
      </w:r>
      <w:r>
        <w:rPr>
          <w:rFonts w:hint="eastAsia" w:ascii="宋体" w:hAnsi="宋体" w:cs="宋体"/>
          <w:b/>
          <w:bCs/>
          <w:color w:val="auto"/>
          <w:sz w:val="22"/>
          <w:szCs w:val="22"/>
          <w:highlight w:val="none"/>
          <w:u w:val="single"/>
          <w:lang w:eastAsia="zh-CN"/>
        </w:rPr>
        <w:t>1620818539@qq.com</w:t>
      </w:r>
      <w:r>
        <w:rPr>
          <w:rFonts w:hint="eastAsia" w:ascii="宋体" w:hAnsi="宋体" w:eastAsia="宋体" w:cs="宋体"/>
          <w:b/>
          <w:bCs/>
          <w:color w:val="auto"/>
          <w:sz w:val="22"/>
          <w:szCs w:val="22"/>
          <w:highlight w:val="none"/>
          <w:u w:val="single"/>
        </w:rPr>
        <w:t>,采购代理机构收到解密密码后通过【异常处理】的端口对供应商的备份响应文件进行上传（上传成功后，“电子响应文件”自动失效），不能成功上传的视为响应文件撤回）。</w:t>
      </w:r>
    </w:p>
    <w:p w14:paraId="47E2D0DD">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电子响应</w:t>
      </w:r>
      <w:r>
        <w:rPr>
          <w:rFonts w:hint="eastAsia" w:ascii="宋体" w:hAnsi="宋体" w:eastAsia="宋体" w:cs="宋体"/>
          <w:color w:val="auto"/>
          <w:sz w:val="22"/>
          <w:szCs w:val="22"/>
          <w:highlight w:val="none"/>
          <w:lang w:val="zh-CN"/>
        </w:rPr>
        <w:t>文件解密结束后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各</w:t>
      </w:r>
      <w:r>
        <w:rPr>
          <w:rFonts w:hint="eastAsia" w:ascii="宋体" w:hAnsi="宋体" w:eastAsia="宋体" w:cs="宋体"/>
          <w:color w:val="auto"/>
          <w:sz w:val="22"/>
          <w:szCs w:val="22"/>
          <w:highlight w:val="none"/>
        </w:rPr>
        <w:t>供应商签署《政府采购活动现场确认声明书》（见附件）后将扫描件发送至采购代理机构邮箱</w:t>
      </w:r>
      <w:r>
        <w:rPr>
          <w:rFonts w:hint="eastAsia" w:ascii="宋体" w:hAnsi="宋体" w:cs="宋体"/>
          <w:color w:val="auto"/>
          <w:sz w:val="22"/>
          <w:szCs w:val="22"/>
          <w:highlight w:val="none"/>
          <w:lang w:eastAsia="zh-CN"/>
        </w:rPr>
        <w:t>1620818539@qq.com</w:t>
      </w:r>
      <w:r>
        <w:rPr>
          <w:rFonts w:hint="eastAsia" w:ascii="宋体" w:hAnsi="宋体" w:eastAsia="宋体" w:cs="宋体"/>
          <w:color w:val="auto"/>
          <w:sz w:val="22"/>
          <w:szCs w:val="22"/>
          <w:highlight w:val="none"/>
          <w:lang w:val="zh-CN"/>
        </w:rPr>
        <w:t>。</w:t>
      </w:r>
    </w:p>
    <w:p w14:paraId="3A431E16">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5BF92181">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2.2开标第二阶段  </w:t>
      </w:r>
    </w:p>
    <w:p w14:paraId="4D673A52">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2D25DE78">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商务技术响应文件的评审</w:t>
      </w:r>
    </w:p>
    <w:p w14:paraId="5C768A1D">
      <w:pPr>
        <w:spacing w:line="400" w:lineRule="exact"/>
        <w:ind w:firstLine="42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14:paraId="4A1A6F22">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 开标第三阶段</w:t>
      </w:r>
    </w:p>
    <w:p w14:paraId="5A4C51F8">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磋商小组根据项目情况组织多轮报价，</w:t>
      </w:r>
      <w:r>
        <w:rPr>
          <w:rFonts w:hint="eastAsia" w:ascii="宋体" w:hAnsi="宋体" w:eastAsia="宋体" w:cs="宋体"/>
          <w:color w:val="auto"/>
          <w:kern w:val="0"/>
          <w:sz w:val="22"/>
          <w:szCs w:val="22"/>
          <w:highlight w:val="none"/>
        </w:rPr>
        <w:t>供应商在规定的时间内在政采云平台提交二次（最终）报价；</w:t>
      </w:r>
    </w:p>
    <w:p w14:paraId="77EF1AE5">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开启供应商的二次（最终）报价文件，公布二次（最终）报价有关内容，同时当场制作开标记录，供应商在线进行确认。开标结束后，由磋商小组对报价的合理性、准确性等进行审查核实。</w:t>
      </w:r>
    </w:p>
    <w:p w14:paraId="55CF2B38">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公布商务技术得分情况、二次（最终）报价有关内容及各供应商排名情况。</w:t>
      </w:r>
    </w:p>
    <w:p w14:paraId="60048522">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评审结束后，在“政采云平台”系统平台上公布中标（成交）候选供应商名单，及采购人最终确定中标（成交）供应商名单的时间和公告方式等；</w:t>
      </w:r>
    </w:p>
    <w:p w14:paraId="03008E33">
      <w:pPr>
        <w:tabs>
          <w:tab w:val="left" w:pos="540"/>
        </w:tabs>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14:paraId="18E83A8C">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3.磋商</w:t>
      </w:r>
    </w:p>
    <w:p w14:paraId="6C63753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61A708D8">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010B452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3.3在磋商过程中，磋商供应商不得向磋商小组成员询问磋商情况，不得进行旨在影响磋商结果的活动，否则将取消其磋商资格。</w:t>
      </w:r>
    </w:p>
    <w:p w14:paraId="63A6D61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3.4在磋商过程中，磋商小组成员不得与磋商供应商私下交换意见，在竞争性磋商结束后，凡与磋商情况有接触的人不得将磋商情况扩散出磋商小组成员外。</w:t>
      </w:r>
    </w:p>
    <w:p w14:paraId="0BBC8327">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3.5磋商结束后，磋商小组将要求磋商供应商在规定的时间内，统一进行最后报价，最后报价不得高于一次报价（磋商小组另有决议的除外）。</w:t>
      </w:r>
    </w:p>
    <w:p w14:paraId="3AB65B55">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3.6二次（最终）报价文件开启后，由磋商小组对各供应商的二次（最终）报价进行核查，核查时发现二次（最终）报价内容不清楚可要求供应商书面澄清，计算上的错误，可按下面方法修正：</w:t>
      </w:r>
    </w:p>
    <w:p w14:paraId="751E1247">
      <w:pPr>
        <w:numPr>
          <w:ilvl w:val="0"/>
          <w:numId w:val="26"/>
        </w:numPr>
        <w:tabs>
          <w:tab w:val="left" w:pos="720"/>
          <w:tab w:val="clear" w:pos="420"/>
        </w:tabs>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二次（最终）报价文件中上传的价格和系统中报价一览表里填写的价格不一致的，以供应商上传的</w:t>
      </w:r>
      <w:r>
        <w:rPr>
          <w:rFonts w:hint="eastAsia" w:ascii="宋体" w:hAnsi="宋体" w:eastAsia="宋体" w:cs="宋体"/>
          <w:color w:val="auto"/>
          <w:sz w:val="22"/>
          <w:szCs w:val="22"/>
          <w:highlight w:val="none"/>
        </w:rPr>
        <w:t>二次（最终）报价</w:t>
      </w:r>
      <w:r>
        <w:rPr>
          <w:rFonts w:hint="eastAsia" w:ascii="宋体" w:hAnsi="宋体" w:eastAsia="宋体" w:cs="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5DA01FD6">
      <w:pPr>
        <w:numPr>
          <w:ilvl w:val="0"/>
          <w:numId w:val="26"/>
        </w:numPr>
        <w:tabs>
          <w:tab w:val="left" w:pos="720"/>
          <w:tab w:val="clear" w:pos="420"/>
        </w:tabs>
        <w:spacing w:line="40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u w:val="single"/>
        </w:rPr>
        <w:t>▲</w:t>
      </w:r>
      <w:r>
        <w:rPr>
          <w:rFonts w:hint="eastAsia" w:ascii="宋体" w:hAnsi="宋体" w:eastAsia="宋体" w:cs="宋体"/>
          <w:b/>
          <w:color w:val="auto"/>
          <w:kern w:val="0"/>
          <w:sz w:val="22"/>
          <w:szCs w:val="22"/>
          <w:highlight w:val="none"/>
          <w:u w:val="single"/>
        </w:rPr>
        <w:t>如果供应商不接受对其价格错误进行修正，其投标无效。</w:t>
      </w:r>
    </w:p>
    <w:p w14:paraId="1695909D">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  无效标认定</w:t>
      </w:r>
    </w:p>
    <w:p w14:paraId="269D7718">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 </w:t>
      </w:r>
      <w:r>
        <w:rPr>
          <w:rFonts w:hint="eastAsia" w:ascii="宋体" w:hAnsi="宋体" w:eastAsia="宋体" w:cs="宋体"/>
          <w:b/>
          <w:bCs/>
          <w:color w:val="auto"/>
          <w:sz w:val="22"/>
          <w:szCs w:val="22"/>
          <w:highlight w:val="none"/>
          <w:u w:val="single"/>
        </w:rPr>
        <w:t>▲供应商有以下情形之一的，政府采购云平台将默认供应商自动放弃：</w:t>
      </w:r>
    </w:p>
    <w:p w14:paraId="7503CB16">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供应商未按规定上传电子响应文件的。</w:t>
      </w:r>
    </w:p>
    <w:p w14:paraId="593FA8E1">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在解密期限内供应商电子响应文件解密失败，且经异常处理后政采云电子交易系统仍未能解决的。</w:t>
      </w:r>
    </w:p>
    <w:p w14:paraId="5302450B">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供应商在规定时间内未提交二次（最终）报价的。</w:t>
      </w:r>
    </w:p>
    <w:p w14:paraId="367E3169">
      <w:pPr>
        <w:spacing w:line="400" w:lineRule="exact"/>
        <w:ind w:left="676" w:leftChars="17" w:hanging="640" w:hangingChars="29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4.2</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在磋商过程中，有下列情况之一的，经磋商小组认定后按无效报价处理：</w:t>
      </w:r>
    </w:p>
    <w:p w14:paraId="28F67F84">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电子响应文件未按规定进行CA电子签章；</w:t>
      </w:r>
    </w:p>
    <w:p w14:paraId="76648BC6">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响应文件中要求供应商法定代表人或授权代表签字的地方无法定代表人签字或其授权代表签字的；</w:t>
      </w:r>
    </w:p>
    <w:p w14:paraId="030A4DE2">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授权代表没有法定代表人合法、有效委托的；</w:t>
      </w:r>
    </w:p>
    <w:p w14:paraId="605BA601">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未按磋商文件要求提供资格文件的；</w:t>
      </w:r>
    </w:p>
    <w:p w14:paraId="045B7A41">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供应商被政府采购云平台默认自动放弃的；</w:t>
      </w:r>
    </w:p>
    <w:p w14:paraId="115768C5">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电子响应文件内容不全或关键字迹模糊无法辨认的；</w:t>
      </w:r>
    </w:p>
    <w:p w14:paraId="0CBA4D48">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磋商供应商递交两份或多份内容不同的电子响应文件的；</w:t>
      </w:r>
    </w:p>
    <w:p w14:paraId="70FABD40">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电子响应文件附有采购人不能接受的条件；</w:t>
      </w:r>
    </w:p>
    <w:p w14:paraId="428F8709">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报价明显低于其他通过符合性审查供应商的报价，且在评标现场合理的时间内不能证明其报价合理性的；</w:t>
      </w:r>
    </w:p>
    <w:p w14:paraId="4E271E38">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磋商报价（含一次报价、二次报价及最终报价）超过采购预算的；</w:t>
      </w:r>
    </w:p>
    <w:p w14:paraId="79FEBE52">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磋商小组认定不符合法律、法规和磋商文件中规定的其他实质性要求的。</w:t>
      </w:r>
    </w:p>
    <w:p w14:paraId="7858A2B9">
      <w:pPr>
        <w:pStyle w:val="203"/>
        <w:spacing w:line="40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bCs/>
          <w:color w:val="auto"/>
          <w:sz w:val="22"/>
          <w:szCs w:val="22"/>
          <w:highlight w:val="none"/>
          <w:u w:val="single"/>
        </w:rPr>
        <w:t>有下列情形之一的，认定为串通投标行为，按无效标处理：</w:t>
      </w:r>
    </w:p>
    <w:p w14:paraId="4800D6CC">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不同供应商的磋商响应文件由同一单位（或个人）编制；</w:t>
      </w:r>
    </w:p>
    <w:p w14:paraId="1F925D91">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不同供应商委托同一人办理磋商事宜的或不同供应商与同一供应商联合磋商的；</w:t>
      </w:r>
    </w:p>
    <w:p w14:paraId="03CCF3BB">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不同供应商的磋商响应文件内容出现非正常一致，或者报价细目呈明显规律性变化；</w:t>
      </w:r>
    </w:p>
    <w:p w14:paraId="17D4BEAE">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不同供应商的磋商响应文件载明的项目管理人员出现同一人的情况；</w:t>
      </w:r>
    </w:p>
    <w:p w14:paraId="354534A4">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不同供应商的磋商响应文件相互混装；</w:t>
      </w:r>
    </w:p>
    <w:p w14:paraId="511D0981">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法律、法规或规章规定的其他串通投标行为。</w:t>
      </w:r>
    </w:p>
    <w:p w14:paraId="6890118B">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5．确定成交候选人</w:t>
      </w:r>
    </w:p>
    <w:p w14:paraId="3832A4E3">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本次采购由采购人确定成交候选人。</w:t>
      </w:r>
    </w:p>
    <w:p w14:paraId="2A412434">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磋商小组应当根据综合评分情况，按照综合得分由高到低顺序推荐3名以上成交候选供应商。</w:t>
      </w:r>
      <w:r>
        <w:rPr>
          <w:rFonts w:hint="eastAsia" w:ascii="宋体" w:hAnsi="宋体" w:eastAsia="宋体" w:cs="宋体"/>
          <w:bCs/>
          <w:color w:val="auto"/>
          <w:sz w:val="22"/>
          <w:highlight w:val="none"/>
        </w:rPr>
        <w:t>综合得分相同的，以报价分得分高的优先；综合得分相同且报价分得分相同的，由磋商小组抽签决定。</w:t>
      </w:r>
    </w:p>
    <w:p w14:paraId="505BA636">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14:paraId="7DE0F604">
      <w:pPr>
        <w:tabs>
          <w:tab w:val="left" w:pos="540"/>
        </w:tabs>
        <w:spacing w:line="400" w:lineRule="exact"/>
        <w:ind w:left="552" w:hanging="552" w:hangingChars="25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rPr>
        <w:t>6．▲</w:t>
      </w:r>
      <w:r>
        <w:rPr>
          <w:rFonts w:hint="eastAsia" w:ascii="宋体" w:hAnsi="宋体" w:eastAsia="宋体" w:cs="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6BAD0F3B">
      <w:pPr>
        <w:tabs>
          <w:tab w:val="left" w:pos="540"/>
        </w:tabs>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7.   </w:t>
      </w:r>
      <w:r>
        <w:rPr>
          <w:rFonts w:hint="eastAsia" w:ascii="宋体" w:hAnsi="宋体" w:eastAsia="宋体" w:cs="宋体"/>
          <w:b/>
          <w:color w:val="auto"/>
          <w:kern w:val="0"/>
          <w:sz w:val="22"/>
          <w:szCs w:val="22"/>
          <w:highlight w:val="none"/>
        </w:rPr>
        <w:t>评审过程中遇到特殊情况，由磋商小级遵循公开、公正原则，采取投票方式按照少数服从多数原则决定。</w:t>
      </w:r>
    </w:p>
    <w:p w14:paraId="686CD2F6">
      <w:pPr>
        <w:tabs>
          <w:tab w:val="left" w:pos="540"/>
        </w:tabs>
        <w:spacing w:line="400" w:lineRule="exact"/>
        <w:ind w:left="552" w:hanging="552" w:hangingChars="25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　▲</w:t>
      </w:r>
      <w:r>
        <w:rPr>
          <w:rFonts w:hint="eastAsia" w:ascii="宋体" w:hAnsi="宋体" w:eastAsia="宋体" w:cs="宋体"/>
          <w:b/>
          <w:color w:val="auto"/>
          <w:kern w:val="0"/>
          <w:sz w:val="22"/>
          <w:szCs w:val="22"/>
          <w:highlight w:val="none"/>
          <w:u w:val="single"/>
        </w:rPr>
        <w:t>在磋商过程中符合竞争要求的供应商或者</w:t>
      </w:r>
      <w:r>
        <w:rPr>
          <w:rFonts w:hint="eastAsia" w:ascii="宋体" w:hAnsi="宋体" w:eastAsia="宋体" w:cs="宋体"/>
          <w:b/>
          <w:color w:val="auto"/>
          <w:sz w:val="22"/>
          <w:szCs w:val="22"/>
          <w:highlight w:val="none"/>
          <w:u w:val="single"/>
        </w:rPr>
        <w:t>最后磋商</w:t>
      </w:r>
      <w:r>
        <w:rPr>
          <w:rFonts w:hint="eastAsia" w:ascii="宋体" w:hAnsi="宋体" w:eastAsia="宋体" w:cs="宋体"/>
          <w:b/>
          <w:color w:val="auto"/>
          <w:kern w:val="0"/>
          <w:sz w:val="22"/>
          <w:szCs w:val="22"/>
          <w:highlight w:val="none"/>
          <w:u w:val="single"/>
        </w:rPr>
        <w:t>最终报价未超过采购预算的供应商不足3家</w:t>
      </w:r>
      <w:r>
        <w:rPr>
          <w:rFonts w:hint="eastAsia" w:ascii="宋体" w:hAnsi="宋体" w:eastAsia="宋体" w:cs="宋体"/>
          <w:b/>
          <w:color w:val="auto"/>
          <w:sz w:val="22"/>
          <w:szCs w:val="22"/>
          <w:highlight w:val="none"/>
          <w:u w:val="single"/>
        </w:rPr>
        <w:t>的，</w:t>
      </w:r>
      <w:r>
        <w:rPr>
          <w:rFonts w:hint="eastAsia" w:ascii="宋体" w:hAnsi="宋体" w:eastAsia="宋体" w:cs="宋体"/>
          <w:b/>
          <w:bCs/>
          <w:color w:val="auto"/>
          <w:sz w:val="22"/>
          <w:szCs w:val="22"/>
          <w:highlight w:val="none"/>
          <w:u w:val="single"/>
        </w:rPr>
        <w:t>按以下情况处理</w:t>
      </w:r>
      <w:r>
        <w:rPr>
          <w:rFonts w:hint="eastAsia" w:ascii="宋体" w:hAnsi="宋体" w:eastAsia="宋体" w:cs="宋体"/>
          <w:b/>
          <w:color w:val="auto"/>
          <w:kern w:val="0"/>
          <w:sz w:val="22"/>
          <w:szCs w:val="22"/>
          <w:highlight w:val="none"/>
          <w:u w:val="single"/>
        </w:rPr>
        <w:t>：</w:t>
      </w:r>
    </w:p>
    <w:p w14:paraId="4A001D9F">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770B4B1E">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2）磋商过程中符合竞争要求的供应商或者最终报价未超过采购预算的供应商仅有1家，本项目流标，应重新组织采购流程。</w:t>
      </w:r>
    </w:p>
    <w:p w14:paraId="39EFDC82">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磋商小组不向未成交供应商解释未成交原因，不退还电子响应文件。</w:t>
      </w:r>
    </w:p>
    <w:p w14:paraId="2D6B418A">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  可中止电子交易活动的情形</w:t>
      </w:r>
    </w:p>
    <w:p w14:paraId="14975C9C">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采购过程中出现以下情形，导致电子交易平台无法正常运行，或者无法保证电子交易的公平、公正和安全时，采购组织机构可中止电子交易活动：</w:t>
      </w:r>
    </w:p>
    <w:p w14:paraId="09CACA73">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电子交易平台发生故障而无法登录访问的；</w:t>
      </w:r>
    </w:p>
    <w:p w14:paraId="537B7BB5">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电子交易平台应用或数据库出现错误，不能进行正常操作的；</w:t>
      </w:r>
    </w:p>
    <w:p w14:paraId="4D0A71D6">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电子交易平台发现严重安全漏洞，有潜在泄密危险的；</w:t>
      </w:r>
    </w:p>
    <w:p w14:paraId="2EA96FDB">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电子交易平台确认病毒发作导致不能进行正常操作的；</w:t>
      </w:r>
    </w:p>
    <w:p w14:paraId="5CCD922C">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其他无法保证电子交易的公平、公正和安全的情况。</w:t>
      </w:r>
    </w:p>
    <w:p w14:paraId="42B117C7">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14:paraId="00783450">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磋商和评审方法详见《磋商原则及方法》。</w:t>
      </w:r>
    </w:p>
    <w:p w14:paraId="63F5209B">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未详尽事宜，遵照有关法律法规执行。</w:t>
      </w:r>
    </w:p>
    <w:p w14:paraId="399FAD64">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19" w:name="_Toc422225256"/>
      <w:bookmarkStart w:id="120" w:name="_Toc246261267"/>
      <w:bookmarkStart w:id="121" w:name="_Toc221374628"/>
      <w:bookmarkStart w:id="122" w:name="_Toc221423621"/>
      <w:bookmarkStart w:id="123" w:name="_Toc245722283"/>
      <w:bookmarkStart w:id="124" w:name="_Toc11411"/>
      <w:bookmarkStart w:id="125" w:name="_Toc262105505"/>
      <w:bookmarkStart w:id="126" w:name="_Toc239145356"/>
      <w:bookmarkStart w:id="127" w:name="_Toc222114881"/>
      <w:bookmarkStart w:id="128" w:name="_Toc12141"/>
      <w:bookmarkStart w:id="129" w:name="_Toc262049420"/>
      <w:bookmarkStart w:id="130" w:name="_Toc241404204"/>
      <w:bookmarkStart w:id="131" w:name="_Toc223716000"/>
      <w:bookmarkStart w:id="132" w:name="_Toc221356889"/>
      <w:bookmarkStart w:id="133" w:name="_Toc245191316"/>
      <w:bookmarkStart w:id="134" w:name="_Toc249758714"/>
      <w:bookmarkStart w:id="135" w:name="_Toc32288"/>
      <w:bookmarkStart w:id="136" w:name="_Toc221356953"/>
      <w:bookmarkStart w:id="137" w:name="_Toc249758866"/>
      <w:r>
        <w:rPr>
          <w:rFonts w:hint="eastAsia" w:ascii="宋体" w:hAnsi="宋体" w:eastAsia="宋体" w:cs="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E95467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定标</w:t>
      </w:r>
    </w:p>
    <w:p w14:paraId="603FAF21">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1.1 磋商小组提交评审报告之日起2个工作日内，</w:t>
      </w:r>
      <w:r>
        <w:rPr>
          <w:rFonts w:hint="eastAsia" w:ascii="宋体" w:hAnsi="宋体" w:eastAsia="宋体" w:cs="宋体"/>
          <w:color w:val="auto"/>
          <w:kern w:val="0"/>
          <w:sz w:val="22"/>
          <w:szCs w:val="22"/>
          <w:highlight w:val="none"/>
        </w:rPr>
        <w:t>采购人在磋商小组推荐的成交候选供应商名单中最终确定成交供应商。</w:t>
      </w:r>
    </w:p>
    <w:p w14:paraId="7D3F236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采购代理机构在“政采云”平台上公示成交结果，成交公告期限为1个工作日。</w:t>
      </w:r>
    </w:p>
    <w:p w14:paraId="31AD16E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14:paraId="0B94526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在公示成交结果的同时，采购人向成交供应商发出成交通知书。</w:t>
      </w:r>
    </w:p>
    <w:p w14:paraId="3A548EA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签订合同</w:t>
      </w:r>
    </w:p>
    <w:p w14:paraId="49841DBF">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11687772">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竞争性磋商文件、成交供应商的磋商响应文件及磋商响应修改文件、磋商评审过程中有关澄清文件及经双方签字的询标纪要（承诺）和成交通知书均作为合同附件。</w:t>
      </w:r>
    </w:p>
    <w:p w14:paraId="694CEDD1">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拒签合同的责任</w:t>
      </w:r>
    </w:p>
    <w:p w14:paraId="7AD7814B">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成交供应商在规定时间内（30日历天）借故否认已经承诺的条件、拒签合同者，以投标违约处理，赔偿采购人由此造成的直接经济损失；采购人重新组织招标的，所需费用由原成交供应商承担。</w:t>
      </w:r>
    </w:p>
    <w:p w14:paraId="7CD9559E">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2.5成交供应商应在合同签订后2个工作日内提交一份合同文本扫描件报采购代理机构备案。</w:t>
      </w:r>
    </w:p>
    <w:p w14:paraId="1D4B06F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3.成交供应商有以下情况的，则采购人有权决定是否将其成交资格转交成交备选供应商或重新组织项目采购流程：</w:t>
      </w:r>
    </w:p>
    <w:p w14:paraId="6AB80D75">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成交供应商主动放弃成交资格；</w:t>
      </w:r>
    </w:p>
    <w:p w14:paraId="307D6FF8">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成交供应商因不可抗力提出不能履行合同；</w:t>
      </w:r>
    </w:p>
    <w:p w14:paraId="22C881E9">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成交供应商未能在规定时间内与采购人签订合同；</w:t>
      </w:r>
    </w:p>
    <w:p w14:paraId="59053240">
      <w:pPr>
        <w:numPr>
          <w:ilvl w:val="0"/>
          <w:numId w:val="31"/>
        </w:numPr>
        <w:spacing w:line="400" w:lineRule="exact"/>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经质疑，采购人审查后，成交供应商确实在本次采购活动中存在违法违规行为或其他原因使质疑成立的。</w:t>
      </w:r>
    </w:p>
    <w:p w14:paraId="1BC2F21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b/>
          <w:bCs/>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14:paraId="042106BC">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lang w:val="en-US" w:eastAsia="zh-CN"/>
        </w:rPr>
      </w:pPr>
      <w:bookmarkStart w:id="138" w:name="_Toc18423"/>
      <w:bookmarkStart w:id="139" w:name="_Toc25540"/>
      <w:r>
        <w:rPr>
          <w:rFonts w:hint="eastAsia" w:ascii="宋体" w:hAnsi="宋体" w:eastAsia="宋体" w:cs="宋体"/>
          <w:b/>
          <w:bCs/>
          <w:color w:val="auto"/>
          <w:sz w:val="26"/>
          <w:szCs w:val="26"/>
          <w:highlight w:val="none"/>
          <w:lang w:val="en-US" w:eastAsia="zh-CN"/>
        </w:rPr>
        <w:t>八、验收</w:t>
      </w:r>
      <w:bookmarkEnd w:id="138"/>
      <w:bookmarkEnd w:id="139"/>
    </w:p>
    <w:p w14:paraId="0A703AAE">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D218CC">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14:paraId="5AF5FE42">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7F1ABE5">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7D15FC">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宋体"/>
          <w:b/>
          <w:bCs w:val="0"/>
          <w:color w:val="auto"/>
          <w:sz w:val="22"/>
          <w:szCs w:val="22"/>
          <w:highlight w:val="none"/>
          <w:lang w:val="en-US" w:eastAsia="zh-CN"/>
        </w:rPr>
      </w:pPr>
      <w:bookmarkStart w:id="140" w:name="_Hlt68073093"/>
      <w:bookmarkEnd w:id="140"/>
      <w:bookmarkStart w:id="141" w:name="_Hlt74714665"/>
      <w:bookmarkEnd w:id="141"/>
      <w:bookmarkStart w:id="142" w:name="_Hlt75236101"/>
      <w:bookmarkEnd w:id="142"/>
      <w:bookmarkStart w:id="143" w:name="_Hlt74707468"/>
      <w:bookmarkEnd w:id="143"/>
      <w:bookmarkStart w:id="144" w:name="_Hlt74730295"/>
      <w:bookmarkEnd w:id="144"/>
      <w:bookmarkStart w:id="145" w:name="_Hlt68403820"/>
      <w:bookmarkEnd w:id="145"/>
      <w:bookmarkStart w:id="146" w:name="_Hlt75236290"/>
      <w:bookmarkEnd w:id="146"/>
      <w:bookmarkStart w:id="147" w:name="_Hlt74729768"/>
      <w:bookmarkEnd w:id="147"/>
      <w:bookmarkStart w:id="148" w:name="_Hlt68072990"/>
      <w:bookmarkEnd w:id="148"/>
      <w:bookmarkStart w:id="149" w:name="_Hlt68072998"/>
      <w:bookmarkEnd w:id="149"/>
      <w:bookmarkStart w:id="150" w:name="_Hlt68057669"/>
      <w:bookmarkEnd w:id="150"/>
      <w:bookmarkStart w:id="151" w:name="_Hlt75236011"/>
      <w:bookmarkEnd w:id="151"/>
      <w:r>
        <w:rPr>
          <w:rFonts w:hint="eastAsia" w:ascii="宋体" w:hAnsi="宋体" w:eastAsia="宋体" w:cs="宋体"/>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14:paraId="40D0D294">
      <w:pPr>
        <w:pStyle w:val="3"/>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52" w:name="_Toc29173"/>
      <w:r>
        <w:rPr>
          <w:rFonts w:hint="eastAsia" w:ascii="宋体" w:hAnsi="宋体" w:eastAsia="宋体" w:cs="宋体"/>
          <w:color w:val="auto"/>
          <w:sz w:val="36"/>
          <w:szCs w:val="36"/>
          <w:highlight w:val="none"/>
        </w:rPr>
        <w:t>第二部分   采购内容及要求</w:t>
      </w:r>
      <w:bookmarkEnd w:id="152"/>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73AB126B">
      <w:pPr>
        <w:adjustRightInd w:val="0"/>
        <w:snapToGrid w:val="0"/>
        <w:spacing w:line="400" w:lineRule="exact"/>
        <w:ind w:firstLine="480"/>
        <w:rPr>
          <w:rFonts w:hint="eastAsia" w:ascii="宋体" w:hAnsi="宋体" w:eastAsia="宋体" w:cs="宋体"/>
          <w:b/>
          <w:bCs/>
          <w:color w:val="auto"/>
          <w:szCs w:val="21"/>
          <w:highlight w:val="none"/>
        </w:rPr>
      </w:pPr>
      <w:bookmarkStart w:id="153" w:name="_Toc246261270"/>
      <w:bookmarkStart w:id="154" w:name="_Toc241404207"/>
      <w:bookmarkStart w:id="155" w:name="_Toc221356892"/>
      <w:bookmarkStart w:id="156" w:name="_Toc222114884"/>
      <w:bookmarkStart w:id="157" w:name="_Toc249758870"/>
      <w:bookmarkStart w:id="158" w:name="_Toc527717315"/>
      <w:bookmarkStart w:id="159" w:name="_Toc467175860"/>
      <w:bookmarkStart w:id="160" w:name="_Toc221423624"/>
      <w:bookmarkStart w:id="161" w:name="_Toc507146682"/>
      <w:bookmarkStart w:id="162" w:name="_Toc249758718"/>
      <w:bookmarkStart w:id="163" w:name="_Toc21056"/>
      <w:bookmarkStart w:id="164" w:name="_Toc223716003"/>
      <w:bookmarkStart w:id="165" w:name="_Toc445832494"/>
      <w:bookmarkStart w:id="166" w:name="_Toc239145359"/>
      <w:bookmarkStart w:id="167" w:name="_Toc249758719"/>
      <w:bookmarkStart w:id="168" w:name="_Toc262105509"/>
      <w:bookmarkStart w:id="169" w:name="_Toc221356956"/>
      <w:bookmarkStart w:id="170" w:name="_Toc458516429"/>
      <w:bookmarkStart w:id="171" w:name="_Toc245722286"/>
      <w:bookmarkStart w:id="172" w:name="_Toc262049424"/>
      <w:bookmarkStart w:id="173" w:name="_Toc245191319"/>
      <w:bookmarkStart w:id="174" w:name="_Toc221374631"/>
    </w:p>
    <w:p w14:paraId="4C50914F">
      <w:pPr>
        <w:numPr>
          <w:ilvl w:val="0"/>
          <w:numId w:val="33"/>
        </w:numPr>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项目背景及概况</w:t>
      </w:r>
    </w:p>
    <w:p w14:paraId="254DE627">
      <w:pPr>
        <w:numPr>
          <w:ilvl w:val="0"/>
          <w:numId w:val="0"/>
        </w:numPr>
        <w:tabs>
          <w:tab w:val="left" w:pos="0"/>
        </w:tabs>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进一步规范全市刑事案件涉案财物的保存、移送、管理和处置工作，根据中央办公厅、国务院办公厅《关于进一步规范刑事诉讼财物处置工作的意见》（中发办【2015】7号），《浙江省刑事诉讼涉案财物跨部门管理和处置工作机制建设的指导意见》（浙公通字【2018】38号）的意见，并结合温州实际情况，全市基本建成完成刑事诉讼涉案财物跨部门统一集中管理场所及相关滚了工作机制。统一委托第三方代为集中保管，特殊物证按照有关规定进行保管。</w:t>
      </w:r>
    </w:p>
    <w:p w14:paraId="3FC6A1D8">
      <w:pPr>
        <w:spacing w:line="520" w:lineRule="exact"/>
        <w:ind w:firstLine="331" w:firstLineChars="1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二、管理中心建设要求</w:t>
      </w:r>
    </w:p>
    <w:p w14:paraId="272CF74A">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1.场地投入资源</w:t>
      </w:r>
    </w:p>
    <w:p w14:paraId="43AED64B">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不少于</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00</w:t>
      </w:r>
      <w:r>
        <w:rPr>
          <w:rFonts w:hint="eastAsia" w:ascii="宋体" w:hAnsi="宋体" w:eastAsia="宋体" w:cs="宋体"/>
          <w:color w:val="auto"/>
          <w:sz w:val="22"/>
          <w:szCs w:val="22"/>
          <w:highlight w:val="none"/>
        </w:rPr>
        <w:t>平方米的长期保管库房配置专用保管设施，硬化停车场车位不少于</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个，物品保管各个功能区域划分相对独立，安全保障措施严密。</w:t>
      </w:r>
    </w:p>
    <w:p w14:paraId="4ECD600D">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建设区域范围应设在</w:t>
      </w:r>
      <w:r>
        <w:rPr>
          <w:rFonts w:hint="eastAsia" w:ascii="宋体" w:hAnsi="宋体" w:eastAsia="宋体" w:cs="宋体"/>
          <w:color w:val="auto"/>
          <w:sz w:val="22"/>
          <w:szCs w:val="22"/>
          <w:highlight w:val="none"/>
          <w:lang w:val="en-US" w:eastAsia="zh-CN"/>
        </w:rPr>
        <w:t>温州市</w:t>
      </w:r>
      <w:r>
        <w:rPr>
          <w:rFonts w:hint="eastAsia" w:ascii="宋体" w:hAnsi="宋体" w:eastAsia="宋体" w:cs="宋体"/>
          <w:color w:val="auto"/>
          <w:sz w:val="22"/>
          <w:szCs w:val="22"/>
          <w:highlight w:val="none"/>
        </w:rPr>
        <w:t>行政管辖范围内，涉案财物管理中心仓储应独立设置，应符合消防安全要求条件，与周边居民住宅区、村居保持安全距离。</w:t>
      </w:r>
    </w:p>
    <w:p w14:paraId="4E7EA9AA">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2.场地功能区规划</w:t>
      </w:r>
    </w:p>
    <w:p w14:paraId="2B93C885">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按照采购人要求设立常规财物保管、冷藏恒温保管、涉密物品保管、贵重财物保管、电子防磁保管、违禁涉毒物品保管、化学物品保管、大宗物品保管、长期保存保管等九类库房，以及交接区、阅证区、办公区、估价室、鉴定室、接待室、档案室、监控中心、数据机房、会议室等十类功能用房，带有遮阳设施、相对封闭的硬化停车场地。</w:t>
      </w:r>
    </w:p>
    <w:p w14:paraId="4C8B4F31">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3.设备设施投入</w:t>
      </w:r>
    </w:p>
    <w:p w14:paraId="35F073EA">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按照采购人要求，配置专门运输涉案财物的押运车辆，保管涉案财物的保险柜、防磁柜、防腐柜、防化柜、冰柜以及具备三防功能的专用智能保管箱和货架等仓储保管设备，温度计、卡尺、天平等计量工具，安装空调、除湿机、新风等设施，以及包装袋、封签、发泡棉等耗材，为各类涉案财物提供符合专业要求的保管条件。保管库房、交接区、阅证（远程示证）区、价格认定室、鉴定室、档案室、数据机房等重要区域安装防盗门窗等物防设施和视频监控、入侵探测等技防设施。</w:t>
      </w:r>
    </w:p>
    <w:p w14:paraId="7F77C649">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4.管理系统</w:t>
      </w:r>
    </w:p>
    <w:p w14:paraId="28F9046D">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供应商运用涉案财物管理信息系统，对涉案财物实行智能化管理，实现信息实时录入、全程留痕、异常报警和一键盘库等功能，并对政法机关一体化办案系统开放接口。</w:t>
      </w:r>
    </w:p>
    <w:p w14:paraId="767DDEDC">
      <w:pPr>
        <w:spacing w:line="520" w:lineRule="exact"/>
        <w:ind w:firstLine="331" w:firstLineChars="1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三、服务内容</w:t>
      </w:r>
    </w:p>
    <w:p w14:paraId="0408CF7E">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1.交接押运</w:t>
      </w:r>
    </w:p>
    <w:p w14:paraId="430523AC">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供应商根据采购人通知定期上门接收涉案财物或者押运到指定地点，或者在管理中心指定场所接收清点采购人移交的涉案财物并办理入库。</w:t>
      </w:r>
    </w:p>
    <w:p w14:paraId="3766AD02">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2.管理维护</w:t>
      </w:r>
    </w:p>
    <w:p w14:paraId="4DAD0294">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供应商对入库的涉案财物实行一物一袋、一案一档、分类分区妥善保管，定期对车辆等物品予以维护保养，确保涉案财物安全和完好。</w:t>
      </w:r>
    </w:p>
    <w:p w14:paraId="5B642389">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3.受托处置</w:t>
      </w:r>
    </w:p>
    <w:p w14:paraId="6800AE7D">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供应商按照采购人生效法律文书的处置意见及处置委托书，协助做好相关涉案财物的发还、移送、销毁、拍卖变卖、长期保存等处置工作。</w:t>
      </w:r>
    </w:p>
    <w:p w14:paraId="74EF0151">
      <w:pPr>
        <w:spacing w:line="520" w:lineRule="exact"/>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4.保管要求</w:t>
      </w:r>
    </w:p>
    <w:p w14:paraId="44F5FAF6">
      <w:pPr>
        <w:spacing w:line="520" w:lineRule="exact"/>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对于大宗物品，以及其他对保管条件、保管场所有特殊要求的涉案财物，应当存放在符合条件的专门场所。    </w:t>
      </w:r>
    </w:p>
    <w:p w14:paraId="2795262F">
      <w:pPr>
        <w:spacing w:line="520" w:lineRule="exact"/>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依法对文物、金银、珠宝、名贵字画等贵重财物采取查封、扣押、扣留等措施的，应当拍照或者录像；实行双人保管。</w:t>
      </w:r>
    </w:p>
    <w:p w14:paraId="4C5CD43A">
      <w:pPr>
        <w:spacing w:line="520" w:lineRule="exact"/>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5.服务期限</w:t>
      </w:r>
    </w:p>
    <w:p w14:paraId="56DB11FE">
      <w:pPr>
        <w:spacing w:line="520" w:lineRule="exact"/>
        <w:ind w:firstLine="330" w:firstLineChars="15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一年。</w:t>
      </w:r>
    </w:p>
    <w:p w14:paraId="354C375E">
      <w:pPr>
        <w:spacing w:line="520" w:lineRule="exact"/>
        <w:ind w:firstLine="331" w:firstLineChars="1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四、知识产权</w:t>
      </w:r>
    </w:p>
    <w:p w14:paraId="1B011D32">
      <w:pPr>
        <w:spacing w:line="52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供应商应保证所提供的服务或其任何一部分均不会侵犯任何第三方的知识产权。</w:t>
      </w:r>
    </w:p>
    <w:p w14:paraId="246615A6">
      <w:pPr>
        <w:pStyle w:val="21"/>
        <w:spacing w:before="120" w:after="120" w:line="460" w:lineRule="exact"/>
        <w:ind w:firstLine="442" w:firstLineChars="200"/>
        <w:rPr>
          <w:rFonts w:hAnsi="宋体" w:cs="宋体"/>
          <w:b/>
          <w:color w:val="auto"/>
          <w:sz w:val="22"/>
          <w:szCs w:val="22"/>
          <w:highlight w:val="none"/>
          <w:u w:val="single"/>
        </w:rPr>
      </w:pPr>
    </w:p>
    <w:p w14:paraId="5DAD23E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E22DA2">
      <w:pPr>
        <w:pStyle w:val="16"/>
        <w:rPr>
          <w:rFonts w:hint="eastAsia"/>
          <w:color w:val="auto"/>
          <w:highlight w:val="none"/>
        </w:rPr>
      </w:pPr>
    </w:p>
    <w:p w14:paraId="1EEB0918">
      <w:pPr>
        <w:pStyle w:val="49"/>
        <w:rPr>
          <w:rFonts w:hint="eastAsia" w:ascii="宋体" w:hAnsi="宋体" w:eastAsia="宋体" w:cs="宋体"/>
          <w:color w:val="auto"/>
          <w:highlight w:val="none"/>
        </w:rPr>
      </w:pPr>
    </w:p>
    <w:p w14:paraId="44D55DE4">
      <w:pPr>
        <w:pStyle w:val="3"/>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3C3DFBF">
      <w:pPr>
        <w:spacing w:beforeLines="20" w:afterLines="20" w:line="440" w:lineRule="exact"/>
        <w:ind w:firstLine="325" w:firstLineChars="147"/>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根据《中华人民共和国政府采购法》、《政府采购竞争性磋商采购方式管理暂行办法》等相关法规特制定以下磋商评审办法。</w:t>
      </w:r>
    </w:p>
    <w:p w14:paraId="778B9F32">
      <w:pPr>
        <w:spacing w:line="420" w:lineRule="exact"/>
        <w:outlineLvl w:val="0"/>
        <w:rPr>
          <w:rFonts w:hint="eastAsia" w:ascii="宋体" w:hAnsi="宋体" w:eastAsia="宋体" w:cs="宋体"/>
          <w:color w:val="auto"/>
          <w:sz w:val="22"/>
          <w:szCs w:val="22"/>
          <w:highlight w:val="none"/>
        </w:rPr>
      </w:pPr>
      <w:bookmarkStart w:id="175" w:name="_Toc23884074"/>
      <w:bookmarkStart w:id="176" w:name="_Toc527717319"/>
      <w:bookmarkStart w:id="177" w:name="_Toc507146686"/>
      <w:bookmarkStart w:id="178" w:name="_Toc15523"/>
      <w:bookmarkStart w:id="179" w:name="_Toc467175864"/>
      <w:bookmarkStart w:id="180" w:name="_Toc5821"/>
      <w:bookmarkStart w:id="181" w:name="_Toc445832502"/>
      <w:bookmarkStart w:id="182" w:name="_Toc458516434"/>
      <w:bookmarkStart w:id="183" w:name="_Toc23884114"/>
      <w:r>
        <w:rPr>
          <w:rFonts w:hint="eastAsia" w:ascii="宋体" w:hAnsi="宋体" w:eastAsia="宋体" w:cs="宋体"/>
          <w:color w:val="auto"/>
          <w:sz w:val="22"/>
          <w:szCs w:val="22"/>
          <w:highlight w:val="none"/>
        </w:rPr>
        <w:t>一. 总则</w:t>
      </w:r>
      <w:bookmarkEnd w:id="175"/>
      <w:bookmarkEnd w:id="176"/>
      <w:bookmarkEnd w:id="177"/>
      <w:bookmarkEnd w:id="178"/>
      <w:bookmarkEnd w:id="179"/>
      <w:bookmarkEnd w:id="180"/>
      <w:bookmarkEnd w:id="181"/>
      <w:bookmarkEnd w:id="182"/>
      <w:bookmarkEnd w:id="183"/>
    </w:p>
    <w:p w14:paraId="7C82C6F1">
      <w:pPr>
        <w:spacing w:line="420" w:lineRule="exact"/>
        <w:ind w:left="439" w:leftChars="20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56EF8F5A">
      <w:pPr>
        <w:spacing w:line="45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二. 磋商程序</w:t>
      </w:r>
    </w:p>
    <w:p w14:paraId="60E74D9E">
      <w:pPr>
        <w:spacing w:line="400" w:lineRule="exact"/>
        <w:ind w:left="420" w:left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磋商和评审程序：本次磋商分三个阶段进行，具体详见本磋商文件《第一部分 供应商须知》“六 磋商和评审”</w:t>
      </w:r>
      <w:r>
        <w:rPr>
          <w:rFonts w:hint="eastAsia" w:ascii="宋体" w:hAnsi="宋体" w:eastAsia="宋体" w:cs="宋体"/>
          <w:color w:val="auto"/>
          <w:sz w:val="22"/>
          <w:szCs w:val="22"/>
          <w:highlight w:val="none"/>
        </w:rPr>
        <w:t>。</w:t>
      </w:r>
    </w:p>
    <w:p w14:paraId="58F22727">
      <w:pPr>
        <w:numPr>
          <w:ilvl w:val="0"/>
          <w:numId w:val="3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磋商办法</w:t>
      </w:r>
    </w:p>
    <w:p w14:paraId="7488EAA0">
      <w:pPr>
        <w:pStyle w:val="17"/>
        <w:numPr>
          <w:ilvl w:val="0"/>
          <w:numId w:val="35"/>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本项目磋商办法采取百分制综合评分法，其中商务技术</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分（商务技术权值为</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%），投标报价</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rPr>
        <w:t>分（价格权值为</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rPr>
        <w:t>%）。即最大限度地满足磋商文件实质性要求前提下，按照磋商文件中规定的各项评分内容进行综合评审。</w:t>
      </w:r>
    </w:p>
    <w:p w14:paraId="560A631B">
      <w:pPr>
        <w:pStyle w:val="17"/>
        <w:numPr>
          <w:ilvl w:val="0"/>
          <w:numId w:val="35"/>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评标过程中遇到特殊情况，由磋商小组遵循公平、公正原则，采取记名投票方式按照少数服从多数原则决定。</w:t>
      </w:r>
    </w:p>
    <w:p w14:paraId="34862620">
      <w:pPr>
        <w:pStyle w:val="17"/>
        <w:numPr>
          <w:ilvl w:val="0"/>
          <w:numId w:val="35"/>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磋商小组根据综合评分情况，按照综得分由高到低顺序推荐3名成交候选供应商，并提交评审报告。综合得分相同的，综以报价分得分高的优先；综合得分相同且报价分得分相同的，由磋商小组抽签决定。</w:t>
      </w:r>
    </w:p>
    <w:p w14:paraId="2998207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r>
        <w:rPr>
          <w:rFonts w:hint="eastAsia" w:ascii="宋体" w:hAnsi="宋体" w:eastAsia="宋体" w:cs="宋体"/>
          <w:b/>
          <w:color w:val="auto"/>
          <w:sz w:val="22"/>
          <w:szCs w:val="22"/>
          <w:highlight w:val="none"/>
        </w:rPr>
        <w:t>磋商细则</w:t>
      </w:r>
    </w:p>
    <w:p w14:paraId="0E4A5224">
      <w:pPr>
        <w:spacing w:line="45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1、商务技术评分</w:t>
      </w:r>
      <w:r>
        <w:rPr>
          <w:rFonts w:hint="eastAsia" w:ascii="宋体" w:hAnsi="宋体" w:cs="宋体"/>
          <w:color w:val="auto"/>
          <w:sz w:val="22"/>
          <w:szCs w:val="22"/>
          <w:highlight w:val="none"/>
          <w:lang w:val="en-US" w:eastAsia="zh-CN"/>
        </w:rPr>
        <w:t>80</w:t>
      </w:r>
      <w:r>
        <w:rPr>
          <w:rFonts w:hint="eastAsia" w:ascii="宋体" w:hAnsi="宋体" w:eastAsia="宋体" w:cs="宋体"/>
          <w:color w:val="auto"/>
          <w:sz w:val="22"/>
          <w:szCs w:val="22"/>
          <w:highlight w:val="none"/>
        </w:rPr>
        <w:t>分</w:t>
      </w:r>
    </w:p>
    <w:p w14:paraId="038B5D74">
      <w:pPr>
        <w:spacing w:line="45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
        <w:gridCol w:w="1161"/>
        <w:gridCol w:w="1164"/>
        <w:gridCol w:w="480"/>
        <w:gridCol w:w="6552"/>
      </w:tblGrid>
      <w:tr w14:paraId="7A4D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90" w:type="dxa"/>
            <w:vAlign w:val="center"/>
          </w:tcPr>
          <w:p w14:paraId="70EDA43C">
            <w:pPr>
              <w:snapToGrid w:val="0"/>
              <w:jc w:val="center"/>
              <w:rPr>
                <w:rFonts w:ascii="宋体" w:hAnsi="宋体" w:cs="楷体"/>
                <w:color w:val="auto"/>
                <w:sz w:val="22"/>
                <w:szCs w:val="22"/>
                <w:highlight w:val="none"/>
              </w:rPr>
            </w:pPr>
            <w:r>
              <w:rPr>
                <w:rFonts w:hint="eastAsia" w:ascii="宋体" w:hAnsi="宋体" w:cs="楷体"/>
                <w:color w:val="auto"/>
                <w:sz w:val="22"/>
                <w:szCs w:val="22"/>
                <w:highlight w:val="none"/>
              </w:rPr>
              <w:t>序号</w:t>
            </w:r>
          </w:p>
        </w:tc>
        <w:tc>
          <w:tcPr>
            <w:tcW w:w="2325" w:type="dxa"/>
            <w:gridSpan w:val="2"/>
            <w:tcBorders>
              <w:right w:val="single" w:color="auto" w:sz="4" w:space="0"/>
            </w:tcBorders>
            <w:vAlign w:val="center"/>
          </w:tcPr>
          <w:p w14:paraId="4199B7FA">
            <w:pPr>
              <w:snapToGrid w:val="0"/>
              <w:jc w:val="center"/>
              <w:rPr>
                <w:rFonts w:ascii="宋体" w:hAnsi="宋体" w:cs="楷体"/>
                <w:color w:val="auto"/>
                <w:sz w:val="22"/>
                <w:szCs w:val="22"/>
                <w:highlight w:val="none"/>
              </w:rPr>
            </w:pPr>
            <w:r>
              <w:rPr>
                <w:rFonts w:hint="eastAsia" w:ascii="宋体" w:hAnsi="宋体" w:cs="楷体"/>
                <w:color w:val="auto"/>
                <w:sz w:val="22"/>
                <w:szCs w:val="22"/>
                <w:highlight w:val="none"/>
              </w:rPr>
              <w:t>评分内容</w:t>
            </w:r>
          </w:p>
        </w:tc>
        <w:tc>
          <w:tcPr>
            <w:tcW w:w="480" w:type="dxa"/>
            <w:tcBorders>
              <w:left w:val="single" w:color="auto" w:sz="4" w:space="0"/>
            </w:tcBorders>
            <w:vAlign w:val="center"/>
          </w:tcPr>
          <w:p w14:paraId="09E0E0B4">
            <w:pPr>
              <w:snapToGrid w:val="0"/>
              <w:jc w:val="center"/>
              <w:rPr>
                <w:rFonts w:ascii="宋体" w:hAnsi="宋体" w:cs="楷体"/>
                <w:color w:val="auto"/>
                <w:sz w:val="22"/>
                <w:szCs w:val="22"/>
                <w:highlight w:val="none"/>
              </w:rPr>
            </w:pPr>
            <w:r>
              <w:rPr>
                <w:rFonts w:hint="eastAsia" w:ascii="宋体" w:hAnsi="宋体" w:cs="楷体"/>
                <w:color w:val="auto"/>
                <w:sz w:val="22"/>
                <w:szCs w:val="22"/>
                <w:highlight w:val="none"/>
              </w:rPr>
              <w:t>满分</w:t>
            </w:r>
          </w:p>
        </w:tc>
        <w:tc>
          <w:tcPr>
            <w:tcW w:w="6552" w:type="dxa"/>
            <w:vAlign w:val="center"/>
          </w:tcPr>
          <w:p w14:paraId="310FC7F8">
            <w:pPr>
              <w:snapToGrid w:val="0"/>
              <w:jc w:val="center"/>
              <w:rPr>
                <w:rFonts w:ascii="宋体" w:hAnsi="宋体" w:cs="楷体"/>
                <w:color w:val="auto"/>
                <w:sz w:val="22"/>
                <w:szCs w:val="22"/>
                <w:highlight w:val="none"/>
              </w:rPr>
            </w:pPr>
            <w:r>
              <w:rPr>
                <w:rFonts w:hint="eastAsia" w:ascii="宋体" w:hAnsi="宋体" w:cs="楷体"/>
                <w:color w:val="auto"/>
                <w:sz w:val="22"/>
                <w:szCs w:val="22"/>
                <w:highlight w:val="none"/>
              </w:rPr>
              <w:t>评分档次</w:t>
            </w:r>
          </w:p>
        </w:tc>
      </w:tr>
      <w:tr w14:paraId="01CD9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Align w:val="center"/>
          </w:tcPr>
          <w:p w14:paraId="627A6281">
            <w:pPr>
              <w:snapToGrid w:val="0"/>
              <w:jc w:val="center"/>
              <w:rPr>
                <w:rFonts w:ascii="宋体" w:hAnsi="宋体" w:cs="楷体"/>
                <w:color w:val="auto"/>
                <w:sz w:val="22"/>
                <w:szCs w:val="22"/>
                <w:highlight w:val="none"/>
              </w:rPr>
            </w:pPr>
            <w:r>
              <w:rPr>
                <w:rFonts w:hint="eastAsia" w:ascii="宋体" w:hAnsi="宋体" w:cs="楷体"/>
                <w:color w:val="auto"/>
                <w:sz w:val="22"/>
                <w:szCs w:val="22"/>
                <w:highlight w:val="none"/>
              </w:rPr>
              <w:t>1</w:t>
            </w:r>
          </w:p>
        </w:tc>
        <w:tc>
          <w:tcPr>
            <w:tcW w:w="2325" w:type="dxa"/>
            <w:gridSpan w:val="2"/>
            <w:tcBorders>
              <w:right w:val="single" w:color="auto" w:sz="4" w:space="0"/>
            </w:tcBorders>
            <w:vAlign w:val="center"/>
          </w:tcPr>
          <w:p w14:paraId="30F644C3">
            <w:pPr>
              <w:snapToGrid w:val="0"/>
              <w:jc w:val="left"/>
              <w:rPr>
                <w:rFonts w:ascii="宋体" w:hAnsi="宋体"/>
                <w:color w:val="auto"/>
                <w:sz w:val="22"/>
                <w:szCs w:val="22"/>
                <w:highlight w:val="none"/>
              </w:rPr>
            </w:pPr>
            <w:r>
              <w:rPr>
                <w:rFonts w:hint="eastAsia" w:ascii="宋体" w:hAnsi="宋体"/>
                <w:color w:val="auto"/>
                <w:sz w:val="22"/>
                <w:szCs w:val="22"/>
                <w:highlight w:val="none"/>
              </w:rPr>
              <w:t>供应商综合实力</w:t>
            </w:r>
          </w:p>
        </w:tc>
        <w:tc>
          <w:tcPr>
            <w:tcW w:w="480" w:type="dxa"/>
            <w:tcBorders>
              <w:left w:val="single" w:color="auto" w:sz="4" w:space="0"/>
            </w:tcBorders>
            <w:vAlign w:val="center"/>
          </w:tcPr>
          <w:p w14:paraId="269947E5">
            <w:pPr>
              <w:snapToGrid w:val="0"/>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6552" w:type="dxa"/>
            <w:vAlign w:val="center"/>
          </w:tcPr>
          <w:p w14:paraId="44EEC0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综合比较各供应商的基本情况、服务能力等因素，是否能提供良好的长期服务能力，综合评定打分。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评分范围：4，3，2，1，0</w:t>
            </w:r>
            <w:r>
              <w:rPr>
                <w:rFonts w:hint="eastAsia" w:ascii="宋体" w:hAnsi="宋体" w:cs="宋体"/>
                <w:color w:val="auto"/>
                <w:sz w:val="22"/>
                <w:szCs w:val="22"/>
                <w:highlight w:val="none"/>
                <w:lang w:eastAsia="zh-CN"/>
              </w:rPr>
              <w:t>】</w:t>
            </w:r>
          </w:p>
        </w:tc>
      </w:tr>
      <w:tr w14:paraId="6CA62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390" w:type="dxa"/>
            <w:vAlign w:val="center"/>
          </w:tcPr>
          <w:p w14:paraId="4BBCB4E7">
            <w:pPr>
              <w:snapToGrid w:val="0"/>
              <w:jc w:val="center"/>
              <w:rPr>
                <w:rFonts w:hint="eastAsia" w:ascii="宋体" w:hAnsi="宋体" w:eastAsia="宋体" w:cs="楷体"/>
                <w:color w:val="auto"/>
                <w:sz w:val="22"/>
                <w:szCs w:val="22"/>
                <w:highlight w:val="none"/>
                <w:lang w:val="en-US" w:eastAsia="zh-CN"/>
              </w:rPr>
            </w:pPr>
            <w:r>
              <w:rPr>
                <w:rFonts w:hint="eastAsia" w:ascii="宋体" w:hAnsi="宋体" w:cs="楷体"/>
                <w:color w:val="auto"/>
                <w:sz w:val="22"/>
                <w:szCs w:val="22"/>
                <w:highlight w:val="none"/>
                <w:lang w:val="en-US" w:eastAsia="zh-CN"/>
              </w:rPr>
              <w:t>2</w:t>
            </w:r>
          </w:p>
        </w:tc>
        <w:tc>
          <w:tcPr>
            <w:tcW w:w="2325" w:type="dxa"/>
            <w:gridSpan w:val="2"/>
            <w:tcBorders>
              <w:right w:val="single" w:color="auto" w:sz="4" w:space="0"/>
            </w:tcBorders>
            <w:vAlign w:val="center"/>
          </w:tcPr>
          <w:p w14:paraId="36E581BC">
            <w:pPr>
              <w:snapToGrid w:val="0"/>
              <w:jc w:val="lef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供应商认证</w:t>
            </w:r>
          </w:p>
        </w:tc>
        <w:tc>
          <w:tcPr>
            <w:tcW w:w="480" w:type="dxa"/>
            <w:tcBorders>
              <w:left w:val="single" w:color="auto" w:sz="4" w:space="0"/>
            </w:tcBorders>
            <w:vAlign w:val="center"/>
          </w:tcPr>
          <w:p w14:paraId="2DBD472A">
            <w:pPr>
              <w:snapToGrid w:val="0"/>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12</w:t>
            </w:r>
          </w:p>
        </w:tc>
        <w:tc>
          <w:tcPr>
            <w:tcW w:w="6552" w:type="dxa"/>
            <w:vAlign w:val="center"/>
          </w:tcPr>
          <w:p w14:paraId="68DA86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1.供应商具有有效的安全防范设施合格证的得3分，具有有效的武装守护押运登记证书的得3分，最高得6分。</w:t>
            </w:r>
          </w:p>
          <w:p w14:paraId="6FA106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2.供应商具有有效的质量管理体系认证证书、环境管理体系认证证书、职业健康安全管理体系认证证书，每获得1项得1分，最高得3分。</w:t>
            </w:r>
          </w:p>
          <w:p w14:paraId="43F06B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3.自2018年1月1日以来，供应商获得过政府部门颁发的荣誉（奖项）的，每1个得1分，最高得3分。</w:t>
            </w:r>
          </w:p>
          <w:p w14:paraId="6E7989D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提供相关证明材料，扫描件加盖公章。</w:t>
            </w:r>
          </w:p>
        </w:tc>
      </w:tr>
      <w:tr w14:paraId="2E51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90" w:type="dxa"/>
            <w:vAlign w:val="center"/>
          </w:tcPr>
          <w:p w14:paraId="6F401895">
            <w:pPr>
              <w:snapToGrid w:val="0"/>
              <w:jc w:val="center"/>
              <w:rPr>
                <w:rFonts w:hint="eastAsia" w:ascii="宋体" w:hAnsi="宋体" w:eastAsia="宋体" w:cs="楷体"/>
                <w:color w:val="auto"/>
                <w:sz w:val="22"/>
                <w:szCs w:val="22"/>
                <w:highlight w:val="none"/>
                <w:lang w:eastAsia="zh-CN"/>
              </w:rPr>
            </w:pPr>
            <w:r>
              <w:rPr>
                <w:rFonts w:hint="eastAsia" w:ascii="宋体" w:hAnsi="宋体" w:cs="楷体"/>
                <w:color w:val="auto"/>
                <w:sz w:val="22"/>
                <w:szCs w:val="22"/>
                <w:highlight w:val="none"/>
                <w:lang w:val="en-US" w:eastAsia="zh-CN"/>
              </w:rPr>
              <w:t>3</w:t>
            </w:r>
          </w:p>
        </w:tc>
        <w:tc>
          <w:tcPr>
            <w:tcW w:w="2325" w:type="dxa"/>
            <w:gridSpan w:val="2"/>
            <w:tcBorders>
              <w:right w:val="single" w:color="auto" w:sz="4" w:space="0"/>
            </w:tcBorders>
            <w:vAlign w:val="center"/>
          </w:tcPr>
          <w:p w14:paraId="2275A476">
            <w:pPr>
              <w:snapToGrid w:val="0"/>
              <w:jc w:val="left"/>
              <w:rPr>
                <w:rFonts w:ascii="宋体" w:hAnsi="宋体" w:cs="楷体"/>
                <w:color w:val="auto"/>
                <w:sz w:val="22"/>
                <w:szCs w:val="22"/>
                <w:highlight w:val="none"/>
              </w:rPr>
            </w:pPr>
            <w:r>
              <w:rPr>
                <w:rFonts w:hint="eastAsia" w:ascii="宋体" w:hAnsi="宋体" w:cs="楷体"/>
                <w:color w:val="auto"/>
                <w:sz w:val="22"/>
                <w:szCs w:val="22"/>
                <w:highlight w:val="none"/>
              </w:rPr>
              <w:t>类似项目经验</w:t>
            </w:r>
          </w:p>
        </w:tc>
        <w:tc>
          <w:tcPr>
            <w:tcW w:w="480" w:type="dxa"/>
            <w:tcBorders>
              <w:left w:val="single" w:color="auto" w:sz="4" w:space="0"/>
            </w:tcBorders>
            <w:vAlign w:val="center"/>
          </w:tcPr>
          <w:p w14:paraId="1E9390C0">
            <w:pPr>
              <w:snapToGrid w:val="0"/>
              <w:jc w:val="center"/>
              <w:rPr>
                <w:rFonts w:ascii="宋体" w:hAnsi="宋体"/>
                <w:color w:val="auto"/>
                <w:sz w:val="22"/>
                <w:szCs w:val="22"/>
                <w:highlight w:val="none"/>
              </w:rPr>
            </w:pPr>
            <w:r>
              <w:rPr>
                <w:rFonts w:hint="eastAsia" w:ascii="宋体" w:hAnsi="宋体"/>
                <w:color w:val="auto"/>
                <w:sz w:val="22"/>
                <w:szCs w:val="22"/>
                <w:highlight w:val="none"/>
              </w:rPr>
              <w:t>2</w:t>
            </w:r>
          </w:p>
        </w:tc>
        <w:tc>
          <w:tcPr>
            <w:tcW w:w="6552" w:type="dxa"/>
            <w:vAlign w:val="center"/>
          </w:tcPr>
          <w:p w14:paraId="031B4E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供应商202</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年至今具有涉案财物管理的案例，每提供一份有效业绩证明材料得1分，最多得2分。</w:t>
            </w:r>
          </w:p>
          <w:p w14:paraId="249C39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有效业绩证明材料：以合同复印件为准，且合同内须体现相关信息，否则不予认可。</w:t>
            </w:r>
          </w:p>
        </w:tc>
      </w:tr>
      <w:tr w14:paraId="3A42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Align w:val="center"/>
          </w:tcPr>
          <w:p w14:paraId="3D4F0757">
            <w:pPr>
              <w:snapToGrid w:val="0"/>
              <w:jc w:val="center"/>
              <w:rPr>
                <w:rFonts w:hint="eastAsia" w:ascii="宋体" w:hAnsi="宋体" w:eastAsia="宋体" w:cs="楷体"/>
                <w:color w:val="auto"/>
                <w:sz w:val="22"/>
                <w:szCs w:val="22"/>
                <w:highlight w:val="none"/>
                <w:lang w:eastAsia="zh-CN"/>
              </w:rPr>
            </w:pPr>
            <w:r>
              <w:rPr>
                <w:rFonts w:hint="eastAsia" w:ascii="宋体" w:hAnsi="宋体" w:cs="楷体"/>
                <w:color w:val="auto"/>
                <w:sz w:val="22"/>
                <w:szCs w:val="22"/>
                <w:highlight w:val="none"/>
                <w:lang w:val="en-US" w:eastAsia="zh-CN"/>
              </w:rPr>
              <w:t>4</w:t>
            </w:r>
          </w:p>
        </w:tc>
        <w:tc>
          <w:tcPr>
            <w:tcW w:w="2325" w:type="dxa"/>
            <w:gridSpan w:val="2"/>
            <w:tcBorders>
              <w:right w:val="single" w:color="auto" w:sz="4" w:space="0"/>
            </w:tcBorders>
            <w:vAlign w:val="center"/>
          </w:tcPr>
          <w:p w14:paraId="79BAD860">
            <w:pPr>
              <w:snapToGrid w:val="0"/>
              <w:jc w:val="left"/>
              <w:rPr>
                <w:rFonts w:ascii="宋体" w:hAnsi="宋体" w:cs="楷体"/>
                <w:color w:val="auto"/>
                <w:sz w:val="22"/>
                <w:szCs w:val="22"/>
                <w:highlight w:val="none"/>
              </w:rPr>
            </w:pPr>
            <w:r>
              <w:rPr>
                <w:rFonts w:hint="eastAsia" w:ascii="宋体" w:hAnsi="宋体" w:eastAsia="宋体" w:cs="宋体"/>
                <w:b w:val="0"/>
                <w:bCs w:val="0"/>
                <w:color w:val="auto"/>
                <w:sz w:val="21"/>
                <w:szCs w:val="21"/>
                <w:highlight w:val="none"/>
                <w:lang w:eastAsia="zh-CN"/>
              </w:rPr>
              <w:t>场地</w:t>
            </w:r>
            <w:r>
              <w:rPr>
                <w:rFonts w:hint="eastAsia" w:ascii="宋体" w:hAnsi="宋体" w:cs="宋体"/>
                <w:b w:val="0"/>
                <w:bCs w:val="0"/>
                <w:color w:val="auto"/>
                <w:sz w:val="21"/>
                <w:szCs w:val="21"/>
                <w:highlight w:val="none"/>
                <w:lang w:val="en-US" w:eastAsia="zh-CN"/>
              </w:rPr>
              <w:t>面积</w:t>
            </w:r>
          </w:p>
        </w:tc>
        <w:tc>
          <w:tcPr>
            <w:tcW w:w="480" w:type="dxa"/>
            <w:tcBorders>
              <w:left w:val="single" w:color="auto" w:sz="4" w:space="0"/>
            </w:tcBorders>
            <w:vAlign w:val="center"/>
          </w:tcPr>
          <w:p w14:paraId="5FDB36DB">
            <w:pPr>
              <w:snapToGrid w:val="0"/>
              <w:jc w:val="center"/>
              <w:rPr>
                <w:rFonts w:hint="default" w:ascii="宋体" w:hAnsi="宋体" w:eastAsia="宋体" w:cs="楷体"/>
                <w:color w:val="auto"/>
                <w:sz w:val="22"/>
                <w:szCs w:val="22"/>
                <w:highlight w:val="none"/>
                <w:lang w:val="en-US" w:eastAsia="zh-CN"/>
              </w:rPr>
            </w:pPr>
            <w:r>
              <w:rPr>
                <w:rFonts w:hint="eastAsia" w:ascii="宋体" w:hAnsi="宋体" w:cs="楷体"/>
                <w:color w:val="auto"/>
                <w:sz w:val="22"/>
                <w:szCs w:val="22"/>
                <w:highlight w:val="none"/>
                <w:lang w:val="en-US" w:eastAsia="zh-CN"/>
              </w:rPr>
              <w:t>13</w:t>
            </w:r>
          </w:p>
        </w:tc>
        <w:tc>
          <w:tcPr>
            <w:tcW w:w="6552" w:type="dxa"/>
            <w:vAlign w:val="center"/>
          </w:tcPr>
          <w:p w14:paraId="2F82D8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cs="宋体"/>
                <w:b w:val="0"/>
                <w:bCs w:val="0"/>
                <w:color w:val="auto"/>
                <w:kern w:val="2"/>
                <w:sz w:val="21"/>
                <w:szCs w:val="21"/>
                <w:highlight w:val="none"/>
                <w:lang w:val="en-US" w:eastAsia="zh-CN" w:bidi="ar-SA"/>
              </w:rPr>
              <w:t>现有或</w:t>
            </w:r>
            <w:r>
              <w:rPr>
                <w:rFonts w:hint="eastAsia" w:ascii="宋体" w:hAnsi="宋体" w:eastAsia="宋体" w:cs="宋体"/>
                <w:b w:val="0"/>
                <w:bCs w:val="0"/>
                <w:color w:val="auto"/>
                <w:kern w:val="2"/>
                <w:sz w:val="21"/>
                <w:szCs w:val="21"/>
                <w:highlight w:val="none"/>
                <w:lang w:val="en-US" w:eastAsia="zh-CN" w:bidi="ar-SA"/>
              </w:rPr>
              <w:t>承诺中标后在项目地级市内提供的场地满足下列要求：</w:t>
            </w:r>
          </w:p>
          <w:p w14:paraId="6415B3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功能用房：在满足</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00平方米的基础上，每增加</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0平方米加</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分，最高得</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分。</w:t>
            </w:r>
          </w:p>
          <w:p w14:paraId="554CC0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车辆保管区：在满足硬化停车场车位数量达到</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0个的基础上，每增加</w:t>
            </w:r>
            <w:r>
              <w:rPr>
                <w:rFonts w:hint="eastAsia" w:ascii="宋体" w:hAnsi="宋体" w:cs="宋体"/>
                <w:b w:val="0"/>
                <w:bCs w:val="0"/>
                <w:color w:val="auto"/>
                <w:kern w:val="2"/>
                <w:sz w:val="21"/>
                <w:szCs w:val="21"/>
                <w:highlight w:val="none"/>
                <w:lang w:val="en-US" w:eastAsia="zh-CN" w:bidi="ar-SA"/>
              </w:rPr>
              <w:t>3个</w:t>
            </w:r>
            <w:r>
              <w:rPr>
                <w:rFonts w:hint="eastAsia" w:ascii="宋体" w:hAnsi="宋体" w:eastAsia="宋体" w:cs="宋体"/>
                <w:b w:val="0"/>
                <w:bCs w:val="0"/>
                <w:color w:val="auto"/>
                <w:kern w:val="2"/>
                <w:sz w:val="21"/>
                <w:szCs w:val="21"/>
                <w:highlight w:val="none"/>
                <w:lang w:val="en-US" w:eastAsia="zh-CN" w:bidi="ar-SA"/>
              </w:rPr>
              <w:t>加1分，最高得</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分。</w:t>
            </w:r>
          </w:p>
          <w:p w14:paraId="2161FD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【承诺函格式自拟，自有或租赁均可，</w:t>
            </w:r>
            <w:r>
              <w:rPr>
                <w:rFonts w:hint="eastAsia" w:ascii="宋体" w:hAnsi="宋体" w:cs="宋体"/>
                <w:b w:val="0"/>
                <w:bCs w:val="0"/>
                <w:color w:val="auto"/>
                <w:kern w:val="2"/>
                <w:sz w:val="21"/>
                <w:szCs w:val="21"/>
                <w:highlight w:val="none"/>
                <w:lang w:val="en-US" w:eastAsia="zh-CN" w:bidi="ar-SA"/>
              </w:rPr>
              <w:t>须提供相应证明材料，</w:t>
            </w:r>
            <w:r>
              <w:rPr>
                <w:rFonts w:hint="eastAsia" w:ascii="宋体" w:hAnsi="宋体" w:eastAsia="宋体" w:cs="宋体"/>
                <w:b w:val="0"/>
                <w:bCs w:val="0"/>
                <w:color w:val="auto"/>
                <w:kern w:val="2"/>
                <w:sz w:val="21"/>
                <w:szCs w:val="21"/>
                <w:highlight w:val="none"/>
                <w:lang w:val="en-US" w:eastAsia="zh-CN" w:bidi="ar-SA"/>
              </w:rPr>
              <w:t>否则不得分】</w:t>
            </w:r>
          </w:p>
        </w:tc>
      </w:tr>
      <w:tr w14:paraId="037C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Merge w:val="restart"/>
            <w:vAlign w:val="center"/>
          </w:tcPr>
          <w:p w14:paraId="2E0BF072">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1161" w:type="dxa"/>
            <w:vMerge w:val="restart"/>
            <w:tcBorders>
              <w:right w:val="single" w:color="auto" w:sz="4" w:space="0"/>
            </w:tcBorders>
            <w:vAlign w:val="center"/>
          </w:tcPr>
          <w:p w14:paraId="4D06960B">
            <w:pPr>
              <w:snapToGrid w:val="0"/>
              <w:jc w:val="left"/>
              <w:rPr>
                <w:rFonts w:ascii="宋体" w:hAnsi="宋体"/>
                <w:color w:val="auto"/>
                <w:sz w:val="22"/>
                <w:szCs w:val="22"/>
                <w:highlight w:val="none"/>
              </w:rPr>
            </w:pPr>
            <w:r>
              <w:rPr>
                <w:rFonts w:hint="eastAsia" w:ascii="宋体" w:hAnsi="宋体"/>
                <w:color w:val="auto"/>
                <w:sz w:val="22"/>
                <w:szCs w:val="22"/>
                <w:highlight w:val="none"/>
                <w:lang w:val="en-US" w:eastAsia="zh-CN"/>
              </w:rPr>
              <w:t>服务</w:t>
            </w:r>
            <w:r>
              <w:rPr>
                <w:rFonts w:hint="eastAsia" w:ascii="宋体" w:hAnsi="宋体"/>
                <w:color w:val="auto"/>
                <w:sz w:val="22"/>
                <w:szCs w:val="22"/>
                <w:highlight w:val="none"/>
              </w:rPr>
              <w:t>实施方案</w:t>
            </w:r>
          </w:p>
        </w:tc>
        <w:tc>
          <w:tcPr>
            <w:tcW w:w="1164" w:type="dxa"/>
            <w:tcBorders>
              <w:right w:val="single" w:color="auto" w:sz="4" w:space="0"/>
            </w:tcBorders>
            <w:vAlign w:val="center"/>
          </w:tcPr>
          <w:p w14:paraId="24ADE5F2">
            <w:pPr>
              <w:snapToGrid w:val="0"/>
              <w:jc w:val="left"/>
              <w:rPr>
                <w:rFonts w:ascii="宋体" w:hAnsi="宋体"/>
                <w:color w:val="auto"/>
                <w:sz w:val="22"/>
                <w:szCs w:val="22"/>
                <w:highlight w:val="none"/>
              </w:rPr>
            </w:pPr>
            <w:r>
              <w:rPr>
                <w:rFonts w:hint="eastAsia" w:ascii="宋体" w:hAnsi="宋体"/>
                <w:color w:val="auto"/>
                <w:sz w:val="21"/>
                <w:szCs w:val="21"/>
                <w:highlight w:val="none"/>
              </w:rPr>
              <w:t>管理系统</w:t>
            </w:r>
          </w:p>
        </w:tc>
        <w:tc>
          <w:tcPr>
            <w:tcW w:w="480" w:type="dxa"/>
            <w:tcBorders>
              <w:left w:val="single" w:color="auto" w:sz="4" w:space="0"/>
            </w:tcBorders>
            <w:vAlign w:val="center"/>
          </w:tcPr>
          <w:p w14:paraId="42ED4BDE">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6</w:t>
            </w:r>
          </w:p>
        </w:tc>
        <w:tc>
          <w:tcPr>
            <w:tcW w:w="6552" w:type="dxa"/>
            <w:vAlign w:val="center"/>
          </w:tcPr>
          <w:p w14:paraId="4EA22B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根据供应商的涉案财物管理系统信息，系统是否包含案由、来源、财物基本情况、保管状态、场所、去向等信息，每个使用信息得1分，最多得6分。</w:t>
            </w:r>
          </w:p>
          <w:p w14:paraId="7A6DAE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注：系统信息需提供系统截图为佐证材料，无系统或未提供佐证材料本项不得分。</w:t>
            </w:r>
          </w:p>
        </w:tc>
      </w:tr>
      <w:tr w14:paraId="273D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390" w:type="dxa"/>
            <w:vMerge w:val="continue"/>
            <w:vAlign w:val="center"/>
          </w:tcPr>
          <w:p w14:paraId="686DC876">
            <w:pPr>
              <w:snapToGrid w:val="0"/>
              <w:jc w:val="center"/>
              <w:rPr>
                <w:rFonts w:ascii="宋体" w:hAnsi="宋体"/>
                <w:color w:val="auto"/>
                <w:sz w:val="22"/>
                <w:szCs w:val="22"/>
                <w:highlight w:val="none"/>
              </w:rPr>
            </w:pPr>
          </w:p>
        </w:tc>
        <w:tc>
          <w:tcPr>
            <w:tcW w:w="1161" w:type="dxa"/>
            <w:vMerge w:val="continue"/>
            <w:tcBorders>
              <w:right w:val="single" w:color="auto" w:sz="4" w:space="0"/>
            </w:tcBorders>
            <w:vAlign w:val="center"/>
          </w:tcPr>
          <w:p w14:paraId="58562FD0">
            <w:pPr>
              <w:snapToGrid w:val="0"/>
              <w:jc w:val="left"/>
              <w:rPr>
                <w:rFonts w:ascii="宋体" w:hAnsi="宋体"/>
                <w:color w:val="auto"/>
                <w:sz w:val="22"/>
                <w:szCs w:val="22"/>
                <w:highlight w:val="none"/>
              </w:rPr>
            </w:pPr>
          </w:p>
        </w:tc>
        <w:tc>
          <w:tcPr>
            <w:tcW w:w="1164" w:type="dxa"/>
            <w:tcBorders>
              <w:right w:val="single" w:color="auto" w:sz="4" w:space="0"/>
            </w:tcBorders>
            <w:vAlign w:val="center"/>
          </w:tcPr>
          <w:p w14:paraId="60BFEBC2">
            <w:pPr>
              <w:snapToGrid w:val="0"/>
              <w:jc w:val="left"/>
              <w:rPr>
                <w:rFonts w:hint="eastAsia" w:ascii="宋体" w:hAnsi="宋体" w:eastAsia="宋体"/>
                <w:color w:val="auto"/>
                <w:sz w:val="22"/>
                <w:szCs w:val="22"/>
                <w:highlight w:val="none"/>
                <w:lang w:val="en-US" w:eastAsia="zh-CN"/>
              </w:rPr>
            </w:pPr>
            <w:r>
              <w:rPr>
                <w:rFonts w:eastAsia="宋体"/>
                <w:color w:val="auto"/>
                <w:highlight w:val="none"/>
              </w:rPr>
              <w:t>服务</w:t>
            </w:r>
            <w:r>
              <w:rPr>
                <w:rFonts w:hint="eastAsia" w:eastAsia="宋体"/>
                <w:color w:val="auto"/>
                <w:highlight w:val="none"/>
                <w:lang w:val="en-US" w:eastAsia="zh-CN"/>
              </w:rPr>
              <w:t>方案</w:t>
            </w:r>
          </w:p>
        </w:tc>
        <w:tc>
          <w:tcPr>
            <w:tcW w:w="480" w:type="dxa"/>
            <w:tcBorders>
              <w:left w:val="single" w:color="auto" w:sz="4" w:space="0"/>
            </w:tcBorders>
            <w:vAlign w:val="center"/>
          </w:tcPr>
          <w:p w14:paraId="203610A2">
            <w:pPr>
              <w:snapToGrid w:val="0"/>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12</w:t>
            </w:r>
          </w:p>
        </w:tc>
        <w:tc>
          <w:tcPr>
            <w:tcW w:w="6552" w:type="dxa"/>
            <w:vAlign w:val="center"/>
          </w:tcPr>
          <w:p w14:paraId="3C3BCA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根据供应商工作流程、工作任务</w:t>
            </w:r>
            <w:r>
              <w:rPr>
                <w:rFonts w:hint="eastAsia" w:ascii="宋体" w:hAnsi="宋体" w:cs="宋体"/>
                <w:b w:val="0"/>
                <w:bCs w:val="0"/>
                <w:color w:val="auto"/>
                <w:kern w:val="2"/>
                <w:sz w:val="21"/>
                <w:szCs w:val="21"/>
                <w:highlight w:val="none"/>
                <w:lang w:val="en-US" w:eastAsia="zh-CN" w:bidi="ar-SA"/>
              </w:rPr>
              <w:t>、</w:t>
            </w:r>
            <w:r>
              <w:rPr>
                <w:rFonts w:hint="default" w:ascii="宋体" w:hAnsi="宋体" w:cs="Times New Roman"/>
                <w:color w:val="auto"/>
                <w:sz w:val="22"/>
                <w:szCs w:val="22"/>
                <w:highlight w:val="none"/>
              </w:rPr>
              <w:t>服务网络</w:t>
            </w:r>
            <w:r>
              <w:rPr>
                <w:rFonts w:hint="eastAsia" w:ascii="宋体" w:hAnsi="宋体" w:eastAsia="宋体" w:cs="宋体"/>
                <w:b w:val="0"/>
                <w:bCs w:val="0"/>
                <w:color w:val="auto"/>
                <w:kern w:val="2"/>
                <w:sz w:val="21"/>
                <w:szCs w:val="21"/>
                <w:highlight w:val="none"/>
                <w:lang w:val="en-US" w:eastAsia="zh-CN" w:bidi="ar-SA"/>
              </w:rPr>
              <w:t>等内容是否明确，是否具有合理性和可操作性，磋商小组综合评分。</w:t>
            </w:r>
          </w:p>
          <w:p w14:paraId="3C8E2D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1.方案内容完整、详细、可操作性强，阐述的内容针对性强、具体、透彻，能结合项目特点制定方案的，得</w:t>
            </w:r>
            <w:r>
              <w:rPr>
                <w:rFonts w:hint="eastAsia" w:ascii="宋体" w:hAnsi="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kern w:val="2"/>
                <w:sz w:val="21"/>
                <w:szCs w:val="21"/>
                <w:highlight w:val="none"/>
                <w:lang w:val="en-US" w:eastAsia="zh-CN" w:bidi="ar-SA"/>
              </w:rPr>
              <w:t>分；</w:t>
            </w:r>
          </w:p>
          <w:p w14:paraId="701019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2.方案内容完整，有具体措施描述，但操作性和针对性不够强的，得</w:t>
            </w:r>
            <w:r>
              <w:rPr>
                <w:rFonts w:hint="eastAsia" w:ascii="宋体" w:hAnsi="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kern w:val="2"/>
                <w:sz w:val="21"/>
                <w:szCs w:val="21"/>
                <w:highlight w:val="none"/>
                <w:lang w:val="en-US" w:eastAsia="zh-CN" w:bidi="ar-SA"/>
              </w:rPr>
              <w:t>分；</w:t>
            </w:r>
          </w:p>
          <w:p w14:paraId="530739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3.方案内容仅简单重复采购需求的，得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207882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4.方案内容不完整、不可行，不能满足采购需求或者未提供方案的，不得分。</w:t>
            </w:r>
          </w:p>
        </w:tc>
      </w:tr>
      <w:tr w14:paraId="1AFB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Merge w:val="continue"/>
            <w:vAlign w:val="center"/>
          </w:tcPr>
          <w:p w14:paraId="27876E32">
            <w:pPr>
              <w:snapToGrid w:val="0"/>
              <w:jc w:val="center"/>
              <w:rPr>
                <w:rFonts w:ascii="宋体" w:hAnsi="宋体"/>
                <w:color w:val="auto"/>
                <w:sz w:val="22"/>
                <w:szCs w:val="22"/>
                <w:highlight w:val="none"/>
              </w:rPr>
            </w:pPr>
          </w:p>
        </w:tc>
        <w:tc>
          <w:tcPr>
            <w:tcW w:w="1161" w:type="dxa"/>
            <w:vMerge w:val="continue"/>
            <w:tcBorders>
              <w:right w:val="single" w:color="auto" w:sz="4" w:space="0"/>
            </w:tcBorders>
            <w:vAlign w:val="center"/>
          </w:tcPr>
          <w:p w14:paraId="583F46FA">
            <w:pPr>
              <w:snapToGrid w:val="0"/>
              <w:jc w:val="left"/>
              <w:rPr>
                <w:rFonts w:ascii="宋体" w:hAnsi="宋体"/>
                <w:color w:val="auto"/>
                <w:sz w:val="22"/>
                <w:szCs w:val="22"/>
                <w:highlight w:val="none"/>
              </w:rPr>
            </w:pPr>
          </w:p>
        </w:tc>
        <w:tc>
          <w:tcPr>
            <w:tcW w:w="1164" w:type="dxa"/>
            <w:tcBorders>
              <w:right w:val="single" w:color="auto" w:sz="4" w:space="0"/>
            </w:tcBorders>
            <w:vAlign w:val="center"/>
          </w:tcPr>
          <w:p w14:paraId="6918A32C">
            <w:pPr>
              <w:snapToGrid w:val="0"/>
              <w:jc w:val="left"/>
              <w:rPr>
                <w:rFonts w:hint="default" w:ascii="宋体" w:hAnsi="宋体" w:eastAsia="宋体"/>
                <w:color w:val="auto"/>
                <w:sz w:val="22"/>
                <w:szCs w:val="22"/>
                <w:highlight w:val="none"/>
                <w:lang w:val="en-US" w:eastAsia="zh-CN"/>
              </w:rPr>
            </w:pPr>
            <w:r>
              <w:rPr>
                <w:rFonts w:hint="default" w:ascii="宋体" w:hAnsi="宋体" w:eastAsia="宋体"/>
                <w:color w:val="auto"/>
                <w:sz w:val="22"/>
                <w:szCs w:val="22"/>
                <w:highlight w:val="none"/>
                <w:lang w:val="en-US" w:eastAsia="zh-CN"/>
              </w:rPr>
              <w:t>响应时间</w:t>
            </w:r>
          </w:p>
        </w:tc>
        <w:tc>
          <w:tcPr>
            <w:tcW w:w="480" w:type="dxa"/>
            <w:tcBorders>
              <w:left w:val="single" w:color="auto" w:sz="4" w:space="0"/>
            </w:tcBorders>
            <w:vAlign w:val="center"/>
          </w:tcPr>
          <w:p w14:paraId="27514797">
            <w:pPr>
              <w:snapToGrid w:val="0"/>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6552" w:type="dxa"/>
            <w:vAlign w:val="center"/>
          </w:tcPr>
          <w:p w14:paraId="316BE8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 w:val="22"/>
                <w:szCs w:val="22"/>
                <w:highlight w:val="none"/>
                <w:lang w:bidi="ar"/>
              </w:rPr>
              <w:t>根据供应商所提供场地和人员情况结合项目实施过程中对财物交接的便利程度和运输时效的保障程度由评委进行打分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评分范围：5，4，3，2，1，0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bidi="ar"/>
              </w:rPr>
              <w:t>。</w:t>
            </w:r>
          </w:p>
        </w:tc>
      </w:tr>
      <w:tr w14:paraId="55C4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Merge w:val="restart"/>
            <w:vAlign w:val="center"/>
          </w:tcPr>
          <w:p w14:paraId="07F39A8A">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6</w:t>
            </w:r>
          </w:p>
        </w:tc>
        <w:tc>
          <w:tcPr>
            <w:tcW w:w="1161" w:type="dxa"/>
            <w:vMerge w:val="restart"/>
            <w:tcBorders>
              <w:right w:val="single" w:color="auto" w:sz="4" w:space="0"/>
            </w:tcBorders>
            <w:vAlign w:val="center"/>
          </w:tcPr>
          <w:p w14:paraId="17A649F0">
            <w:pPr>
              <w:snapToGrid w:val="0"/>
              <w:jc w:val="left"/>
              <w:rPr>
                <w:rFonts w:ascii="宋体" w:hAnsi="宋体"/>
                <w:color w:val="auto"/>
                <w:sz w:val="22"/>
                <w:szCs w:val="22"/>
                <w:highlight w:val="none"/>
              </w:rPr>
            </w:pPr>
            <w:r>
              <w:rPr>
                <w:rFonts w:hint="eastAsia" w:ascii="宋体" w:hAnsi="宋体"/>
                <w:color w:val="auto"/>
                <w:sz w:val="22"/>
                <w:szCs w:val="22"/>
                <w:highlight w:val="none"/>
              </w:rPr>
              <w:t>项目团队</w:t>
            </w:r>
          </w:p>
        </w:tc>
        <w:tc>
          <w:tcPr>
            <w:tcW w:w="1164" w:type="dxa"/>
            <w:tcBorders>
              <w:right w:val="single" w:color="auto" w:sz="4" w:space="0"/>
            </w:tcBorders>
            <w:vAlign w:val="center"/>
          </w:tcPr>
          <w:p w14:paraId="5CF8DA96">
            <w:pPr>
              <w:snapToGrid w:val="0"/>
              <w:jc w:val="left"/>
              <w:rPr>
                <w:rFonts w:ascii="宋体" w:hAnsi="宋体"/>
                <w:color w:val="auto"/>
                <w:sz w:val="22"/>
                <w:szCs w:val="22"/>
                <w:highlight w:val="none"/>
              </w:rPr>
            </w:pPr>
            <w:r>
              <w:rPr>
                <w:rFonts w:hint="eastAsia" w:ascii="宋体" w:hAnsi="宋体"/>
                <w:color w:val="auto"/>
                <w:sz w:val="22"/>
                <w:szCs w:val="22"/>
                <w:highlight w:val="none"/>
              </w:rPr>
              <w:t>项目负责人</w:t>
            </w:r>
          </w:p>
        </w:tc>
        <w:tc>
          <w:tcPr>
            <w:tcW w:w="480" w:type="dxa"/>
            <w:tcBorders>
              <w:left w:val="single" w:color="auto" w:sz="4" w:space="0"/>
            </w:tcBorders>
            <w:vAlign w:val="center"/>
          </w:tcPr>
          <w:p w14:paraId="05812A2B">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6552" w:type="dxa"/>
            <w:vAlign w:val="center"/>
          </w:tcPr>
          <w:p w14:paraId="3A5763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根据项目负责人的学历、职称、专业素质、持证情况和从业经验等，磋商小组综合评分。</w:t>
            </w:r>
            <w:r>
              <w:rPr>
                <w:rFonts w:hint="default" w:ascii="宋体" w:hAnsi="宋体" w:eastAsia="宋体" w:cs="宋体"/>
                <w:b w:val="0"/>
                <w:bCs w:val="0"/>
                <w:color w:val="auto"/>
                <w:kern w:val="2"/>
                <w:sz w:val="21"/>
                <w:szCs w:val="21"/>
                <w:highlight w:val="none"/>
                <w:lang w:val="en-US" w:eastAsia="zh-CN" w:bidi="ar-SA"/>
              </w:rPr>
              <w:t>【评分范围：3，2，1，0】。</w:t>
            </w:r>
          </w:p>
        </w:tc>
      </w:tr>
      <w:tr w14:paraId="57778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dxa"/>
            <w:vMerge w:val="continue"/>
            <w:vAlign w:val="center"/>
          </w:tcPr>
          <w:p w14:paraId="145EDF10">
            <w:pPr>
              <w:snapToGrid w:val="0"/>
              <w:jc w:val="center"/>
              <w:rPr>
                <w:rFonts w:ascii="宋体" w:hAnsi="宋体"/>
                <w:color w:val="auto"/>
                <w:sz w:val="22"/>
                <w:szCs w:val="22"/>
                <w:highlight w:val="none"/>
              </w:rPr>
            </w:pPr>
          </w:p>
        </w:tc>
        <w:tc>
          <w:tcPr>
            <w:tcW w:w="1161" w:type="dxa"/>
            <w:vMerge w:val="continue"/>
            <w:tcBorders>
              <w:right w:val="single" w:color="auto" w:sz="4" w:space="0"/>
            </w:tcBorders>
            <w:vAlign w:val="center"/>
          </w:tcPr>
          <w:p w14:paraId="18F04CAD">
            <w:pPr>
              <w:snapToGrid w:val="0"/>
              <w:jc w:val="left"/>
              <w:rPr>
                <w:rFonts w:ascii="宋体" w:hAnsi="宋体"/>
                <w:color w:val="auto"/>
                <w:sz w:val="22"/>
                <w:szCs w:val="22"/>
                <w:highlight w:val="none"/>
              </w:rPr>
            </w:pPr>
          </w:p>
        </w:tc>
        <w:tc>
          <w:tcPr>
            <w:tcW w:w="1164" w:type="dxa"/>
            <w:tcBorders>
              <w:right w:val="single" w:color="auto" w:sz="4" w:space="0"/>
            </w:tcBorders>
            <w:vAlign w:val="center"/>
          </w:tcPr>
          <w:p w14:paraId="2E9CBFC6">
            <w:pPr>
              <w:snapToGrid w:val="0"/>
              <w:jc w:val="left"/>
              <w:rPr>
                <w:rFonts w:ascii="宋体" w:hAnsi="宋体"/>
                <w:color w:val="auto"/>
                <w:sz w:val="22"/>
                <w:szCs w:val="22"/>
                <w:highlight w:val="none"/>
              </w:rPr>
            </w:pPr>
            <w:r>
              <w:rPr>
                <w:rFonts w:hint="eastAsia" w:ascii="宋体" w:hAnsi="宋体"/>
                <w:color w:val="auto"/>
                <w:sz w:val="22"/>
                <w:szCs w:val="22"/>
                <w:highlight w:val="none"/>
              </w:rPr>
              <w:t>项目组成员</w:t>
            </w:r>
          </w:p>
        </w:tc>
        <w:tc>
          <w:tcPr>
            <w:tcW w:w="480" w:type="dxa"/>
            <w:tcBorders>
              <w:left w:val="single" w:color="auto" w:sz="4" w:space="0"/>
            </w:tcBorders>
            <w:vAlign w:val="center"/>
          </w:tcPr>
          <w:p w14:paraId="3C7C422C">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6552" w:type="dxa"/>
            <w:vAlign w:val="center"/>
          </w:tcPr>
          <w:p w14:paraId="343C5E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项目组人员具有保安员职业资格证的每人得0.5分，最高得5分。</w:t>
            </w:r>
          </w:p>
        </w:tc>
      </w:tr>
      <w:tr w14:paraId="0040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Align w:val="center"/>
          </w:tcPr>
          <w:p w14:paraId="60BFEE11">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7</w:t>
            </w:r>
          </w:p>
        </w:tc>
        <w:tc>
          <w:tcPr>
            <w:tcW w:w="2325" w:type="dxa"/>
            <w:gridSpan w:val="2"/>
            <w:tcBorders>
              <w:right w:val="single" w:color="auto" w:sz="4" w:space="0"/>
            </w:tcBorders>
            <w:vAlign w:val="center"/>
          </w:tcPr>
          <w:p w14:paraId="0751E2E6">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设备情况</w:t>
            </w:r>
          </w:p>
        </w:tc>
        <w:tc>
          <w:tcPr>
            <w:tcW w:w="480" w:type="dxa"/>
            <w:tcBorders>
              <w:left w:val="single" w:color="auto" w:sz="4" w:space="0"/>
            </w:tcBorders>
            <w:vAlign w:val="center"/>
          </w:tcPr>
          <w:p w14:paraId="3CD3485A">
            <w:pPr>
              <w:numPr>
                <w:ilvl w:val="0"/>
                <w:numId w:val="0"/>
              </w:numPr>
              <w:spacing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6552" w:type="dxa"/>
            <w:vAlign w:val="center"/>
          </w:tcPr>
          <w:p w14:paraId="4EA6B3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针对本项目拟投入的专业设备、车辆配备等性能是否满足工作要求，配置是否齐全合理，状态是否完好，由评委进行打分，【评分范围：5，4，3，2，1，0】。</w:t>
            </w:r>
          </w:p>
        </w:tc>
      </w:tr>
      <w:tr w14:paraId="5445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Align w:val="center"/>
          </w:tcPr>
          <w:p w14:paraId="4E7A4F0B">
            <w:pPr>
              <w:snapToGrid w:val="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8</w:t>
            </w:r>
          </w:p>
        </w:tc>
        <w:tc>
          <w:tcPr>
            <w:tcW w:w="2325" w:type="dxa"/>
            <w:gridSpan w:val="2"/>
            <w:tcBorders>
              <w:right w:val="single" w:color="auto" w:sz="4" w:space="0"/>
            </w:tcBorders>
            <w:vAlign w:val="center"/>
          </w:tcPr>
          <w:p w14:paraId="6DABA357">
            <w:pPr>
              <w:snapToGrid w:val="0"/>
              <w:jc w:val="left"/>
              <w:rPr>
                <w:rFonts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应急方案</w:t>
            </w:r>
          </w:p>
        </w:tc>
        <w:tc>
          <w:tcPr>
            <w:tcW w:w="480" w:type="dxa"/>
            <w:tcBorders>
              <w:left w:val="single" w:color="auto" w:sz="4" w:space="0"/>
            </w:tcBorders>
            <w:vAlign w:val="center"/>
          </w:tcPr>
          <w:p w14:paraId="2406CDBB">
            <w:pPr>
              <w:snapToGrid w:val="0"/>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s="Times New Roman"/>
                <w:color w:val="auto"/>
                <w:kern w:val="2"/>
                <w:sz w:val="22"/>
                <w:szCs w:val="22"/>
                <w:highlight w:val="none"/>
                <w:lang w:val="en-US" w:eastAsia="zh-CN" w:bidi="ar-SA"/>
              </w:rPr>
              <w:t>5</w:t>
            </w:r>
          </w:p>
        </w:tc>
        <w:tc>
          <w:tcPr>
            <w:tcW w:w="6552" w:type="dxa"/>
            <w:vAlign w:val="center"/>
          </w:tcPr>
          <w:p w14:paraId="49F520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根据供应商在紧急状态下应急预案的合理性、可操作性，磋商小组综合评分。</w:t>
            </w:r>
            <w:r>
              <w:rPr>
                <w:rFonts w:hint="default" w:ascii="宋体" w:hAnsi="宋体" w:eastAsia="宋体" w:cs="宋体"/>
                <w:b w:val="0"/>
                <w:bCs w:val="0"/>
                <w:color w:val="auto"/>
                <w:kern w:val="2"/>
                <w:sz w:val="21"/>
                <w:szCs w:val="21"/>
                <w:highlight w:val="none"/>
                <w:lang w:val="en-US" w:eastAsia="zh-CN" w:bidi="ar-SA"/>
              </w:rPr>
              <w:t>【评分范围：5，4，3，2，1，0】。</w:t>
            </w:r>
          </w:p>
        </w:tc>
      </w:tr>
      <w:tr w14:paraId="09D4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390" w:type="dxa"/>
            <w:vAlign w:val="center"/>
          </w:tcPr>
          <w:p w14:paraId="4723139B">
            <w:pPr>
              <w:snapToGrid w:val="0"/>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9</w:t>
            </w:r>
          </w:p>
        </w:tc>
        <w:tc>
          <w:tcPr>
            <w:tcW w:w="2325" w:type="dxa"/>
            <w:gridSpan w:val="2"/>
            <w:tcBorders>
              <w:right w:val="single" w:color="auto" w:sz="4" w:space="0"/>
            </w:tcBorders>
            <w:vAlign w:val="center"/>
          </w:tcPr>
          <w:p w14:paraId="56125834">
            <w:pPr>
              <w:snapToGrid w:val="0"/>
              <w:jc w:val="lef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质量管理保证</w:t>
            </w:r>
            <w:r>
              <w:rPr>
                <w:rFonts w:hint="eastAsia" w:ascii="宋体" w:hAnsi="宋体"/>
                <w:color w:val="auto"/>
                <w:sz w:val="22"/>
                <w:szCs w:val="22"/>
                <w:highlight w:val="none"/>
                <w:lang w:val="en-US" w:eastAsia="zh-CN"/>
              </w:rPr>
              <w:t>措施方案</w:t>
            </w:r>
          </w:p>
        </w:tc>
        <w:tc>
          <w:tcPr>
            <w:tcW w:w="480" w:type="dxa"/>
            <w:tcBorders>
              <w:left w:val="single" w:color="auto" w:sz="4" w:space="0"/>
            </w:tcBorders>
            <w:vAlign w:val="center"/>
          </w:tcPr>
          <w:p w14:paraId="3C932464">
            <w:pPr>
              <w:snapToGrid w:val="0"/>
              <w:jc w:val="center"/>
              <w:rPr>
                <w:rFonts w:hint="default" w:ascii="宋体" w:hAnsi="宋体" w:cs="Times New Roman"/>
                <w:color w:val="auto"/>
                <w:kern w:val="2"/>
                <w:sz w:val="22"/>
                <w:szCs w:val="22"/>
                <w:highlight w:val="none"/>
                <w:lang w:val="en-US" w:eastAsia="zh-CN" w:bidi="ar-SA"/>
              </w:rPr>
            </w:pPr>
            <w:r>
              <w:rPr>
                <w:rFonts w:hint="eastAsia" w:ascii="宋体" w:hAnsi="宋体" w:cs="Times New Roman"/>
                <w:color w:val="auto"/>
                <w:kern w:val="2"/>
                <w:sz w:val="22"/>
                <w:szCs w:val="22"/>
                <w:highlight w:val="none"/>
                <w:lang w:val="en-US" w:eastAsia="zh-CN" w:bidi="ar-SA"/>
              </w:rPr>
              <w:t>8</w:t>
            </w:r>
          </w:p>
        </w:tc>
        <w:tc>
          <w:tcPr>
            <w:tcW w:w="6552" w:type="dxa"/>
            <w:vAlign w:val="center"/>
          </w:tcPr>
          <w:p w14:paraId="1B5551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根据供应商</w:t>
            </w:r>
            <w:r>
              <w:rPr>
                <w:rFonts w:hint="eastAsia" w:ascii="宋体" w:hAnsi="宋体" w:cs="宋体"/>
                <w:color w:val="auto"/>
                <w:sz w:val="22"/>
                <w:szCs w:val="22"/>
                <w:highlight w:val="none"/>
              </w:rPr>
              <w:t>质量管理保证</w:t>
            </w:r>
            <w:r>
              <w:rPr>
                <w:rFonts w:hint="eastAsia" w:ascii="宋体" w:hAnsi="宋体" w:cs="宋体"/>
                <w:color w:val="auto"/>
                <w:sz w:val="22"/>
                <w:szCs w:val="22"/>
                <w:highlight w:val="none"/>
                <w:lang w:val="en-US" w:eastAsia="zh-CN"/>
              </w:rPr>
              <w:t>措施</w:t>
            </w:r>
            <w:r>
              <w:rPr>
                <w:rFonts w:hint="eastAsia" w:ascii="宋体" w:hAnsi="宋体" w:cs="宋体"/>
                <w:color w:val="auto"/>
                <w:sz w:val="22"/>
                <w:szCs w:val="22"/>
                <w:highlight w:val="none"/>
              </w:rPr>
              <w:t>内容是否先进、科学、合理，由评委进行打分</w:t>
            </w:r>
            <w:r>
              <w:rPr>
                <w:rFonts w:hint="eastAsia" w:ascii="宋体" w:hAnsi="宋体" w:cs="宋体"/>
                <w:color w:val="auto"/>
                <w:sz w:val="22"/>
                <w:szCs w:val="22"/>
                <w:highlight w:val="none"/>
                <w:lang w:eastAsia="zh-CN"/>
              </w:rPr>
              <w:t>。</w:t>
            </w:r>
          </w:p>
          <w:p w14:paraId="02FCD2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1.方案内容完整、详细、可操作性强，阐述的内容针对性强、具体、透彻，能结合项目特点制定方案的，得</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分；</w:t>
            </w:r>
          </w:p>
          <w:p w14:paraId="2CDE27D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2.方案内容完整，有具体措施描述，但操作性和针对性不够强的，得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594E4E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3.方案内容仅简单重复采购需求的，得</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w:t>
            </w:r>
          </w:p>
          <w:p w14:paraId="02F31EA2">
            <w:pPr>
              <w:pStyle w:val="2"/>
              <w:ind w:left="0" w:leftChars="0" w:firstLine="0" w:firstLineChars="0"/>
              <w:rPr>
                <w:rFonts w:hint="eastAsia"/>
                <w:lang w:val="en-US" w:eastAsia="zh-CN"/>
              </w:rPr>
            </w:pPr>
            <w:r>
              <w:rPr>
                <w:rFonts w:hint="eastAsia" w:ascii="宋体" w:hAnsi="宋体" w:eastAsia="宋体" w:cs="宋体"/>
                <w:b w:val="0"/>
                <w:bCs w:val="0"/>
                <w:color w:val="auto"/>
                <w:kern w:val="2"/>
                <w:sz w:val="21"/>
                <w:szCs w:val="21"/>
                <w:highlight w:val="none"/>
                <w:lang w:val="en-US" w:eastAsia="zh-CN" w:bidi="ar-SA"/>
              </w:rPr>
              <w:t>4.方案内容不完整、不可行，不能满足采购需求或者未提供方案的，不得分。</w:t>
            </w:r>
          </w:p>
        </w:tc>
      </w:tr>
    </w:tbl>
    <w:p w14:paraId="4C51B2A3">
      <w:pPr>
        <w:spacing w:line="440" w:lineRule="exact"/>
        <w:rPr>
          <w:rFonts w:hint="eastAsia" w:ascii="宋体" w:hAnsi="宋体" w:eastAsia="宋体" w:cs="宋体"/>
          <w:color w:val="auto"/>
          <w:kern w:val="0"/>
          <w:sz w:val="22"/>
          <w:szCs w:val="22"/>
          <w:highlight w:val="none"/>
        </w:rPr>
      </w:pPr>
    </w:p>
    <w:p w14:paraId="1C6388B0">
      <w:pPr>
        <w:spacing w:line="440" w:lineRule="exact"/>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注：</w:t>
      </w:r>
      <w:r>
        <w:rPr>
          <w:rFonts w:hint="eastAsia" w:ascii="宋体" w:hAnsi="宋体" w:eastAsia="宋体" w:cs="宋体"/>
          <w:color w:val="auto"/>
          <w:kern w:val="0"/>
          <w:sz w:val="22"/>
          <w:szCs w:val="22"/>
          <w:highlight w:val="none"/>
          <w:lang w:val="zh-CN"/>
        </w:rPr>
        <w:t>以上有关方案内容完整是指：</w:t>
      </w:r>
    </w:p>
    <w:p w14:paraId="7A620011">
      <w:pPr>
        <w:spacing w:line="44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（1）内容与项目需求吻合、层次细化，有具体详细的阐述；</w:t>
      </w:r>
    </w:p>
    <w:p w14:paraId="0BA0633F">
      <w:pPr>
        <w:spacing w:line="44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（2）阐述从实际出发，切合项目背景、项目需求以及市场供应情况发现问题并提出合理化专业技术建议或者解决方案；</w:t>
      </w:r>
    </w:p>
    <w:p w14:paraId="320533B9">
      <w:pPr>
        <w:spacing w:line="44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（3）内容符合国家、地方、行业标准、行业惯例以及项目特点、能有效落地执行和操作，保障项目高质量履约，实现采购目标；</w:t>
      </w:r>
    </w:p>
    <w:p w14:paraId="332B6BCD">
      <w:pPr>
        <w:spacing w:line="44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（4）内容清楚明了、表述规范、含义准确。</w:t>
      </w:r>
    </w:p>
    <w:p w14:paraId="5517AC08">
      <w:pPr>
        <w:spacing w:line="440" w:lineRule="exact"/>
        <w:ind w:firstLine="220" w:firstLineChars="1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以上有关方案内容不完整、不可行是指：</w:t>
      </w:r>
    </w:p>
    <w:p w14:paraId="59835837">
      <w:pPr>
        <w:spacing w:line="44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存在项目名称错误、地点区域错误、内容与本项目需求无关、方案内容矛盾或者表述前后不一致、仅有框架或标题、适用的标准（方法）错误、明显复制其他项目内容等任意一种情形。</w:t>
      </w:r>
    </w:p>
    <w:p w14:paraId="71A7F1DE">
      <w:pPr>
        <w:spacing w:line="440" w:lineRule="exac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以评审专家结合项目实际情况和投标文件响应情况综合评定为准。</w:t>
      </w:r>
    </w:p>
    <w:p w14:paraId="14E95A33">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2、磋商报价得分</w:t>
      </w:r>
      <w:r>
        <w:rPr>
          <w:rFonts w:hint="eastAsia" w:ascii="宋体" w:hAnsi="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w:t>
      </w:r>
    </w:p>
    <w:p w14:paraId="190441E1">
      <w:pPr>
        <w:spacing w:line="440" w:lineRule="exact"/>
        <w:ind w:left="328" w:leftChars="156"/>
        <w:rPr>
          <w:rFonts w:hint="eastAsia" w:ascii="宋体" w:hAnsi="宋体" w:eastAsia="宋体" w:cs="宋体"/>
          <w:color w:val="auto"/>
          <w:sz w:val="22"/>
          <w:highlight w:val="none"/>
        </w:rPr>
      </w:pPr>
      <w:r>
        <w:rPr>
          <w:rFonts w:hint="eastAsia" w:ascii="宋体" w:hAnsi="宋体" w:eastAsia="宋体" w:cs="宋体"/>
          <w:color w:val="auto"/>
          <w:sz w:val="22"/>
          <w:highlight w:val="none"/>
        </w:rPr>
        <w:t>满足磋商文件要求且价格最低的最后磋商报价为磋商基准价。</w:t>
      </w:r>
    </w:p>
    <w:p w14:paraId="47C4E59F">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1）有效供应商的最后磋商报价等于磋商基准价时其商务分为满分</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分；</w:t>
      </w:r>
    </w:p>
    <w:p w14:paraId="599A89BC">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2）其他供应商的价格分按以下公式计算：</w:t>
      </w:r>
    </w:p>
    <w:p w14:paraId="53E1BF0F">
      <w:pPr>
        <w:spacing w:line="440" w:lineRule="exact"/>
        <w:ind w:left="657" w:leftChars="313"/>
        <w:rPr>
          <w:rFonts w:hint="eastAsia" w:ascii="宋体" w:hAnsi="宋体" w:eastAsia="宋体" w:cs="宋体"/>
          <w:color w:val="auto"/>
          <w:sz w:val="22"/>
          <w:highlight w:val="none"/>
        </w:rPr>
      </w:pPr>
      <w:r>
        <w:rPr>
          <w:rFonts w:hint="eastAsia" w:ascii="宋体" w:hAnsi="宋体" w:eastAsia="宋体" w:cs="宋体"/>
          <w:color w:val="auto"/>
          <w:sz w:val="22"/>
          <w:highlight w:val="none"/>
        </w:rPr>
        <w:t>商务分得分=（磋商基准价/供应商最后磋商报价）×</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 ×100（四舍五入后保留小数2位）</w:t>
      </w:r>
    </w:p>
    <w:p w14:paraId="2CB04EDE">
      <w:pPr>
        <w:spacing w:line="400" w:lineRule="exact"/>
        <w:ind w:firstLine="221" w:firstLineChars="1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3）本项目为对应的中小企业划分标准所属行业：</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其他未列明行业</w:t>
      </w:r>
      <w:r>
        <w:rPr>
          <w:rFonts w:hint="eastAsia" w:ascii="宋体" w:hAnsi="宋体" w:eastAsia="宋体" w:cs="宋体"/>
          <w:b/>
          <w:color w:val="auto"/>
          <w:sz w:val="22"/>
          <w:szCs w:val="22"/>
          <w:highlight w:val="none"/>
        </w:rPr>
        <w:t>。对于符合</w:t>
      </w:r>
      <w:r>
        <w:rPr>
          <w:rFonts w:hint="eastAsia" w:ascii="宋体" w:hAnsi="宋体" w:eastAsia="宋体" w:cs="宋体"/>
          <w:b/>
          <w:color w:val="auto"/>
          <w:sz w:val="22"/>
          <w:szCs w:val="22"/>
          <w:highlight w:val="none"/>
          <w:lang w:eastAsia="zh-CN"/>
        </w:rPr>
        <w:t>磋商文件</w:t>
      </w:r>
      <w:r>
        <w:rPr>
          <w:rFonts w:hint="eastAsia" w:ascii="宋体" w:hAnsi="宋体" w:eastAsia="宋体" w:cs="宋体"/>
          <w:b/>
          <w:color w:val="auto"/>
          <w:sz w:val="22"/>
          <w:szCs w:val="22"/>
          <w:highlight w:val="none"/>
        </w:rPr>
        <w:t>规定的小、微企业（或监狱企业、残疾人福利单位），给予其产品价格</w:t>
      </w:r>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%的扣除，用扣除后的价格（即价格</w:t>
      </w:r>
      <w:r>
        <w:rPr>
          <w:rFonts w:hint="eastAsia" w:ascii="宋体" w:hAnsi="宋体" w:eastAsia="宋体" w:cs="宋体"/>
          <w:b/>
          <w:color w:val="auto"/>
          <w:sz w:val="22"/>
          <w:szCs w:val="22"/>
          <w:highlight w:val="none"/>
          <w:lang w:val="en-US" w:eastAsia="zh-CN"/>
        </w:rPr>
        <w:t>90</w:t>
      </w:r>
      <w:r>
        <w:rPr>
          <w:rFonts w:hint="eastAsia" w:ascii="宋体" w:hAnsi="宋体" w:eastAsia="宋体" w:cs="宋体"/>
          <w:b/>
          <w:color w:val="auto"/>
          <w:sz w:val="22"/>
          <w:szCs w:val="22"/>
          <w:highlight w:val="none"/>
        </w:rPr>
        <w:t>% ）参与评审。</w:t>
      </w:r>
    </w:p>
    <w:p w14:paraId="1F78FD5A">
      <w:pPr>
        <w:spacing w:line="400" w:lineRule="exact"/>
        <w:ind w:firstLine="220" w:firstLineChars="100"/>
        <w:rPr>
          <w:rFonts w:ascii="宋体" w:hAnsi="宋体" w:cs="宋体"/>
          <w:b/>
          <w:sz w:val="22"/>
          <w:szCs w:val="22"/>
          <w:highlight w:val="none"/>
        </w:rPr>
      </w:pPr>
      <w:r>
        <w:rPr>
          <w:rFonts w:hint="eastAsia" w:ascii="宋体" w:hAnsi="宋体" w:eastAsia="宋体" w:cs="宋体"/>
          <w:color w:val="auto"/>
          <w:sz w:val="22"/>
          <w:highlight w:val="none"/>
        </w:rPr>
        <w:t>4</w:t>
      </w:r>
      <w:r>
        <w:rPr>
          <w:rFonts w:hint="eastAsia" w:ascii="宋体" w:hAnsi="宋体" w:eastAsia="宋体" w:cs="宋体"/>
          <w:i w:val="0"/>
          <w:iCs w:val="0"/>
          <w:color w:val="auto"/>
          <w:sz w:val="22"/>
          <w:highlight w:val="none"/>
          <w:u w:val="none"/>
        </w:rPr>
        <w:t>）</w:t>
      </w:r>
      <w:r>
        <w:rPr>
          <w:rFonts w:hint="eastAsia" w:ascii="宋体" w:hAnsi="宋体" w:cs="宋体"/>
          <w:b/>
          <w:sz w:val="22"/>
          <w:szCs w:val="22"/>
          <w:highlight w:val="none"/>
        </w:rPr>
        <w:t>对于联合体协议或者分包意向协议约定小微企业合同份额占到合同总金额30%以上的，对其投标报价给予4%的扣除，用扣除后的价格参与评审。</w:t>
      </w:r>
    </w:p>
    <w:p w14:paraId="26321045">
      <w:pPr>
        <w:numPr>
          <w:ilvl w:val="0"/>
          <w:numId w:val="0"/>
        </w:numPr>
        <w:spacing w:line="400" w:lineRule="exact"/>
        <w:ind w:leftChars="100"/>
        <w:rPr>
          <w:rFonts w:hint="eastAsia" w:ascii="宋体" w:hAnsi="宋体" w:eastAsia="宋体" w:cs="宋体"/>
          <w:color w:val="auto"/>
          <w:sz w:val="22"/>
          <w:highlight w:val="none"/>
        </w:rPr>
      </w:pPr>
      <w:r>
        <w:rPr>
          <w:rFonts w:hint="eastAsia" w:ascii="宋体" w:hAnsi="宋体" w:cs="宋体"/>
          <w:b/>
          <w:sz w:val="22"/>
          <w:szCs w:val="22"/>
          <w:highlight w:val="none"/>
          <w:lang w:val="en-US" w:eastAsia="zh-CN"/>
        </w:rPr>
        <w:t>5</w:t>
      </w:r>
      <w:r>
        <w:rPr>
          <w:rFonts w:hint="eastAsia" w:ascii="宋体" w:hAnsi="宋体" w:cs="宋体"/>
          <w:b/>
          <w:sz w:val="22"/>
          <w:szCs w:val="22"/>
          <w:highlight w:val="none"/>
        </w:rPr>
        <w:t>)</w:t>
      </w:r>
      <w:r>
        <w:rPr>
          <w:rFonts w:hint="eastAsia" w:ascii="宋体" w:hAnsi="宋体" w:eastAsia="宋体" w:cs="宋体"/>
          <w:b/>
          <w:color w:val="auto"/>
          <w:sz w:val="22"/>
          <w:szCs w:val="22"/>
          <w:highlight w:val="none"/>
          <w:u w:val="single"/>
          <w:lang w:val="en-US" w:eastAsia="zh-CN"/>
        </w:rPr>
        <w:t>▲</w:t>
      </w:r>
      <w:r>
        <w:rPr>
          <w:rFonts w:hint="eastAsia" w:ascii="宋体" w:hAnsi="宋体" w:eastAsia="宋体" w:cs="宋体"/>
          <w:b/>
          <w:i w:val="0"/>
          <w:iCs w:val="0"/>
          <w:color w:val="auto"/>
          <w:sz w:val="22"/>
          <w:szCs w:val="22"/>
          <w:highlight w:val="none"/>
          <w:u w:val="single"/>
        </w:rPr>
        <w:t>本项目采购预算为</w:t>
      </w:r>
      <w:r>
        <w:rPr>
          <w:rFonts w:hint="eastAsia" w:ascii="宋体" w:hAnsi="宋体" w:cs="宋体"/>
          <w:b/>
          <w:i w:val="0"/>
          <w:iCs w:val="0"/>
          <w:color w:val="auto"/>
          <w:sz w:val="22"/>
          <w:szCs w:val="22"/>
          <w:highlight w:val="none"/>
          <w:u w:val="single"/>
          <w:lang w:val="en-US" w:eastAsia="zh-CN"/>
        </w:rPr>
        <w:t>1100000</w:t>
      </w:r>
      <w:r>
        <w:rPr>
          <w:rFonts w:hint="eastAsia" w:ascii="宋体" w:hAnsi="宋体" w:eastAsia="宋体" w:cs="宋体"/>
          <w:b/>
          <w:i w:val="0"/>
          <w:iCs w:val="0"/>
          <w:color w:val="auto"/>
          <w:sz w:val="22"/>
          <w:szCs w:val="22"/>
          <w:highlight w:val="none"/>
          <w:u w:val="single"/>
        </w:rPr>
        <w:t>元。</w:t>
      </w:r>
      <w:r>
        <w:rPr>
          <w:rFonts w:hint="eastAsia" w:ascii="宋体" w:hAnsi="宋体" w:eastAsia="宋体" w:cs="宋体"/>
          <w:b/>
          <w:color w:val="auto"/>
          <w:sz w:val="22"/>
          <w:szCs w:val="22"/>
          <w:highlight w:val="none"/>
          <w:u w:val="single"/>
          <w:lang w:val="en-US" w:eastAsia="zh-CN"/>
        </w:rPr>
        <w:t>如供应商报价超过单价</w:t>
      </w:r>
      <w:r>
        <w:rPr>
          <w:rFonts w:hint="eastAsia" w:ascii="宋体" w:hAnsi="宋体" w:cs="宋体"/>
          <w:b/>
          <w:color w:val="auto"/>
          <w:sz w:val="22"/>
          <w:szCs w:val="22"/>
          <w:highlight w:val="none"/>
          <w:u w:val="single"/>
          <w:lang w:val="en-US" w:eastAsia="zh-CN"/>
        </w:rPr>
        <w:t>采购预算</w:t>
      </w:r>
      <w:r>
        <w:rPr>
          <w:rFonts w:hint="eastAsia" w:ascii="宋体" w:hAnsi="宋体" w:eastAsia="宋体" w:cs="宋体"/>
          <w:b/>
          <w:color w:val="auto"/>
          <w:sz w:val="22"/>
          <w:szCs w:val="22"/>
          <w:highlight w:val="none"/>
          <w:u w:val="single"/>
          <w:lang w:val="en-US" w:eastAsia="zh-CN"/>
        </w:rPr>
        <w:t>，其磋商响应文件作无效标处</w:t>
      </w:r>
      <w:r>
        <w:rPr>
          <w:rFonts w:hint="eastAsia" w:ascii="宋体" w:hAnsi="宋体" w:eastAsia="宋体" w:cs="宋体"/>
          <w:b/>
          <w:color w:val="auto"/>
          <w:sz w:val="22"/>
          <w:szCs w:val="22"/>
          <w:highlight w:val="none"/>
          <w:u w:val="single"/>
        </w:rPr>
        <w:t>理。</w:t>
      </w:r>
    </w:p>
    <w:p w14:paraId="17EE724E">
      <w:pPr>
        <w:spacing w:line="400" w:lineRule="exact"/>
        <w:ind w:firstLine="330" w:firstLineChars="150"/>
        <w:rPr>
          <w:rFonts w:hint="eastAsia" w:ascii="宋体" w:hAnsi="宋体" w:eastAsia="宋体" w:cs="宋体"/>
          <w:color w:val="auto"/>
          <w:sz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所有供应商商务报价均超采购预算，采购人无法支付的,重新组织招标</w:t>
      </w:r>
      <w:r>
        <w:rPr>
          <w:rFonts w:hint="eastAsia" w:ascii="宋体" w:hAnsi="宋体" w:eastAsia="宋体" w:cs="宋体"/>
          <w:color w:val="auto"/>
          <w:sz w:val="22"/>
          <w:highlight w:val="none"/>
        </w:rPr>
        <w:t>。</w:t>
      </w:r>
    </w:p>
    <w:p w14:paraId="4FA336AD">
      <w:pPr>
        <w:spacing w:line="44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3、有效供应商的综合得分为商务技术得分和最后磋商报价得分的总和。</w:t>
      </w:r>
    </w:p>
    <w:p w14:paraId="147B4508">
      <w:pPr>
        <w:rPr>
          <w:rFonts w:hint="eastAsia" w:ascii="宋体" w:hAnsi="宋体" w:eastAsia="宋体" w:cs="宋体"/>
          <w:color w:val="auto"/>
          <w:sz w:val="36"/>
          <w:szCs w:val="36"/>
          <w:highlight w:val="none"/>
        </w:rPr>
      </w:pPr>
      <w:bookmarkStart w:id="184" w:name="_Toc222114885"/>
      <w:bookmarkStart w:id="185" w:name="_Toc221356957"/>
      <w:bookmarkStart w:id="186" w:name="_Toc249758871"/>
      <w:bookmarkStart w:id="187" w:name="_Toc245722287"/>
      <w:bookmarkStart w:id="188" w:name="_Toc262105510"/>
      <w:bookmarkStart w:id="189" w:name="_Toc262049425"/>
      <w:bookmarkStart w:id="190" w:name="_Toc221374632"/>
      <w:bookmarkStart w:id="191" w:name="_Toc221356894"/>
      <w:bookmarkStart w:id="192" w:name="_Toc239145360"/>
      <w:bookmarkStart w:id="193" w:name="_Toc249758721"/>
      <w:bookmarkStart w:id="194" w:name="_Toc221423625"/>
      <w:bookmarkStart w:id="195" w:name="_Toc245191320"/>
      <w:bookmarkStart w:id="196" w:name="_Toc241404208"/>
      <w:bookmarkStart w:id="197" w:name="_Toc246261271"/>
      <w:bookmarkStart w:id="198" w:name="_Toc223716004"/>
      <w:r>
        <w:rPr>
          <w:rFonts w:hint="eastAsia" w:ascii="宋体" w:hAnsi="宋体" w:eastAsia="宋体" w:cs="宋体"/>
          <w:color w:val="auto"/>
          <w:sz w:val="36"/>
          <w:szCs w:val="36"/>
          <w:highlight w:val="none"/>
        </w:rPr>
        <w:br w:type="page"/>
      </w:r>
    </w:p>
    <w:p w14:paraId="3704CFC0">
      <w:pPr>
        <w:pStyle w:val="3"/>
        <w:spacing w:line="440" w:lineRule="exact"/>
        <w:rPr>
          <w:rFonts w:hint="eastAsia" w:ascii="宋体" w:hAnsi="宋体" w:eastAsia="宋体" w:cs="宋体"/>
          <w:color w:val="auto"/>
          <w:sz w:val="36"/>
          <w:szCs w:val="36"/>
          <w:highlight w:val="none"/>
        </w:rPr>
      </w:pPr>
      <w:bookmarkStart w:id="199" w:name="_Toc4830"/>
      <w:r>
        <w:rPr>
          <w:rFonts w:hint="eastAsia" w:ascii="宋体" w:hAnsi="宋体" w:eastAsia="宋体" w:cs="宋体"/>
          <w:color w:val="auto"/>
          <w:sz w:val="36"/>
          <w:szCs w:val="36"/>
          <w:highlight w:val="none"/>
        </w:rPr>
        <w:t xml:space="preserve">第四部分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Start w:id="200" w:name="_Toc245191321"/>
      <w:bookmarkStart w:id="201" w:name="_Toc239145361"/>
      <w:bookmarkStart w:id="202" w:name="_Toc262105511"/>
      <w:bookmarkStart w:id="203" w:name="_Toc246261272"/>
      <w:bookmarkStart w:id="204" w:name="_Toc241404209"/>
      <w:bookmarkStart w:id="205" w:name="_Toc222114886"/>
      <w:bookmarkStart w:id="206" w:name="_Toc221356897"/>
      <w:bookmarkStart w:id="207" w:name="_Toc249758872"/>
      <w:bookmarkStart w:id="208" w:name="_Toc262049426"/>
      <w:bookmarkStart w:id="209" w:name="_Toc221374633"/>
      <w:bookmarkStart w:id="210" w:name="_Toc249758722"/>
      <w:bookmarkStart w:id="211" w:name="_Toc221356960"/>
      <w:bookmarkStart w:id="212" w:name="_Toc223716005"/>
      <w:bookmarkStart w:id="213" w:name="_Toc245722288"/>
      <w:bookmarkStart w:id="214" w:name="_Toc221423626"/>
      <w:r>
        <w:rPr>
          <w:rFonts w:hint="eastAsia" w:ascii="宋体" w:hAnsi="宋体" w:eastAsia="宋体" w:cs="宋体"/>
          <w:color w:val="auto"/>
          <w:sz w:val="36"/>
          <w:szCs w:val="36"/>
          <w:highlight w:val="none"/>
        </w:rPr>
        <w:t>合同格式</w:t>
      </w:r>
      <w:bookmarkEnd w:id="199"/>
    </w:p>
    <w:p w14:paraId="1790CBD5">
      <w:pPr>
        <w:spacing w:line="440" w:lineRule="exact"/>
        <w:ind w:firstLine="440" w:firstLineChars="200"/>
        <w:rPr>
          <w:rFonts w:hint="eastAsia" w:ascii="宋体" w:hAnsi="宋体" w:eastAsia="宋体" w:cs="宋体"/>
          <w:color w:val="auto"/>
          <w:sz w:val="22"/>
          <w:szCs w:val="22"/>
          <w:highlight w:val="none"/>
        </w:rPr>
      </w:pPr>
      <w:bookmarkStart w:id="215" w:name="_Toc525719521"/>
      <w:r>
        <w:rPr>
          <w:rFonts w:hint="eastAsia" w:ascii="宋体" w:hAnsi="宋体" w:eastAsia="宋体" w:cs="宋体"/>
          <w:color w:val="auto"/>
          <w:sz w:val="22"/>
          <w:szCs w:val="22"/>
          <w:highlight w:val="none"/>
        </w:rPr>
        <w:t>说明：如甲、乙双方同意，合同格式也可以按照其他形式。但合同条款的基本内容应与本合同要求的内容相一致。</w:t>
      </w:r>
    </w:p>
    <w:p w14:paraId="1ABDFEE9">
      <w:pPr>
        <w:pStyle w:val="37"/>
        <w:rPr>
          <w:rFonts w:hint="eastAsia"/>
          <w:color w:val="auto"/>
          <w:highlight w:val="none"/>
        </w:rPr>
      </w:pPr>
    </w:p>
    <w:p w14:paraId="6F8DBF49">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p>
    <w:p w14:paraId="430BBF97">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w:t>
      </w:r>
    </w:p>
    <w:p w14:paraId="369827A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一、管理中心建设要求</w:t>
      </w:r>
    </w:p>
    <w:p w14:paraId="74A522A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1.场地投入资源</w:t>
      </w:r>
    </w:p>
    <w:p w14:paraId="0DE7DA3D">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乙方须提供位于</w:t>
      </w:r>
      <w:r>
        <w:rPr>
          <w:rFonts w:hint="eastAsia" w:ascii="新宋体" w:hAnsi="新宋体" w:eastAsia="新宋体" w:cs="Times New Roman"/>
          <w:color w:val="auto"/>
          <w:sz w:val="22"/>
          <w:szCs w:val="22"/>
          <w:highlight w:val="none"/>
          <w:u w:val="single"/>
          <w:lang w:val="en-US" w:eastAsia="zh-CN"/>
        </w:rPr>
        <w:t xml:space="preserve">                      </w:t>
      </w:r>
      <w:r>
        <w:rPr>
          <w:rFonts w:hint="eastAsia" w:ascii="新宋体" w:hAnsi="新宋体" w:eastAsia="新宋体" w:cs="Times New Roman"/>
          <w:color w:val="auto"/>
          <w:sz w:val="22"/>
          <w:szCs w:val="22"/>
          <w:highlight w:val="none"/>
          <w:lang w:val="en-US" w:eastAsia="zh-CN"/>
        </w:rPr>
        <w:t>，面积约</w:t>
      </w:r>
      <w:r>
        <w:rPr>
          <w:rFonts w:hint="eastAsia" w:ascii="新宋体" w:hAnsi="新宋体" w:eastAsia="新宋体" w:cs="Times New Roman"/>
          <w:color w:val="auto"/>
          <w:sz w:val="22"/>
          <w:szCs w:val="22"/>
          <w:highlight w:val="none"/>
          <w:u w:val="single"/>
          <w:lang w:val="en-US" w:eastAsia="zh-CN"/>
        </w:rPr>
        <w:t xml:space="preserve">         </w:t>
      </w:r>
      <w:r>
        <w:rPr>
          <w:rFonts w:hint="eastAsia" w:ascii="新宋体" w:hAnsi="新宋体" w:eastAsia="新宋体" w:cs="Times New Roman"/>
          <w:color w:val="auto"/>
          <w:sz w:val="22"/>
          <w:szCs w:val="22"/>
          <w:highlight w:val="none"/>
          <w:lang w:val="en-US" w:eastAsia="zh-CN"/>
        </w:rPr>
        <w:t>平米,硬化停车场车位</w:t>
      </w:r>
      <w:r>
        <w:rPr>
          <w:rFonts w:hint="eastAsia" w:ascii="新宋体" w:hAnsi="新宋体" w:eastAsia="新宋体" w:cs="Times New Roman"/>
          <w:color w:val="auto"/>
          <w:sz w:val="22"/>
          <w:szCs w:val="22"/>
          <w:highlight w:val="none"/>
          <w:u w:val="single"/>
          <w:lang w:val="en-US" w:eastAsia="zh-CN"/>
        </w:rPr>
        <w:t xml:space="preserve">         </w:t>
      </w:r>
      <w:r>
        <w:rPr>
          <w:rFonts w:hint="eastAsia" w:ascii="新宋体" w:hAnsi="新宋体" w:eastAsia="新宋体" w:cs="Times New Roman"/>
          <w:color w:val="auto"/>
          <w:sz w:val="22"/>
          <w:szCs w:val="22"/>
          <w:highlight w:val="none"/>
          <w:lang w:val="en-US" w:eastAsia="zh-CN"/>
        </w:rPr>
        <w:t>个；作为温州市刑事涉案财物管理中心的场所。</w:t>
      </w:r>
    </w:p>
    <w:p w14:paraId="5529E91B">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2.场地功能区规划</w:t>
      </w:r>
    </w:p>
    <w:p w14:paraId="17B13171">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乙方按照甲方要求设立常规财物保管、冷藏恒温保管、涉密物品保管、贵重财物保管、电子防磁保管、违禁涉毒物品保管、化学物品保管、大宗物品保管、长期保存保管等九类库房，以及交接区、阅证区、办公区、估价室、鉴定室、接待室、档案室、监控中心、数据机房、会议室等十类功能用房，带有遮阳设施、相对封闭的硬化停车场地。</w:t>
      </w:r>
    </w:p>
    <w:p w14:paraId="11B8D9FB">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3.设备设施投入</w:t>
      </w:r>
    </w:p>
    <w:p w14:paraId="304DDF5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按照甲方要求，配置专门运输涉案财物的押运车辆，保管涉案财物的保险柜、防磁柜、防腐柜、防化柜、冰柜以及具备三防功能的专用智能保管箱和货架等仓储保管设备，温度计、卡尺、天平等计量工具，安装空调、除湿机、新风等设施，以及包装袋、封签、发泡棉等耗材，为各类涉案财物提供符合专业要求的保管条件。保管库房、交接区、阅证（远程示证）区、价格认定室、鉴定室、档案室、数据机房等重要区域安装防盗门窗等物防设施和视频监控、入侵探测等技防设施。</w:t>
      </w:r>
    </w:p>
    <w:p w14:paraId="3EA84300">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4.管理系统</w:t>
      </w:r>
    </w:p>
    <w:p w14:paraId="4C66D570">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乙方运用涉案财物管理信息系统，对涉案财物实行智能化管理，实现信息实时录入、全程留痕、异常报警和一键盘库等功能，并对政法机关一体化办案系统开放接口。</w:t>
      </w:r>
    </w:p>
    <w:p w14:paraId="54C487A2">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二、服务内容</w:t>
      </w:r>
    </w:p>
    <w:p w14:paraId="438080A5">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1.交接押运</w:t>
      </w:r>
    </w:p>
    <w:p w14:paraId="47013A2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乙方根据甲方通知定期上门接收涉案财物或者押运到指定地点，或者在管理中心指定场所接收清点甲方移交的涉案财物并办理入库。</w:t>
      </w:r>
    </w:p>
    <w:p w14:paraId="663A4B0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2.管理维护</w:t>
      </w:r>
    </w:p>
    <w:p w14:paraId="4C9F0E37">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乙方对入库的涉案财物实行一物一袋、一案一档、分类分区妥善保管，定期对车辆等物品予以维护保养，确保涉案财物安全和完好。</w:t>
      </w:r>
    </w:p>
    <w:p w14:paraId="656C7DD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3.受托处置</w:t>
      </w:r>
    </w:p>
    <w:p w14:paraId="5D787A0F">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乙方按照甲方生效法律文书的处置意见及处置委托书，协助做好相关涉案财物的发还、移送、销毁、拍卖变卖、长期保存等处置工作。</w:t>
      </w:r>
    </w:p>
    <w:p w14:paraId="3DDC0EBA">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三、知识产权</w:t>
      </w:r>
    </w:p>
    <w:p w14:paraId="30B0A742">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乙方应保证所提供的服务或其任何一部分均不会侵犯任何第三方的知识产权。</w:t>
      </w:r>
    </w:p>
    <w:p w14:paraId="472DEDBD">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四、甲方的权利及义务</w:t>
      </w:r>
    </w:p>
    <w:p w14:paraId="2C02DF96">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1.甲方办案人员应当严格按照法律法规和《温州市刑事诉讼涉案财物管理实施细则（试行）》的规定具体操作，因办案人员操作错误导致涉案财物发生损毁、灭失的，由其所在单位承担责任。</w:t>
      </w:r>
    </w:p>
    <w:p w14:paraId="302A1BAF">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2.甲方定期或者不定期的对涉案财物管理工作开展督察检查，发现问题及时责令乙方整改纠正，乙方拒不整改的，按违约条款执行。</w:t>
      </w:r>
    </w:p>
    <w:p w14:paraId="49822C61">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3.甲方有权依据实务需要，审核并要求乙方增加管理中心设施设备配置和保管场地，完善涉案财物接收、保管、押运和处置的操作规程。对增加设施设备配置和保管场地所产生的费用，甲方不承担。</w:t>
      </w:r>
    </w:p>
    <w:p w14:paraId="4B1354B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甲方根据《温州市刑事诉讼涉案财物管理综合评估办法（试行）》对乙方服务期内的服务实施分期考核。2025年12月根据《温州市政府采购履约验收办法》组织履约验收。结合分期考核及履约验收结果进行综合评价。综合评价分为良好、合格、不合格三个档次。综合评价结果与服务费用挂钩，评价为良好档次的，全额支付，评价为合格档次的，支付本合同价款的98%，评价为不合格档次的，甲方有权拒付当期合同金额，并有权进行索赔，直至终止合同。（实施过程中合同金额按各地公安机关签订的金额执行，综合评价以温州市公安局综合评价为准）。</w:t>
      </w:r>
    </w:p>
    <w:p w14:paraId="0F2F4A06">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五、乙方的权利及义务</w:t>
      </w:r>
    </w:p>
    <w:p w14:paraId="35FCD09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1.乙方负责管理中心库房及外围的安全值守，防止发生盗抢案件、火灾事故等危害涉案财物保管的情况。</w:t>
      </w:r>
    </w:p>
    <w:p w14:paraId="1F38C797">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2.乙方做到24小时不间断安全值守，并保证有一定现场力量随时快速处置突发情况。</w:t>
      </w:r>
    </w:p>
    <w:p w14:paraId="5F33DC4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3.乙方负责涉案财物的接收、清点、分类封装、出入库、盘库等工作以及配套的信息、档案工作，负责管理中心库房门的开启和关闭，负责涉案财物专用保管箱上锁和钥匙保管。</w:t>
      </w:r>
    </w:p>
    <w:p w14:paraId="6569F36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4.乙方应按照岗位职责进行岗位分工，落实双人双岗，形成有效制约监督机制，切实防范内部管理风险。</w:t>
      </w:r>
    </w:p>
    <w:p w14:paraId="04A223F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5.乙方负责涉案财物管理信息系统的运维，做好系统维护升级、数据备份、保管员系统操作培训等工作，确保系统稳定有效，数据安全完整。</w:t>
      </w:r>
    </w:p>
    <w:p w14:paraId="03AE9B9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6.乙方有权按照合同及《温州市刑事诉讼涉案财物管理实施细则（试行）》等规定，拒绝甲方的违规违法操作指令，并报告工作领导小组。</w:t>
      </w:r>
    </w:p>
    <w:p w14:paraId="23B6BA4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7.乙方在接收、保管、押运、处置涉案财物期间，因操作不当导致涉案财物发生损毁、灭失的，应当承担赔偿责任。</w:t>
      </w:r>
    </w:p>
    <w:p w14:paraId="54F7026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8.乙方应当妥善保管涉案财物的相关资料，并对服务内容进行保密，不得以任何方式擅自使用、复制、传播、散布、公布、向第三方披露，否则应当承担相应法律责任。保密义务不因本合同的终止而终止。</w:t>
      </w:r>
    </w:p>
    <w:p w14:paraId="57165425">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9.除非得到甲方的书面同意，乙方不得将本合同范围的服务全部或部分分包给他人供应；如有转让和未经甲方同意的分包行为，甲方有权解除合同，并追究乙方的违约责任。</w:t>
      </w:r>
    </w:p>
    <w:p w14:paraId="77D9C5EC">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10.乙方有义务接受甲方督促指导工作，及时协调解决问题。</w:t>
      </w:r>
    </w:p>
    <w:p w14:paraId="760596A6">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11.因工作需要，甲方临时向乙方提出服务的要求，乙方应全力配合，按照甲方提出标准及要求完成任务，不得无故拖延。</w:t>
      </w:r>
    </w:p>
    <w:p w14:paraId="6D32F0FD">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12.在服务期内乙方遇到各类检查、考核（如上级部门检查、考核、督导等），乙方要无条件加班，甲方不另支付加班费，即此项造成的费用由乙方承担。</w:t>
      </w:r>
    </w:p>
    <w:p w14:paraId="141BD218">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13.承包期间，乙方应保证承包区域内的其他有关设施、设备不受损坏，否则由此引起的责任和损失由乙方承担。</w:t>
      </w:r>
    </w:p>
    <w:p w14:paraId="3FBDEA6A">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14．乙方在条件允许下，配合甲方提供远程显证服务。</w:t>
      </w:r>
    </w:p>
    <w:p w14:paraId="2DE2DBCD">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六、服务期限：</w:t>
      </w:r>
    </w:p>
    <w:p w14:paraId="24931CAF">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一年。  年   月日起至  年  月   日止。合同到期前任何一方需终止合同，应提前三个月以书面形式通知对方。</w:t>
      </w:r>
    </w:p>
    <w:p w14:paraId="3E7E273B">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八、服务费支付</w:t>
      </w:r>
    </w:p>
    <w:p w14:paraId="639D36DC">
      <w:pPr>
        <w:tabs>
          <w:tab w:val="left" w:pos="540"/>
        </w:tabs>
        <w:spacing w:line="440" w:lineRule="exact"/>
        <w:ind w:left="0" w:leftChars="0"/>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1.合同总价</w:t>
      </w:r>
      <w:r>
        <w:rPr>
          <w:rFonts w:hint="eastAsia" w:ascii="新宋体" w:hAnsi="新宋体" w:eastAsia="新宋体" w:cs="Times New Roman"/>
          <w:color w:val="auto"/>
          <w:sz w:val="22"/>
          <w:szCs w:val="22"/>
          <w:highlight w:val="none"/>
          <w:u w:val="single"/>
          <w:lang w:val="en-US" w:eastAsia="zh-CN"/>
        </w:rPr>
        <w:t xml:space="preserve">                </w:t>
      </w:r>
      <w:r>
        <w:rPr>
          <w:rFonts w:hint="eastAsia" w:ascii="新宋体" w:hAnsi="新宋体" w:eastAsia="新宋体" w:cs="Times New Roman"/>
          <w:color w:val="auto"/>
          <w:sz w:val="22"/>
          <w:szCs w:val="22"/>
          <w:highlight w:val="none"/>
          <w:lang w:val="en-US" w:eastAsia="zh-CN"/>
        </w:rPr>
        <w:t>元。</w:t>
      </w:r>
    </w:p>
    <w:p w14:paraId="120958B8">
      <w:pPr>
        <w:tabs>
          <w:tab w:val="left" w:pos="540"/>
        </w:tabs>
        <w:spacing w:line="440" w:lineRule="exact"/>
        <w:ind w:firstLine="440" w:firstLineChars="200"/>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w:t>
      </w:r>
      <w:r>
        <w:rPr>
          <w:rFonts w:hint="eastAsia" w:ascii="宋体" w:eastAsia="宋体" w:cs="宋体"/>
          <w:b w:val="0"/>
          <w:bCs/>
          <w:color w:val="000000"/>
          <w:sz w:val="22"/>
          <w:szCs w:val="22"/>
          <w:lang w:val="en-US" w:eastAsia="zh-CN"/>
        </w:rPr>
        <w:t>签订合同之日起5个工作日内</w:t>
      </w:r>
      <w:r>
        <w:rPr>
          <w:rFonts w:hint="eastAsia" w:ascii="宋体" w:hAnsi="宋体" w:eastAsia="宋体" w:cs="宋体"/>
          <w:b w:val="0"/>
          <w:bCs/>
          <w:color w:val="000000"/>
          <w:sz w:val="22"/>
          <w:szCs w:val="22"/>
        </w:rPr>
        <w:t>支付合同总额的</w:t>
      </w:r>
      <w:r>
        <w:rPr>
          <w:rFonts w:hint="eastAsia" w:ascii="宋体" w:eastAsia="宋体" w:cs="宋体"/>
          <w:b w:val="0"/>
          <w:bCs/>
          <w:color w:val="000000"/>
          <w:sz w:val="22"/>
          <w:szCs w:val="22"/>
          <w:lang w:val="en-US" w:eastAsia="zh-CN"/>
        </w:rPr>
        <w:t>3</w:t>
      </w:r>
      <w:r>
        <w:rPr>
          <w:rFonts w:hint="eastAsia" w:ascii="宋体" w:hAnsi="宋体" w:eastAsia="宋体" w:cs="宋体"/>
          <w:b w:val="0"/>
          <w:bCs/>
          <w:color w:val="000000"/>
          <w:sz w:val="22"/>
          <w:szCs w:val="22"/>
        </w:rPr>
        <w:t>0%</w:t>
      </w:r>
      <w:r>
        <w:rPr>
          <w:rFonts w:hint="eastAsia" w:ascii="宋体" w:hAnsi="宋体" w:eastAsia="宋体" w:cs="宋体"/>
          <w:b w:val="0"/>
          <w:bCs/>
          <w:color w:val="000000"/>
          <w:sz w:val="22"/>
          <w:szCs w:val="22"/>
          <w:lang w:val="en-US" w:eastAsia="zh-CN"/>
        </w:rPr>
        <w:t>预付款</w:t>
      </w:r>
      <w:r>
        <w:rPr>
          <w:rFonts w:hint="eastAsia" w:ascii="宋体" w:hAnsi="宋体" w:eastAsia="宋体" w:cs="宋体"/>
          <w:b w:val="0"/>
          <w:bCs/>
          <w:color w:val="000000"/>
          <w:sz w:val="22"/>
          <w:szCs w:val="22"/>
        </w:rPr>
        <w:t>；余款根据合同期满日届满督察结果无索赔事件，以及履约情况综合评价结果一次性</w:t>
      </w:r>
      <w:r>
        <w:rPr>
          <w:rFonts w:hint="eastAsia" w:ascii="宋体" w:eastAsia="宋体" w:cs="宋体"/>
          <w:b w:val="0"/>
          <w:bCs/>
          <w:color w:val="000000"/>
          <w:sz w:val="22"/>
          <w:szCs w:val="22"/>
          <w:lang w:val="en-US" w:eastAsia="zh-CN"/>
        </w:rPr>
        <w:t>结</w:t>
      </w:r>
      <w:r>
        <w:rPr>
          <w:rFonts w:hint="eastAsia" w:ascii="宋体" w:hAnsi="宋体" w:eastAsia="宋体" w:cs="宋体"/>
          <w:b w:val="0"/>
          <w:bCs/>
          <w:color w:val="000000"/>
          <w:sz w:val="22"/>
          <w:szCs w:val="22"/>
        </w:rPr>
        <w:t>清。</w:t>
      </w:r>
      <w:r>
        <w:rPr>
          <w:rFonts w:hint="eastAsia" w:ascii="宋体" w:eastAsia="宋体" w:cs="宋体"/>
          <w:b w:val="0"/>
          <w:bCs/>
          <w:color w:val="000000"/>
          <w:sz w:val="22"/>
          <w:szCs w:val="22"/>
          <w:lang w:eastAsia="zh-CN"/>
        </w:rPr>
        <w:t>（</w:t>
      </w:r>
      <w:r>
        <w:rPr>
          <w:rFonts w:hint="eastAsia" w:ascii="宋体" w:eastAsia="宋体" w:cs="宋体"/>
          <w:b w:val="0"/>
          <w:bCs/>
          <w:color w:val="000000"/>
          <w:sz w:val="22"/>
          <w:szCs w:val="22"/>
          <w:lang w:val="en-US" w:eastAsia="zh-CN"/>
        </w:rPr>
        <w:t>说明：实际付款时间根据财政时间安排支付。</w:t>
      </w:r>
      <w:r>
        <w:rPr>
          <w:rFonts w:hint="eastAsia" w:ascii="宋体" w:eastAsia="宋体" w:cs="宋体"/>
          <w:b w:val="0"/>
          <w:bCs/>
          <w:color w:val="000000"/>
          <w:sz w:val="22"/>
          <w:szCs w:val="22"/>
          <w:lang w:eastAsia="zh-CN"/>
        </w:rPr>
        <w:t>）</w:t>
      </w:r>
    </w:p>
    <w:p w14:paraId="2E84D6C7">
      <w:pPr>
        <w:tabs>
          <w:tab w:val="left" w:pos="540"/>
        </w:tabs>
        <w:spacing w:line="440" w:lineRule="exact"/>
        <w:ind w:left="0" w:leftChars="0"/>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3.合同款介入乙方以下指定账户：</w:t>
      </w:r>
    </w:p>
    <w:p w14:paraId="2BD19F37">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开户行：</w:t>
      </w:r>
    </w:p>
    <w:p w14:paraId="529EA42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户名：</w:t>
      </w:r>
    </w:p>
    <w:p w14:paraId="41C14F2A">
      <w:pPr>
        <w:tabs>
          <w:tab w:val="left" w:pos="540"/>
        </w:tabs>
        <w:spacing w:line="440" w:lineRule="exact"/>
        <w:rPr>
          <w:rFonts w:hint="default"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账号：</w:t>
      </w:r>
    </w:p>
    <w:p w14:paraId="2DC1B0CF">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九、税费和履约验收费</w:t>
      </w:r>
    </w:p>
    <w:p w14:paraId="4C16B30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本合同执行中相关的一切税费均由乙方负担。履约验收费用由乙方负担。</w:t>
      </w:r>
    </w:p>
    <w:p w14:paraId="104C857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十、保险及赔偿条款</w:t>
      </w:r>
    </w:p>
    <w:p w14:paraId="29F6DA1A">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1.乙方应就本合同服务内容向有关保险机构办理保险手续，保险金额不低于人民币1000万元。</w:t>
      </w:r>
    </w:p>
    <w:p w14:paraId="3411798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在本合同有效期内，乙方不得以任何理由中断或撤销保险。保险到期或发生理赔事项保险公司赔付后乙方应及时续保。乙方未及时续保的，甲方有权代为办理保险手续，因此支出的一切费用由乙方承担。因乙方未及时办理保险手续或续保手续给甲方造成损失的，由乙方承担赔偿责任。</w:t>
      </w:r>
    </w:p>
    <w:p w14:paraId="2D3CADD9">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十一、违约责任</w:t>
      </w:r>
    </w:p>
    <w:p w14:paraId="725FB611">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若乙方未履行或未完全履行安全保障义务，造成涉案财物丢失、损毁、虫蛀、霉烂、变质的，由乙方承担赔偿责任，赔偿金额一般按照评估价格的三倍计算。若对刑事诉讼案件定罪量刑产生影响的，在赔偿的基础上，承担每件10万元的违约金。</w:t>
      </w:r>
    </w:p>
    <w:p w14:paraId="282D7BA1">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2.若乙方未履行保密义务，导致涉案财物信息泄露的，承担每件10万元的违约金。</w:t>
      </w:r>
    </w:p>
    <w:p w14:paraId="4BC011A4">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3.若因甲方单位工作人员的失误导致乙方保管财物毁损的由甲方单位承担责任。</w:t>
      </w:r>
    </w:p>
    <w:p w14:paraId="2F45A6FF">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4.乙方未达到甲方服务要求的，按违约处理，在合同款中扣除违约金3000元/次。</w:t>
      </w:r>
    </w:p>
    <w:p w14:paraId="4F361B16">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5.乙方员工发生被媒体曝光或影响甲方公众形象或违反甲方规章制度造成不良影响，而由此产生的损失及消除影响产生的费用，由乙方全部承担；甲方根据事件的轻重，将保留扣除乙方的当期合同款0.3%~15%的权利。</w:t>
      </w:r>
    </w:p>
    <w:p w14:paraId="3DD3327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6.乙方如要提前中止本合同，需提前3个月，并征得甲方同意，否则按合同执行。乙方不能履行合同义务，应按未履行部分合同价格的100%向甲方偿付违约金。（未履行部分合同价格以合同总价为基数，按日计算，每日价格=总价/365天）</w:t>
      </w:r>
    </w:p>
    <w:p w14:paraId="576AB6E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7.保密义务：乙方违反甲方规定的保密义务，乙方应当支付本合同总金额的5%作为违约金。</w:t>
      </w:r>
    </w:p>
    <w:p w14:paraId="44576B5B">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8.乙方在本合同实施过程中出现有效投诉2次或以上的，每次支付违约金3000元。</w:t>
      </w:r>
    </w:p>
    <w:p w14:paraId="4BE706AC">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9．若乙方未做到合同第一条关于管理中心建设要求的，甲方有权要求乙方限期进行整改，在规定期限内乙方拒不改正或仍然无法满足甲方要求的，甲方有权解除合同并要求乙方支付合同总价的5%作为赔偿金。</w:t>
      </w:r>
    </w:p>
    <w:p w14:paraId="0C1D07CC">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10.若乙方违反合同第六款第九项约定，违规转让或分包服务的，甲方有权解除合同并要求乙方支付合同总价的5%作为赔偿金。</w:t>
      </w:r>
    </w:p>
    <w:p w14:paraId="5431A718">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 xml:space="preserve">   十二、不可抗力事件处理</w:t>
      </w:r>
    </w:p>
    <w:p w14:paraId="74F7D07C">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1.在合同有效期内，任何一方因不可抗力事件导致不能履行合同，则合同履行期可延长，其延长期与不可抗力影响期相同。</w:t>
      </w:r>
    </w:p>
    <w:p w14:paraId="3574B173">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2.不可抗力事件发生后，应立即通知对方，并寄送有关权威机构出具的证明。</w:t>
      </w:r>
    </w:p>
    <w:p w14:paraId="797D0D3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3.不可抗力事件延续120天以上，双方应通过友好协商，确定是否继续履行合同。</w:t>
      </w:r>
    </w:p>
    <w:p w14:paraId="027729A2">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十三、诉讼</w:t>
      </w:r>
    </w:p>
    <w:p w14:paraId="315E55B8">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双方在执行合同中所发生的一切争议，应通过协商解决。如协商不成，可向甲方所在地法院起诉。</w:t>
      </w:r>
    </w:p>
    <w:p w14:paraId="4EE9CC3E">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十四、合同生效及其它</w:t>
      </w:r>
    </w:p>
    <w:p w14:paraId="17F4D2F8">
      <w:pPr>
        <w:tabs>
          <w:tab w:val="left" w:pos="540"/>
        </w:tabs>
        <w:spacing w:line="440" w:lineRule="exact"/>
        <w:rPr>
          <w:rFonts w:hint="eastAsia" w:ascii="新宋体" w:hAnsi="新宋体" w:eastAsia="新宋体" w:cs="Times New Roman"/>
          <w:color w:val="auto"/>
          <w:sz w:val="22"/>
          <w:szCs w:val="22"/>
          <w:highlight w:val="none"/>
          <w:lang w:val="en-US" w:eastAsia="zh-CN"/>
        </w:rPr>
      </w:pPr>
      <w:r>
        <w:rPr>
          <w:rFonts w:hint="eastAsia" w:ascii="新宋体" w:hAnsi="新宋体" w:eastAsia="新宋体" w:cs="Times New Roman"/>
          <w:color w:val="auto"/>
          <w:sz w:val="22"/>
          <w:szCs w:val="22"/>
          <w:highlight w:val="none"/>
          <w:lang w:val="en-US" w:eastAsia="zh-CN"/>
        </w:rPr>
        <w:t>1、合同经双方法定代表人或授权代表签字并加盖单位公章后生效。</w:t>
      </w:r>
    </w:p>
    <w:p w14:paraId="70E328CB">
      <w:pPr>
        <w:spacing w:line="400" w:lineRule="exact"/>
        <w:ind w:left="540"/>
        <w:rPr>
          <w:rFonts w:ascii="宋体" w:hAnsi="宋体" w:cs="宋体"/>
          <w:b/>
          <w:color w:val="auto"/>
          <w:sz w:val="22"/>
          <w:szCs w:val="22"/>
          <w:highlight w:val="none"/>
        </w:rPr>
      </w:pPr>
      <w:r>
        <w:rPr>
          <w:rFonts w:hint="eastAsia" w:ascii="宋体" w:hAnsi="宋体" w:cs="宋体"/>
          <w:b/>
          <w:color w:val="auto"/>
          <w:sz w:val="22"/>
          <w:szCs w:val="22"/>
          <w:highlight w:val="none"/>
        </w:rPr>
        <w:t>下列文件构成本合同的组成部分：</w:t>
      </w:r>
    </w:p>
    <w:p w14:paraId="4D465723">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（1）本合同                       （2）磋商文件</w:t>
      </w:r>
    </w:p>
    <w:p w14:paraId="5C7A55EC">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（3）响应文件                     （4）合同补充条款或说明（如有）</w:t>
      </w:r>
    </w:p>
    <w:p w14:paraId="322E430C">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(5) 承诺书（如有）      </w:t>
      </w:r>
    </w:p>
    <w:p w14:paraId="40E96225">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9DE2B82">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甲方名称：（盖章）                  乙方名称：（盖章）</w:t>
      </w:r>
    </w:p>
    <w:p w14:paraId="1B1A250F">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代表人（签字）：                    代表人（签字）：</w:t>
      </w:r>
    </w:p>
    <w:p w14:paraId="57CB7275">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联系电话：                         联系电话：</w:t>
      </w:r>
    </w:p>
    <w:p w14:paraId="64A5ED1F">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日期：    年    月   日            日期：    年    月   日</w:t>
      </w:r>
    </w:p>
    <w:p w14:paraId="15134995">
      <w:pPr>
        <w:pStyle w:val="36"/>
        <w:rPr>
          <w:rFonts w:hint="eastAsia" w:ascii="宋体" w:hAnsi="宋体" w:eastAsia="宋体" w:cs="宋体"/>
          <w:color w:val="auto"/>
          <w:highlight w:val="none"/>
        </w:rPr>
      </w:pPr>
    </w:p>
    <w:p w14:paraId="0256032E">
      <w:pPr>
        <w:snapToGrid w:val="0"/>
        <w:spacing w:line="360" w:lineRule="auto"/>
        <w:jc w:val="left"/>
        <w:rPr>
          <w:rFonts w:hint="eastAsia" w:ascii="宋体" w:hAnsi="宋体" w:eastAsia="宋体" w:cs="宋体"/>
          <w:b/>
          <w:color w:val="auto"/>
          <w:sz w:val="36"/>
          <w:szCs w:val="36"/>
          <w:highlight w:val="none"/>
        </w:rPr>
      </w:pPr>
      <w:r>
        <w:rPr>
          <w:rFonts w:hint="eastAsia" w:ascii="宋体" w:hAnsi="宋体" w:eastAsia="宋体" w:cs="宋体"/>
          <w:b/>
          <w:bCs/>
          <w:color w:val="auto"/>
          <w:sz w:val="24"/>
          <w:highlight w:val="none"/>
          <w:u w:val="single"/>
        </w:rPr>
        <w:t>注：本合同作为示范文本，具体以中标人与招标人所签定正式合同为准。</w:t>
      </w:r>
      <w:r>
        <w:rPr>
          <w:rFonts w:hint="eastAsia" w:ascii="宋体" w:hAnsi="宋体" w:eastAsia="宋体" w:cs="宋体"/>
          <w:color w:val="auto"/>
          <w:sz w:val="22"/>
          <w:szCs w:val="22"/>
          <w:highlight w:val="none"/>
        </w:rPr>
        <w:br w:type="page"/>
      </w:r>
    </w:p>
    <w:bookmarkEnd w:id="215"/>
    <w:p w14:paraId="17306BE5">
      <w:pPr>
        <w:pStyle w:val="3"/>
        <w:rPr>
          <w:rFonts w:hint="eastAsia" w:ascii="宋体" w:hAnsi="宋体" w:eastAsia="宋体" w:cs="宋体"/>
          <w:color w:val="auto"/>
          <w:sz w:val="36"/>
          <w:szCs w:val="36"/>
          <w:highlight w:val="none"/>
        </w:rPr>
      </w:pPr>
      <w:bookmarkStart w:id="216" w:name="_Toc522173454"/>
      <w:bookmarkEnd w:id="216"/>
      <w:bookmarkStart w:id="217" w:name="_Toc522173453"/>
      <w:bookmarkEnd w:id="217"/>
      <w:bookmarkStart w:id="218" w:name="_Toc522173455"/>
      <w:bookmarkEnd w:id="218"/>
      <w:bookmarkStart w:id="219" w:name="_Toc522173452"/>
      <w:bookmarkEnd w:id="219"/>
      <w:bookmarkStart w:id="220" w:name="_Toc522173456"/>
      <w:bookmarkEnd w:id="220"/>
      <w:bookmarkStart w:id="221" w:name="_Toc27250"/>
      <w:r>
        <w:rPr>
          <w:rFonts w:hint="eastAsia" w:ascii="宋体" w:hAnsi="宋体" w:eastAsia="宋体" w:cs="宋体"/>
          <w:color w:val="auto"/>
          <w:sz w:val="36"/>
          <w:szCs w:val="36"/>
          <w:highlight w:val="none"/>
        </w:rPr>
        <w:t>第五部分   附件</w:t>
      </w:r>
      <w:bookmarkEnd w:id="221"/>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14:paraId="130EE834">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709141AF">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资格审查料</w:t>
      </w:r>
    </w:p>
    <w:p w14:paraId="36D89EF5">
      <w:pPr>
        <w:spacing w:line="460" w:lineRule="exact"/>
        <w:jc w:val="center"/>
        <w:rPr>
          <w:rFonts w:hint="eastAsia" w:ascii="宋体" w:hAnsi="宋体" w:eastAsia="宋体" w:cs="宋体"/>
          <w:color w:val="auto"/>
          <w:sz w:val="28"/>
          <w:szCs w:val="28"/>
          <w:highlight w:val="none"/>
        </w:rPr>
      </w:pPr>
    </w:p>
    <w:p w14:paraId="7ACE3C1D">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（1-1）法定代表人声明书</w:t>
      </w:r>
    </w:p>
    <w:p w14:paraId="1ECDEE01">
      <w:pPr>
        <w:spacing w:line="400" w:lineRule="exact"/>
        <w:rPr>
          <w:rFonts w:hint="eastAsia" w:ascii="宋体" w:hAnsi="宋体" w:eastAsia="宋体" w:cs="宋体"/>
          <w:color w:val="auto"/>
          <w:highlight w:val="none"/>
        </w:rPr>
      </w:pPr>
    </w:p>
    <w:p w14:paraId="7BDC187C">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温州市公安局瓯海区分局</w:t>
      </w:r>
      <w:r>
        <w:rPr>
          <w:rFonts w:hint="eastAsia" w:ascii="宋体" w:hAnsi="宋体" w:eastAsia="宋体" w:cs="宋体"/>
          <w:color w:val="auto"/>
          <w:sz w:val="22"/>
          <w:szCs w:val="22"/>
          <w:highlight w:val="none"/>
        </w:rPr>
        <w:t>：</w:t>
      </w:r>
    </w:p>
    <w:p w14:paraId="497DFEE7">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温州众鑫招标代理有限公司</w:t>
      </w:r>
      <w:r>
        <w:rPr>
          <w:rFonts w:hint="eastAsia" w:ascii="宋体" w:hAnsi="宋体" w:eastAsia="宋体" w:cs="宋体"/>
          <w:color w:val="auto"/>
          <w:sz w:val="22"/>
          <w:szCs w:val="22"/>
          <w:highlight w:val="none"/>
        </w:rPr>
        <w:t>：</w:t>
      </w:r>
    </w:p>
    <w:p w14:paraId="0CFC3174">
      <w:pPr>
        <w:spacing w:line="460" w:lineRule="exact"/>
        <w:rPr>
          <w:rFonts w:hint="eastAsia" w:ascii="宋体" w:hAnsi="宋体" w:eastAsia="宋体" w:cs="宋体"/>
          <w:color w:val="auto"/>
          <w:sz w:val="22"/>
          <w:szCs w:val="22"/>
          <w:highlight w:val="none"/>
          <w:u w:val="single"/>
        </w:rPr>
      </w:pPr>
    </w:p>
    <w:p w14:paraId="15411A82">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的法定代表人。我公司参加贵处组织的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的采购活动，由我本人全权代表我方处理采购活动中的一切事宜。联系方式如下：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287F80F0">
      <w:pPr>
        <w:spacing w:line="400" w:lineRule="exact"/>
        <w:rPr>
          <w:rFonts w:hint="eastAsia" w:ascii="宋体" w:hAnsi="宋体" w:eastAsia="宋体" w:cs="宋体"/>
          <w:color w:val="auto"/>
          <w:highlight w:val="none"/>
        </w:rPr>
      </w:pPr>
    </w:p>
    <w:p w14:paraId="5006F159">
      <w:pPr>
        <w:spacing w:line="400" w:lineRule="exact"/>
        <w:rPr>
          <w:rFonts w:hint="eastAsia" w:ascii="宋体" w:hAnsi="宋体" w:eastAsia="宋体" w:cs="宋体"/>
          <w:color w:val="auto"/>
          <w:highlight w:val="none"/>
        </w:rPr>
      </w:pPr>
    </w:p>
    <w:p w14:paraId="4B91EB5B">
      <w:pPr>
        <w:spacing w:line="400" w:lineRule="exact"/>
        <w:rPr>
          <w:rFonts w:hint="eastAsia" w:ascii="宋体" w:hAnsi="宋体" w:eastAsia="宋体" w:cs="宋体"/>
          <w:color w:val="auto"/>
          <w:highlight w:val="none"/>
        </w:rPr>
      </w:pPr>
    </w:p>
    <w:p w14:paraId="6E642C97">
      <w:pPr>
        <w:spacing w:line="460" w:lineRule="exact"/>
        <w:ind w:firstLine="3971" w:firstLineChars="1805"/>
        <w:rPr>
          <w:rFonts w:hint="eastAsia" w:ascii="宋体" w:hAnsi="宋体" w:eastAsia="宋体" w:cs="宋体"/>
          <w:color w:val="auto"/>
          <w:sz w:val="22"/>
          <w:szCs w:val="22"/>
          <w:highlight w:val="none"/>
        </w:rPr>
      </w:pPr>
    </w:p>
    <w:p w14:paraId="4BD320C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14:paraId="2B41F225">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0B0A62CD">
      <w:pPr>
        <w:spacing w:line="460" w:lineRule="exact"/>
        <w:rPr>
          <w:rFonts w:hint="eastAsia" w:ascii="宋体" w:hAnsi="宋体" w:eastAsia="宋体" w:cs="宋体"/>
          <w:color w:val="auto"/>
          <w:sz w:val="22"/>
          <w:szCs w:val="22"/>
          <w:highlight w:val="none"/>
        </w:rPr>
      </w:pPr>
    </w:p>
    <w:p w14:paraId="4E6D3B47">
      <w:pPr>
        <w:widowControl/>
        <w:jc w:val="left"/>
        <w:rPr>
          <w:rFonts w:hint="eastAsia" w:ascii="宋体" w:hAnsi="宋体" w:eastAsia="宋体" w:cs="宋体"/>
          <w:color w:val="auto"/>
          <w:szCs w:val="21"/>
          <w:highlight w:val="none"/>
        </w:rPr>
      </w:pPr>
    </w:p>
    <w:p w14:paraId="6951E10E">
      <w:pPr>
        <w:widowControl/>
        <w:jc w:val="left"/>
        <w:rPr>
          <w:rFonts w:hint="eastAsia" w:ascii="宋体" w:hAnsi="宋体" w:eastAsia="宋体" w:cs="宋体"/>
          <w:color w:val="auto"/>
          <w:szCs w:val="21"/>
          <w:highlight w:val="none"/>
        </w:rPr>
      </w:pPr>
    </w:p>
    <w:p w14:paraId="2395D6E0">
      <w:pPr>
        <w:widowControl/>
        <w:jc w:val="left"/>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rPr>
        <w:t>附：法定代表人身份证正反面复印件</w:t>
      </w:r>
      <w:r>
        <w:rPr>
          <w:rFonts w:hint="eastAsia" w:ascii="宋体" w:hAnsi="宋体" w:eastAsia="宋体" w:cs="宋体"/>
          <w:color w:val="auto"/>
          <w:szCs w:val="21"/>
          <w:highlight w:val="none"/>
        </w:rPr>
        <w:br w:type="page"/>
      </w:r>
    </w:p>
    <w:p w14:paraId="4463A08C">
      <w:pPr>
        <w:spacing w:line="360" w:lineRule="exact"/>
        <w:rPr>
          <w:rFonts w:hint="eastAsia" w:ascii="宋体" w:hAnsi="宋体" w:eastAsia="宋体" w:cs="宋体"/>
          <w:color w:val="auto"/>
          <w:szCs w:val="21"/>
          <w:highlight w:val="none"/>
        </w:rPr>
      </w:pPr>
    </w:p>
    <w:p w14:paraId="14662858">
      <w:pPr>
        <w:spacing w:line="380" w:lineRule="exact"/>
        <w:jc w:val="center"/>
        <w:rPr>
          <w:rFonts w:hint="eastAsia" w:ascii="宋体" w:hAnsi="宋体" w:eastAsia="宋体" w:cs="宋体"/>
          <w:b/>
          <w:color w:val="auto"/>
          <w:sz w:val="22"/>
          <w:szCs w:val="22"/>
          <w:highlight w:val="none"/>
        </w:rPr>
      </w:pPr>
    </w:p>
    <w:p w14:paraId="64CD6B04">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（1-2）法定代表人授权书</w:t>
      </w:r>
    </w:p>
    <w:p w14:paraId="0215458B">
      <w:pPr>
        <w:spacing w:line="400" w:lineRule="exact"/>
        <w:jc w:val="center"/>
        <w:rPr>
          <w:rFonts w:hint="eastAsia" w:ascii="宋体" w:hAnsi="宋体" w:eastAsia="宋体" w:cs="宋体"/>
          <w:b/>
          <w:bCs/>
          <w:color w:val="auto"/>
          <w:sz w:val="28"/>
          <w:szCs w:val="28"/>
          <w:highlight w:val="none"/>
        </w:rPr>
      </w:pPr>
    </w:p>
    <w:p w14:paraId="1654CC1A">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温州市公安局瓯海区分局</w:t>
      </w:r>
      <w:r>
        <w:rPr>
          <w:rFonts w:hint="eastAsia" w:ascii="宋体" w:hAnsi="宋体" w:eastAsia="宋体" w:cs="宋体"/>
          <w:color w:val="auto"/>
          <w:sz w:val="22"/>
          <w:szCs w:val="22"/>
          <w:highlight w:val="none"/>
        </w:rPr>
        <w:t>：</w:t>
      </w:r>
    </w:p>
    <w:p w14:paraId="0AE9EC8E">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温州众鑫招标代理有限公司</w:t>
      </w:r>
      <w:r>
        <w:rPr>
          <w:rFonts w:hint="eastAsia" w:ascii="宋体" w:hAnsi="宋体" w:eastAsia="宋体" w:cs="宋体"/>
          <w:color w:val="auto"/>
          <w:sz w:val="22"/>
          <w:szCs w:val="22"/>
          <w:highlight w:val="none"/>
        </w:rPr>
        <w:t>：</w:t>
      </w:r>
    </w:p>
    <w:p w14:paraId="774DD295">
      <w:pPr>
        <w:spacing w:line="460" w:lineRule="exact"/>
        <w:rPr>
          <w:rFonts w:hint="eastAsia" w:ascii="宋体" w:hAnsi="宋体" w:eastAsia="宋体" w:cs="宋体"/>
          <w:color w:val="auto"/>
          <w:sz w:val="22"/>
          <w:szCs w:val="22"/>
          <w:highlight w:val="none"/>
          <w:u w:val="single"/>
        </w:rPr>
      </w:pPr>
    </w:p>
    <w:p w14:paraId="2014BB6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 xml:space="preserve"> 授权</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为本项目全权代表，参加贵处组织的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12EFF00C">
      <w:pPr>
        <w:spacing w:line="460" w:lineRule="exact"/>
        <w:ind w:firstLine="220" w:firstLineChars="100"/>
        <w:rPr>
          <w:rFonts w:hint="eastAsia" w:ascii="宋体" w:hAnsi="宋体" w:eastAsia="宋体" w:cs="宋体"/>
          <w:color w:val="auto"/>
          <w:sz w:val="22"/>
          <w:szCs w:val="22"/>
          <w:highlight w:val="none"/>
        </w:rPr>
      </w:pPr>
    </w:p>
    <w:p w14:paraId="196AB72E">
      <w:pPr>
        <w:spacing w:line="460" w:lineRule="exact"/>
        <w:ind w:firstLine="550" w:firstLineChars="250"/>
        <w:rPr>
          <w:rFonts w:hint="eastAsia" w:ascii="宋体" w:hAnsi="宋体" w:eastAsia="宋体" w:cs="宋体"/>
          <w:color w:val="auto"/>
          <w:sz w:val="22"/>
          <w:szCs w:val="22"/>
          <w:highlight w:val="none"/>
        </w:rPr>
      </w:pPr>
    </w:p>
    <w:p w14:paraId="274E98D9">
      <w:pPr>
        <w:spacing w:line="460" w:lineRule="exact"/>
        <w:ind w:firstLine="2955"/>
        <w:rPr>
          <w:rFonts w:hint="eastAsia" w:ascii="宋体" w:hAnsi="宋体" w:eastAsia="宋体" w:cs="宋体"/>
          <w:color w:val="auto"/>
          <w:sz w:val="22"/>
          <w:szCs w:val="22"/>
          <w:highlight w:val="none"/>
        </w:rPr>
      </w:pPr>
    </w:p>
    <w:p w14:paraId="461972C2">
      <w:pPr>
        <w:spacing w:line="460" w:lineRule="exact"/>
        <w:ind w:firstLine="2955"/>
        <w:rPr>
          <w:rFonts w:hint="eastAsia" w:ascii="宋体" w:hAnsi="宋体" w:eastAsia="宋体" w:cs="宋体"/>
          <w:color w:val="auto"/>
          <w:sz w:val="22"/>
          <w:szCs w:val="22"/>
          <w:highlight w:val="none"/>
        </w:rPr>
      </w:pPr>
    </w:p>
    <w:p w14:paraId="4121D4B1">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3E477F8D">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14:paraId="1576808E">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694B207F">
      <w:pPr>
        <w:spacing w:line="460" w:lineRule="exact"/>
        <w:rPr>
          <w:rFonts w:hint="eastAsia" w:ascii="宋体" w:hAnsi="宋体" w:eastAsia="宋体" w:cs="宋体"/>
          <w:color w:val="auto"/>
          <w:sz w:val="22"/>
          <w:szCs w:val="22"/>
          <w:highlight w:val="none"/>
        </w:rPr>
      </w:pPr>
    </w:p>
    <w:p w14:paraId="7BD36C6F">
      <w:pPr>
        <w:spacing w:line="460" w:lineRule="exact"/>
        <w:rPr>
          <w:rFonts w:hint="eastAsia" w:ascii="宋体" w:hAnsi="宋体" w:eastAsia="宋体" w:cs="宋体"/>
          <w:color w:val="auto"/>
          <w:sz w:val="22"/>
          <w:szCs w:val="22"/>
          <w:highlight w:val="none"/>
        </w:rPr>
      </w:pPr>
    </w:p>
    <w:p w14:paraId="3148434D">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附：法定代表人及授权代表的身份证正反面复印件</w:t>
      </w:r>
    </w:p>
    <w:p w14:paraId="6760064F">
      <w:pPr>
        <w:widowControl/>
        <w:jc w:val="left"/>
        <w:rPr>
          <w:rFonts w:hint="eastAsia" w:ascii="宋体" w:hAnsi="宋体" w:eastAsia="宋体" w:cs="宋体"/>
          <w:b/>
          <w:bCs/>
          <w:color w:val="auto"/>
          <w:highlight w:val="none"/>
        </w:rPr>
      </w:pPr>
    </w:p>
    <w:p w14:paraId="4980F776">
      <w:pPr>
        <w:widowControl/>
        <w:jc w:val="left"/>
        <w:rPr>
          <w:rFonts w:hint="eastAsia" w:ascii="宋体" w:hAnsi="宋体" w:eastAsia="宋体" w:cs="宋体"/>
          <w:b/>
          <w:bCs/>
          <w:color w:val="auto"/>
          <w:highlight w:val="none"/>
        </w:rPr>
      </w:pPr>
    </w:p>
    <w:p w14:paraId="62718C46">
      <w:pPr>
        <w:widowControl/>
        <w:jc w:val="left"/>
        <w:rPr>
          <w:rFonts w:hint="eastAsia" w:ascii="宋体" w:hAnsi="宋体" w:eastAsia="宋体" w:cs="宋体"/>
          <w:b/>
          <w:bCs/>
          <w:color w:val="auto"/>
          <w:highlight w:val="none"/>
        </w:rPr>
      </w:pPr>
    </w:p>
    <w:p w14:paraId="602925F0">
      <w:pPr>
        <w:widowControl/>
        <w:jc w:val="left"/>
        <w:rPr>
          <w:rFonts w:hint="eastAsia" w:ascii="宋体" w:hAnsi="宋体" w:eastAsia="宋体" w:cs="宋体"/>
          <w:b/>
          <w:bCs/>
          <w:color w:val="auto"/>
          <w:highlight w:val="none"/>
        </w:rPr>
      </w:pPr>
    </w:p>
    <w:p w14:paraId="01A4E940">
      <w:pPr>
        <w:widowControl/>
        <w:jc w:val="left"/>
        <w:rPr>
          <w:rFonts w:hint="eastAsia" w:ascii="宋体" w:hAnsi="宋体" w:eastAsia="宋体" w:cs="宋体"/>
          <w:b/>
          <w:bCs/>
          <w:color w:val="auto"/>
          <w:highlight w:val="none"/>
        </w:rPr>
      </w:pPr>
    </w:p>
    <w:p w14:paraId="262D3A4D">
      <w:pPr>
        <w:widowControl/>
        <w:jc w:val="left"/>
        <w:rPr>
          <w:rFonts w:hint="eastAsia" w:ascii="宋体" w:hAnsi="宋体" w:eastAsia="宋体" w:cs="宋体"/>
          <w:b/>
          <w:bCs/>
          <w:color w:val="auto"/>
          <w:highlight w:val="none"/>
        </w:rPr>
      </w:pPr>
    </w:p>
    <w:p w14:paraId="2931C023">
      <w:pPr>
        <w:widowControl/>
        <w:jc w:val="left"/>
        <w:rPr>
          <w:rFonts w:hint="eastAsia" w:ascii="宋体" w:hAnsi="宋体" w:eastAsia="宋体" w:cs="宋体"/>
          <w:b/>
          <w:bCs/>
          <w:color w:val="auto"/>
          <w:highlight w:val="none"/>
        </w:rPr>
      </w:pPr>
    </w:p>
    <w:p w14:paraId="64E5526D">
      <w:pPr>
        <w:widowControl/>
        <w:jc w:val="left"/>
        <w:rPr>
          <w:rFonts w:hint="eastAsia" w:ascii="宋体" w:hAnsi="宋体" w:eastAsia="宋体" w:cs="宋体"/>
          <w:b/>
          <w:bCs/>
          <w:color w:val="auto"/>
          <w:highlight w:val="none"/>
        </w:rPr>
      </w:pPr>
    </w:p>
    <w:p w14:paraId="61F3D7D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4AEDE7A0">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1、若供应商代表为法定代表人，应提供声明书（1-1）并提交法定代表人身份证正反面复印件；</w:t>
      </w:r>
    </w:p>
    <w:p w14:paraId="6676098D">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2、若供应商代表为法定代表人授权的委托代理人，应提供授权书（1-2），并附法定代表人及授权代表的身份证正反面复印件。</w:t>
      </w:r>
    </w:p>
    <w:p w14:paraId="0C758B71">
      <w:pPr>
        <w:spacing w:line="460" w:lineRule="exact"/>
        <w:rPr>
          <w:rFonts w:hint="eastAsia" w:ascii="宋体" w:hAnsi="宋体" w:eastAsia="宋体" w:cs="宋体"/>
          <w:color w:val="auto"/>
          <w:sz w:val="22"/>
          <w:szCs w:val="22"/>
          <w:highlight w:val="none"/>
        </w:rPr>
      </w:pPr>
    </w:p>
    <w:p w14:paraId="409E8676">
      <w:pPr>
        <w:spacing w:line="38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p>
    <w:p w14:paraId="1A069C66">
      <w:pPr>
        <w:spacing w:line="380" w:lineRule="exact"/>
        <w:jc w:val="center"/>
        <w:rPr>
          <w:rFonts w:hint="eastAsia" w:ascii="宋体" w:hAnsi="宋体" w:eastAsia="宋体" w:cs="宋体"/>
          <w:b/>
          <w:bCs/>
          <w:color w:val="auto"/>
          <w:sz w:val="32"/>
          <w:highlight w:val="none"/>
        </w:rPr>
      </w:pPr>
    </w:p>
    <w:p w14:paraId="7E5BD586">
      <w:pPr>
        <w:widowControl/>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参与采购活动投标资格声明函</w:t>
      </w:r>
    </w:p>
    <w:p w14:paraId="3B1D617E">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69A69056">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eastAsia="zh-CN"/>
        </w:rPr>
        <w:t>温州市公安局瓯海区分局</w:t>
      </w:r>
      <w:r>
        <w:rPr>
          <w:rFonts w:hint="eastAsia" w:ascii="宋体" w:hAnsi="宋体" w:eastAsia="宋体" w:cs="宋体"/>
          <w:color w:val="auto"/>
          <w:kern w:val="0"/>
          <w:sz w:val="22"/>
          <w:szCs w:val="22"/>
          <w:highlight w:val="none"/>
        </w:rPr>
        <w:t>：</w:t>
      </w:r>
    </w:p>
    <w:p w14:paraId="2CFA1BB6">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温州众鑫招标代理有限公司</w:t>
      </w:r>
      <w:r>
        <w:rPr>
          <w:rFonts w:hint="eastAsia" w:ascii="宋体" w:hAnsi="宋体" w:eastAsia="宋体" w:cs="宋体"/>
          <w:color w:val="auto"/>
          <w:kern w:val="0"/>
          <w:sz w:val="22"/>
          <w:szCs w:val="22"/>
          <w:highlight w:val="none"/>
        </w:rPr>
        <w:t>：</w:t>
      </w:r>
    </w:p>
    <w:p w14:paraId="328FFD4D">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我单位参与</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kern w:val="0"/>
          <w:sz w:val="22"/>
          <w:szCs w:val="22"/>
          <w:highlight w:val="none"/>
        </w:rPr>
        <w:t>项目的采购活动，现声明如下：</w:t>
      </w:r>
    </w:p>
    <w:p w14:paraId="59AC2524">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1、我单位具有独立承担民事责任的能力。</w:t>
      </w:r>
    </w:p>
    <w:p w14:paraId="2E39DD2C">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2、我单位具有良好的商业信誉和健全的财务会计制度。</w:t>
      </w:r>
    </w:p>
    <w:p w14:paraId="61E02662">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3、我单位具有依法缴纳税收和社会保障资金的良好记录。</w:t>
      </w:r>
    </w:p>
    <w:p w14:paraId="59C15B19">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4、我单位具有履行本项目采购合同所必需的设备和专业技术能力。</w:t>
      </w:r>
    </w:p>
    <w:p w14:paraId="1F51ACB1">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211EF76">
      <w:pPr>
        <w:pStyle w:val="16"/>
        <w:spacing w:line="360" w:lineRule="auto"/>
        <w:ind w:left="216" w:leftChars="103" w:firstLine="200" w:firstLineChars="9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6、我单位符合本项目特定资格条件： 的要求，并在磋商响应文件中提供了相应的证明材料（磋商文件没有要求特定资格条件的，本条款空格处可以空白）</w:t>
      </w:r>
    </w:p>
    <w:p w14:paraId="25C23E99">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以上事项如有虚假，采购人可取消我方任何资格（</w:t>
      </w:r>
      <w:r>
        <w:rPr>
          <w:rFonts w:hint="eastAsia" w:ascii="宋体" w:hAnsi="宋体" w:eastAsia="宋体" w:cs="宋体"/>
          <w:color w:val="auto"/>
          <w:kern w:val="0"/>
          <w:sz w:val="22"/>
          <w:szCs w:val="22"/>
          <w:highlight w:val="none"/>
          <w:lang w:val="en-US" w:eastAsia="zh-CN"/>
        </w:rPr>
        <w:t>磋商</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成交</w:t>
      </w:r>
      <w:r>
        <w:rPr>
          <w:rFonts w:hint="eastAsia" w:ascii="宋体" w:hAnsi="宋体" w:eastAsia="宋体" w:cs="宋体"/>
          <w:color w:val="auto"/>
          <w:kern w:val="0"/>
          <w:sz w:val="22"/>
          <w:szCs w:val="22"/>
          <w:highlight w:val="none"/>
        </w:rPr>
        <w:t>/签订合同），我方对此无任何异议。</w:t>
      </w:r>
    </w:p>
    <w:p w14:paraId="3E10BD3C">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7B69E3D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74F78743">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182A5A9C">
      <w:pPr>
        <w:pStyle w:val="16"/>
        <w:rPr>
          <w:rFonts w:hint="eastAsia" w:ascii="宋体" w:hAnsi="宋体" w:eastAsia="宋体" w:cs="宋体"/>
          <w:color w:val="auto"/>
          <w:highlight w:val="none"/>
        </w:rPr>
      </w:pPr>
    </w:p>
    <w:p w14:paraId="77340867">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7534BFAE">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7C8B6333">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CF94075">
      <w:pPr>
        <w:pStyle w:val="16"/>
        <w:rPr>
          <w:rFonts w:hint="eastAsia" w:ascii="宋体" w:hAnsi="宋体" w:eastAsia="宋体" w:cs="宋体"/>
          <w:color w:val="auto"/>
          <w:highlight w:val="none"/>
        </w:rPr>
      </w:pPr>
    </w:p>
    <w:p w14:paraId="0ACD72E2">
      <w:pPr>
        <w:widowControl/>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br w:type="page"/>
      </w:r>
    </w:p>
    <w:p w14:paraId="3B411F56">
      <w:pPr>
        <w:pStyle w:val="21"/>
        <w:snapToGrid w:val="0"/>
        <w:spacing w:line="324"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（3）诚信投标承诺书</w:t>
      </w:r>
    </w:p>
    <w:p w14:paraId="5E58DCCC">
      <w:pPr>
        <w:ind w:right="-153" w:rightChars="-73"/>
        <w:jc w:val="center"/>
        <w:rPr>
          <w:rFonts w:hint="eastAsia" w:ascii="宋体" w:hAnsi="宋体" w:eastAsia="宋体" w:cs="宋体"/>
          <w:color w:val="auto"/>
          <w:sz w:val="22"/>
          <w:szCs w:val="22"/>
          <w:highlight w:val="none"/>
        </w:rPr>
      </w:pPr>
    </w:p>
    <w:p w14:paraId="16B820FA">
      <w:pPr>
        <w:spacing w:line="520" w:lineRule="exact"/>
        <w:ind w:right="-153"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366B7734">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为了积极配合贵公司组织的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BD2208A">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自觉遵守国家法律法规及有关廉政建设制度。</w:t>
      </w:r>
    </w:p>
    <w:p w14:paraId="752D1C84">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主动了解采购人招投标纪律，积极配合采购人执行招投标廉政建设的有关规定。</w:t>
      </w:r>
    </w:p>
    <w:p w14:paraId="1DB9E78C">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不使用不正当手段妨碍、排挤其它供应商或串通投标。</w:t>
      </w:r>
    </w:p>
    <w:p w14:paraId="1572B987">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按照本磋商文件规定的方式进行投标，不隐瞒本单位投标资质的真实情况，投标资质符合规定。</w:t>
      </w:r>
    </w:p>
    <w:p w14:paraId="0D10AD3E">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A8FE0ED">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不向采购人及个人购置或提供通讯工具、交通工具和高档办公用品等。</w:t>
      </w:r>
    </w:p>
    <w:p w14:paraId="2C5D56C4">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不向采购人涉及采购的人员的配偶、子女分包此次采购项目。</w:t>
      </w:r>
    </w:p>
    <w:p w14:paraId="44939D4A">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不向采购人及个人支付好处费、介绍费。</w:t>
      </w:r>
    </w:p>
    <w:p w14:paraId="03435EB1">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一旦发现相关人员在采购过程中的索要财物等不廉洁行为，坚决予以抵制，并及时向有关纪检监察部门举报。</w:t>
      </w:r>
    </w:p>
    <w:p w14:paraId="184ED940">
      <w:pPr>
        <w:numPr>
          <w:ilvl w:val="0"/>
          <w:numId w:val="36"/>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我们若违反上述承诺，愿接受取消供应商资格及其他任何形式的处理。</w:t>
      </w:r>
    </w:p>
    <w:p w14:paraId="7B1055DE">
      <w:pPr>
        <w:snapToGrid w:val="0"/>
        <w:spacing w:line="500" w:lineRule="exact"/>
        <w:ind w:firstLine="385" w:firstLineChars="175"/>
        <w:rPr>
          <w:rFonts w:hint="eastAsia" w:ascii="宋体" w:hAnsi="宋体" w:eastAsia="宋体" w:cs="宋体"/>
          <w:color w:val="auto"/>
          <w:sz w:val="22"/>
          <w:szCs w:val="22"/>
          <w:highlight w:val="none"/>
        </w:rPr>
      </w:pPr>
    </w:p>
    <w:p w14:paraId="2BB142FE">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4979618A">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19602C3A">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A9E2274">
      <w:pPr>
        <w:rPr>
          <w:rFonts w:hint="eastAsia" w:ascii="宋体" w:hAnsi="宋体" w:eastAsia="宋体" w:cs="宋体"/>
          <w:b/>
          <w:bCs/>
          <w:color w:val="auto"/>
          <w:sz w:val="22"/>
          <w:szCs w:val="22"/>
          <w:highlight w:val="none"/>
        </w:rPr>
      </w:pPr>
    </w:p>
    <w:p w14:paraId="6720E901">
      <w:pPr>
        <w:rPr>
          <w:rFonts w:hint="eastAsia"/>
          <w:color w:val="auto"/>
          <w:highlight w:val="none"/>
        </w:rPr>
      </w:pPr>
      <w:r>
        <w:rPr>
          <w:rFonts w:hint="eastAsia" w:ascii="宋体" w:hAnsi="宋体" w:eastAsia="宋体" w:cs="宋体"/>
          <w:color w:val="auto"/>
          <w:highlight w:val="none"/>
        </w:rPr>
        <w:br w:type="page"/>
      </w:r>
    </w:p>
    <w:p w14:paraId="1AC4EAC2">
      <w:pPr>
        <w:rPr>
          <w:rFonts w:hint="eastAsia" w:ascii="宋体" w:hAnsi="宋体" w:eastAsia="宋体" w:cs="宋体"/>
          <w:color w:val="auto"/>
          <w:highlight w:val="none"/>
        </w:rPr>
      </w:pPr>
    </w:p>
    <w:p w14:paraId="5B944E5B">
      <w:pPr>
        <w:pStyle w:val="16"/>
        <w:rPr>
          <w:rFonts w:hint="eastAsia"/>
          <w:color w:val="auto"/>
          <w:highlight w:val="none"/>
        </w:rPr>
      </w:pPr>
    </w:p>
    <w:p w14:paraId="7AA38F91">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附件二 </w:t>
      </w:r>
    </w:p>
    <w:p w14:paraId="7D226536">
      <w:pPr>
        <w:spacing w:line="460" w:lineRule="exact"/>
        <w:jc w:val="center"/>
        <w:rPr>
          <w:rFonts w:ascii="宋体" w:hAnsi="宋体" w:cs="宋体"/>
          <w:b/>
          <w:bCs/>
          <w:color w:val="auto"/>
          <w:sz w:val="28"/>
          <w:szCs w:val="28"/>
          <w:highlight w:val="none"/>
        </w:rPr>
      </w:pPr>
      <w:r>
        <w:rPr>
          <w:rFonts w:hint="eastAsia" w:ascii="宋体" w:hAnsi="宋体" w:cs="宋体"/>
          <w:b/>
          <w:color w:val="auto"/>
          <w:sz w:val="22"/>
          <w:szCs w:val="22"/>
          <w:highlight w:val="none"/>
        </w:rPr>
        <w:t>（1）</w:t>
      </w:r>
      <w:r>
        <w:rPr>
          <w:rFonts w:hint="eastAsia" w:ascii="宋体" w:hAnsi="宋体" w:cs="宋体"/>
          <w:b/>
          <w:bCs/>
          <w:color w:val="auto"/>
          <w:sz w:val="28"/>
          <w:szCs w:val="28"/>
          <w:highlight w:val="none"/>
        </w:rPr>
        <w:t>报价一览表</w:t>
      </w:r>
    </w:p>
    <w:p w14:paraId="2E42D55A">
      <w:pPr>
        <w:spacing w:line="380" w:lineRule="exact"/>
        <w:jc w:val="center"/>
        <w:rPr>
          <w:rFonts w:ascii="宋体" w:hAnsi="宋体" w:cs="宋体"/>
          <w:b/>
          <w:bCs/>
          <w:color w:val="auto"/>
          <w:sz w:val="28"/>
          <w:highlight w:val="none"/>
        </w:rPr>
      </w:pPr>
    </w:p>
    <w:p w14:paraId="2B20B899">
      <w:pPr>
        <w:spacing w:line="380" w:lineRule="exact"/>
        <w:ind w:right="349" w:rightChars="166"/>
        <w:rPr>
          <w:rFonts w:ascii="宋体" w:hAnsi="宋体" w:cs="宋体"/>
          <w:b/>
          <w:color w:val="auto"/>
          <w:sz w:val="22"/>
          <w:highlight w:val="none"/>
        </w:rPr>
      </w:pPr>
      <w:r>
        <w:rPr>
          <w:rFonts w:hint="eastAsia" w:ascii="宋体" w:hAnsi="宋体" w:cs="宋体"/>
          <w:b/>
          <w:color w:val="auto"/>
          <w:sz w:val="22"/>
          <w:highlight w:val="none"/>
        </w:rPr>
        <w:t xml:space="preserve">                                                             单位：人民币元</w:t>
      </w:r>
    </w:p>
    <w:tbl>
      <w:tblPr>
        <w:tblStyle w:val="39"/>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76DF3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tcBorders>
              <w:top w:val="single" w:color="auto" w:sz="12" w:space="0"/>
            </w:tcBorders>
            <w:vAlign w:val="center"/>
          </w:tcPr>
          <w:p w14:paraId="1E57F4E6">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序号</w:t>
            </w:r>
          </w:p>
        </w:tc>
        <w:tc>
          <w:tcPr>
            <w:tcW w:w="4315" w:type="dxa"/>
            <w:gridSpan w:val="2"/>
            <w:tcBorders>
              <w:top w:val="single" w:color="auto" w:sz="12" w:space="0"/>
            </w:tcBorders>
            <w:vAlign w:val="center"/>
          </w:tcPr>
          <w:p w14:paraId="6C6750D2">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项目名称</w:t>
            </w:r>
          </w:p>
        </w:tc>
        <w:tc>
          <w:tcPr>
            <w:tcW w:w="4443" w:type="dxa"/>
            <w:tcBorders>
              <w:top w:val="single" w:color="auto" w:sz="12" w:space="0"/>
            </w:tcBorders>
            <w:vAlign w:val="center"/>
          </w:tcPr>
          <w:p w14:paraId="245050AD">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项目负责人</w:t>
            </w:r>
          </w:p>
        </w:tc>
      </w:tr>
      <w:tr w14:paraId="383FF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3BAEFAC8">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1</w:t>
            </w:r>
          </w:p>
        </w:tc>
        <w:tc>
          <w:tcPr>
            <w:tcW w:w="4315" w:type="dxa"/>
            <w:gridSpan w:val="2"/>
            <w:vAlign w:val="center"/>
          </w:tcPr>
          <w:p w14:paraId="539D55CA">
            <w:pPr>
              <w:spacing w:line="460" w:lineRule="exact"/>
              <w:jc w:val="center"/>
              <w:rPr>
                <w:rFonts w:ascii="宋体" w:hAnsi="宋体" w:cs="宋体"/>
                <w:snapToGrid w:val="0"/>
                <w:color w:val="auto"/>
                <w:kern w:val="0"/>
                <w:sz w:val="22"/>
                <w:szCs w:val="22"/>
                <w:highlight w:val="none"/>
              </w:rPr>
            </w:pPr>
          </w:p>
        </w:tc>
        <w:tc>
          <w:tcPr>
            <w:tcW w:w="4443" w:type="dxa"/>
            <w:vAlign w:val="center"/>
          </w:tcPr>
          <w:p w14:paraId="1514A3F0">
            <w:pPr>
              <w:spacing w:line="460" w:lineRule="exact"/>
              <w:jc w:val="center"/>
              <w:rPr>
                <w:rFonts w:ascii="宋体" w:hAnsi="宋体" w:cs="宋体"/>
                <w:snapToGrid w:val="0"/>
                <w:color w:val="auto"/>
                <w:kern w:val="0"/>
                <w:sz w:val="22"/>
                <w:szCs w:val="22"/>
                <w:highlight w:val="none"/>
              </w:rPr>
            </w:pPr>
          </w:p>
        </w:tc>
      </w:tr>
      <w:tr w14:paraId="32775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tcBorders>
              <w:bottom w:val="single" w:color="auto" w:sz="12" w:space="0"/>
            </w:tcBorders>
            <w:vAlign w:val="center"/>
          </w:tcPr>
          <w:p w14:paraId="53A2F806">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磋商报价</w:t>
            </w:r>
          </w:p>
        </w:tc>
        <w:tc>
          <w:tcPr>
            <w:tcW w:w="6460" w:type="dxa"/>
            <w:gridSpan w:val="2"/>
            <w:tcBorders>
              <w:bottom w:val="single" w:color="auto" w:sz="12" w:space="0"/>
            </w:tcBorders>
            <w:vAlign w:val="center"/>
          </w:tcPr>
          <w:p w14:paraId="5AB2B055">
            <w:pPr>
              <w:spacing w:line="460" w:lineRule="exact"/>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 xml:space="preserve">大写：    </w:t>
            </w:r>
          </w:p>
          <w:p w14:paraId="57193FF8">
            <w:pPr>
              <w:spacing w:line="460" w:lineRule="exact"/>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 xml:space="preserve">小写（￥）：      </w:t>
            </w:r>
          </w:p>
        </w:tc>
      </w:tr>
    </w:tbl>
    <w:p w14:paraId="55D34ABD">
      <w:pPr>
        <w:spacing w:line="460" w:lineRule="exact"/>
        <w:rPr>
          <w:rFonts w:ascii="宋体" w:hAnsi="宋体" w:cs="宋体"/>
          <w:color w:val="auto"/>
          <w:sz w:val="22"/>
          <w:szCs w:val="22"/>
          <w:highlight w:val="none"/>
        </w:rPr>
      </w:pPr>
    </w:p>
    <w:p w14:paraId="033C8F79">
      <w:pPr>
        <w:spacing w:line="380" w:lineRule="exact"/>
        <w:ind w:right="349" w:rightChars="166" w:firstLine="331" w:firstLineChars="150"/>
        <w:rPr>
          <w:rFonts w:ascii="宋体" w:hAnsi="宋体" w:cs="宋体"/>
          <w:b/>
          <w:color w:val="auto"/>
          <w:sz w:val="22"/>
          <w:highlight w:val="none"/>
        </w:rPr>
      </w:pPr>
    </w:p>
    <w:p w14:paraId="3C9E01EC">
      <w:pPr>
        <w:spacing w:line="380" w:lineRule="exact"/>
        <w:ind w:left="528" w:leftChars="-15" w:hanging="559" w:hangingChars="253"/>
        <w:rPr>
          <w:rFonts w:ascii="宋体" w:hAnsi="宋体" w:cs="宋体"/>
          <w:b/>
          <w:color w:val="auto"/>
          <w:sz w:val="22"/>
          <w:highlight w:val="none"/>
        </w:rPr>
      </w:pPr>
      <w:r>
        <w:rPr>
          <w:rFonts w:hint="eastAsia" w:ascii="宋体" w:hAnsi="宋体" w:cs="宋体"/>
          <w:b/>
          <w:color w:val="auto"/>
          <w:sz w:val="22"/>
          <w:highlight w:val="none"/>
        </w:rPr>
        <w:t>说明：</w:t>
      </w:r>
    </w:p>
    <w:p w14:paraId="0668BF6C">
      <w:pPr>
        <w:spacing w:line="380" w:lineRule="exact"/>
        <w:ind w:left="528" w:leftChars="-15" w:hanging="559" w:hangingChars="253"/>
        <w:rPr>
          <w:rFonts w:ascii="宋体" w:hAnsi="宋体" w:cs="宋体"/>
          <w:b/>
          <w:bCs/>
          <w:color w:val="auto"/>
          <w:sz w:val="22"/>
          <w:szCs w:val="22"/>
          <w:highlight w:val="none"/>
        </w:rPr>
      </w:pPr>
      <w:r>
        <w:rPr>
          <w:rFonts w:hint="eastAsia" w:ascii="宋体" w:hAnsi="宋体" w:cs="宋体"/>
          <w:b/>
          <w:bCs/>
          <w:color w:val="auto"/>
          <w:sz w:val="22"/>
          <w:szCs w:val="22"/>
          <w:highlight w:val="none"/>
        </w:rPr>
        <w:t>1、《报价一览表》中“磋商报价”应与</w:t>
      </w:r>
      <w:r>
        <w:rPr>
          <w:rFonts w:hint="eastAsia" w:ascii="宋体" w:hAnsi="宋体" w:cs="宋体"/>
          <w:b/>
          <w:color w:val="auto"/>
          <w:sz w:val="22"/>
          <w:highlight w:val="none"/>
        </w:rPr>
        <w:t>与附件三《分项报价表》中“磋商总价”相一致</w:t>
      </w:r>
      <w:r>
        <w:rPr>
          <w:rFonts w:hint="eastAsia" w:ascii="宋体" w:hAnsi="宋体" w:cs="宋体"/>
          <w:b/>
          <w:bCs/>
          <w:color w:val="auto"/>
          <w:sz w:val="22"/>
          <w:szCs w:val="22"/>
          <w:highlight w:val="none"/>
        </w:rPr>
        <w:t xml:space="preserve">。 </w:t>
      </w:r>
    </w:p>
    <w:p w14:paraId="10CDD36F">
      <w:pPr>
        <w:spacing w:line="380" w:lineRule="exact"/>
        <w:ind w:left="530" w:leftChars="-14" w:hanging="559" w:hangingChars="253"/>
        <w:rPr>
          <w:rFonts w:ascii="宋体" w:hAnsi="宋体" w:cs="宋体"/>
          <w:b/>
          <w:color w:val="auto"/>
          <w:sz w:val="22"/>
          <w:highlight w:val="none"/>
        </w:rPr>
      </w:pPr>
      <w:r>
        <w:rPr>
          <w:rFonts w:hint="eastAsia" w:ascii="宋体" w:hAnsi="宋体" w:cs="宋体"/>
          <w:b/>
          <w:bCs/>
          <w:color w:val="auto"/>
          <w:sz w:val="22"/>
          <w:szCs w:val="22"/>
          <w:highlight w:val="none"/>
        </w:rPr>
        <w:t>2、▲</w:t>
      </w:r>
      <w:r>
        <w:rPr>
          <w:rFonts w:hint="eastAsia" w:ascii="宋体" w:hAnsi="宋体" w:cs="宋体"/>
          <w:b/>
          <w:color w:val="auto"/>
          <w:sz w:val="22"/>
          <w:szCs w:val="22"/>
          <w:highlight w:val="none"/>
          <w:u w:val="single"/>
        </w:rPr>
        <w:t>不按要求提供开标一览表的磋商响应文件将被视为未实质性响应采购文件</w:t>
      </w:r>
      <w:r>
        <w:rPr>
          <w:rFonts w:hint="eastAsia" w:ascii="宋体" w:hAnsi="宋体" w:cs="宋体"/>
          <w:b/>
          <w:color w:val="auto"/>
          <w:sz w:val="22"/>
          <w:highlight w:val="none"/>
          <w:u w:val="single"/>
        </w:rPr>
        <w:t>。</w:t>
      </w:r>
    </w:p>
    <w:p w14:paraId="6022B6CA">
      <w:pPr>
        <w:spacing w:line="380" w:lineRule="exact"/>
        <w:ind w:firstLine="660" w:firstLineChars="300"/>
        <w:rPr>
          <w:rFonts w:ascii="宋体" w:hAnsi="宋体" w:cs="宋体"/>
          <w:color w:val="auto"/>
          <w:sz w:val="22"/>
          <w:szCs w:val="22"/>
          <w:highlight w:val="none"/>
        </w:rPr>
      </w:pPr>
    </w:p>
    <w:p w14:paraId="20640C7F">
      <w:pPr>
        <w:spacing w:line="38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供应商</w:t>
      </w:r>
      <w:r>
        <w:rPr>
          <w:rFonts w:hint="eastAsia" w:ascii="宋体" w:hAnsi="宋体" w:cs="宋体"/>
          <w:color w:val="auto"/>
          <w:sz w:val="22"/>
          <w:szCs w:val="22"/>
          <w:highlight w:val="none"/>
        </w:rPr>
        <w:t>全称（盖章）：</w:t>
      </w:r>
    </w:p>
    <w:p w14:paraId="7C40218E">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17ED7EA">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6C0C26E">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p>
    <w:p w14:paraId="5153538B">
      <w:pPr>
        <w:spacing w:line="380" w:lineRule="exact"/>
        <w:jc w:val="center"/>
        <w:rPr>
          <w:rFonts w:hint="eastAsia" w:ascii="宋体" w:hAnsi="宋体" w:cs="宋体"/>
          <w:b/>
          <w:color w:val="auto"/>
          <w:sz w:val="22"/>
          <w:szCs w:val="22"/>
          <w:highlight w:val="none"/>
        </w:rPr>
      </w:pPr>
    </w:p>
    <w:p w14:paraId="37446C76">
      <w:pPr>
        <w:spacing w:line="460" w:lineRule="exact"/>
        <w:jc w:val="center"/>
        <w:rPr>
          <w:rFonts w:hint="eastAsia" w:ascii="宋体" w:hAnsi="宋体" w:eastAsia="宋体" w:cs="宋体"/>
          <w:b/>
          <w:bCs/>
          <w:color w:val="auto"/>
          <w:sz w:val="28"/>
          <w:szCs w:val="28"/>
          <w:highlight w:val="non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w:t>
      </w:r>
      <w:r>
        <w:rPr>
          <w:rFonts w:hint="eastAsia" w:ascii="宋体" w:hAnsi="宋体" w:eastAsia="宋体" w:cs="宋体"/>
          <w:b/>
          <w:bCs/>
          <w:color w:val="auto"/>
          <w:sz w:val="28"/>
          <w:szCs w:val="28"/>
          <w:highlight w:val="none"/>
        </w:rPr>
        <w:t>分项报价表</w:t>
      </w:r>
    </w:p>
    <w:p w14:paraId="598D85FF">
      <w:pPr>
        <w:pStyle w:val="16"/>
        <w:numPr>
          <w:ilvl w:val="0"/>
          <w:numId w:val="0"/>
        </w:numPr>
        <w:ind w:leftChars="0"/>
        <w:rPr>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060"/>
        <w:gridCol w:w="1370"/>
        <w:gridCol w:w="1401"/>
        <w:gridCol w:w="1415"/>
        <w:gridCol w:w="920"/>
      </w:tblGrid>
      <w:tr w14:paraId="2329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top w:val="single" w:color="auto" w:sz="12" w:space="0"/>
              <w:left w:val="single" w:color="auto" w:sz="12" w:space="0"/>
              <w:bottom w:val="single" w:color="auto" w:sz="12" w:space="0"/>
            </w:tcBorders>
            <w:vAlign w:val="center"/>
          </w:tcPr>
          <w:p w14:paraId="62E114B7">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4060" w:type="dxa"/>
            <w:tcBorders>
              <w:top w:val="single" w:color="auto" w:sz="12" w:space="0"/>
              <w:bottom w:val="single" w:color="auto" w:sz="12" w:space="0"/>
            </w:tcBorders>
            <w:vAlign w:val="center"/>
          </w:tcPr>
          <w:p w14:paraId="7CE2ACA4">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服务项目名称</w:t>
            </w:r>
          </w:p>
        </w:tc>
        <w:tc>
          <w:tcPr>
            <w:tcW w:w="1370" w:type="dxa"/>
            <w:tcBorders>
              <w:top w:val="single" w:color="auto" w:sz="12" w:space="0"/>
              <w:bottom w:val="single" w:color="auto" w:sz="12" w:space="0"/>
            </w:tcBorders>
            <w:vAlign w:val="center"/>
          </w:tcPr>
          <w:p w14:paraId="18C0704D">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数量/单位</w:t>
            </w:r>
          </w:p>
        </w:tc>
        <w:tc>
          <w:tcPr>
            <w:tcW w:w="1401" w:type="dxa"/>
            <w:tcBorders>
              <w:top w:val="single" w:color="auto" w:sz="12" w:space="0"/>
              <w:bottom w:val="single" w:color="auto" w:sz="12" w:space="0"/>
            </w:tcBorders>
            <w:vAlign w:val="center"/>
          </w:tcPr>
          <w:p w14:paraId="1922664B">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单价</w:t>
            </w:r>
          </w:p>
        </w:tc>
        <w:tc>
          <w:tcPr>
            <w:tcW w:w="1415" w:type="dxa"/>
            <w:tcBorders>
              <w:top w:val="single" w:color="auto" w:sz="12" w:space="0"/>
              <w:bottom w:val="single" w:color="auto" w:sz="12" w:space="0"/>
            </w:tcBorders>
            <w:vAlign w:val="center"/>
          </w:tcPr>
          <w:p w14:paraId="721C504D">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总价</w:t>
            </w:r>
          </w:p>
        </w:tc>
        <w:tc>
          <w:tcPr>
            <w:tcW w:w="920" w:type="dxa"/>
            <w:tcBorders>
              <w:top w:val="single" w:color="auto" w:sz="12" w:space="0"/>
              <w:bottom w:val="single" w:color="auto" w:sz="12" w:space="0"/>
              <w:right w:val="single" w:color="auto" w:sz="12" w:space="0"/>
            </w:tcBorders>
            <w:vAlign w:val="center"/>
          </w:tcPr>
          <w:p w14:paraId="6D8EE18A">
            <w:pPr>
              <w:ind w:right="-11"/>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7839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6C2F4A91">
            <w:pPr>
              <w:spacing w:beforeLines="50"/>
              <w:ind w:right="-11"/>
              <w:jc w:val="center"/>
              <w:rPr>
                <w:rFonts w:ascii="宋体" w:hAnsi="宋体" w:cs="宋体"/>
                <w:color w:val="auto"/>
                <w:sz w:val="22"/>
                <w:szCs w:val="22"/>
                <w:highlight w:val="none"/>
              </w:rPr>
            </w:pPr>
          </w:p>
        </w:tc>
        <w:tc>
          <w:tcPr>
            <w:tcW w:w="4060" w:type="dxa"/>
          </w:tcPr>
          <w:p w14:paraId="65844233">
            <w:pPr>
              <w:spacing w:beforeLines="50"/>
              <w:ind w:right="-11"/>
              <w:jc w:val="center"/>
              <w:rPr>
                <w:rFonts w:ascii="宋体" w:hAnsi="宋体" w:cs="宋体"/>
                <w:color w:val="auto"/>
                <w:sz w:val="22"/>
                <w:szCs w:val="22"/>
                <w:highlight w:val="none"/>
              </w:rPr>
            </w:pPr>
          </w:p>
        </w:tc>
        <w:tc>
          <w:tcPr>
            <w:tcW w:w="1370" w:type="dxa"/>
          </w:tcPr>
          <w:p w14:paraId="6D0A76B5">
            <w:pPr>
              <w:spacing w:beforeLines="50"/>
              <w:ind w:right="-11"/>
              <w:jc w:val="center"/>
              <w:rPr>
                <w:rFonts w:ascii="宋体" w:hAnsi="宋体" w:cs="宋体"/>
                <w:color w:val="auto"/>
                <w:sz w:val="22"/>
                <w:szCs w:val="22"/>
                <w:highlight w:val="none"/>
              </w:rPr>
            </w:pPr>
          </w:p>
        </w:tc>
        <w:tc>
          <w:tcPr>
            <w:tcW w:w="1401" w:type="dxa"/>
          </w:tcPr>
          <w:p w14:paraId="431AF931">
            <w:pPr>
              <w:spacing w:beforeLines="50"/>
              <w:ind w:right="-11"/>
              <w:jc w:val="center"/>
              <w:rPr>
                <w:rFonts w:ascii="宋体" w:hAnsi="宋体" w:cs="宋体"/>
                <w:color w:val="auto"/>
                <w:sz w:val="22"/>
                <w:szCs w:val="22"/>
                <w:highlight w:val="none"/>
              </w:rPr>
            </w:pPr>
          </w:p>
        </w:tc>
        <w:tc>
          <w:tcPr>
            <w:tcW w:w="1415" w:type="dxa"/>
          </w:tcPr>
          <w:p w14:paraId="08BC95F1">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3172AFF7">
            <w:pPr>
              <w:spacing w:beforeLines="50"/>
              <w:ind w:right="-11"/>
              <w:jc w:val="center"/>
              <w:rPr>
                <w:rFonts w:ascii="宋体" w:hAnsi="宋体" w:cs="宋体"/>
                <w:color w:val="auto"/>
                <w:sz w:val="22"/>
                <w:szCs w:val="22"/>
                <w:highlight w:val="none"/>
              </w:rPr>
            </w:pPr>
          </w:p>
        </w:tc>
      </w:tr>
      <w:tr w14:paraId="4809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436E6621">
            <w:pPr>
              <w:spacing w:beforeLines="50"/>
              <w:ind w:right="-11"/>
              <w:jc w:val="center"/>
              <w:rPr>
                <w:rFonts w:ascii="宋体" w:hAnsi="宋体" w:cs="宋体"/>
                <w:color w:val="auto"/>
                <w:sz w:val="22"/>
                <w:szCs w:val="22"/>
                <w:highlight w:val="none"/>
              </w:rPr>
            </w:pPr>
          </w:p>
        </w:tc>
        <w:tc>
          <w:tcPr>
            <w:tcW w:w="4060" w:type="dxa"/>
          </w:tcPr>
          <w:p w14:paraId="24F2A2E2">
            <w:pPr>
              <w:spacing w:beforeLines="50"/>
              <w:ind w:right="-11"/>
              <w:jc w:val="center"/>
              <w:rPr>
                <w:rFonts w:ascii="宋体" w:hAnsi="宋体" w:cs="宋体"/>
                <w:color w:val="auto"/>
                <w:sz w:val="22"/>
                <w:szCs w:val="22"/>
                <w:highlight w:val="none"/>
              </w:rPr>
            </w:pPr>
          </w:p>
        </w:tc>
        <w:tc>
          <w:tcPr>
            <w:tcW w:w="1370" w:type="dxa"/>
          </w:tcPr>
          <w:p w14:paraId="710AB53D">
            <w:pPr>
              <w:spacing w:beforeLines="50"/>
              <w:ind w:right="-11"/>
              <w:jc w:val="center"/>
              <w:rPr>
                <w:rFonts w:ascii="宋体" w:hAnsi="宋体" w:cs="宋体"/>
                <w:color w:val="auto"/>
                <w:sz w:val="22"/>
                <w:szCs w:val="22"/>
                <w:highlight w:val="none"/>
              </w:rPr>
            </w:pPr>
          </w:p>
        </w:tc>
        <w:tc>
          <w:tcPr>
            <w:tcW w:w="1401" w:type="dxa"/>
          </w:tcPr>
          <w:p w14:paraId="0F061234">
            <w:pPr>
              <w:spacing w:beforeLines="50"/>
              <w:ind w:right="-11"/>
              <w:jc w:val="center"/>
              <w:rPr>
                <w:rFonts w:ascii="宋体" w:hAnsi="宋体" w:cs="宋体"/>
                <w:color w:val="auto"/>
                <w:sz w:val="22"/>
                <w:szCs w:val="22"/>
                <w:highlight w:val="none"/>
              </w:rPr>
            </w:pPr>
          </w:p>
        </w:tc>
        <w:tc>
          <w:tcPr>
            <w:tcW w:w="1415" w:type="dxa"/>
          </w:tcPr>
          <w:p w14:paraId="096A2CAB">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2148D447">
            <w:pPr>
              <w:spacing w:beforeLines="50"/>
              <w:ind w:right="-11"/>
              <w:jc w:val="center"/>
              <w:rPr>
                <w:rFonts w:ascii="宋体" w:hAnsi="宋体" w:cs="宋体"/>
                <w:color w:val="auto"/>
                <w:sz w:val="22"/>
                <w:szCs w:val="22"/>
                <w:highlight w:val="none"/>
              </w:rPr>
            </w:pPr>
          </w:p>
        </w:tc>
      </w:tr>
      <w:tr w14:paraId="4943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42B739C4">
            <w:pPr>
              <w:spacing w:beforeLines="50"/>
              <w:ind w:right="-11"/>
              <w:jc w:val="center"/>
              <w:rPr>
                <w:rFonts w:ascii="宋体" w:hAnsi="宋体" w:cs="宋体"/>
                <w:color w:val="auto"/>
                <w:sz w:val="22"/>
                <w:szCs w:val="22"/>
                <w:highlight w:val="none"/>
              </w:rPr>
            </w:pPr>
          </w:p>
        </w:tc>
        <w:tc>
          <w:tcPr>
            <w:tcW w:w="4060" w:type="dxa"/>
          </w:tcPr>
          <w:p w14:paraId="36127EFD">
            <w:pPr>
              <w:spacing w:beforeLines="50"/>
              <w:ind w:right="-11"/>
              <w:jc w:val="center"/>
              <w:rPr>
                <w:rFonts w:ascii="宋体" w:hAnsi="宋体" w:cs="宋体"/>
                <w:color w:val="auto"/>
                <w:sz w:val="22"/>
                <w:szCs w:val="22"/>
                <w:highlight w:val="none"/>
              </w:rPr>
            </w:pPr>
          </w:p>
        </w:tc>
        <w:tc>
          <w:tcPr>
            <w:tcW w:w="1370" w:type="dxa"/>
          </w:tcPr>
          <w:p w14:paraId="764DD2BE">
            <w:pPr>
              <w:spacing w:beforeLines="50"/>
              <w:ind w:right="-11"/>
              <w:jc w:val="center"/>
              <w:rPr>
                <w:rFonts w:ascii="宋体" w:hAnsi="宋体" w:cs="宋体"/>
                <w:color w:val="auto"/>
                <w:sz w:val="22"/>
                <w:szCs w:val="22"/>
                <w:highlight w:val="none"/>
              </w:rPr>
            </w:pPr>
          </w:p>
        </w:tc>
        <w:tc>
          <w:tcPr>
            <w:tcW w:w="1401" w:type="dxa"/>
          </w:tcPr>
          <w:p w14:paraId="3FE65224">
            <w:pPr>
              <w:spacing w:beforeLines="50"/>
              <w:ind w:right="-11"/>
              <w:jc w:val="center"/>
              <w:rPr>
                <w:rFonts w:ascii="宋体" w:hAnsi="宋体" w:cs="宋体"/>
                <w:color w:val="auto"/>
                <w:sz w:val="22"/>
                <w:szCs w:val="22"/>
                <w:highlight w:val="none"/>
              </w:rPr>
            </w:pPr>
          </w:p>
        </w:tc>
        <w:tc>
          <w:tcPr>
            <w:tcW w:w="1415" w:type="dxa"/>
          </w:tcPr>
          <w:p w14:paraId="7D5EFCBB">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4C369C7D">
            <w:pPr>
              <w:spacing w:beforeLines="50"/>
              <w:ind w:right="-11"/>
              <w:jc w:val="center"/>
              <w:rPr>
                <w:rFonts w:ascii="宋体" w:hAnsi="宋体" w:cs="宋体"/>
                <w:color w:val="auto"/>
                <w:sz w:val="22"/>
                <w:szCs w:val="22"/>
                <w:highlight w:val="none"/>
              </w:rPr>
            </w:pPr>
          </w:p>
        </w:tc>
      </w:tr>
      <w:tr w14:paraId="5034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05B056BE">
            <w:pPr>
              <w:spacing w:beforeLines="50"/>
              <w:ind w:right="-11"/>
              <w:jc w:val="center"/>
              <w:rPr>
                <w:rFonts w:ascii="宋体" w:hAnsi="宋体" w:cs="宋体"/>
                <w:color w:val="auto"/>
                <w:sz w:val="22"/>
                <w:szCs w:val="22"/>
                <w:highlight w:val="none"/>
              </w:rPr>
            </w:pPr>
          </w:p>
        </w:tc>
        <w:tc>
          <w:tcPr>
            <w:tcW w:w="4060" w:type="dxa"/>
          </w:tcPr>
          <w:p w14:paraId="568164C5">
            <w:pPr>
              <w:spacing w:beforeLines="50"/>
              <w:ind w:right="-11"/>
              <w:jc w:val="center"/>
              <w:rPr>
                <w:rFonts w:ascii="宋体" w:hAnsi="宋体" w:cs="宋体"/>
                <w:color w:val="auto"/>
                <w:sz w:val="22"/>
                <w:szCs w:val="22"/>
                <w:highlight w:val="none"/>
              </w:rPr>
            </w:pPr>
          </w:p>
        </w:tc>
        <w:tc>
          <w:tcPr>
            <w:tcW w:w="1370" w:type="dxa"/>
          </w:tcPr>
          <w:p w14:paraId="48E41602">
            <w:pPr>
              <w:spacing w:beforeLines="50"/>
              <w:ind w:right="-11"/>
              <w:jc w:val="center"/>
              <w:rPr>
                <w:rFonts w:ascii="宋体" w:hAnsi="宋体" w:cs="宋体"/>
                <w:color w:val="auto"/>
                <w:sz w:val="22"/>
                <w:szCs w:val="22"/>
                <w:highlight w:val="none"/>
              </w:rPr>
            </w:pPr>
          </w:p>
        </w:tc>
        <w:tc>
          <w:tcPr>
            <w:tcW w:w="1401" w:type="dxa"/>
          </w:tcPr>
          <w:p w14:paraId="6C908BB8">
            <w:pPr>
              <w:spacing w:beforeLines="50"/>
              <w:ind w:right="-11"/>
              <w:jc w:val="center"/>
              <w:rPr>
                <w:rFonts w:ascii="宋体" w:hAnsi="宋体" w:cs="宋体"/>
                <w:color w:val="auto"/>
                <w:sz w:val="22"/>
                <w:szCs w:val="22"/>
                <w:highlight w:val="none"/>
              </w:rPr>
            </w:pPr>
          </w:p>
        </w:tc>
        <w:tc>
          <w:tcPr>
            <w:tcW w:w="1415" w:type="dxa"/>
          </w:tcPr>
          <w:p w14:paraId="4A28BFC1">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1EDC38B9">
            <w:pPr>
              <w:spacing w:beforeLines="50"/>
              <w:ind w:right="-11"/>
              <w:jc w:val="center"/>
              <w:rPr>
                <w:rFonts w:ascii="宋体" w:hAnsi="宋体" w:cs="宋体"/>
                <w:color w:val="auto"/>
                <w:sz w:val="22"/>
                <w:szCs w:val="22"/>
                <w:highlight w:val="none"/>
              </w:rPr>
            </w:pPr>
          </w:p>
        </w:tc>
      </w:tr>
      <w:tr w14:paraId="6B25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199F1359">
            <w:pPr>
              <w:spacing w:beforeLines="50"/>
              <w:ind w:right="-11"/>
              <w:jc w:val="center"/>
              <w:rPr>
                <w:rFonts w:ascii="宋体" w:hAnsi="宋体" w:cs="宋体"/>
                <w:color w:val="auto"/>
                <w:sz w:val="22"/>
                <w:szCs w:val="22"/>
                <w:highlight w:val="none"/>
              </w:rPr>
            </w:pPr>
          </w:p>
        </w:tc>
        <w:tc>
          <w:tcPr>
            <w:tcW w:w="4060" w:type="dxa"/>
          </w:tcPr>
          <w:p w14:paraId="28E0EEB1">
            <w:pPr>
              <w:spacing w:beforeLines="50"/>
              <w:ind w:right="-11"/>
              <w:jc w:val="center"/>
              <w:rPr>
                <w:rFonts w:ascii="宋体" w:hAnsi="宋体" w:cs="宋体"/>
                <w:color w:val="auto"/>
                <w:sz w:val="22"/>
                <w:szCs w:val="22"/>
                <w:highlight w:val="none"/>
              </w:rPr>
            </w:pPr>
          </w:p>
        </w:tc>
        <w:tc>
          <w:tcPr>
            <w:tcW w:w="1370" w:type="dxa"/>
          </w:tcPr>
          <w:p w14:paraId="59E2C3EC">
            <w:pPr>
              <w:spacing w:beforeLines="50"/>
              <w:ind w:right="-11"/>
              <w:jc w:val="center"/>
              <w:rPr>
                <w:rFonts w:ascii="宋体" w:hAnsi="宋体" w:cs="宋体"/>
                <w:color w:val="auto"/>
                <w:sz w:val="22"/>
                <w:szCs w:val="22"/>
                <w:highlight w:val="none"/>
              </w:rPr>
            </w:pPr>
          </w:p>
        </w:tc>
        <w:tc>
          <w:tcPr>
            <w:tcW w:w="1401" w:type="dxa"/>
          </w:tcPr>
          <w:p w14:paraId="6891E19E">
            <w:pPr>
              <w:spacing w:beforeLines="50"/>
              <w:ind w:right="-11"/>
              <w:jc w:val="center"/>
              <w:rPr>
                <w:rFonts w:ascii="宋体" w:hAnsi="宋体" w:cs="宋体"/>
                <w:color w:val="auto"/>
                <w:sz w:val="22"/>
                <w:szCs w:val="22"/>
                <w:highlight w:val="none"/>
              </w:rPr>
            </w:pPr>
          </w:p>
        </w:tc>
        <w:tc>
          <w:tcPr>
            <w:tcW w:w="1415" w:type="dxa"/>
          </w:tcPr>
          <w:p w14:paraId="6DCE19CA">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7F477D03">
            <w:pPr>
              <w:spacing w:beforeLines="50"/>
              <w:ind w:right="-11"/>
              <w:jc w:val="center"/>
              <w:rPr>
                <w:rFonts w:ascii="宋体" w:hAnsi="宋体" w:cs="宋体"/>
                <w:color w:val="auto"/>
                <w:sz w:val="22"/>
                <w:szCs w:val="22"/>
                <w:highlight w:val="none"/>
              </w:rPr>
            </w:pPr>
          </w:p>
        </w:tc>
      </w:tr>
      <w:tr w14:paraId="67F9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21565607">
            <w:pPr>
              <w:spacing w:beforeLines="50"/>
              <w:ind w:right="-11"/>
              <w:jc w:val="center"/>
              <w:rPr>
                <w:rFonts w:ascii="宋体" w:hAnsi="宋体" w:cs="宋体"/>
                <w:color w:val="auto"/>
                <w:sz w:val="22"/>
                <w:szCs w:val="22"/>
                <w:highlight w:val="none"/>
              </w:rPr>
            </w:pPr>
          </w:p>
        </w:tc>
        <w:tc>
          <w:tcPr>
            <w:tcW w:w="4060" w:type="dxa"/>
          </w:tcPr>
          <w:p w14:paraId="57A52924">
            <w:pPr>
              <w:spacing w:beforeLines="50"/>
              <w:ind w:right="-11"/>
              <w:jc w:val="center"/>
              <w:rPr>
                <w:rFonts w:ascii="宋体" w:hAnsi="宋体" w:cs="宋体"/>
                <w:color w:val="auto"/>
                <w:sz w:val="22"/>
                <w:szCs w:val="22"/>
                <w:highlight w:val="none"/>
              </w:rPr>
            </w:pPr>
          </w:p>
        </w:tc>
        <w:tc>
          <w:tcPr>
            <w:tcW w:w="1370" w:type="dxa"/>
          </w:tcPr>
          <w:p w14:paraId="4D10FCEE">
            <w:pPr>
              <w:spacing w:beforeLines="50"/>
              <w:ind w:right="-11"/>
              <w:jc w:val="center"/>
              <w:rPr>
                <w:rFonts w:ascii="宋体" w:hAnsi="宋体" w:cs="宋体"/>
                <w:color w:val="auto"/>
                <w:sz w:val="22"/>
                <w:szCs w:val="22"/>
                <w:highlight w:val="none"/>
              </w:rPr>
            </w:pPr>
          </w:p>
        </w:tc>
        <w:tc>
          <w:tcPr>
            <w:tcW w:w="1401" w:type="dxa"/>
          </w:tcPr>
          <w:p w14:paraId="6678FF74">
            <w:pPr>
              <w:spacing w:beforeLines="50"/>
              <w:ind w:right="-11"/>
              <w:jc w:val="center"/>
              <w:rPr>
                <w:rFonts w:ascii="宋体" w:hAnsi="宋体" w:cs="宋体"/>
                <w:color w:val="auto"/>
                <w:sz w:val="22"/>
                <w:szCs w:val="22"/>
                <w:highlight w:val="none"/>
              </w:rPr>
            </w:pPr>
          </w:p>
        </w:tc>
        <w:tc>
          <w:tcPr>
            <w:tcW w:w="1415" w:type="dxa"/>
          </w:tcPr>
          <w:p w14:paraId="379DDE91">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523C2AAD">
            <w:pPr>
              <w:spacing w:beforeLines="50"/>
              <w:ind w:right="-11"/>
              <w:jc w:val="center"/>
              <w:rPr>
                <w:rFonts w:ascii="宋体" w:hAnsi="宋体" w:cs="宋体"/>
                <w:color w:val="auto"/>
                <w:sz w:val="22"/>
                <w:szCs w:val="22"/>
                <w:highlight w:val="none"/>
              </w:rPr>
            </w:pPr>
          </w:p>
        </w:tc>
      </w:tr>
      <w:tr w14:paraId="1E84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095E5272">
            <w:pPr>
              <w:spacing w:beforeLines="50"/>
              <w:ind w:right="-11"/>
              <w:jc w:val="center"/>
              <w:rPr>
                <w:rFonts w:ascii="宋体" w:hAnsi="宋体" w:cs="宋体"/>
                <w:color w:val="auto"/>
                <w:sz w:val="22"/>
                <w:szCs w:val="22"/>
                <w:highlight w:val="none"/>
              </w:rPr>
            </w:pPr>
          </w:p>
        </w:tc>
        <w:tc>
          <w:tcPr>
            <w:tcW w:w="4060" w:type="dxa"/>
          </w:tcPr>
          <w:p w14:paraId="45BEB2A3">
            <w:pPr>
              <w:spacing w:beforeLines="50"/>
              <w:ind w:right="-11"/>
              <w:jc w:val="center"/>
              <w:rPr>
                <w:rFonts w:ascii="宋体" w:hAnsi="宋体" w:cs="宋体"/>
                <w:color w:val="auto"/>
                <w:sz w:val="22"/>
                <w:szCs w:val="22"/>
                <w:highlight w:val="none"/>
              </w:rPr>
            </w:pPr>
          </w:p>
        </w:tc>
        <w:tc>
          <w:tcPr>
            <w:tcW w:w="1370" w:type="dxa"/>
          </w:tcPr>
          <w:p w14:paraId="23270FB8">
            <w:pPr>
              <w:spacing w:beforeLines="50"/>
              <w:ind w:right="-11"/>
              <w:jc w:val="center"/>
              <w:rPr>
                <w:rFonts w:ascii="宋体" w:hAnsi="宋体" w:cs="宋体"/>
                <w:color w:val="auto"/>
                <w:sz w:val="22"/>
                <w:szCs w:val="22"/>
                <w:highlight w:val="none"/>
              </w:rPr>
            </w:pPr>
          </w:p>
        </w:tc>
        <w:tc>
          <w:tcPr>
            <w:tcW w:w="1401" w:type="dxa"/>
          </w:tcPr>
          <w:p w14:paraId="2186AAAA">
            <w:pPr>
              <w:spacing w:beforeLines="50"/>
              <w:ind w:right="-11"/>
              <w:jc w:val="center"/>
              <w:rPr>
                <w:rFonts w:ascii="宋体" w:hAnsi="宋体" w:cs="宋体"/>
                <w:color w:val="auto"/>
                <w:sz w:val="22"/>
                <w:szCs w:val="22"/>
                <w:highlight w:val="none"/>
              </w:rPr>
            </w:pPr>
          </w:p>
        </w:tc>
        <w:tc>
          <w:tcPr>
            <w:tcW w:w="1415" w:type="dxa"/>
          </w:tcPr>
          <w:p w14:paraId="2FC53487">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06A4B920">
            <w:pPr>
              <w:spacing w:beforeLines="50"/>
              <w:ind w:right="-11"/>
              <w:jc w:val="center"/>
              <w:rPr>
                <w:rFonts w:ascii="宋体" w:hAnsi="宋体" w:cs="宋体"/>
                <w:color w:val="auto"/>
                <w:sz w:val="22"/>
                <w:szCs w:val="22"/>
                <w:highlight w:val="none"/>
              </w:rPr>
            </w:pPr>
          </w:p>
        </w:tc>
      </w:tr>
      <w:tr w14:paraId="1A01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103A2765">
            <w:pPr>
              <w:spacing w:beforeLines="50"/>
              <w:ind w:right="-11"/>
              <w:jc w:val="center"/>
              <w:rPr>
                <w:rFonts w:ascii="宋体" w:hAnsi="宋体" w:cs="宋体"/>
                <w:color w:val="auto"/>
                <w:sz w:val="22"/>
                <w:szCs w:val="22"/>
                <w:highlight w:val="none"/>
              </w:rPr>
            </w:pPr>
          </w:p>
        </w:tc>
        <w:tc>
          <w:tcPr>
            <w:tcW w:w="4060" w:type="dxa"/>
          </w:tcPr>
          <w:p w14:paraId="25FBAEE1">
            <w:pPr>
              <w:spacing w:beforeLines="50"/>
              <w:ind w:right="-11"/>
              <w:jc w:val="center"/>
              <w:rPr>
                <w:rFonts w:ascii="宋体" w:hAnsi="宋体" w:cs="宋体"/>
                <w:color w:val="auto"/>
                <w:sz w:val="22"/>
                <w:szCs w:val="22"/>
                <w:highlight w:val="none"/>
              </w:rPr>
            </w:pPr>
          </w:p>
        </w:tc>
        <w:tc>
          <w:tcPr>
            <w:tcW w:w="1370" w:type="dxa"/>
          </w:tcPr>
          <w:p w14:paraId="2F1F51B3">
            <w:pPr>
              <w:spacing w:beforeLines="50"/>
              <w:ind w:right="-11"/>
              <w:jc w:val="center"/>
              <w:rPr>
                <w:rFonts w:ascii="宋体" w:hAnsi="宋体" w:cs="宋体"/>
                <w:color w:val="auto"/>
                <w:sz w:val="22"/>
                <w:szCs w:val="22"/>
                <w:highlight w:val="none"/>
              </w:rPr>
            </w:pPr>
          </w:p>
        </w:tc>
        <w:tc>
          <w:tcPr>
            <w:tcW w:w="1401" w:type="dxa"/>
          </w:tcPr>
          <w:p w14:paraId="6177E02B">
            <w:pPr>
              <w:spacing w:beforeLines="50"/>
              <w:ind w:right="-11"/>
              <w:jc w:val="center"/>
              <w:rPr>
                <w:rFonts w:ascii="宋体" w:hAnsi="宋体" w:cs="宋体"/>
                <w:color w:val="auto"/>
                <w:sz w:val="22"/>
                <w:szCs w:val="22"/>
                <w:highlight w:val="none"/>
              </w:rPr>
            </w:pPr>
          </w:p>
        </w:tc>
        <w:tc>
          <w:tcPr>
            <w:tcW w:w="1415" w:type="dxa"/>
          </w:tcPr>
          <w:p w14:paraId="55628CC4">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2A5A2448">
            <w:pPr>
              <w:spacing w:beforeLines="50"/>
              <w:ind w:right="-11"/>
              <w:jc w:val="center"/>
              <w:rPr>
                <w:rFonts w:ascii="宋体" w:hAnsi="宋体" w:cs="宋体"/>
                <w:color w:val="auto"/>
                <w:sz w:val="22"/>
                <w:szCs w:val="22"/>
                <w:highlight w:val="none"/>
              </w:rPr>
            </w:pPr>
          </w:p>
        </w:tc>
      </w:tr>
      <w:tr w14:paraId="7182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28043CFF">
            <w:pPr>
              <w:spacing w:beforeLines="50"/>
              <w:ind w:right="-11"/>
              <w:jc w:val="center"/>
              <w:rPr>
                <w:rFonts w:ascii="宋体" w:hAnsi="宋体" w:cs="宋体"/>
                <w:color w:val="auto"/>
                <w:sz w:val="22"/>
                <w:szCs w:val="22"/>
                <w:highlight w:val="none"/>
              </w:rPr>
            </w:pPr>
          </w:p>
        </w:tc>
        <w:tc>
          <w:tcPr>
            <w:tcW w:w="4060" w:type="dxa"/>
          </w:tcPr>
          <w:p w14:paraId="02EB6C16">
            <w:pPr>
              <w:spacing w:beforeLines="50"/>
              <w:ind w:right="-11"/>
              <w:jc w:val="center"/>
              <w:rPr>
                <w:rFonts w:ascii="宋体" w:hAnsi="宋体" w:cs="宋体"/>
                <w:color w:val="auto"/>
                <w:sz w:val="22"/>
                <w:szCs w:val="22"/>
                <w:highlight w:val="none"/>
              </w:rPr>
            </w:pPr>
          </w:p>
        </w:tc>
        <w:tc>
          <w:tcPr>
            <w:tcW w:w="1370" w:type="dxa"/>
          </w:tcPr>
          <w:p w14:paraId="5AB75C29">
            <w:pPr>
              <w:spacing w:beforeLines="50"/>
              <w:ind w:right="-11"/>
              <w:jc w:val="center"/>
              <w:rPr>
                <w:rFonts w:ascii="宋体" w:hAnsi="宋体" w:cs="宋体"/>
                <w:color w:val="auto"/>
                <w:sz w:val="22"/>
                <w:szCs w:val="22"/>
                <w:highlight w:val="none"/>
              </w:rPr>
            </w:pPr>
          </w:p>
        </w:tc>
        <w:tc>
          <w:tcPr>
            <w:tcW w:w="1401" w:type="dxa"/>
          </w:tcPr>
          <w:p w14:paraId="4E1461A9">
            <w:pPr>
              <w:spacing w:beforeLines="50"/>
              <w:ind w:right="-11"/>
              <w:jc w:val="center"/>
              <w:rPr>
                <w:rFonts w:ascii="宋体" w:hAnsi="宋体" w:cs="宋体"/>
                <w:color w:val="auto"/>
                <w:sz w:val="22"/>
                <w:szCs w:val="22"/>
                <w:highlight w:val="none"/>
              </w:rPr>
            </w:pPr>
          </w:p>
        </w:tc>
        <w:tc>
          <w:tcPr>
            <w:tcW w:w="1415" w:type="dxa"/>
          </w:tcPr>
          <w:p w14:paraId="7AF479F7">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611FEAE2">
            <w:pPr>
              <w:spacing w:beforeLines="50"/>
              <w:ind w:right="-11"/>
              <w:jc w:val="center"/>
              <w:rPr>
                <w:rFonts w:ascii="宋体" w:hAnsi="宋体" w:cs="宋体"/>
                <w:color w:val="auto"/>
                <w:sz w:val="22"/>
                <w:szCs w:val="22"/>
                <w:highlight w:val="none"/>
              </w:rPr>
            </w:pPr>
          </w:p>
        </w:tc>
      </w:tr>
      <w:tr w14:paraId="210B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8" w:type="dxa"/>
            <w:tcBorders>
              <w:left w:val="single" w:color="auto" w:sz="12" w:space="0"/>
            </w:tcBorders>
          </w:tcPr>
          <w:p w14:paraId="4A1D5460">
            <w:pPr>
              <w:spacing w:beforeLines="50"/>
              <w:ind w:right="-11"/>
              <w:jc w:val="center"/>
              <w:rPr>
                <w:rFonts w:ascii="宋体" w:hAnsi="宋体" w:cs="宋体"/>
                <w:color w:val="auto"/>
                <w:sz w:val="22"/>
                <w:szCs w:val="22"/>
                <w:highlight w:val="none"/>
              </w:rPr>
            </w:pPr>
          </w:p>
        </w:tc>
        <w:tc>
          <w:tcPr>
            <w:tcW w:w="4060" w:type="dxa"/>
          </w:tcPr>
          <w:p w14:paraId="1303C99A">
            <w:pPr>
              <w:spacing w:beforeLines="50"/>
              <w:ind w:right="-11"/>
              <w:jc w:val="center"/>
              <w:rPr>
                <w:rFonts w:ascii="宋体" w:hAnsi="宋体" w:cs="宋体"/>
                <w:color w:val="auto"/>
                <w:sz w:val="22"/>
                <w:szCs w:val="22"/>
                <w:highlight w:val="none"/>
              </w:rPr>
            </w:pPr>
          </w:p>
        </w:tc>
        <w:tc>
          <w:tcPr>
            <w:tcW w:w="1370" w:type="dxa"/>
          </w:tcPr>
          <w:p w14:paraId="72309F9E">
            <w:pPr>
              <w:spacing w:beforeLines="50"/>
              <w:ind w:right="-11"/>
              <w:jc w:val="center"/>
              <w:rPr>
                <w:rFonts w:ascii="宋体" w:hAnsi="宋体" w:cs="宋体"/>
                <w:color w:val="auto"/>
                <w:sz w:val="22"/>
                <w:szCs w:val="22"/>
                <w:highlight w:val="none"/>
              </w:rPr>
            </w:pPr>
          </w:p>
        </w:tc>
        <w:tc>
          <w:tcPr>
            <w:tcW w:w="1401" w:type="dxa"/>
          </w:tcPr>
          <w:p w14:paraId="3C437A13">
            <w:pPr>
              <w:spacing w:beforeLines="50"/>
              <w:ind w:right="-11"/>
              <w:jc w:val="center"/>
              <w:rPr>
                <w:rFonts w:ascii="宋体" w:hAnsi="宋体" w:cs="宋体"/>
                <w:color w:val="auto"/>
                <w:sz w:val="22"/>
                <w:szCs w:val="22"/>
                <w:highlight w:val="none"/>
              </w:rPr>
            </w:pPr>
          </w:p>
        </w:tc>
        <w:tc>
          <w:tcPr>
            <w:tcW w:w="1415" w:type="dxa"/>
          </w:tcPr>
          <w:p w14:paraId="72ADB1B6">
            <w:pPr>
              <w:spacing w:beforeLines="50"/>
              <w:ind w:right="-11"/>
              <w:jc w:val="center"/>
              <w:rPr>
                <w:rFonts w:ascii="宋体" w:hAnsi="宋体" w:cs="宋体"/>
                <w:color w:val="auto"/>
                <w:sz w:val="22"/>
                <w:szCs w:val="22"/>
                <w:highlight w:val="none"/>
              </w:rPr>
            </w:pPr>
          </w:p>
        </w:tc>
        <w:tc>
          <w:tcPr>
            <w:tcW w:w="920" w:type="dxa"/>
            <w:tcBorders>
              <w:right w:val="single" w:color="auto" w:sz="12" w:space="0"/>
            </w:tcBorders>
          </w:tcPr>
          <w:p w14:paraId="58A29979">
            <w:pPr>
              <w:spacing w:beforeLines="50"/>
              <w:ind w:right="-11"/>
              <w:jc w:val="center"/>
              <w:rPr>
                <w:rFonts w:ascii="宋体" w:hAnsi="宋体" w:cs="宋体"/>
                <w:color w:val="auto"/>
                <w:sz w:val="22"/>
                <w:szCs w:val="22"/>
                <w:highlight w:val="none"/>
              </w:rPr>
            </w:pPr>
          </w:p>
        </w:tc>
      </w:tr>
      <w:tr w14:paraId="136D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748" w:type="dxa"/>
            <w:gridSpan w:val="2"/>
            <w:tcBorders>
              <w:left w:val="single" w:color="auto" w:sz="12" w:space="0"/>
              <w:bottom w:val="single" w:color="auto" w:sz="12" w:space="0"/>
            </w:tcBorders>
            <w:vAlign w:val="center"/>
          </w:tcPr>
          <w:p w14:paraId="1F06E789">
            <w:pPr>
              <w:spacing w:beforeLines="50" w:afterLines="50"/>
              <w:ind w:right="-10"/>
              <w:rPr>
                <w:rFonts w:ascii="宋体" w:hAnsi="宋体" w:cs="宋体"/>
                <w:color w:val="auto"/>
                <w:sz w:val="22"/>
                <w:szCs w:val="22"/>
                <w:highlight w:val="none"/>
              </w:rPr>
            </w:pPr>
            <w:r>
              <w:rPr>
                <w:rFonts w:hint="eastAsia" w:ascii="宋体" w:hAnsi="宋体" w:cs="宋体"/>
                <w:color w:val="auto"/>
                <w:sz w:val="22"/>
                <w:szCs w:val="22"/>
                <w:highlight w:val="none"/>
              </w:rPr>
              <w:t>总价</w:t>
            </w:r>
          </w:p>
        </w:tc>
        <w:tc>
          <w:tcPr>
            <w:tcW w:w="5106" w:type="dxa"/>
            <w:gridSpan w:val="4"/>
            <w:tcBorders>
              <w:bottom w:val="single" w:color="auto" w:sz="12" w:space="0"/>
              <w:right w:val="single" w:color="auto" w:sz="12" w:space="0"/>
            </w:tcBorders>
            <w:vAlign w:val="center"/>
          </w:tcPr>
          <w:p w14:paraId="3814C26C">
            <w:pPr>
              <w:spacing w:beforeLines="50" w:afterLines="50"/>
              <w:ind w:right="-10"/>
              <w:rPr>
                <w:rFonts w:ascii="宋体" w:hAnsi="宋体" w:cs="宋体"/>
                <w:color w:val="auto"/>
                <w:sz w:val="22"/>
                <w:szCs w:val="22"/>
                <w:highlight w:val="none"/>
              </w:rPr>
            </w:pPr>
          </w:p>
        </w:tc>
      </w:tr>
      <w:tr w14:paraId="7E34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748" w:type="dxa"/>
            <w:gridSpan w:val="2"/>
            <w:tcBorders>
              <w:left w:val="single" w:color="auto" w:sz="12" w:space="0"/>
              <w:bottom w:val="single" w:color="auto" w:sz="12" w:space="0"/>
            </w:tcBorders>
            <w:vAlign w:val="center"/>
          </w:tcPr>
          <w:p w14:paraId="6F72DFFB">
            <w:pPr>
              <w:spacing w:beforeLines="50" w:afterLines="50"/>
              <w:ind w:right="-10"/>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5106" w:type="dxa"/>
            <w:gridSpan w:val="4"/>
            <w:tcBorders>
              <w:bottom w:val="single" w:color="auto" w:sz="12" w:space="0"/>
              <w:right w:val="single" w:color="auto" w:sz="12" w:space="0"/>
            </w:tcBorders>
            <w:vAlign w:val="center"/>
          </w:tcPr>
          <w:p w14:paraId="2EE63C7D">
            <w:pPr>
              <w:spacing w:beforeLines="50" w:afterLines="50"/>
              <w:ind w:right="-10"/>
              <w:rPr>
                <w:rFonts w:ascii="宋体" w:hAnsi="宋体" w:cs="宋体"/>
                <w:color w:val="auto"/>
                <w:sz w:val="22"/>
                <w:szCs w:val="22"/>
                <w:highlight w:val="none"/>
              </w:rPr>
            </w:pPr>
          </w:p>
        </w:tc>
      </w:tr>
      <w:tr w14:paraId="70A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748" w:type="dxa"/>
            <w:gridSpan w:val="2"/>
            <w:tcBorders>
              <w:left w:val="single" w:color="auto" w:sz="12" w:space="0"/>
            </w:tcBorders>
            <w:vAlign w:val="center"/>
          </w:tcPr>
          <w:p w14:paraId="1CC53EC9">
            <w:pPr>
              <w:spacing w:beforeLines="50" w:afterLines="50"/>
              <w:ind w:right="-10"/>
              <w:rPr>
                <w:rFonts w:ascii="宋体" w:hAnsi="宋体" w:cs="宋体"/>
                <w:color w:val="auto"/>
                <w:sz w:val="22"/>
                <w:szCs w:val="22"/>
                <w:highlight w:val="none"/>
              </w:rPr>
            </w:pPr>
            <w:r>
              <w:rPr>
                <w:rFonts w:hint="eastAsia" w:ascii="宋体" w:hAnsi="宋体" w:cs="宋体"/>
                <w:color w:val="auto"/>
                <w:sz w:val="22"/>
                <w:szCs w:val="22"/>
                <w:highlight w:val="none"/>
              </w:rPr>
              <w:t>其他相关费用</w:t>
            </w:r>
          </w:p>
        </w:tc>
        <w:tc>
          <w:tcPr>
            <w:tcW w:w="5106" w:type="dxa"/>
            <w:gridSpan w:val="4"/>
            <w:tcBorders>
              <w:right w:val="single" w:color="auto" w:sz="12" w:space="0"/>
            </w:tcBorders>
            <w:vAlign w:val="center"/>
          </w:tcPr>
          <w:p w14:paraId="2A008683">
            <w:pPr>
              <w:spacing w:beforeLines="50" w:afterLines="50"/>
              <w:ind w:right="-10"/>
              <w:rPr>
                <w:rFonts w:ascii="宋体" w:hAnsi="宋体" w:cs="宋体"/>
                <w:color w:val="auto"/>
                <w:sz w:val="22"/>
                <w:szCs w:val="22"/>
                <w:highlight w:val="none"/>
              </w:rPr>
            </w:pPr>
          </w:p>
        </w:tc>
      </w:tr>
      <w:tr w14:paraId="409F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748" w:type="dxa"/>
            <w:gridSpan w:val="2"/>
            <w:tcBorders>
              <w:left w:val="single" w:color="auto" w:sz="12" w:space="0"/>
              <w:bottom w:val="single" w:color="auto" w:sz="12" w:space="0"/>
            </w:tcBorders>
            <w:vAlign w:val="center"/>
          </w:tcPr>
          <w:p w14:paraId="039B15F7">
            <w:pPr>
              <w:spacing w:beforeLines="50" w:afterLines="50"/>
              <w:ind w:right="-10"/>
              <w:rPr>
                <w:rFonts w:ascii="宋体" w:hAnsi="宋体" w:cs="宋体"/>
                <w:color w:val="auto"/>
                <w:sz w:val="22"/>
                <w:szCs w:val="22"/>
                <w:highlight w:val="none"/>
              </w:rPr>
            </w:pPr>
            <w:r>
              <w:rPr>
                <w:rFonts w:hint="eastAsia" w:ascii="宋体" w:hAnsi="宋体" w:cs="宋体"/>
                <w:color w:val="auto"/>
                <w:sz w:val="22"/>
                <w:szCs w:val="22"/>
                <w:highlight w:val="none"/>
              </w:rPr>
              <w:t>磋商总价</w:t>
            </w:r>
          </w:p>
        </w:tc>
        <w:tc>
          <w:tcPr>
            <w:tcW w:w="5106" w:type="dxa"/>
            <w:gridSpan w:val="4"/>
            <w:tcBorders>
              <w:bottom w:val="single" w:color="auto" w:sz="12" w:space="0"/>
              <w:right w:val="single" w:color="auto" w:sz="12" w:space="0"/>
            </w:tcBorders>
            <w:vAlign w:val="center"/>
          </w:tcPr>
          <w:p w14:paraId="3F7F59BB">
            <w:pPr>
              <w:spacing w:beforeLines="50" w:afterLines="50"/>
              <w:ind w:right="-10"/>
              <w:rPr>
                <w:rFonts w:ascii="宋体" w:hAnsi="宋体" w:cs="宋体"/>
                <w:color w:val="auto"/>
                <w:sz w:val="22"/>
                <w:szCs w:val="22"/>
                <w:highlight w:val="none"/>
              </w:rPr>
            </w:pPr>
          </w:p>
        </w:tc>
      </w:tr>
    </w:tbl>
    <w:p w14:paraId="7221E6AA">
      <w:pPr>
        <w:spacing w:line="380" w:lineRule="exact"/>
        <w:jc w:val="center"/>
        <w:rPr>
          <w:rFonts w:ascii="宋体" w:hAnsi="宋体" w:cs="宋体"/>
          <w:b/>
          <w:bCs/>
          <w:color w:val="auto"/>
          <w:sz w:val="28"/>
          <w:szCs w:val="28"/>
          <w:highlight w:val="none"/>
        </w:rPr>
      </w:pPr>
    </w:p>
    <w:p w14:paraId="639FDA20">
      <w:pPr>
        <w:spacing w:line="360" w:lineRule="auto"/>
        <w:rPr>
          <w:rFonts w:ascii="宋体" w:hAnsi="宋体" w:cs="宋体"/>
          <w:color w:val="auto"/>
          <w:kern w:val="0"/>
          <w:szCs w:val="21"/>
          <w:highlight w:val="none"/>
        </w:rPr>
      </w:pPr>
    </w:p>
    <w:p w14:paraId="0A00FC0F">
      <w:pPr>
        <w:spacing w:line="360" w:lineRule="exact"/>
        <w:rPr>
          <w:rFonts w:ascii="宋体" w:hAnsi="宋体" w:cs="宋体"/>
          <w:b/>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cs="宋体"/>
          <w:b/>
          <w:color w:val="auto"/>
          <w:sz w:val="22"/>
          <w:szCs w:val="22"/>
          <w:highlight w:val="none"/>
        </w:rPr>
        <w:t>1、此表内磋商总价应与（1)《开标一览表》磋商报价相一致。</w:t>
      </w:r>
    </w:p>
    <w:p w14:paraId="37D46A77">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u w:val="single"/>
        </w:rPr>
        <w:t>不提供“分项报价表”的，视为没有实质性响应招标文件要求。</w:t>
      </w:r>
    </w:p>
    <w:p w14:paraId="04EE9915">
      <w:pPr>
        <w:spacing w:line="360" w:lineRule="exact"/>
        <w:ind w:left="325" w:hanging="325" w:hangingChars="147"/>
        <w:rPr>
          <w:rFonts w:ascii="宋体" w:hAnsi="宋体" w:cs="宋体"/>
          <w:b/>
          <w:color w:val="auto"/>
          <w:sz w:val="22"/>
          <w:szCs w:val="22"/>
          <w:highlight w:val="none"/>
        </w:rPr>
      </w:pPr>
      <w:r>
        <w:rPr>
          <w:rFonts w:hint="eastAsia" w:ascii="宋体" w:hAnsi="宋体" w:cs="宋体"/>
          <w:b/>
          <w:color w:val="auto"/>
          <w:sz w:val="22"/>
          <w:szCs w:val="22"/>
          <w:highlight w:val="none"/>
        </w:rPr>
        <w:t>3、如果免费请在该备注栏内注明“免”，如果含在产品价格中则填“含”，如无此项内容则填“无”，不留空白。</w:t>
      </w:r>
    </w:p>
    <w:p w14:paraId="7F658005">
      <w:pPr>
        <w:spacing w:line="360" w:lineRule="auto"/>
        <w:ind w:firstLine="420" w:firstLineChars="200"/>
        <w:rPr>
          <w:rFonts w:ascii="宋体" w:hAnsi="宋体" w:cs="宋体"/>
          <w:color w:val="auto"/>
          <w:szCs w:val="21"/>
          <w:highlight w:val="none"/>
        </w:rPr>
      </w:pPr>
    </w:p>
    <w:p w14:paraId="1D861683">
      <w:pPr>
        <w:spacing w:line="380" w:lineRule="exact"/>
        <w:ind w:firstLine="420" w:firstLineChars="200"/>
        <w:rPr>
          <w:rFonts w:ascii="宋体" w:hAnsi="宋体" w:cs="宋体"/>
          <w:color w:val="auto"/>
          <w:szCs w:val="21"/>
          <w:highlight w:val="none"/>
        </w:rPr>
      </w:pPr>
    </w:p>
    <w:p w14:paraId="18D9E1E4">
      <w:pPr>
        <w:spacing w:line="38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投标人</w:t>
      </w:r>
      <w:r>
        <w:rPr>
          <w:rFonts w:hint="eastAsia" w:ascii="宋体" w:hAnsi="宋体" w:cs="宋体"/>
          <w:color w:val="auto"/>
          <w:sz w:val="22"/>
          <w:szCs w:val="22"/>
          <w:highlight w:val="none"/>
        </w:rPr>
        <w:t>全称（盖章）：</w:t>
      </w:r>
    </w:p>
    <w:p w14:paraId="2E2CD27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51A3C4B7">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0AEF23D">
      <w:pPr>
        <w:spacing w:line="380" w:lineRule="exact"/>
        <w:ind w:firstLine="4400" w:firstLineChars="2000"/>
        <w:rPr>
          <w:rFonts w:ascii="宋体" w:hAnsi="宋体" w:cs="宋体"/>
          <w:color w:val="auto"/>
          <w:sz w:val="22"/>
          <w:szCs w:val="22"/>
          <w:highlight w:val="none"/>
        </w:rPr>
      </w:pPr>
    </w:p>
    <w:p w14:paraId="316179F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AFD1CA2">
      <w:pPr>
        <w:spacing w:line="4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）中小企业声明函</w:t>
      </w:r>
    </w:p>
    <w:p w14:paraId="55084C41">
      <w:pPr>
        <w:spacing w:after="12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中小企业声明函（工程、服务）</w:t>
      </w:r>
    </w:p>
    <w:p w14:paraId="3BDEE73D">
      <w:pPr>
        <w:spacing w:before="5" w:after="120" w:line="440" w:lineRule="exact"/>
        <w:rPr>
          <w:rFonts w:hint="eastAsia" w:ascii="宋体" w:hAnsi="宋体" w:eastAsia="宋体" w:cs="宋体"/>
          <w:b/>
          <w:color w:val="auto"/>
          <w:sz w:val="22"/>
          <w:szCs w:val="22"/>
          <w:highlight w:val="none"/>
        </w:rPr>
      </w:pPr>
    </w:p>
    <w:p w14:paraId="0A02D993">
      <w:pPr>
        <w:spacing w:after="120" w:line="480" w:lineRule="exact"/>
        <w:ind w:right="-1"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i/>
          <w:iCs/>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567D43">
      <w:pPr>
        <w:pStyle w:val="203"/>
        <w:tabs>
          <w:tab w:val="left" w:pos="1025"/>
        </w:tabs>
        <w:spacing w:line="48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i/>
          <w:iCs/>
          <w:color w:val="auto"/>
          <w:sz w:val="22"/>
          <w:szCs w:val="22"/>
          <w:highlight w:val="none"/>
          <w:u w:val="single"/>
        </w:rPr>
        <w:t>（标的名称）</w:t>
      </w:r>
      <w:r>
        <w:rPr>
          <w:rFonts w:hint="eastAsia" w:ascii="宋体" w:hAnsi="宋体" w:eastAsia="宋体" w:cs="宋体"/>
          <w:color w:val="auto"/>
          <w:sz w:val="22"/>
          <w:szCs w:val="22"/>
          <w:highlight w:val="none"/>
        </w:rPr>
        <w:t>，属于</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磋商文件</w:t>
      </w:r>
      <w:r>
        <w:rPr>
          <w:rFonts w:hint="eastAsia" w:ascii="宋体" w:hAnsi="宋体" w:eastAsia="宋体" w:cs="宋体"/>
          <w:i/>
          <w:iCs/>
          <w:color w:val="auto"/>
          <w:sz w:val="22"/>
          <w:szCs w:val="22"/>
          <w:highlight w:val="none"/>
          <w:u w:val="single"/>
        </w:rPr>
        <w:t>中明确的所属行业）</w:t>
      </w:r>
      <w:r>
        <w:rPr>
          <w:rFonts w:hint="eastAsia" w:ascii="宋体" w:hAnsi="宋体" w:eastAsia="宋体" w:cs="宋体"/>
          <w:color w:val="auto"/>
          <w:sz w:val="22"/>
          <w:szCs w:val="22"/>
          <w:highlight w:val="none"/>
        </w:rPr>
        <w:t>；承建（承接）企业为</w:t>
      </w:r>
      <w:r>
        <w:rPr>
          <w:rFonts w:hint="eastAsia" w:ascii="宋体" w:hAnsi="宋体" w:eastAsia="宋体" w:cs="宋体"/>
          <w:i/>
          <w:iCs/>
          <w:color w:val="auto"/>
          <w:sz w:val="22"/>
          <w:szCs w:val="22"/>
          <w:highlight w:val="none"/>
          <w:u w:val="single"/>
        </w:rPr>
        <w:t>（企业名称）</w:t>
      </w:r>
      <w:r>
        <w:rPr>
          <w:rFonts w:hint="eastAsia" w:ascii="宋体" w:hAnsi="宋体" w:eastAsia="宋体" w:cs="宋体"/>
          <w:color w:val="auto"/>
          <w:sz w:val="22"/>
          <w:szCs w:val="22"/>
          <w:highlight w:val="none"/>
        </w:rPr>
        <w:t>，从业人员人，营业收入为万元，资产总额为万元，属于</w:t>
      </w:r>
      <w:r>
        <w:rPr>
          <w:rFonts w:hint="eastAsia" w:ascii="宋体" w:hAnsi="宋体" w:eastAsia="宋体" w:cs="宋体"/>
          <w:i/>
          <w:iCs/>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14:paraId="47F3C4E8">
      <w:pPr>
        <w:pStyle w:val="203"/>
        <w:tabs>
          <w:tab w:val="left" w:pos="1243"/>
          <w:tab w:val="left" w:pos="1806"/>
          <w:tab w:val="left" w:pos="5005"/>
          <w:tab w:val="left" w:pos="7213"/>
        </w:tabs>
        <w:spacing w:line="48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i/>
          <w:iCs/>
          <w:color w:val="auto"/>
          <w:sz w:val="22"/>
          <w:szCs w:val="22"/>
          <w:highlight w:val="none"/>
          <w:u w:val="single"/>
        </w:rPr>
        <w:t>（标的名称）</w:t>
      </w:r>
      <w:r>
        <w:rPr>
          <w:rFonts w:hint="eastAsia" w:ascii="宋体" w:hAnsi="宋体" w:eastAsia="宋体" w:cs="宋体"/>
          <w:color w:val="auto"/>
          <w:sz w:val="22"/>
          <w:szCs w:val="22"/>
          <w:highlight w:val="none"/>
        </w:rPr>
        <w:t>，属于</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磋商文件</w:t>
      </w:r>
      <w:r>
        <w:rPr>
          <w:rFonts w:hint="eastAsia" w:ascii="宋体" w:hAnsi="宋体" w:eastAsia="宋体" w:cs="宋体"/>
          <w:i/>
          <w:iCs/>
          <w:color w:val="auto"/>
          <w:sz w:val="22"/>
          <w:szCs w:val="22"/>
          <w:highlight w:val="none"/>
          <w:u w:val="single"/>
        </w:rPr>
        <w:t>中明确的所属行业）</w:t>
      </w:r>
      <w:r>
        <w:rPr>
          <w:rFonts w:hint="eastAsia" w:ascii="宋体" w:hAnsi="宋体" w:eastAsia="宋体" w:cs="宋体"/>
          <w:color w:val="auto"/>
          <w:sz w:val="22"/>
          <w:szCs w:val="22"/>
          <w:highlight w:val="none"/>
        </w:rPr>
        <w:t>；承建（承接）企业为</w:t>
      </w:r>
      <w:r>
        <w:rPr>
          <w:rFonts w:hint="eastAsia" w:ascii="宋体" w:hAnsi="宋体" w:eastAsia="宋体" w:cs="宋体"/>
          <w:i/>
          <w:iCs/>
          <w:color w:val="auto"/>
          <w:sz w:val="22"/>
          <w:szCs w:val="22"/>
          <w:highlight w:val="none"/>
          <w:u w:val="single"/>
        </w:rPr>
        <w:t>（企业名称）</w:t>
      </w:r>
      <w:r>
        <w:rPr>
          <w:rFonts w:hint="eastAsia" w:ascii="宋体" w:hAnsi="宋体" w:eastAsia="宋体" w:cs="宋体"/>
          <w:color w:val="auto"/>
          <w:sz w:val="22"/>
          <w:szCs w:val="22"/>
          <w:highlight w:val="none"/>
        </w:rPr>
        <w:t>，从业人员人，营业收入为万元，资产总额为万元，属于</w:t>
      </w:r>
      <w:r>
        <w:rPr>
          <w:rFonts w:hint="eastAsia" w:ascii="宋体" w:hAnsi="宋体" w:eastAsia="宋体" w:cs="宋体"/>
          <w:i/>
          <w:iCs/>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14:paraId="11A87415">
      <w:pPr>
        <w:spacing w:before="11" w:after="120" w:line="480" w:lineRule="exact"/>
        <w:ind w:left="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5BC5E880">
      <w:pPr>
        <w:spacing w:before="108" w:after="120" w:line="480" w:lineRule="exact"/>
        <w:ind w:right="417" w:firstLine="645"/>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14:paraId="2CCE282F">
      <w:pPr>
        <w:spacing w:after="120" w:line="480" w:lineRule="exact"/>
        <w:ind w:right="375" w:firstLine="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7A7A4FFA">
      <w:pPr>
        <w:spacing w:before="29" w:after="120" w:line="480" w:lineRule="exact"/>
        <w:ind w:left="4060" w:right="2166"/>
        <w:jc w:val="left"/>
        <w:rPr>
          <w:rFonts w:hint="eastAsia" w:ascii="宋体" w:hAnsi="宋体" w:eastAsia="宋体" w:cs="宋体"/>
          <w:color w:val="auto"/>
          <w:sz w:val="22"/>
          <w:szCs w:val="22"/>
          <w:highlight w:val="none"/>
        </w:rPr>
      </w:pPr>
    </w:p>
    <w:p w14:paraId="291863A1">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2C6AC2EC">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D8A8BED">
      <w:pPr>
        <w:pStyle w:val="222"/>
        <w:spacing w:before="60" w:after="60"/>
        <w:ind w:firstLine="46"/>
        <w:rPr>
          <w:rFonts w:hint="eastAsia" w:ascii="宋体" w:hAnsi="宋体" w:eastAsia="宋体" w:cs="宋体"/>
          <w:color w:val="auto"/>
          <w:sz w:val="22"/>
          <w:szCs w:val="22"/>
          <w:highlight w:val="none"/>
        </w:rPr>
      </w:pPr>
    </w:p>
    <w:p w14:paraId="1BA41813">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2F0A106D">
      <w:pPr>
        <w:numPr>
          <w:ilvl w:val="0"/>
          <w:numId w:val="37"/>
        </w:numPr>
        <w:tabs>
          <w:tab w:val="left" w:pos="42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本项目为对应的中小企业划分标准所属行业：</w:t>
      </w:r>
      <w:r>
        <w:rPr>
          <w:rFonts w:hint="eastAsia" w:ascii="宋体" w:hAnsi="宋体" w:eastAsia="宋体" w:cs="宋体"/>
          <w:b/>
          <w:color w:val="auto"/>
          <w:sz w:val="22"/>
          <w:szCs w:val="22"/>
          <w:highlight w:val="none"/>
          <w:lang w:val="en-US" w:eastAsia="zh-CN"/>
        </w:rPr>
        <w:t>其他未列明行业</w:t>
      </w:r>
      <w:r>
        <w:rPr>
          <w:rFonts w:hint="eastAsia" w:ascii="宋体" w:hAnsi="宋体" w:eastAsia="宋体" w:cs="宋体"/>
          <w:b/>
          <w:color w:val="auto"/>
          <w:sz w:val="22"/>
          <w:szCs w:val="22"/>
          <w:highlight w:val="none"/>
        </w:rPr>
        <w:t>。</w:t>
      </w:r>
    </w:p>
    <w:p w14:paraId="1D3BBD96">
      <w:pPr>
        <w:numPr>
          <w:ilvl w:val="0"/>
          <w:numId w:val="37"/>
        </w:numPr>
        <w:tabs>
          <w:tab w:val="left" w:pos="42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14:paraId="733E984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F3BE4BB">
      <w:pPr>
        <w:spacing w:beforeLines="100" w:line="440" w:lineRule="atLeas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1F6B1563">
      <w:pPr>
        <w:spacing w:line="440" w:lineRule="atLeast"/>
        <w:rPr>
          <w:rFonts w:hint="eastAsia" w:ascii="宋体" w:hAnsi="宋体" w:eastAsia="宋体" w:cs="宋体"/>
          <w:color w:val="auto"/>
          <w:sz w:val="22"/>
          <w:szCs w:val="22"/>
          <w:highlight w:val="none"/>
        </w:rPr>
      </w:pPr>
    </w:p>
    <w:p w14:paraId="25996A7E">
      <w:pPr>
        <w:spacing w:line="440" w:lineRule="atLeas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残疾人福利性单位声明函</w:t>
      </w:r>
    </w:p>
    <w:p w14:paraId="01C0AD2B">
      <w:pPr>
        <w:widowControl/>
        <w:adjustRightInd w:val="0"/>
        <w:snapToGrid w:val="0"/>
        <w:spacing w:line="324" w:lineRule="auto"/>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4F2733DE">
      <w:pPr>
        <w:snapToGrid w:val="0"/>
        <w:spacing w:line="300" w:lineRule="auto"/>
        <w:jc w:val="center"/>
        <w:rPr>
          <w:rFonts w:hint="eastAsia" w:ascii="宋体" w:hAnsi="宋体" w:eastAsia="宋体" w:cs="宋体"/>
          <w:b/>
          <w:bCs/>
          <w:color w:val="auto"/>
          <w:sz w:val="22"/>
          <w:szCs w:val="22"/>
          <w:highlight w:val="none"/>
        </w:rPr>
      </w:pPr>
    </w:p>
    <w:p w14:paraId="7B471CB4">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478A7CF">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08A647EE">
      <w:pPr>
        <w:snapToGrid w:val="0"/>
        <w:spacing w:line="300" w:lineRule="auto"/>
        <w:ind w:firstLine="464" w:firstLineChars="200"/>
        <w:rPr>
          <w:rFonts w:hint="eastAsia" w:ascii="宋体" w:hAnsi="宋体" w:eastAsia="宋体" w:cs="宋体"/>
          <w:color w:val="auto"/>
          <w:spacing w:val="6"/>
          <w:sz w:val="22"/>
          <w:szCs w:val="22"/>
          <w:highlight w:val="none"/>
        </w:rPr>
      </w:pPr>
    </w:p>
    <w:p w14:paraId="5C72A036">
      <w:pPr>
        <w:snapToGrid w:val="0"/>
        <w:spacing w:line="300" w:lineRule="auto"/>
        <w:ind w:firstLine="464" w:firstLineChars="200"/>
        <w:rPr>
          <w:rFonts w:hint="eastAsia" w:ascii="宋体" w:hAnsi="宋体" w:eastAsia="宋体" w:cs="宋体"/>
          <w:color w:val="auto"/>
          <w:spacing w:val="6"/>
          <w:sz w:val="22"/>
          <w:szCs w:val="22"/>
          <w:highlight w:val="none"/>
        </w:rPr>
      </w:pPr>
    </w:p>
    <w:p w14:paraId="7A8C4CCA">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0E33EA2F">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ADBB90C">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14:paraId="06EB196D">
      <w:pPr>
        <w:pStyle w:val="26"/>
        <w:rPr>
          <w:rFonts w:hint="eastAsia" w:ascii="宋体" w:hAnsi="宋体" w:eastAsia="宋体" w:cs="宋体"/>
          <w:color w:val="auto"/>
          <w:highlight w:val="none"/>
        </w:rPr>
      </w:pPr>
    </w:p>
    <w:p w14:paraId="4BEFF078">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14:paraId="258D47C7">
      <w:pPr>
        <w:spacing w:line="440" w:lineRule="atLeast"/>
        <w:rPr>
          <w:rFonts w:hint="eastAsia" w:ascii="宋体" w:hAnsi="宋体" w:eastAsia="宋体" w:cs="宋体"/>
          <w:color w:val="auto"/>
          <w:sz w:val="22"/>
          <w:szCs w:val="22"/>
          <w:highlight w:val="none"/>
        </w:rPr>
      </w:pPr>
    </w:p>
    <w:p w14:paraId="3E16E75A">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监狱企业声明函</w:t>
      </w:r>
    </w:p>
    <w:p w14:paraId="7B941535">
      <w:pPr>
        <w:snapToGrid w:val="0"/>
        <w:spacing w:line="300" w:lineRule="auto"/>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3407A613">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265975AC">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根据上述标准，我企业属于监狱企业的理由为：。 </w:t>
      </w:r>
    </w:p>
    <w:p w14:paraId="2EDA3A3A">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2A9492C0">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2324BC8B">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7EF33940">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48523346">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3C672D34">
      <w:pPr>
        <w:pStyle w:val="49"/>
        <w:rPr>
          <w:rFonts w:hint="eastAsia" w:ascii="宋体" w:hAnsi="宋体" w:eastAsia="宋体" w:cs="宋体"/>
          <w:color w:val="auto"/>
          <w:sz w:val="22"/>
          <w:szCs w:val="22"/>
          <w:highlight w:val="none"/>
        </w:rPr>
      </w:pPr>
    </w:p>
    <w:p w14:paraId="6255E432">
      <w:pPr>
        <w:pStyle w:val="49"/>
        <w:rPr>
          <w:rFonts w:hint="eastAsia" w:ascii="宋体" w:hAnsi="宋体" w:eastAsia="宋体" w:cs="宋体"/>
          <w:color w:val="auto"/>
          <w:sz w:val="22"/>
          <w:szCs w:val="22"/>
          <w:highlight w:val="none"/>
        </w:rPr>
      </w:pPr>
    </w:p>
    <w:p w14:paraId="55064D97">
      <w:pPr>
        <w:rPr>
          <w:rFonts w:hint="eastAsia"/>
          <w:color w:val="auto"/>
          <w:highlight w:val="none"/>
        </w:rPr>
      </w:pPr>
      <w:r>
        <w:rPr>
          <w:rFonts w:hint="eastAsia"/>
          <w:color w:val="auto"/>
          <w:highlight w:val="none"/>
        </w:rPr>
        <w:br w:type="page"/>
      </w:r>
    </w:p>
    <w:p w14:paraId="6B3FD31B">
      <w:pPr>
        <w:pStyle w:val="16"/>
        <w:rPr>
          <w:rFonts w:hint="eastAsia"/>
          <w:highlight w:val="none"/>
        </w:rPr>
      </w:pPr>
    </w:p>
    <w:p w14:paraId="64926DF0">
      <w:pPr>
        <w:rPr>
          <w:rFonts w:hint="eastAsia" w:ascii="宋体" w:hAnsi="宋体" w:eastAsia="宋体" w:cs="宋体"/>
          <w:color w:val="auto"/>
          <w:highlight w:val="none"/>
        </w:rPr>
      </w:pPr>
    </w:p>
    <w:p w14:paraId="38859B68">
      <w:pPr>
        <w:rPr>
          <w:rFonts w:hint="eastAsia"/>
          <w:color w:val="auto"/>
          <w:highlight w:val="none"/>
        </w:rPr>
      </w:pPr>
    </w:p>
    <w:p w14:paraId="1180617D">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p>
    <w:p w14:paraId="3128B522">
      <w:pPr>
        <w:spacing w:line="460" w:lineRule="exact"/>
        <w:rPr>
          <w:rFonts w:hint="eastAsia" w:ascii="宋体" w:hAnsi="宋体" w:eastAsia="宋体" w:cs="宋体"/>
          <w:b/>
          <w:bCs/>
          <w:color w:val="auto"/>
          <w:highlight w:val="none"/>
        </w:rPr>
      </w:pPr>
    </w:p>
    <w:p w14:paraId="00201C35">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磋商函</w:t>
      </w:r>
    </w:p>
    <w:p w14:paraId="1C29F7FA">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温州市公安局瓯海区分局</w:t>
      </w:r>
      <w:r>
        <w:rPr>
          <w:rFonts w:hint="eastAsia" w:ascii="宋体" w:hAnsi="宋体" w:eastAsia="宋体" w:cs="宋体"/>
          <w:color w:val="auto"/>
          <w:sz w:val="22"/>
          <w:szCs w:val="22"/>
          <w:highlight w:val="none"/>
        </w:rPr>
        <w:t>：</w:t>
      </w:r>
    </w:p>
    <w:p w14:paraId="1A780FC0">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温州众鑫招标代理有限公司</w:t>
      </w:r>
      <w:r>
        <w:rPr>
          <w:rFonts w:hint="eastAsia" w:ascii="宋体" w:hAnsi="宋体" w:eastAsia="宋体" w:cs="宋体"/>
          <w:color w:val="auto"/>
          <w:sz w:val="22"/>
          <w:szCs w:val="22"/>
          <w:highlight w:val="none"/>
        </w:rPr>
        <w:t>：</w:t>
      </w:r>
    </w:p>
    <w:p w14:paraId="0CA54373">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根据贵方为项目（采购编号：）的磋商邀请，我方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（授权代表全名，职务）代表我方处理有关本磋商的一切事宜。</w:t>
      </w:r>
    </w:p>
    <w:p w14:paraId="320247DA">
      <w:pPr>
        <w:pStyle w:val="2"/>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在此提交的磋商响应文件中，包括如下内</w:t>
      </w:r>
      <w:r>
        <w:rPr>
          <w:rFonts w:hint="eastAsia" w:ascii="宋体" w:hAnsi="宋体" w:eastAsia="宋体" w:cs="宋体"/>
          <w:color w:val="auto"/>
          <w:sz w:val="22"/>
          <w:highlight w:val="none"/>
        </w:rPr>
        <w:t>容：</w:t>
      </w:r>
    </w:p>
    <w:p w14:paraId="61240EFE">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1、按“供应商须知”要求编制的磋商响应文件资格文件；</w:t>
      </w:r>
    </w:p>
    <w:p w14:paraId="38DC658C">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2、按“供应商须知”要求编制的磋商响应文件商务技术文件；</w:t>
      </w:r>
    </w:p>
    <w:p w14:paraId="384E2EBA">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3、按“供应商须知”要求编制的磋商响应文件报价文件；</w:t>
      </w:r>
    </w:p>
    <w:p w14:paraId="380ECA51">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我方己完全明白磋商文件的所有条款要求，并重申以下几点：</w:t>
      </w:r>
    </w:p>
    <w:p w14:paraId="066F11F3">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本磋商响应文件的有效期自磋商截止日起  90 天内有效，如中标，有效期将延至合同终止日为止；</w:t>
      </w:r>
    </w:p>
    <w:p w14:paraId="412B090A">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14:paraId="27DAB862">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我方郑重承诺所提供的“信用中国网站”、“中国政府采购网”信用查询证明文件真实有效；</w:t>
      </w:r>
    </w:p>
    <w:p w14:paraId="0645B280">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我方在参加本项目前三年内</w:t>
      </w:r>
      <w:r>
        <w:rPr>
          <w:rFonts w:hint="eastAsia" w:ascii="宋体" w:hAnsi="宋体" w:eastAsia="宋体" w:cs="宋体"/>
          <w:color w:val="auto"/>
          <w:sz w:val="22"/>
          <w:highlight w:val="none"/>
          <w:u w:val="single"/>
        </w:rPr>
        <w:t>（被通报或者处罚的违法行为有：               ）</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（在  至  期间禁止参加政府采购活动但是期限届满，须附相关证明文件）</w:t>
      </w:r>
      <w:r>
        <w:rPr>
          <w:rFonts w:hint="eastAsia" w:ascii="宋体" w:hAnsi="宋体" w:eastAsia="宋体" w:cs="宋体"/>
          <w:color w:val="auto"/>
          <w:sz w:val="22"/>
          <w:highlight w:val="none"/>
        </w:rPr>
        <w:t>；</w:t>
      </w:r>
    </w:p>
    <w:p w14:paraId="31811D51">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我方同意提供按照贵方可能要求的与磋商有关的一切数据或资料；</w:t>
      </w:r>
    </w:p>
    <w:p w14:paraId="2DC4BF4B">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我方理解贵方不一定接受最低报价。</w:t>
      </w:r>
      <w:r>
        <w:rPr>
          <w:rFonts w:hint="eastAsia" w:ascii="宋体" w:hAnsi="宋体" w:eastAsia="宋体" w:cs="宋体"/>
          <w:color w:val="auto"/>
          <w:sz w:val="22"/>
          <w:highlight w:val="none"/>
        </w:rPr>
        <w:tab/>
      </w:r>
    </w:p>
    <w:p w14:paraId="02ED086F">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我方如果中标，将保证履行磋商文件以及磋商文件修改书（如有）中的全部责任和义务，按质、按量、按期完成《合同书》中的全部任务。</w:t>
      </w:r>
    </w:p>
    <w:p w14:paraId="36E70F63">
      <w:pPr>
        <w:pStyle w:val="203"/>
        <w:numPr>
          <w:ilvl w:val="1"/>
          <w:numId w:val="38"/>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所有与本磋商有关的函件请发往下列地址：</w:t>
      </w:r>
    </w:p>
    <w:p w14:paraId="5CCE3190">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p>
    <w:p w14:paraId="262D38BC">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p>
    <w:p w14:paraId="73565F08">
      <w:pPr>
        <w:spacing w:line="3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p>
    <w:p w14:paraId="50527947">
      <w:pPr>
        <w:spacing w:line="36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p>
    <w:p w14:paraId="5E36F7AF">
      <w:pPr>
        <w:spacing w:line="420" w:lineRule="exact"/>
        <w:ind w:firstLine="435"/>
        <w:rPr>
          <w:rFonts w:hint="eastAsia" w:ascii="宋体" w:hAnsi="宋体" w:eastAsia="宋体" w:cs="宋体"/>
          <w:color w:val="auto"/>
          <w:sz w:val="22"/>
          <w:szCs w:val="22"/>
          <w:highlight w:val="none"/>
        </w:rPr>
      </w:pPr>
    </w:p>
    <w:p w14:paraId="46C0D463">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供应商名称（盖章）</w:t>
      </w:r>
    </w:p>
    <w:p w14:paraId="6040C324">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供应商代表（签字或盖章）</w:t>
      </w:r>
    </w:p>
    <w:p w14:paraId="532BF98F">
      <w:pPr>
        <w:spacing w:line="460" w:lineRule="exact"/>
        <w:ind w:firstLine="435"/>
        <w:rPr>
          <w:rFonts w:hint="eastAsia" w:ascii="宋体" w:hAnsi="宋体" w:eastAsia="宋体" w:cs="宋体"/>
          <w:color w:val="auto"/>
          <w:sz w:val="22"/>
          <w:szCs w:val="22"/>
          <w:highlight w:val="none"/>
          <w:u w:val="single"/>
        </w:rPr>
        <w:sectPr>
          <w:footerReference r:id="rId9" w:type="first"/>
          <w:headerReference r:id="rId6" w:type="default"/>
          <w:footerReference r:id="rId7" w:type="default"/>
          <w:footerReference r:id="rId8" w:type="eve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2"/>
          <w:szCs w:val="22"/>
          <w:highlight w:val="none"/>
        </w:rPr>
        <w:t xml:space="preserve">                                   日    期</w:t>
      </w:r>
    </w:p>
    <w:p w14:paraId="472DACE4">
      <w:pPr>
        <w:spacing w:line="46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附件四</w:t>
      </w:r>
    </w:p>
    <w:p w14:paraId="66E75C9E">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14:paraId="097D3BC6">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供应商名称：                                          采购编号：</w:t>
      </w:r>
    </w:p>
    <w:tbl>
      <w:tblPr>
        <w:tblStyle w:val="3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959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18AEC10A">
            <w:pPr>
              <w:spacing w:line="380" w:lineRule="exact"/>
              <w:jc w:val="center"/>
              <w:rPr>
                <w:rFonts w:hint="eastAsia" w:ascii="宋体" w:hAnsi="宋体" w:eastAsia="宋体" w:cs="宋体"/>
                <w:color w:val="auto"/>
                <w:sz w:val="22"/>
                <w:szCs w:val="22"/>
                <w:highlight w:val="none"/>
              </w:rPr>
            </w:pPr>
          </w:p>
        </w:tc>
        <w:tc>
          <w:tcPr>
            <w:tcW w:w="1364" w:type="dxa"/>
            <w:vAlign w:val="center"/>
          </w:tcPr>
          <w:p w14:paraId="5B5BB090">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7" w:type="dxa"/>
            <w:vAlign w:val="center"/>
          </w:tcPr>
          <w:p w14:paraId="036B4DDF">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14:paraId="40589F7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条目号</w:t>
            </w:r>
          </w:p>
        </w:tc>
        <w:tc>
          <w:tcPr>
            <w:tcW w:w="1992" w:type="dxa"/>
            <w:vAlign w:val="center"/>
          </w:tcPr>
          <w:p w14:paraId="485D27BE">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14:paraId="2A4499C9">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规范要求</w:t>
            </w:r>
          </w:p>
        </w:tc>
        <w:tc>
          <w:tcPr>
            <w:tcW w:w="1866" w:type="dxa"/>
            <w:vAlign w:val="center"/>
          </w:tcPr>
          <w:p w14:paraId="0BBA5A9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w:t>
            </w:r>
          </w:p>
          <w:p w14:paraId="09064183">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对应规范</w:t>
            </w:r>
          </w:p>
        </w:tc>
        <w:tc>
          <w:tcPr>
            <w:tcW w:w="1592" w:type="dxa"/>
            <w:vAlign w:val="center"/>
          </w:tcPr>
          <w:p w14:paraId="0FF7A24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151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53511AF8">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w:t>
            </w:r>
          </w:p>
          <w:p w14:paraId="601F4F1C">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术</w:t>
            </w:r>
          </w:p>
          <w:p w14:paraId="2BDFF8D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w:t>
            </w:r>
          </w:p>
          <w:p w14:paraId="3EBC35C4">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w:t>
            </w:r>
          </w:p>
        </w:tc>
        <w:tc>
          <w:tcPr>
            <w:tcW w:w="1364" w:type="dxa"/>
            <w:vAlign w:val="center"/>
          </w:tcPr>
          <w:p w14:paraId="6932246F">
            <w:pPr>
              <w:spacing w:line="380" w:lineRule="exact"/>
              <w:jc w:val="center"/>
              <w:rPr>
                <w:rFonts w:hint="eastAsia" w:ascii="宋体" w:hAnsi="宋体" w:eastAsia="宋体" w:cs="宋体"/>
                <w:color w:val="auto"/>
                <w:sz w:val="22"/>
                <w:szCs w:val="22"/>
                <w:highlight w:val="none"/>
              </w:rPr>
            </w:pPr>
          </w:p>
        </w:tc>
        <w:tc>
          <w:tcPr>
            <w:tcW w:w="2097" w:type="dxa"/>
            <w:vAlign w:val="center"/>
          </w:tcPr>
          <w:p w14:paraId="6A5E1520">
            <w:pPr>
              <w:spacing w:line="380" w:lineRule="exact"/>
              <w:jc w:val="center"/>
              <w:rPr>
                <w:rFonts w:hint="eastAsia" w:ascii="宋体" w:hAnsi="宋体" w:eastAsia="宋体" w:cs="宋体"/>
                <w:color w:val="auto"/>
                <w:sz w:val="22"/>
                <w:szCs w:val="22"/>
                <w:highlight w:val="none"/>
              </w:rPr>
            </w:pPr>
          </w:p>
        </w:tc>
        <w:tc>
          <w:tcPr>
            <w:tcW w:w="1992" w:type="dxa"/>
            <w:vAlign w:val="center"/>
          </w:tcPr>
          <w:p w14:paraId="4644AD34">
            <w:pPr>
              <w:spacing w:line="380" w:lineRule="exact"/>
              <w:jc w:val="center"/>
              <w:rPr>
                <w:rFonts w:hint="eastAsia" w:ascii="宋体" w:hAnsi="宋体" w:eastAsia="宋体" w:cs="宋体"/>
                <w:color w:val="auto"/>
                <w:sz w:val="22"/>
                <w:szCs w:val="22"/>
                <w:highlight w:val="none"/>
              </w:rPr>
            </w:pPr>
          </w:p>
        </w:tc>
        <w:tc>
          <w:tcPr>
            <w:tcW w:w="1866" w:type="dxa"/>
            <w:vAlign w:val="center"/>
          </w:tcPr>
          <w:p w14:paraId="15C1B377">
            <w:pPr>
              <w:spacing w:line="380" w:lineRule="exact"/>
              <w:jc w:val="center"/>
              <w:rPr>
                <w:rFonts w:hint="eastAsia" w:ascii="宋体" w:hAnsi="宋体" w:eastAsia="宋体" w:cs="宋体"/>
                <w:color w:val="auto"/>
                <w:sz w:val="22"/>
                <w:szCs w:val="22"/>
                <w:highlight w:val="none"/>
              </w:rPr>
            </w:pPr>
          </w:p>
        </w:tc>
        <w:tc>
          <w:tcPr>
            <w:tcW w:w="1592" w:type="dxa"/>
            <w:vAlign w:val="center"/>
          </w:tcPr>
          <w:p w14:paraId="2F54CDAF">
            <w:pPr>
              <w:spacing w:line="380" w:lineRule="exact"/>
              <w:jc w:val="center"/>
              <w:rPr>
                <w:rFonts w:hint="eastAsia" w:ascii="宋体" w:hAnsi="宋体" w:eastAsia="宋体" w:cs="宋体"/>
                <w:color w:val="auto"/>
                <w:sz w:val="22"/>
                <w:szCs w:val="22"/>
                <w:highlight w:val="none"/>
              </w:rPr>
            </w:pPr>
          </w:p>
        </w:tc>
      </w:tr>
      <w:tr w14:paraId="7E6F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CC52E6A">
            <w:pPr>
              <w:spacing w:line="380" w:lineRule="exact"/>
              <w:ind w:firstLine="220" w:firstLineChars="100"/>
              <w:rPr>
                <w:rFonts w:hint="eastAsia" w:ascii="宋体" w:hAnsi="宋体" w:eastAsia="宋体" w:cs="宋体"/>
                <w:color w:val="auto"/>
                <w:sz w:val="22"/>
                <w:szCs w:val="22"/>
                <w:highlight w:val="none"/>
              </w:rPr>
            </w:pPr>
          </w:p>
        </w:tc>
        <w:tc>
          <w:tcPr>
            <w:tcW w:w="1364" w:type="dxa"/>
            <w:vAlign w:val="center"/>
          </w:tcPr>
          <w:p w14:paraId="223C0536">
            <w:pPr>
              <w:spacing w:line="380" w:lineRule="exact"/>
              <w:jc w:val="center"/>
              <w:rPr>
                <w:rFonts w:hint="eastAsia" w:ascii="宋体" w:hAnsi="宋体" w:eastAsia="宋体" w:cs="宋体"/>
                <w:color w:val="auto"/>
                <w:sz w:val="22"/>
                <w:szCs w:val="22"/>
                <w:highlight w:val="none"/>
              </w:rPr>
            </w:pPr>
          </w:p>
        </w:tc>
        <w:tc>
          <w:tcPr>
            <w:tcW w:w="2097" w:type="dxa"/>
            <w:vAlign w:val="center"/>
          </w:tcPr>
          <w:p w14:paraId="6D369719">
            <w:pPr>
              <w:spacing w:line="380" w:lineRule="exact"/>
              <w:jc w:val="center"/>
              <w:rPr>
                <w:rFonts w:hint="eastAsia" w:ascii="宋体" w:hAnsi="宋体" w:eastAsia="宋体" w:cs="宋体"/>
                <w:color w:val="auto"/>
                <w:sz w:val="22"/>
                <w:szCs w:val="22"/>
                <w:highlight w:val="none"/>
              </w:rPr>
            </w:pPr>
          </w:p>
        </w:tc>
        <w:tc>
          <w:tcPr>
            <w:tcW w:w="1992" w:type="dxa"/>
            <w:vAlign w:val="center"/>
          </w:tcPr>
          <w:p w14:paraId="5829C066">
            <w:pPr>
              <w:spacing w:line="380" w:lineRule="exact"/>
              <w:jc w:val="center"/>
              <w:rPr>
                <w:rFonts w:hint="eastAsia" w:ascii="宋体" w:hAnsi="宋体" w:eastAsia="宋体" w:cs="宋体"/>
                <w:color w:val="auto"/>
                <w:sz w:val="22"/>
                <w:szCs w:val="22"/>
                <w:highlight w:val="none"/>
              </w:rPr>
            </w:pPr>
          </w:p>
        </w:tc>
        <w:tc>
          <w:tcPr>
            <w:tcW w:w="1866" w:type="dxa"/>
            <w:vAlign w:val="center"/>
          </w:tcPr>
          <w:p w14:paraId="48C2C529">
            <w:pPr>
              <w:spacing w:line="380" w:lineRule="exact"/>
              <w:jc w:val="center"/>
              <w:rPr>
                <w:rFonts w:hint="eastAsia" w:ascii="宋体" w:hAnsi="宋体" w:eastAsia="宋体" w:cs="宋体"/>
                <w:color w:val="auto"/>
                <w:sz w:val="22"/>
                <w:szCs w:val="22"/>
                <w:highlight w:val="none"/>
              </w:rPr>
            </w:pPr>
          </w:p>
        </w:tc>
        <w:tc>
          <w:tcPr>
            <w:tcW w:w="1592" w:type="dxa"/>
            <w:vAlign w:val="center"/>
          </w:tcPr>
          <w:p w14:paraId="2BF26A98">
            <w:pPr>
              <w:spacing w:line="380" w:lineRule="exact"/>
              <w:jc w:val="center"/>
              <w:rPr>
                <w:rFonts w:hint="eastAsia" w:ascii="宋体" w:hAnsi="宋体" w:eastAsia="宋体" w:cs="宋体"/>
                <w:color w:val="auto"/>
                <w:sz w:val="22"/>
                <w:szCs w:val="22"/>
                <w:highlight w:val="none"/>
              </w:rPr>
            </w:pPr>
          </w:p>
        </w:tc>
      </w:tr>
      <w:tr w14:paraId="5F02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C9E510E">
            <w:pPr>
              <w:spacing w:line="380" w:lineRule="exact"/>
              <w:jc w:val="center"/>
              <w:rPr>
                <w:rFonts w:hint="eastAsia" w:ascii="宋体" w:hAnsi="宋体" w:eastAsia="宋体" w:cs="宋体"/>
                <w:color w:val="auto"/>
                <w:sz w:val="22"/>
                <w:szCs w:val="22"/>
                <w:highlight w:val="none"/>
              </w:rPr>
            </w:pPr>
          </w:p>
        </w:tc>
        <w:tc>
          <w:tcPr>
            <w:tcW w:w="1364" w:type="dxa"/>
            <w:vAlign w:val="center"/>
          </w:tcPr>
          <w:p w14:paraId="327922B7">
            <w:pPr>
              <w:spacing w:line="380" w:lineRule="exact"/>
              <w:jc w:val="center"/>
              <w:rPr>
                <w:rFonts w:hint="eastAsia" w:ascii="宋体" w:hAnsi="宋体" w:eastAsia="宋体" w:cs="宋体"/>
                <w:color w:val="auto"/>
                <w:sz w:val="22"/>
                <w:szCs w:val="22"/>
                <w:highlight w:val="none"/>
              </w:rPr>
            </w:pPr>
          </w:p>
        </w:tc>
        <w:tc>
          <w:tcPr>
            <w:tcW w:w="2097" w:type="dxa"/>
            <w:vAlign w:val="center"/>
          </w:tcPr>
          <w:p w14:paraId="09390C85">
            <w:pPr>
              <w:spacing w:line="380" w:lineRule="exact"/>
              <w:jc w:val="center"/>
              <w:rPr>
                <w:rFonts w:hint="eastAsia" w:ascii="宋体" w:hAnsi="宋体" w:eastAsia="宋体" w:cs="宋体"/>
                <w:color w:val="auto"/>
                <w:sz w:val="22"/>
                <w:szCs w:val="22"/>
                <w:highlight w:val="none"/>
              </w:rPr>
            </w:pPr>
          </w:p>
        </w:tc>
        <w:tc>
          <w:tcPr>
            <w:tcW w:w="1992" w:type="dxa"/>
            <w:vAlign w:val="center"/>
          </w:tcPr>
          <w:p w14:paraId="37DFD917">
            <w:pPr>
              <w:spacing w:line="380" w:lineRule="exact"/>
              <w:jc w:val="center"/>
              <w:rPr>
                <w:rFonts w:hint="eastAsia" w:ascii="宋体" w:hAnsi="宋体" w:eastAsia="宋体" w:cs="宋体"/>
                <w:color w:val="auto"/>
                <w:sz w:val="22"/>
                <w:szCs w:val="22"/>
                <w:highlight w:val="none"/>
              </w:rPr>
            </w:pPr>
          </w:p>
        </w:tc>
        <w:tc>
          <w:tcPr>
            <w:tcW w:w="1866" w:type="dxa"/>
            <w:vAlign w:val="center"/>
          </w:tcPr>
          <w:p w14:paraId="7B3C162D">
            <w:pPr>
              <w:spacing w:line="380" w:lineRule="exact"/>
              <w:jc w:val="center"/>
              <w:rPr>
                <w:rFonts w:hint="eastAsia" w:ascii="宋体" w:hAnsi="宋体" w:eastAsia="宋体" w:cs="宋体"/>
                <w:color w:val="auto"/>
                <w:sz w:val="22"/>
                <w:szCs w:val="22"/>
                <w:highlight w:val="none"/>
              </w:rPr>
            </w:pPr>
          </w:p>
        </w:tc>
        <w:tc>
          <w:tcPr>
            <w:tcW w:w="1592" w:type="dxa"/>
            <w:vAlign w:val="center"/>
          </w:tcPr>
          <w:p w14:paraId="27A3A260">
            <w:pPr>
              <w:spacing w:line="380" w:lineRule="exact"/>
              <w:jc w:val="center"/>
              <w:rPr>
                <w:rFonts w:hint="eastAsia" w:ascii="宋体" w:hAnsi="宋体" w:eastAsia="宋体" w:cs="宋体"/>
                <w:color w:val="auto"/>
                <w:sz w:val="22"/>
                <w:szCs w:val="22"/>
                <w:highlight w:val="none"/>
              </w:rPr>
            </w:pPr>
          </w:p>
        </w:tc>
      </w:tr>
      <w:tr w14:paraId="7EA0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136D30B">
            <w:pPr>
              <w:spacing w:line="380" w:lineRule="exact"/>
              <w:jc w:val="center"/>
              <w:rPr>
                <w:rFonts w:hint="eastAsia" w:ascii="宋体" w:hAnsi="宋体" w:eastAsia="宋体" w:cs="宋体"/>
                <w:color w:val="auto"/>
                <w:sz w:val="22"/>
                <w:szCs w:val="22"/>
                <w:highlight w:val="none"/>
              </w:rPr>
            </w:pPr>
          </w:p>
        </w:tc>
        <w:tc>
          <w:tcPr>
            <w:tcW w:w="1364" w:type="dxa"/>
            <w:vAlign w:val="center"/>
          </w:tcPr>
          <w:p w14:paraId="22453DA2">
            <w:pPr>
              <w:spacing w:line="380" w:lineRule="exact"/>
              <w:jc w:val="center"/>
              <w:rPr>
                <w:rFonts w:hint="eastAsia" w:ascii="宋体" w:hAnsi="宋体" w:eastAsia="宋体" w:cs="宋体"/>
                <w:color w:val="auto"/>
                <w:sz w:val="22"/>
                <w:szCs w:val="22"/>
                <w:highlight w:val="none"/>
              </w:rPr>
            </w:pPr>
          </w:p>
        </w:tc>
        <w:tc>
          <w:tcPr>
            <w:tcW w:w="2097" w:type="dxa"/>
            <w:vAlign w:val="center"/>
          </w:tcPr>
          <w:p w14:paraId="706A3605">
            <w:pPr>
              <w:spacing w:line="380" w:lineRule="exact"/>
              <w:jc w:val="center"/>
              <w:rPr>
                <w:rFonts w:hint="eastAsia" w:ascii="宋体" w:hAnsi="宋体" w:eastAsia="宋体" w:cs="宋体"/>
                <w:color w:val="auto"/>
                <w:sz w:val="22"/>
                <w:szCs w:val="22"/>
                <w:highlight w:val="none"/>
              </w:rPr>
            </w:pPr>
          </w:p>
        </w:tc>
        <w:tc>
          <w:tcPr>
            <w:tcW w:w="1992" w:type="dxa"/>
            <w:vAlign w:val="center"/>
          </w:tcPr>
          <w:p w14:paraId="6DD135C7">
            <w:pPr>
              <w:spacing w:line="380" w:lineRule="exact"/>
              <w:jc w:val="center"/>
              <w:rPr>
                <w:rFonts w:hint="eastAsia" w:ascii="宋体" w:hAnsi="宋体" w:eastAsia="宋体" w:cs="宋体"/>
                <w:color w:val="auto"/>
                <w:sz w:val="22"/>
                <w:szCs w:val="22"/>
                <w:highlight w:val="none"/>
              </w:rPr>
            </w:pPr>
          </w:p>
        </w:tc>
        <w:tc>
          <w:tcPr>
            <w:tcW w:w="1866" w:type="dxa"/>
            <w:vAlign w:val="center"/>
          </w:tcPr>
          <w:p w14:paraId="58074A78">
            <w:pPr>
              <w:spacing w:line="380" w:lineRule="exact"/>
              <w:jc w:val="center"/>
              <w:rPr>
                <w:rFonts w:hint="eastAsia" w:ascii="宋体" w:hAnsi="宋体" w:eastAsia="宋体" w:cs="宋体"/>
                <w:color w:val="auto"/>
                <w:sz w:val="22"/>
                <w:szCs w:val="22"/>
                <w:highlight w:val="none"/>
              </w:rPr>
            </w:pPr>
          </w:p>
        </w:tc>
        <w:tc>
          <w:tcPr>
            <w:tcW w:w="1592" w:type="dxa"/>
            <w:vAlign w:val="center"/>
          </w:tcPr>
          <w:p w14:paraId="73FA7CAB">
            <w:pPr>
              <w:spacing w:line="380" w:lineRule="exact"/>
              <w:jc w:val="center"/>
              <w:rPr>
                <w:rFonts w:hint="eastAsia" w:ascii="宋体" w:hAnsi="宋体" w:eastAsia="宋体" w:cs="宋体"/>
                <w:color w:val="auto"/>
                <w:sz w:val="22"/>
                <w:szCs w:val="22"/>
                <w:highlight w:val="none"/>
              </w:rPr>
            </w:pPr>
          </w:p>
        </w:tc>
      </w:tr>
      <w:tr w14:paraId="355F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1352F3">
            <w:pPr>
              <w:spacing w:line="380" w:lineRule="exact"/>
              <w:jc w:val="center"/>
              <w:rPr>
                <w:rFonts w:hint="eastAsia" w:ascii="宋体" w:hAnsi="宋体" w:eastAsia="宋体" w:cs="宋体"/>
                <w:color w:val="auto"/>
                <w:sz w:val="22"/>
                <w:szCs w:val="22"/>
                <w:highlight w:val="none"/>
              </w:rPr>
            </w:pPr>
          </w:p>
        </w:tc>
        <w:tc>
          <w:tcPr>
            <w:tcW w:w="1364" w:type="dxa"/>
            <w:vAlign w:val="center"/>
          </w:tcPr>
          <w:p w14:paraId="70B991A9">
            <w:pPr>
              <w:spacing w:line="380" w:lineRule="exact"/>
              <w:jc w:val="center"/>
              <w:rPr>
                <w:rFonts w:hint="eastAsia" w:ascii="宋体" w:hAnsi="宋体" w:eastAsia="宋体" w:cs="宋体"/>
                <w:color w:val="auto"/>
                <w:sz w:val="22"/>
                <w:szCs w:val="22"/>
                <w:highlight w:val="none"/>
              </w:rPr>
            </w:pPr>
          </w:p>
        </w:tc>
        <w:tc>
          <w:tcPr>
            <w:tcW w:w="2097" w:type="dxa"/>
            <w:vAlign w:val="center"/>
          </w:tcPr>
          <w:p w14:paraId="6F29CB43">
            <w:pPr>
              <w:spacing w:line="380" w:lineRule="exact"/>
              <w:jc w:val="center"/>
              <w:rPr>
                <w:rFonts w:hint="eastAsia" w:ascii="宋体" w:hAnsi="宋体" w:eastAsia="宋体" w:cs="宋体"/>
                <w:color w:val="auto"/>
                <w:sz w:val="22"/>
                <w:szCs w:val="22"/>
                <w:highlight w:val="none"/>
              </w:rPr>
            </w:pPr>
          </w:p>
        </w:tc>
        <w:tc>
          <w:tcPr>
            <w:tcW w:w="1992" w:type="dxa"/>
            <w:vAlign w:val="center"/>
          </w:tcPr>
          <w:p w14:paraId="0D33D27C">
            <w:pPr>
              <w:spacing w:line="380" w:lineRule="exact"/>
              <w:jc w:val="center"/>
              <w:rPr>
                <w:rFonts w:hint="eastAsia" w:ascii="宋体" w:hAnsi="宋体" w:eastAsia="宋体" w:cs="宋体"/>
                <w:color w:val="auto"/>
                <w:sz w:val="22"/>
                <w:szCs w:val="22"/>
                <w:highlight w:val="none"/>
              </w:rPr>
            </w:pPr>
          </w:p>
        </w:tc>
        <w:tc>
          <w:tcPr>
            <w:tcW w:w="1866" w:type="dxa"/>
            <w:vAlign w:val="center"/>
          </w:tcPr>
          <w:p w14:paraId="33456DA2">
            <w:pPr>
              <w:spacing w:line="380" w:lineRule="exact"/>
              <w:jc w:val="center"/>
              <w:rPr>
                <w:rFonts w:hint="eastAsia" w:ascii="宋体" w:hAnsi="宋体" w:eastAsia="宋体" w:cs="宋体"/>
                <w:color w:val="auto"/>
                <w:sz w:val="22"/>
                <w:szCs w:val="22"/>
                <w:highlight w:val="none"/>
              </w:rPr>
            </w:pPr>
          </w:p>
        </w:tc>
        <w:tc>
          <w:tcPr>
            <w:tcW w:w="1592" w:type="dxa"/>
            <w:vAlign w:val="center"/>
          </w:tcPr>
          <w:p w14:paraId="1D1AAB7C">
            <w:pPr>
              <w:spacing w:line="380" w:lineRule="exact"/>
              <w:jc w:val="center"/>
              <w:rPr>
                <w:rFonts w:hint="eastAsia" w:ascii="宋体" w:hAnsi="宋体" w:eastAsia="宋体" w:cs="宋体"/>
                <w:color w:val="auto"/>
                <w:sz w:val="22"/>
                <w:szCs w:val="22"/>
                <w:highlight w:val="none"/>
              </w:rPr>
            </w:pPr>
          </w:p>
        </w:tc>
      </w:tr>
      <w:tr w14:paraId="2A19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97C9167">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14:paraId="1215769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14:paraId="64F7B03F">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w:t>
            </w:r>
          </w:p>
          <w:p w14:paraId="51F667E0">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w:t>
            </w:r>
          </w:p>
        </w:tc>
        <w:tc>
          <w:tcPr>
            <w:tcW w:w="1364" w:type="dxa"/>
            <w:vAlign w:val="center"/>
          </w:tcPr>
          <w:p w14:paraId="3E75DE85">
            <w:pPr>
              <w:spacing w:line="380" w:lineRule="exact"/>
              <w:jc w:val="center"/>
              <w:rPr>
                <w:rFonts w:hint="eastAsia" w:ascii="宋体" w:hAnsi="宋体" w:eastAsia="宋体" w:cs="宋体"/>
                <w:color w:val="auto"/>
                <w:sz w:val="22"/>
                <w:szCs w:val="22"/>
                <w:highlight w:val="none"/>
              </w:rPr>
            </w:pPr>
          </w:p>
        </w:tc>
        <w:tc>
          <w:tcPr>
            <w:tcW w:w="2097" w:type="dxa"/>
            <w:vAlign w:val="center"/>
          </w:tcPr>
          <w:p w14:paraId="09540D65">
            <w:pPr>
              <w:spacing w:line="380" w:lineRule="exact"/>
              <w:jc w:val="center"/>
              <w:rPr>
                <w:rFonts w:hint="eastAsia" w:ascii="宋体" w:hAnsi="宋体" w:eastAsia="宋体" w:cs="宋体"/>
                <w:color w:val="auto"/>
                <w:sz w:val="22"/>
                <w:szCs w:val="22"/>
                <w:highlight w:val="none"/>
              </w:rPr>
            </w:pPr>
          </w:p>
        </w:tc>
        <w:tc>
          <w:tcPr>
            <w:tcW w:w="1992" w:type="dxa"/>
            <w:vAlign w:val="center"/>
          </w:tcPr>
          <w:p w14:paraId="3683735A">
            <w:pPr>
              <w:spacing w:line="380" w:lineRule="exact"/>
              <w:jc w:val="center"/>
              <w:rPr>
                <w:rFonts w:hint="eastAsia" w:ascii="宋体" w:hAnsi="宋体" w:eastAsia="宋体" w:cs="宋体"/>
                <w:color w:val="auto"/>
                <w:sz w:val="22"/>
                <w:szCs w:val="22"/>
                <w:highlight w:val="none"/>
              </w:rPr>
            </w:pPr>
          </w:p>
        </w:tc>
        <w:tc>
          <w:tcPr>
            <w:tcW w:w="1866" w:type="dxa"/>
            <w:vAlign w:val="center"/>
          </w:tcPr>
          <w:p w14:paraId="5B5B66E6">
            <w:pPr>
              <w:spacing w:line="380" w:lineRule="exact"/>
              <w:jc w:val="center"/>
              <w:rPr>
                <w:rFonts w:hint="eastAsia" w:ascii="宋体" w:hAnsi="宋体" w:eastAsia="宋体" w:cs="宋体"/>
                <w:color w:val="auto"/>
                <w:sz w:val="22"/>
                <w:szCs w:val="22"/>
                <w:highlight w:val="none"/>
              </w:rPr>
            </w:pPr>
          </w:p>
        </w:tc>
        <w:tc>
          <w:tcPr>
            <w:tcW w:w="1592" w:type="dxa"/>
            <w:vAlign w:val="center"/>
          </w:tcPr>
          <w:p w14:paraId="08A7CF9E">
            <w:pPr>
              <w:spacing w:line="380" w:lineRule="exact"/>
              <w:jc w:val="center"/>
              <w:rPr>
                <w:rFonts w:hint="eastAsia" w:ascii="宋体" w:hAnsi="宋体" w:eastAsia="宋体" w:cs="宋体"/>
                <w:color w:val="auto"/>
                <w:sz w:val="22"/>
                <w:szCs w:val="22"/>
                <w:highlight w:val="none"/>
              </w:rPr>
            </w:pPr>
          </w:p>
        </w:tc>
      </w:tr>
      <w:tr w14:paraId="5583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CB4E23F">
            <w:pPr>
              <w:spacing w:line="380" w:lineRule="exact"/>
              <w:jc w:val="center"/>
              <w:rPr>
                <w:rFonts w:hint="eastAsia" w:ascii="宋体" w:hAnsi="宋体" w:eastAsia="宋体" w:cs="宋体"/>
                <w:color w:val="auto"/>
                <w:sz w:val="22"/>
                <w:szCs w:val="22"/>
                <w:highlight w:val="none"/>
              </w:rPr>
            </w:pPr>
          </w:p>
        </w:tc>
        <w:tc>
          <w:tcPr>
            <w:tcW w:w="1364" w:type="dxa"/>
            <w:vAlign w:val="center"/>
          </w:tcPr>
          <w:p w14:paraId="2B4067D4">
            <w:pPr>
              <w:spacing w:line="380" w:lineRule="exact"/>
              <w:jc w:val="center"/>
              <w:rPr>
                <w:rFonts w:hint="eastAsia" w:ascii="宋体" w:hAnsi="宋体" w:eastAsia="宋体" w:cs="宋体"/>
                <w:color w:val="auto"/>
                <w:sz w:val="22"/>
                <w:szCs w:val="22"/>
                <w:highlight w:val="none"/>
              </w:rPr>
            </w:pPr>
          </w:p>
        </w:tc>
        <w:tc>
          <w:tcPr>
            <w:tcW w:w="2097" w:type="dxa"/>
            <w:vAlign w:val="center"/>
          </w:tcPr>
          <w:p w14:paraId="0AF42D2F">
            <w:pPr>
              <w:spacing w:line="380" w:lineRule="exact"/>
              <w:jc w:val="center"/>
              <w:rPr>
                <w:rFonts w:hint="eastAsia" w:ascii="宋体" w:hAnsi="宋体" w:eastAsia="宋体" w:cs="宋体"/>
                <w:color w:val="auto"/>
                <w:sz w:val="22"/>
                <w:szCs w:val="22"/>
                <w:highlight w:val="none"/>
              </w:rPr>
            </w:pPr>
          </w:p>
        </w:tc>
        <w:tc>
          <w:tcPr>
            <w:tcW w:w="1992" w:type="dxa"/>
            <w:vAlign w:val="center"/>
          </w:tcPr>
          <w:p w14:paraId="19E1D0FE">
            <w:pPr>
              <w:spacing w:line="380" w:lineRule="exact"/>
              <w:jc w:val="center"/>
              <w:rPr>
                <w:rFonts w:hint="eastAsia" w:ascii="宋体" w:hAnsi="宋体" w:eastAsia="宋体" w:cs="宋体"/>
                <w:color w:val="auto"/>
                <w:sz w:val="22"/>
                <w:szCs w:val="22"/>
                <w:highlight w:val="none"/>
              </w:rPr>
            </w:pPr>
          </w:p>
        </w:tc>
        <w:tc>
          <w:tcPr>
            <w:tcW w:w="1866" w:type="dxa"/>
            <w:vAlign w:val="center"/>
          </w:tcPr>
          <w:p w14:paraId="53C9EA3A">
            <w:pPr>
              <w:spacing w:line="380" w:lineRule="exact"/>
              <w:jc w:val="center"/>
              <w:rPr>
                <w:rFonts w:hint="eastAsia" w:ascii="宋体" w:hAnsi="宋体" w:eastAsia="宋体" w:cs="宋体"/>
                <w:color w:val="auto"/>
                <w:sz w:val="22"/>
                <w:szCs w:val="22"/>
                <w:highlight w:val="none"/>
              </w:rPr>
            </w:pPr>
          </w:p>
        </w:tc>
        <w:tc>
          <w:tcPr>
            <w:tcW w:w="1592" w:type="dxa"/>
            <w:vAlign w:val="center"/>
          </w:tcPr>
          <w:p w14:paraId="3FBFF291">
            <w:pPr>
              <w:spacing w:line="380" w:lineRule="exact"/>
              <w:jc w:val="center"/>
              <w:rPr>
                <w:rFonts w:hint="eastAsia" w:ascii="宋体" w:hAnsi="宋体" w:eastAsia="宋体" w:cs="宋体"/>
                <w:color w:val="auto"/>
                <w:sz w:val="22"/>
                <w:szCs w:val="22"/>
                <w:highlight w:val="none"/>
              </w:rPr>
            </w:pPr>
          </w:p>
        </w:tc>
      </w:tr>
      <w:tr w14:paraId="4C8C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8A7E112">
            <w:pPr>
              <w:spacing w:line="380" w:lineRule="exact"/>
              <w:jc w:val="center"/>
              <w:rPr>
                <w:rFonts w:hint="eastAsia" w:ascii="宋体" w:hAnsi="宋体" w:eastAsia="宋体" w:cs="宋体"/>
                <w:color w:val="auto"/>
                <w:sz w:val="22"/>
                <w:szCs w:val="22"/>
                <w:highlight w:val="none"/>
              </w:rPr>
            </w:pPr>
          </w:p>
        </w:tc>
        <w:tc>
          <w:tcPr>
            <w:tcW w:w="1364" w:type="dxa"/>
            <w:vAlign w:val="center"/>
          </w:tcPr>
          <w:p w14:paraId="33C41DC2">
            <w:pPr>
              <w:spacing w:line="380" w:lineRule="exact"/>
              <w:jc w:val="center"/>
              <w:rPr>
                <w:rFonts w:hint="eastAsia" w:ascii="宋体" w:hAnsi="宋体" w:eastAsia="宋体" w:cs="宋体"/>
                <w:color w:val="auto"/>
                <w:sz w:val="22"/>
                <w:szCs w:val="22"/>
                <w:highlight w:val="none"/>
              </w:rPr>
            </w:pPr>
          </w:p>
        </w:tc>
        <w:tc>
          <w:tcPr>
            <w:tcW w:w="2097" w:type="dxa"/>
            <w:vAlign w:val="center"/>
          </w:tcPr>
          <w:p w14:paraId="3F1969C6">
            <w:pPr>
              <w:spacing w:line="380" w:lineRule="exact"/>
              <w:jc w:val="center"/>
              <w:rPr>
                <w:rFonts w:hint="eastAsia" w:ascii="宋体" w:hAnsi="宋体" w:eastAsia="宋体" w:cs="宋体"/>
                <w:color w:val="auto"/>
                <w:sz w:val="22"/>
                <w:szCs w:val="22"/>
                <w:highlight w:val="none"/>
              </w:rPr>
            </w:pPr>
          </w:p>
        </w:tc>
        <w:tc>
          <w:tcPr>
            <w:tcW w:w="1992" w:type="dxa"/>
            <w:vAlign w:val="center"/>
          </w:tcPr>
          <w:p w14:paraId="638AEE07">
            <w:pPr>
              <w:spacing w:line="380" w:lineRule="exact"/>
              <w:jc w:val="center"/>
              <w:rPr>
                <w:rFonts w:hint="eastAsia" w:ascii="宋体" w:hAnsi="宋体" w:eastAsia="宋体" w:cs="宋体"/>
                <w:color w:val="auto"/>
                <w:sz w:val="22"/>
                <w:szCs w:val="22"/>
                <w:highlight w:val="none"/>
              </w:rPr>
            </w:pPr>
          </w:p>
        </w:tc>
        <w:tc>
          <w:tcPr>
            <w:tcW w:w="1866" w:type="dxa"/>
            <w:vAlign w:val="center"/>
          </w:tcPr>
          <w:p w14:paraId="5B2FC3BB">
            <w:pPr>
              <w:spacing w:line="380" w:lineRule="exact"/>
              <w:jc w:val="center"/>
              <w:rPr>
                <w:rFonts w:hint="eastAsia" w:ascii="宋体" w:hAnsi="宋体" w:eastAsia="宋体" w:cs="宋体"/>
                <w:color w:val="auto"/>
                <w:sz w:val="22"/>
                <w:szCs w:val="22"/>
                <w:highlight w:val="none"/>
              </w:rPr>
            </w:pPr>
          </w:p>
        </w:tc>
        <w:tc>
          <w:tcPr>
            <w:tcW w:w="1592" w:type="dxa"/>
            <w:vAlign w:val="center"/>
          </w:tcPr>
          <w:p w14:paraId="4EF76774">
            <w:pPr>
              <w:spacing w:line="380" w:lineRule="exact"/>
              <w:jc w:val="center"/>
              <w:rPr>
                <w:rFonts w:hint="eastAsia" w:ascii="宋体" w:hAnsi="宋体" w:eastAsia="宋体" w:cs="宋体"/>
                <w:color w:val="auto"/>
                <w:sz w:val="22"/>
                <w:szCs w:val="22"/>
                <w:highlight w:val="none"/>
              </w:rPr>
            </w:pPr>
          </w:p>
        </w:tc>
      </w:tr>
      <w:tr w14:paraId="1B77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9B65069">
            <w:pPr>
              <w:spacing w:line="380" w:lineRule="exact"/>
              <w:jc w:val="center"/>
              <w:rPr>
                <w:rFonts w:hint="eastAsia" w:ascii="宋体" w:hAnsi="宋体" w:eastAsia="宋体" w:cs="宋体"/>
                <w:color w:val="auto"/>
                <w:sz w:val="22"/>
                <w:szCs w:val="22"/>
                <w:highlight w:val="none"/>
              </w:rPr>
            </w:pPr>
          </w:p>
        </w:tc>
        <w:tc>
          <w:tcPr>
            <w:tcW w:w="1364" w:type="dxa"/>
            <w:vAlign w:val="center"/>
          </w:tcPr>
          <w:p w14:paraId="469DB0A5">
            <w:pPr>
              <w:spacing w:line="380" w:lineRule="exact"/>
              <w:jc w:val="center"/>
              <w:rPr>
                <w:rFonts w:hint="eastAsia" w:ascii="宋体" w:hAnsi="宋体" w:eastAsia="宋体" w:cs="宋体"/>
                <w:color w:val="auto"/>
                <w:sz w:val="22"/>
                <w:szCs w:val="22"/>
                <w:highlight w:val="none"/>
              </w:rPr>
            </w:pPr>
          </w:p>
        </w:tc>
        <w:tc>
          <w:tcPr>
            <w:tcW w:w="2097" w:type="dxa"/>
            <w:vAlign w:val="center"/>
          </w:tcPr>
          <w:p w14:paraId="5B590394">
            <w:pPr>
              <w:spacing w:line="380" w:lineRule="exact"/>
              <w:jc w:val="center"/>
              <w:rPr>
                <w:rFonts w:hint="eastAsia" w:ascii="宋体" w:hAnsi="宋体" w:eastAsia="宋体" w:cs="宋体"/>
                <w:color w:val="auto"/>
                <w:sz w:val="22"/>
                <w:szCs w:val="22"/>
                <w:highlight w:val="none"/>
              </w:rPr>
            </w:pPr>
          </w:p>
        </w:tc>
        <w:tc>
          <w:tcPr>
            <w:tcW w:w="1992" w:type="dxa"/>
            <w:vAlign w:val="center"/>
          </w:tcPr>
          <w:p w14:paraId="53918474">
            <w:pPr>
              <w:spacing w:line="380" w:lineRule="exact"/>
              <w:jc w:val="center"/>
              <w:rPr>
                <w:rFonts w:hint="eastAsia" w:ascii="宋体" w:hAnsi="宋体" w:eastAsia="宋体" w:cs="宋体"/>
                <w:color w:val="auto"/>
                <w:sz w:val="22"/>
                <w:szCs w:val="22"/>
                <w:highlight w:val="none"/>
              </w:rPr>
            </w:pPr>
          </w:p>
        </w:tc>
        <w:tc>
          <w:tcPr>
            <w:tcW w:w="1866" w:type="dxa"/>
            <w:vAlign w:val="center"/>
          </w:tcPr>
          <w:p w14:paraId="0297240D">
            <w:pPr>
              <w:spacing w:line="380" w:lineRule="exact"/>
              <w:jc w:val="center"/>
              <w:rPr>
                <w:rFonts w:hint="eastAsia" w:ascii="宋体" w:hAnsi="宋体" w:eastAsia="宋体" w:cs="宋体"/>
                <w:color w:val="auto"/>
                <w:sz w:val="22"/>
                <w:szCs w:val="22"/>
                <w:highlight w:val="none"/>
              </w:rPr>
            </w:pPr>
          </w:p>
        </w:tc>
        <w:tc>
          <w:tcPr>
            <w:tcW w:w="1592" w:type="dxa"/>
            <w:vAlign w:val="center"/>
          </w:tcPr>
          <w:p w14:paraId="26373A74">
            <w:pPr>
              <w:spacing w:line="380" w:lineRule="exact"/>
              <w:jc w:val="center"/>
              <w:rPr>
                <w:rFonts w:hint="eastAsia" w:ascii="宋体" w:hAnsi="宋体" w:eastAsia="宋体" w:cs="宋体"/>
                <w:color w:val="auto"/>
                <w:sz w:val="22"/>
                <w:szCs w:val="22"/>
                <w:highlight w:val="none"/>
              </w:rPr>
            </w:pPr>
          </w:p>
        </w:tc>
      </w:tr>
      <w:tr w14:paraId="4BBD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AD486BC">
            <w:pPr>
              <w:spacing w:line="380" w:lineRule="exact"/>
              <w:jc w:val="center"/>
              <w:rPr>
                <w:rFonts w:hint="eastAsia" w:ascii="宋体" w:hAnsi="宋体" w:eastAsia="宋体" w:cs="宋体"/>
                <w:color w:val="auto"/>
                <w:sz w:val="22"/>
                <w:szCs w:val="22"/>
                <w:highlight w:val="none"/>
              </w:rPr>
            </w:pPr>
          </w:p>
        </w:tc>
        <w:tc>
          <w:tcPr>
            <w:tcW w:w="1364" w:type="dxa"/>
            <w:vAlign w:val="center"/>
          </w:tcPr>
          <w:p w14:paraId="6B819AA8">
            <w:pPr>
              <w:spacing w:line="380" w:lineRule="exact"/>
              <w:jc w:val="center"/>
              <w:rPr>
                <w:rFonts w:hint="eastAsia" w:ascii="宋体" w:hAnsi="宋体" w:eastAsia="宋体" w:cs="宋体"/>
                <w:color w:val="auto"/>
                <w:sz w:val="22"/>
                <w:szCs w:val="22"/>
                <w:highlight w:val="none"/>
              </w:rPr>
            </w:pPr>
          </w:p>
        </w:tc>
        <w:tc>
          <w:tcPr>
            <w:tcW w:w="2097" w:type="dxa"/>
            <w:vAlign w:val="center"/>
          </w:tcPr>
          <w:p w14:paraId="0A5797F4">
            <w:pPr>
              <w:spacing w:line="380" w:lineRule="exact"/>
              <w:jc w:val="center"/>
              <w:rPr>
                <w:rFonts w:hint="eastAsia" w:ascii="宋体" w:hAnsi="宋体" w:eastAsia="宋体" w:cs="宋体"/>
                <w:color w:val="auto"/>
                <w:sz w:val="22"/>
                <w:szCs w:val="22"/>
                <w:highlight w:val="none"/>
              </w:rPr>
            </w:pPr>
          </w:p>
        </w:tc>
        <w:tc>
          <w:tcPr>
            <w:tcW w:w="1992" w:type="dxa"/>
            <w:vAlign w:val="center"/>
          </w:tcPr>
          <w:p w14:paraId="000BEEDB">
            <w:pPr>
              <w:spacing w:line="380" w:lineRule="exact"/>
              <w:jc w:val="center"/>
              <w:rPr>
                <w:rFonts w:hint="eastAsia" w:ascii="宋体" w:hAnsi="宋体" w:eastAsia="宋体" w:cs="宋体"/>
                <w:color w:val="auto"/>
                <w:sz w:val="22"/>
                <w:szCs w:val="22"/>
                <w:highlight w:val="none"/>
              </w:rPr>
            </w:pPr>
          </w:p>
        </w:tc>
        <w:tc>
          <w:tcPr>
            <w:tcW w:w="1866" w:type="dxa"/>
            <w:vAlign w:val="center"/>
          </w:tcPr>
          <w:p w14:paraId="5A6C9880">
            <w:pPr>
              <w:spacing w:line="380" w:lineRule="exact"/>
              <w:jc w:val="center"/>
              <w:rPr>
                <w:rFonts w:hint="eastAsia" w:ascii="宋体" w:hAnsi="宋体" w:eastAsia="宋体" w:cs="宋体"/>
                <w:color w:val="auto"/>
                <w:sz w:val="22"/>
                <w:szCs w:val="22"/>
                <w:highlight w:val="none"/>
              </w:rPr>
            </w:pPr>
          </w:p>
        </w:tc>
        <w:tc>
          <w:tcPr>
            <w:tcW w:w="1592" w:type="dxa"/>
            <w:vAlign w:val="center"/>
          </w:tcPr>
          <w:p w14:paraId="489ECD82">
            <w:pPr>
              <w:spacing w:line="380" w:lineRule="exact"/>
              <w:jc w:val="center"/>
              <w:rPr>
                <w:rFonts w:hint="eastAsia" w:ascii="宋体" w:hAnsi="宋体" w:eastAsia="宋体" w:cs="宋体"/>
                <w:color w:val="auto"/>
                <w:sz w:val="22"/>
                <w:szCs w:val="22"/>
                <w:highlight w:val="none"/>
              </w:rPr>
            </w:pPr>
          </w:p>
        </w:tc>
      </w:tr>
    </w:tbl>
    <w:p w14:paraId="3B7BBE9B">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highlight w:val="none"/>
        </w:rPr>
        <w:t>不填写此表视为完全响应磋商文件内容。</w:t>
      </w:r>
    </w:p>
    <w:p w14:paraId="556756EC">
      <w:pPr>
        <w:spacing w:line="380" w:lineRule="exact"/>
        <w:ind w:firstLine="4417" w:firstLineChars="2000"/>
        <w:rPr>
          <w:rFonts w:hint="eastAsia" w:ascii="宋体" w:hAnsi="宋体" w:eastAsia="宋体" w:cs="宋体"/>
          <w:b/>
          <w:color w:val="auto"/>
          <w:sz w:val="22"/>
          <w:szCs w:val="22"/>
          <w:highlight w:val="none"/>
        </w:rPr>
      </w:pPr>
    </w:p>
    <w:p w14:paraId="65CFCC1D">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6F81ED8D">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722B2C89">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3FD97BA">
      <w:pPr>
        <w:spacing w:line="460" w:lineRule="exact"/>
        <w:rPr>
          <w:rFonts w:hint="eastAsia" w:ascii="宋体" w:hAnsi="宋体" w:eastAsia="宋体" w:cs="宋体"/>
          <w:b/>
          <w:color w:val="auto"/>
          <w:sz w:val="22"/>
          <w:szCs w:val="22"/>
          <w:highlight w:val="none"/>
        </w:rPr>
      </w:pPr>
      <w:r>
        <w:rPr>
          <w:rFonts w:hint="eastAsia" w:ascii="宋体" w:hAnsi="宋体" w:eastAsia="宋体" w:cs="宋体"/>
          <w:color w:val="auto"/>
          <w:highlight w:val="none"/>
        </w:rPr>
        <w:br w:type="page"/>
      </w:r>
    </w:p>
    <w:p w14:paraId="2006ECE3">
      <w:pPr>
        <w:rPr>
          <w:rFonts w:hint="eastAsia" w:ascii="宋体" w:hAnsi="宋体" w:eastAsia="宋体" w:cs="宋体"/>
          <w:b/>
          <w:bCs/>
          <w:color w:val="auto"/>
          <w:highlight w:val="none"/>
          <w:lang w:val="en-US" w:eastAsia="zh-CN"/>
        </w:rPr>
      </w:pPr>
      <w:r>
        <w:rPr>
          <w:rFonts w:hint="eastAsia" w:ascii="宋体" w:hAnsi="宋体" w:eastAsia="宋体" w:cs="宋体"/>
          <w:b/>
          <w:bCs/>
          <w:color w:val="auto"/>
          <w:sz w:val="22"/>
          <w:szCs w:val="22"/>
          <w:highlight w:val="none"/>
        </w:rPr>
        <w:t>附件五</w:t>
      </w:r>
    </w:p>
    <w:p w14:paraId="44EF68A1">
      <w:pPr>
        <w:pStyle w:val="49"/>
        <w:rPr>
          <w:rFonts w:hint="eastAsia" w:ascii="宋体" w:hAnsi="宋体" w:eastAsia="宋体" w:cs="宋体"/>
          <w:color w:val="auto"/>
          <w:highlight w:val="none"/>
        </w:rPr>
      </w:pPr>
    </w:p>
    <w:p w14:paraId="1CDA28DF">
      <w:pPr>
        <w:pStyle w:val="4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"mailto:（开评标阶段填写，并邮件发送至Yxgcxmgl@126.com邮箱）" </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rPr>
        <w:t>（开评标阶段填写，并邮件发送至</w:t>
      </w:r>
      <w:r>
        <w:rPr>
          <w:rStyle w:val="47"/>
          <w:rFonts w:hint="eastAsia" w:ascii="宋体" w:hAnsi="宋体" w:cs="宋体"/>
          <w:color w:val="auto"/>
          <w:highlight w:val="none"/>
          <w:lang w:eastAsia="zh-CN"/>
        </w:rPr>
        <w:t>1620818539@qq.com</w:t>
      </w:r>
      <w:r>
        <w:rPr>
          <w:rStyle w:val="47"/>
          <w:rFonts w:hint="eastAsia" w:ascii="宋体" w:hAnsi="宋体" w:eastAsia="宋体" w:cs="宋体"/>
          <w:color w:val="auto"/>
          <w:highlight w:val="none"/>
        </w:rPr>
        <w:t>邮箱）</w:t>
      </w:r>
      <w:r>
        <w:rPr>
          <w:rStyle w:val="47"/>
          <w:rFonts w:hint="eastAsia" w:ascii="宋体" w:hAnsi="宋体" w:eastAsia="宋体" w:cs="宋体"/>
          <w:color w:val="auto"/>
          <w:highlight w:val="none"/>
        </w:rPr>
        <w:fldChar w:fldCharType="end"/>
      </w:r>
    </w:p>
    <w:p w14:paraId="6194066C">
      <w:pPr>
        <w:pStyle w:val="49"/>
        <w:rPr>
          <w:rFonts w:hint="eastAsia" w:ascii="宋体" w:hAnsi="宋体" w:eastAsia="宋体" w:cs="宋体"/>
          <w:color w:val="auto"/>
          <w:highlight w:val="none"/>
        </w:rPr>
      </w:pPr>
    </w:p>
    <w:p w14:paraId="2384C5D0">
      <w:pPr>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采购活动现场确认声明书</w:t>
      </w:r>
    </w:p>
    <w:p w14:paraId="7F6DE8A1">
      <w:pPr>
        <w:tabs>
          <w:tab w:val="left" w:pos="795"/>
          <w:tab w:val="center" w:pos="4873"/>
        </w:tabs>
        <w:overflowPunct w:val="0"/>
        <w:spacing w:line="460" w:lineRule="exact"/>
        <w:ind w:firstLine="118" w:firstLineChars="49"/>
        <w:jc w:val="left"/>
        <w:rPr>
          <w:rFonts w:hint="eastAsia" w:ascii="宋体" w:hAnsi="宋体" w:eastAsia="宋体" w:cs="宋体"/>
          <w:b/>
          <w:bCs/>
          <w:color w:val="auto"/>
          <w:sz w:val="24"/>
          <w:highlight w:val="none"/>
        </w:rPr>
      </w:pPr>
    </w:p>
    <w:p w14:paraId="7117594E">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温州市公安局瓯海区分局</w:t>
      </w:r>
      <w:r>
        <w:rPr>
          <w:rFonts w:hint="eastAsia" w:ascii="宋体" w:hAnsi="宋体" w:eastAsia="宋体" w:cs="宋体"/>
          <w:b/>
          <w:color w:val="auto"/>
          <w:spacing w:val="6"/>
          <w:sz w:val="22"/>
          <w:szCs w:val="22"/>
          <w:highlight w:val="none"/>
        </w:rPr>
        <w:t>：</w:t>
      </w:r>
    </w:p>
    <w:p w14:paraId="63DD24CB">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温州众鑫招标代理有限公司</w:t>
      </w:r>
      <w:r>
        <w:rPr>
          <w:rFonts w:hint="eastAsia" w:ascii="宋体" w:hAnsi="宋体" w:eastAsia="宋体" w:cs="宋体"/>
          <w:b/>
          <w:color w:val="auto"/>
          <w:kern w:val="0"/>
          <w:sz w:val="22"/>
          <w:szCs w:val="22"/>
          <w:highlight w:val="none"/>
        </w:rPr>
        <w:t>：</w:t>
      </w:r>
    </w:p>
    <w:p w14:paraId="54223BDA">
      <w:pPr>
        <w:pStyle w:val="208"/>
        <w:widowControl w:val="0"/>
        <w:snapToGrid w:val="0"/>
        <w:spacing w:line="440" w:lineRule="exact"/>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pacing w:val="6"/>
          <w:sz w:val="22"/>
          <w:szCs w:val="22"/>
          <w:highlight w:val="none"/>
        </w:rPr>
        <w:t xml:space="preserve">项目（编号：）采购活动，经与本单位法人代表（负责人）联系确认，现就有关公平竞争事项郑重声明如下： </w:t>
      </w:r>
    </w:p>
    <w:p w14:paraId="6C5A31D2">
      <w:pPr>
        <w:pStyle w:val="157"/>
        <w:widowControl/>
        <w:numPr>
          <w:ilvl w:val="0"/>
          <w:numId w:val="39"/>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598BE801">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3040885C">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7A4B26C0">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1776127E">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2E7ACF96">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1CB58CAF">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3DDD4D53">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124E51F3">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54F31903">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6225B894">
      <w:pPr>
        <w:pStyle w:val="208"/>
        <w:widowControl w:val="0"/>
        <w:snapToGrid w:val="0"/>
        <w:spacing w:line="440" w:lineRule="exact"/>
        <w:jc w:val="both"/>
        <w:outlineLvl w:val="0"/>
        <w:rPr>
          <w:rFonts w:hint="eastAsia" w:ascii="宋体" w:hAnsi="宋体" w:eastAsia="宋体" w:cs="宋体"/>
          <w:color w:val="auto"/>
          <w:kern w:val="0"/>
          <w:sz w:val="22"/>
          <w:szCs w:val="22"/>
          <w:highlight w:val="none"/>
        </w:rPr>
      </w:pPr>
      <w:bookmarkStart w:id="222" w:name="_Toc17819"/>
      <w:bookmarkStart w:id="223" w:name="_Toc63"/>
      <w:r>
        <w:rPr>
          <w:rFonts w:hint="eastAsia" w:ascii="宋体" w:hAnsi="宋体" w:eastAsia="宋体" w:cs="宋体"/>
          <w:color w:val="auto"/>
          <w:kern w:val="0"/>
          <w:sz w:val="22"/>
          <w:szCs w:val="22"/>
          <w:highlight w:val="none"/>
        </w:rPr>
        <w:t>G.存在共同直接或间接投资设立子公司、联营企业和合营企业情况</w:t>
      </w:r>
      <w:bookmarkEnd w:id="222"/>
      <w:bookmarkEnd w:id="223"/>
    </w:p>
    <w:p w14:paraId="5A8E4627">
      <w:pPr>
        <w:pStyle w:val="208"/>
        <w:widowControl w:val="0"/>
        <w:snapToGrid w:val="0"/>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51EB7718">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1C4AD081">
      <w:pPr>
        <w:pStyle w:val="157"/>
        <w:widowControl/>
        <w:numPr>
          <w:ilvl w:val="0"/>
          <w:numId w:val="40"/>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严格遵守采购法律法规和现场纪律。</w:t>
      </w:r>
    </w:p>
    <w:p w14:paraId="3A4D01BA">
      <w:pPr>
        <w:pStyle w:val="157"/>
        <w:widowControl/>
        <w:numPr>
          <w:ilvl w:val="0"/>
          <w:numId w:val="40"/>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我发现供应商之间存在或可能存在上述第二条第项利害关系。</w:t>
      </w:r>
    </w:p>
    <w:p w14:paraId="01B240CE">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p>
    <w:p w14:paraId="5CF4E716">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供应商代表签名：</w:t>
      </w:r>
    </w:p>
    <w:p w14:paraId="35D8DB99">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63DA37A2">
      <w:pPr>
        <w:spacing w:line="440" w:lineRule="exact"/>
        <w:ind w:left="439" w:leftChars="209"/>
        <w:rPr>
          <w:rFonts w:hint="eastAsia" w:ascii="宋体" w:hAnsi="宋体" w:eastAsia="宋体" w:cs="宋体"/>
          <w:color w:val="auto"/>
          <w:sz w:val="22"/>
          <w:szCs w:val="22"/>
          <w:highlight w:val="none"/>
        </w:rPr>
      </w:pPr>
    </w:p>
    <w:sectPr>
      <w:headerReference r:id="rId10" w:type="defaul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A3FD">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790CD">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53790CD">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3BB7">
    <w:pPr>
      <w:pStyle w:val="26"/>
      <w:tabs>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5FA644">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605FA644">
                    <w:pPr>
                      <w:pStyle w:val="26"/>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9E31B4">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C9E31B4">
                    <w:pPr>
                      <w:pStyle w:val="2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DA80">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083D1B">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9083D1B">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4F4A">
    <w:pPr>
      <w:pStyle w:val="26"/>
      <w:framePr w:wrap="around" w:vAnchor="text" w:hAnchor="margin" w:xAlign="center" w:y="1"/>
      <w:pBdr>
        <w:bottom w:val="single" w:color="auto" w:sz="6" w:space="3"/>
      </w:pBdr>
      <w:rPr>
        <w:rStyle w:val="44"/>
      </w:rPr>
    </w:pPr>
    <w:r>
      <w:rPr>
        <w:rStyle w:val="44"/>
      </w:rPr>
      <w:fldChar w:fldCharType="begin"/>
    </w:r>
    <w:r>
      <w:rPr>
        <w:rStyle w:val="44"/>
      </w:rPr>
      <w:instrText xml:space="preserve">PAGE  </w:instrText>
    </w:r>
    <w:r>
      <w:rPr>
        <w:rStyle w:val="44"/>
      </w:rPr>
      <w:fldChar w:fldCharType="end"/>
    </w:r>
  </w:p>
  <w:p w14:paraId="690844E3">
    <w:pPr>
      <w:pStyle w:val="26"/>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90FB">
    <w:pPr>
      <w:pStyle w:val="26"/>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6EC300">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546EC300">
                    <w:pPr>
                      <w:pStyle w:val="2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73AE16">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C73AE16">
                    <w:pPr>
                      <w:pStyle w:val="2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5808">
    <w:pPr>
      <w:pStyle w:val="2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EFAFE1">
                          <w:pPr>
                            <w:pStyle w:val="2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BEFAFE1">
                    <w:pPr>
                      <w:pStyle w:val="2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35D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A106">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EB9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9E46C32E"/>
    <w:multiLevelType w:val="singleLevel"/>
    <w:tmpl w:val="9E46C32E"/>
    <w:lvl w:ilvl="0" w:tentative="0">
      <w:start w:val="1"/>
      <w:numFmt w:val="decimal"/>
      <w:lvlText w:val="%1)"/>
      <w:lvlJc w:val="left"/>
      <w:pPr>
        <w:ind w:left="425" w:hanging="425"/>
      </w:pPr>
      <w:rPr>
        <w:rFonts w:hint="default"/>
      </w:rPr>
    </w:lvl>
  </w:abstractNum>
  <w:abstractNum w:abstractNumId="5">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6">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7">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9">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1">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2">
    <w:nsid w:val="E375F72A"/>
    <w:multiLevelType w:val="singleLevel"/>
    <w:tmpl w:val="E375F72A"/>
    <w:lvl w:ilvl="0" w:tentative="0">
      <w:start w:val="1"/>
      <w:numFmt w:val="decimal"/>
      <w:lvlText w:val="(%1)"/>
      <w:lvlJc w:val="left"/>
      <w:pPr>
        <w:ind w:left="425" w:hanging="425"/>
      </w:pPr>
      <w:rPr>
        <w:rFonts w:hint="default"/>
      </w:rPr>
    </w:lvl>
  </w:abstractNum>
  <w:abstractNum w:abstractNumId="13">
    <w:nsid w:val="F90281EB"/>
    <w:multiLevelType w:val="singleLevel"/>
    <w:tmpl w:val="F90281EB"/>
    <w:lvl w:ilvl="0" w:tentative="0">
      <w:start w:val="3"/>
      <w:numFmt w:val="chineseCounting"/>
      <w:suff w:val="nothing"/>
      <w:lvlText w:val="%1．"/>
      <w:lvlJc w:val="left"/>
      <w:rPr>
        <w:rFonts w:hint="eastAsia"/>
      </w:rPr>
    </w:lvl>
  </w:abstractNum>
  <w:abstractNum w:abstractNumId="14">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5">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E"/>
    <w:multiLevelType w:val="multilevel"/>
    <w:tmpl w:val="0000001E"/>
    <w:lvl w:ilvl="0" w:tentative="0">
      <w:start w:val="1"/>
      <w:numFmt w:val="chineseCounting"/>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9">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85EDAC4"/>
    <w:multiLevelType w:val="singleLevel"/>
    <w:tmpl w:val="085EDAC4"/>
    <w:lvl w:ilvl="0" w:tentative="0">
      <w:start w:val="1"/>
      <w:numFmt w:val="decimal"/>
      <w:lvlText w:val="(%1)"/>
      <w:lvlJc w:val="left"/>
      <w:pPr>
        <w:ind w:left="425" w:hanging="425"/>
      </w:pPr>
      <w:rPr>
        <w:rFonts w:hint="default"/>
      </w:rPr>
    </w:lvl>
  </w:abstractNum>
  <w:abstractNum w:abstractNumId="21">
    <w:nsid w:val="0D03D146"/>
    <w:multiLevelType w:val="singleLevel"/>
    <w:tmpl w:val="0D03D146"/>
    <w:lvl w:ilvl="0" w:tentative="0">
      <w:start w:val="1"/>
      <w:numFmt w:val="decimal"/>
      <w:lvlText w:val="%1."/>
      <w:lvlJc w:val="left"/>
      <w:pPr>
        <w:ind w:left="425" w:hanging="425"/>
      </w:pPr>
      <w:rPr>
        <w:rFonts w:hint="default"/>
      </w:rPr>
    </w:lvl>
  </w:abstractNum>
  <w:abstractNum w:abstractNumId="22">
    <w:nsid w:val="16410696"/>
    <w:multiLevelType w:val="singleLevel"/>
    <w:tmpl w:val="16410696"/>
    <w:lvl w:ilvl="0" w:tentative="0">
      <w:start w:val="1"/>
      <w:numFmt w:val="decimal"/>
      <w:suff w:val="nothing"/>
      <w:lvlText w:val="%1）"/>
      <w:lvlJc w:val="left"/>
    </w:lvl>
  </w:abstractNum>
  <w:abstractNum w:abstractNumId="23">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4">
    <w:nsid w:val="1DAD1D94"/>
    <w:multiLevelType w:val="singleLevel"/>
    <w:tmpl w:val="1DAD1D94"/>
    <w:lvl w:ilvl="0" w:tentative="0">
      <w:start w:val="1"/>
      <w:numFmt w:val="decimal"/>
      <w:lvlText w:val="(%1)"/>
      <w:lvlJc w:val="left"/>
      <w:pPr>
        <w:ind w:left="425" w:hanging="425"/>
      </w:pPr>
      <w:rPr>
        <w:rFonts w:hint="default"/>
      </w:rPr>
    </w:lvl>
  </w:abstractNum>
  <w:abstractNum w:abstractNumId="25">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6">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7">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9">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0">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1">
    <w:nsid w:val="3F31A2EA"/>
    <w:multiLevelType w:val="singleLevel"/>
    <w:tmpl w:val="3F31A2EA"/>
    <w:lvl w:ilvl="0" w:tentative="0">
      <w:start w:val="1"/>
      <w:numFmt w:val="decimal"/>
      <w:lvlText w:val="%1."/>
      <w:lvlJc w:val="left"/>
      <w:pPr>
        <w:ind w:left="425" w:hanging="425"/>
      </w:pPr>
      <w:rPr>
        <w:rFonts w:hint="default"/>
      </w:rPr>
    </w:lvl>
  </w:abstractNum>
  <w:abstractNum w:abstractNumId="32">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3">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4">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54F403B5"/>
    <w:multiLevelType w:val="singleLevel"/>
    <w:tmpl w:val="54F403B5"/>
    <w:lvl w:ilvl="0" w:tentative="0">
      <w:start w:val="1"/>
      <w:numFmt w:val="chineseCounting"/>
      <w:suff w:val="nothing"/>
      <w:lvlText w:val="%1、"/>
      <w:lvlJc w:val="left"/>
      <w:rPr>
        <w:rFonts w:cs="Times New Roman"/>
      </w:rPr>
    </w:lvl>
  </w:abstractNum>
  <w:abstractNum w:abstractNumId="36">
    <w:nsid w:val="557FD3DA"/>
    <w:multiLevelType w:val="singleLevel"/>
    <w:tmpl w:val="557FD3DA"/>
    <w:lvl w:ilvl="0" w:tentative="0">
      <w:start w:val="3"/>
      <w:numFmt w:val="chineseCounting"/>
      <w:suff w:val="nothing"/>
      <w:lvlText w:val="%1、"/>
      <w:lvlJc w:val="left"/>
      <w:rPr>
        <w:rFonts w:cs="Times New Roman"/>
      </w:rPr>
    </w:lvl>
  </w:abstractNum>
  <w:abstractNum w:abstractNumId="37">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8">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39">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2"/>
  </w:num>
  <w:num w:numId="2">
    <w:abstractNumId w:val="8"/>
  </w:num>
  <w:num w:numId="3">
    <w:abstractNumId w:val="23"/>
  </w:num>
  <w:num w:numId="4">
    <w:abstractNumId w:val="14"/>
  </w:num>
  <w:num w:numId="5">
    <w:abstractNumId w:val="31"/>
  </w:num>
  <w:num w:numId="6">
    <w:abstractNumId w:val="4"/>
  </w:num>
  <w:num w:numId="7">
    <w:abstractNumId w:val="28"/>
  </w:num>
  <w:num w:numId="8">
    <w:abstractNumId w:val="1"/>
  </w:num>
  <w:num w:numId="9">
    <w:abstractNumId w:val="18"/>
  </w:num>
  <w:num w:numId="10">
    <w:abstractNumId w:val="25"/>
  </w:num>
  <w:num w:numId="11">
    <w:abstractNumId w:val="32"/>
  </w:num>
  <w:num w:numId="12">
    <w:abstractNumId w:val="7"/>
  </w:num>
  <w:num w:numId="13">
    <w:abstractNumId w:val="3"/>
  </w:num>
  <w:num w:numId="14">
    <w:abstractNumId w:val="6"/>
  </w:num>
  <w:num w:numId="15">
    <w:abstractNumId w:val="39"/>
  </w:num>
  <w:num w:numId="16">
    <w:abstractNumId w:val="37"/>
  </w:num>
  <w:num w:numId="17">
    <w:abstractNumId w:val="10"/>
  </w:num>
  <w:num w:numId="18">
    <w:abstractNumId w:val="17"/>
  </w:num>
  <w:num w:numId="19">
    <w:abstractNumId w:val="26"/>
  </w:num>
  <w:num w:numId="20">
    <w:abstractNumId w:val="30"/>
  </w:num>
  <w:num w:numId="21">
    <w:abstractNumId w:val="29"/>
  </w:num>
  <w:num w:numId="22">
    <w:abstractNumId w:val="9"/>
  </w:num>
  <w:num w:numId="23">
    <w:abstractNumId w:val="11"/>
  </w:num>
  <w:num w:numId="24">
    <w:abstractNumId w:val="0"/>
  </w:num>
  <w:num w:numId="25">
    <w:abstractNumId w:val="5"/>
  </w:num>
  <w:num w:numId="26">
    <w:abstractNumId w:val="15"/>
  </w:num>
  <w:num w:numId="27">
    <w:abstractNumId w:val="20"/>
  </w:num>
  <w:num w:numId="28">
    <w:abstractNumId w:val="24"/>
  </w:num>
  <w:num w:numId="29">
    <w:abstractNumId w:val="12"/>
  </w:num>
  <w:num w:numId="30">
    <w:abstractNumId w:val="27"/>
  </w:num>
  <w:num w:numId="31">
    <w:abstractNumId w:val="22"/>
  </w:num>
  <w:num w:numId="32">
    <w:abstractNumId w:val="19"/>
  </w:num>
  <w:num w:numId="33">
    <w:abstractNumId w:val="16"/>
  </w:num>
  <w:num w:numId="34">
    <w:abstractNumId w:val="13"/>
  </w:num>
  <w:num w:numId="35">
    <w:abstractNumId w:val="38"/>
  </w:num>
  <w:num w:numId="36">
    <w:abstractNumId w:val="33"/>
  </w:num>
  <w:num w:numId="37">
    <w:abstractNumId w:val="21"/>
  </w:num>
  <w:num w:numId="38">
    <w:abstractNumId w:val="34"/>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cwYWMxNDc0YjRjN2UxZDk1NTg4ZWEwNTIzZDU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1D6B"/>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94A"/>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393961"/>
    <w:rsid w:val="015B4B78"/>
    <w:rsid w:val="01895F66"/>
    <w:rsid w:val="020D5122"/>
    <w:rsid w:val="02BF77F6"/>
    <w:rsid w:val="03224562"/>
    <w:rsid w:val="03764359"/>
    <w:rsid w:val="0492610D"/>
    <w:rsid w:val="04D669EA"/>
    <w:rsid w:val="04EA0C0C"/>
    <w:rsid w:val="0534503D"/>
    <w:rsid w:val="05512E39"/>
    <w:rsid w:val="065C2940"/>
    <w:rsid w:val="084A21A0"/>
    <w:rsid w:val="088017D6"/>
    <w:rsid w:val="097874D0"/>
    <w:rsid w:val="099202DD"/>
    <w:rsid w:val="09AF57E4"/>
    <w:rsid w:val="0A892E48"/>
    <w:rsid w:val="0AB063A2"/>
    <w:rsid w:val="0B646560"/>
    <w:rsid w:val="0B7A42BB"/>
    <w:rsid w:val="0B8F7B7E"/>
    <w:rsid w:val="0BA537DB"/>
    <w:rsid w:val="0BB562B0"/>
    <w:rsid w:val="0BDF12EB"/>
    <w:rsid w:val="0BF369BD"/>
    <w:rsid w:val="0C2D6852"/>
    <w:rsid w:val="0D260BD2"/>
    <w:rsid w:val="0D3560FD"/>
    <w:rsid w:val="0D36166F"/>
    <w:rsid w:val="0D5C73B4"/>
    <w:rsid w:val="0D6F5208"/>
    <w:rsid w:val="0D7B118C"/>
    <w:rsid w:val="0DC3593C"/>
    <w:rsid w:val="0DCC5CE7"/>
    <w:rsid w:val="0DE77A82"/>
    <w:rsid w:val="0F17333D"/>
    <w:rsid w:val="100F100C"/>
    <w:rsid w:val="11026FCE"/>
    <w:rsid w:val="11227514"/>
    <w:rsid w:val="11AB3E0C"/>
    <w:rsid w:val="12CC2248"/>
    <w:rsid w:val="1332046B"/>
    <w:rsid w:val="138C6520"/>
    <w:rsid w:val="13EB12D4"/>
    <w:rsid w:val="142457BE"/>
    <w:rsid w:val="142F5989"/>
    <w:rsid w:val="143E4A1F"/>
    <w:rsid w:val="14885E31"/>
    <w:rsid w:val="15033B58"/>
    <w:rsid w:val="154C21F4"/>
    <w:rsid w:val="15C34AB0"/>
    <w:rsid w:val="162946D6"/>
    <w:rsid w:val="16566776"/>
    <w:rsid w:val="16926AAC"/>
    <w:rsid w:val="169B5C26"/>
    <w:rsid w:val="16CB6F17"/>
    <w:rsid w:val="16F70EB5"/>
    <w:rsid w:val="17587224"/>
    <w:rsid w:val="18090E9B"/>
    <w:rsid w:val="1840063A"/>
    <w:rsid w:val="18622AE5"/>
    <w:rsid w:val="18794099"/>
    <w:rsid w:val="187E113A"/>
    <w:rsid w:val="190B0C48"/>
    <w:rsid w:val="19397FF3"/>
    <w:rsid w:val="19A024BA"/>
    <w:rsid w:val="19B1055A"/>
    <w:rsid w:val="19FF2151"/>
    <w:rsid w:val="1BD8246D"/>
    <w:rsid w:val="1CB93F8E"/>
    <w:rsid w:val="1CF26999"/>
    <w:rsid w:val="1D0736B3"/>
    <w:rsid w:val="1D0870FF"/>
    <w:rsid w:val="1D303373"/>
    <w:rsid w:val="1D666D95"/>
    <w:rsid w:val="1D725541"/>
    <w:rsid w:val="1D892180"/>
    <w:rsid w:val="1E024F05"/>
    <w:rsid w:val="1E57588B"/>
    <w:rsid w:val="1E890F8D"/>
    <w:rsid w:val="1EDE428E"/>
    <w:rsid w:val="206D58F6"/>
    <w:rsid w:val="20E9446D"/>
    <w:rsid w:val="217A4BBD"/>
    <w:rsid w:val="2198293B"/>
    <w:rsid w:val="21FB0BD1"/>
    <w:rsid w:val="22D84291"/>
    <w:rsid w:val="22F97705"/>
    <w:rsid w:val="230B288A"/>
    <w:rsid w:val="234F1140"/>
    <w:rsid w:val="23D51490"/>
    <w:rsid w:val="23EB67CD"/>
    <w:rsid w:val="24594F5D"/>
    <w:rsid w:val="24806868"/>
    <w:rsid w:val="24AF2F3B"/>
    <w:rsid w:val="25137802"/>
    <w:rsid w:val="2543028D"/>
    <w:rsid w:val="257302A1"/>
    <w:rsid w:val="261B679F"/>
    <w:rsid w:val="26706F3A"/>
    <w:rsid w:val="26C541EC"/>
    <w:rsid w:val="27007912"/>
    <w:rsid w:val="279D6630"/>
    <w:rsid w:val="27B9477D"/>
    <w:rsid w:val="27CA7114"/>
    <w:rsid w:val="284F430E"/>
    <w:rsid w:val="285D7665"/>
    <w:rsid w:val="28C40D70"/>
    <w:rsid w:val="28F44236"/>
    <w:rsid w:val="29704EF3"/>
    <w:rsid w:val="2A0F7564"/>
    <w:rsid w:val="2A324C7A"/>
    <w:rsid w:val="2B425F3A"/>
    <w:rsid w:val="2B5B377E"/>
    <w:rsid w:val="2CE6709D"/>
    <w:rsid w:val="2D136F42"/>
    <w:rsid w:val="2DC04DC4"/>
    <w:rsid w:val="2DDB2D72"/>
    <w:rsid w:val="2DEE4968"/>
    <w:rsid w:val="2E0B6A2C"/>
    <w:rsid w:val="2E752B6F"/>
    <w:rsid w:val="2EF00F5D"/>
    <w:rsid w:val="2EF93A12"/>
    <w:rsid w:val="2FC46D1B"/>
    <w:rsid w:val="3077469A"/>
    <w:rsid w:val="30F015EC"/>
    <w:rsid w:val="30F86F89"/>
    <w:rsid w:val="31D02811"/>
    <w:rsid w:val="33574AE3"/>
    <w:rsid w:val="336E44D6"/>
    <w:rsid w:val="337819C3"/>
    <w:rsid w:val="33AA0605"/>
    <w:rsid w:val="33B73A4E"/>
    <w:rsid w:val="33D91C17"/>
    <w:rsid w:val="34542C62"/>
    <w:rsid w:val="34F913A8"/>
    <w:rsid w:val="35021C06"/>
    <w:rsid w:val="350360CB"/>
    <w:rsid w:val="35AE7CB6"/>
    <w:rsid w:val="37165D79"/>
    <w:rsid w:val="37782338"/>
    <w:rsid w:val="37B3277F"/>
    <w:rsid w:val="37BE0AC6"/>
    <w:rsid w:val="37FD7471"/>
    <w:rsid w:val="385126F9"/>
    <w:rsid w:val="38560221"/>
    <w:rsid w:val="386D2F02"/>
    <w:rsid w:val="39170C14"/>
    <w:rsid w:val="391B07C5"/>
    <w:rsid w:val="3920138C"/>
    <w:rsid w:val="392D6CD6"/>
    <w:rsid w:val="39EE09DF"/>
    <w:rsid w:val="39FF3530"/>
    <w:rsid w:val="3A01440B"/>
    <w:rsid w:val="3A0C491E"/>
    <w:rsid w:val="3A125E82"/>
    <w:rsid w:val="3A2D2688"/>
    <w:rsid w:val="3B527932"/>
    <w:rsid w:val="3BFE60F6"/>
    <w:rsid w:val="3C1B31B8"/>
    <w:rsid w:val="3C3771B0"/>
    <w:rsid w:val="3C63394E"/>
    <w:rsid w:val="3C790E1A"/>
    <w:rsid w:val="3C917995"/>
    <w:rsid w:val="3D0B10C1"/>
    <w:rsid w:val="3D4C1A5C"/>
    <w:rsid w:val="3D684196"/>
    <w:rsid w:val="3DAD7C7A"/>
    <w:rsid w:val="3EC314F9"/>
    <w:rsid w:val="3EDB5BC6"/>
    <w:rsid w:val="3F240869"/>
    <w:rsid w:val="3F3278E9"/>
    <w:rsid w:val="3F52B841"/>
    <w:rsid w:val="3F747F01"/>
    <w:rsid w:val="3FF2288E"/>
    <w:rsid w:val="40E662B4"/>
    <w:rsid w:val="41183185"/>
    <w:rsid w:val="41193F15"/>
    <w:rsid w:val="419550CE"/>
    <w:rsid w:val="41970A1B"/>
    <w:rsid w:val="42FB4821"/>
    <w:rsid w:val="42FC095A"/>
    <w:rsid w:val="436D789E"/>
    <w:rsid w:val="43A531A4"/>
    <w:rsid w:val="43B902C2"/>
    <w:rsid w:val="44263669"/>
    <w:rsid w:val="44941F60"/>
    <w:rsid w:val="44B049A7"/>
    <w:rsid w:val="44D37FBC"/>
    <w:rsid w:val="44FB4C6B"/>
    <w:rsid w:val="450C4F8D"/>
    <w:rsid w:val="451B0EA1"/>
    <w:rsid w:val="46453482"/>
    <w:rsid w:val="47246AB2"/>
    <w:rsid w:val="47D75F11"/>
    <w:rsid w:val="47E32E6D"/>
    <w:rsid w:val="47FA4000"/>
    <w:rsid w:val="48046EB6"/>
    <w:rsid w:val="482D261C"/>
    <w:rsid w:val="484D31A3"/>
    <w:rsid w:val="486125A1"/>
    <w:rsid w:val="48645885"/>
    <w:rsid w:val="48712728"/>
    <w:rsid w:val="487338BA"/>
    <w:rsid w:val="48B541CA"/>
    <w:rsid w:val="48BF5427"/>
    <w:rsid w:val="48F83300"/>
    <w:rsid w:val="492B486B"/>
    <w:rsid w:val="496D4E83"/>
    <w:rsid w:val="49FA418A"/>
    <w:rsid w:val="4A701D33"/>
    <w:rsid w:val="4AC640FD"/>
    <w:rsid w:val="4B5A58D3"/>
    <w:rsid w:val="4BA6642B"/>
    <w:rsid w:val="4BE739E7"/>
    <w:rsid w:val="4C1D5AF9"/>
    <w:rsid w:val="4C9D46BB"/>
    <w:rsid w:val="4CB26740"/>
    <w:rsid w:val="4D9E627F"/>
    <w:rsid w:val="4DA50D3A"/>
    <w:rsid w:val="4DE2750C"/>
    <w:rsid w:val="4DEE56A0"/>
    <w:rsid w:val="4E4E354A"/>
    <w:rsid w:val="4EC516E5"/>
    <w:rsid w:val="4F17091F"/>
    <w:rsid w:val="4FD15CD0"/>
    <w:rsid w:val="50813E2F"/>
    <w:rsid w:val="50F542B0"/>
    <w:rsid w:val="519B69F0"/>
    <w:rsid w:val="51B80C88"/>
    <w:rsid w:val="526B0313"/>
    <w:rsid w:val="52786122"/>
    <w:rsid w:val="531D720B"/>
    <w:rsid w:val="534C4DB4"/>
    <w:rsid w:val="54286D5D"/>
    <w:rsid w:val="545637E7"/>
    <w:rsid w:val="54772706"/>
    <w:rsid w:val="54B716A8"/>
    <w:rsid w:val="54D30958"/>
    <w:rsid w:val="55143072"/>
    <w:rsid w:val="55463C75"/>
    <w:rsid w:val="557E7766"/>
    <w:rsid w:val="558D642E"/>
    <w:rsid w:val="56F15200"/>
    <w:rsid w:val="57413FAD"/>
    <w:rsid w:val="57703E94"/>
    <w:rsid w:val="578B4A84"/>
    <w:rsid w:val="57FF7420"/>
    <w:rsid w:val="58272F15"/>
    <w:rsid w:val="58C167C5"/>
    <w:rsid w:val="58DF1FDF"/>
    <w:rsid w:val="594569CA"/>
    <w:rsid w:val="5AA8059F"/>
    <w:rsid w:val="5B557D55"/>
    <w:rsid w:val="5B6003E2"/>
    <w:rsid w:val="5B750E7A"/>
    <w:rsid w:val="5BB4249E"/>
    <w:rsid w:val="5BC8639F"/>
    <w:rsid w:val="5C4117ED"/>
    <w:rsid w:val="5CC27B24"/>
    <w:rsid w:val="5D323FC2"/>
    <w:rsid w:val="5D7A32B5"/>
    <w:rsid w:val="5DAA543E"/>
    <w:rsid w:val="5DBB8477"/>
    <w:rsid w:val="5E4C4CB3"/>
    <w:rsid w:val="5F831B82"/>
    <w:rsid w:val="60220F9D"/>
    <w:rsid w:val="606A3C7F"/>
    <w:rsid w:val="60DF7FBD"/>
    <w:rsid w:val="60F03E6D"/>
    <w:rsid w:val="61185045"/>
    <w:rsid w:val="61650A05"/>
    <w:rsid w:val="61CC515B"/>
    <w:rsid w:val="620A1069"/>
    <w:rsid w:val="62D553E4"/>
    <w:rsid w:val="62FA0CB4"/>
    <w:rsid w:val="633E321C"/>
    <w:rsid w:val="63FC6ABA"/>
    <w:rsid w:val="64514C47"/>
    <w:rsid w:val="64E637B9"/>
    <w:rsid w:val="6597224E"/>
    <w:rsid w:val="659B57A1"/>
    <w:rsid w:val="65A76A5B"/>
    <w:rsid w:val="66B53EAE"/>
    <w:rsid w:val="66CC3986"/>
    <w:rsid w:val="66E63727"/>
    <w:rsid w:val="674C5C80"/>
    <w:rsid w:val="67F435FA"/>
    <w:rsid w:val="681532E8"/>
    <w:rsid w:val="685777EC"/>
    <w:rsid w:val="68701274"/>
    <w:rsid w:val="68822FFC"/>
    <w:rsid w:val="68825A9D"/>
    <w:rsid w:val="68860FA4"/>
    <w:rsid w:val="68A42935"/>
    <w:rsid w:val="68CE57DD"/>
    <w:rsid w:val="69123E71"/>
    <w:rsid w:val="6951617B"/>
    <w:rsid w:val="69573FF2"/>
    <w:rsid w:val="69995FF8"/>
    <w:rsid w:val="6AE663EC"/>
    <w:rsid w:val="6AEB57B0"/>
    <w:rsid w:val="6B2525D8"/>
    <w:rsid w:val="6B5B0211"/>
    <w:rsid w:val="6B772ACF"/>
    <w:rsid w:val="6B7D68C3"/>
    <w:rsid w:val="6BBC1467"/>
    <w:rsid w:val="6BF03187"/>
    <w:rsid w:val="6C186B77"/>
    <w:rsid w:val="6CC1237E"/>
    <w:rsid w:val="6DE2733E"/>
    <w:rsid w:val="6E487833"/>
    <w:rsid w:val="6E5A3632"/>
    <w:rsid w:val="6E8068C3"/>
    <w:rsid w:val="6EAD3CE2"/>
    <w:rsid w:val="6EB949BE"/>
    <w:rsid w:val="6EBF7937"/>
    <w:rsid w:val="6EE92E8B"/>
    <w:rsid w:val="6FBB6EE8"/>
    <w:rsid w:val="700C2ABE"/>
    <w:rsid w:val="703B5E57"/>
    <w:rsid w:val="707B0E1A"/>
    <w:rsid w:val="70967F6C"/>
    <w:rsid w:val="70F20D77"/>
    <w:rsid w:val="710217B4"/>
    <w:rsid w:val="710245F7"/>
    <w:rsid w:val="717858A7"/>
    <w:rsid w:val="720B4EB8"/>
    <w:rsid w:val="722F5D7F"/>
    <w:rsid w:val="7232674A"/>
    <w:rsid w:val="73133C64"/>
    <w:rsid w:val="73353A6C"/>
    <w:rsid w:val="73901301"/>
    <w:rsid w:val="740675EF"/>
    <w:rsid w:val="75DC67F6"/>
    <w:rsid w:val="770F7A02"/>
    <w:rsid w:val="77CA4A84"/>
    <w:rsid w:val="77EFEA0F"/>
    <w:rsid w:val="77F03B44"/>
    <w:rsid w:val="782D11B6"/>
    <w:rsid w:val="78B239AC"/>
    <w:rsid w:val="79120D48"/>
    <w:rsid w:val="79347971"/>
    <w:rsid w:val="798818F8"/>
    <w:rsid w:val="7A3A405E"/>
    <w:rsid w:val="7A800A82"/>
    <w:rsid w:val="7B4A2424"/>
    <w:rsid w:val="7B5454F0"/>
    <w:rsid w:val="7B5E5967"/>
    <w:rsid w:val="7B685B22"/>
    <w:rsid w:val="7C961A20"/>
    <w:rsid w:val="7D5A0C9F"/>
    <w:rsid w:val="7E7A6C73"/>
    <w:rsid w:val="7EB855E3"/>
    <w:rsid w:val="7F583DE0"/>
    <w:rsid w:val="AFEB873E"/>
    <w:rsid w:val="EAE953D4"/>
    <w:rsid w:val="FFCD5D9E"/>
    <w:rsid w:val="FFF0C548"/>
    <w:rsid w:val="FFFB9A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9"/>
    <w:pPr>
      <w:keepNext/>
      <w:jc w:val="center"/>
      <w:outlineLvl w:val="0"/>
    </w:pPr>
    <w:rPr>
      <w:rFonts w:ascii="楷体_GB2312" w:eastAsia="楷体_GB2312"/>
      <w:b/>
      <w:bCs/>
    </w:rPr>
  </w:style>
  <w:style w:type="paragraph" w:styleId="4">
    <w:name w:val="heading 2"/>
    <w:basedOn w:val="1"/>
    <w:next w:val="1"/>
    <w:link w:val="51"/>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5">
    <w:name w:val="heading 3"/>
    <w:basedOn w:val="1"/>
    <w:next w:val="1"/>
    <w:link w:val="52"/>
    <w:qFormat/>
    <w:uiPriority w:val="99"/>
    <w:pPr>
      <w:keepNext/>
      <w:keepLines/>
      <w:spacing w:before="260" w:after="260" w:line="416" w:lineRule="auto"/>
      <w:outlineLvl w:val="2"/>
    </w:pPr>
    <w:rPr>
      <w:rFonts w:eastAsia="等线"/>
      <w:b/>
      <w:bCs/>
      <w:sz w:val="32"/>
      <w:szCs w:val="32"/>
    </w:rPr>
  </w:style>
  <w:style w:type="paragraph" w:styleId="6">
    <w:name w:val="heading 4"/>
    <w:basedOn w:val="1"/>
    <w:next w:val="1"/>
    <w:link w:val="53"/>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2"/>
    <w:link w:val="55"/>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2"/>
    <w:link w:val="56"/>
    <w:qFormat/>
    <w:uiPriority w:val="99"/>
    <w:pPr>
      <w:keepNext/>
      <w:keepLines/>
      <w:spacing w:before="240" w:after="64" w:line="317" w:lineRule="auto"/>
      <w:outlineLvl w:val="6"/>
    </w:pPr>
    <w:rPr>
      <w:b/>
      <w:sz w:val="24"/>
      <w:szCs w:val="20"/>
    </w:rPr>
  </w:style>
  <w:style w:type="paragraph" w:styleId="10">
    <w:name w:val="heading 8"/>
    <w:basedOn w:val="1"/>
    <w:next w:val="2"/>
    <w:link w:val="57"/>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2"/>
    <w:link w:val="58"/>
    <w:qFormat/>
    <w:uiPriority w:val="99"/>
    <w:pPr>
      <w:keepNext/>
      <w:keepLines/>
      <w:spacing w:before="240" w:after="64" w:line="317"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3"/>
    <w:qFormat/>
    <w:uiPriority w:val="99"/>
    <w:pPr>
      <w:adjustRightInd w:val="0"/>
      <w:spacing w:line="312" w:lineRule="atLeast"/>
      <w:ind w:firstLine="420"/>
      <w:textAlignment w:val="baseline"/>
    </w:pPr>
    <w:rPr>
      <w:kern w:val="0"/>
      <w:szCs w:val="20"/>
    </w:rPr>
  </w:style>
  <w:style w:type="paragraph" w:styleId="12">
    <w:name w:val="List Number"/>
    <w:basedOn w:val="1"/>
    <w:qFormat/>
    <w:uiPriority w:val="99"/>
    <w:pPr>
      <w:tabs>
        <w:tab w:val="left" w:pos="360"/>
      </w:tabs>
      <w:ind w:left="360" w:hanging="360"/>
      <w:contextualSpacing/>
    </w:pPr>
  </w:style>
  <w:style w:type="paragraph" w:styleId="13">
    <w:name w:val="caption"/>
    <w:basedOn w:val="1"/>
    <w:next w:val="1"/>
    <w:qFormat/>
    <w:uiPriority w:val="0"/>
    <w:pPr>
      <w:autoSpaceDE w:val="0"/>
      <w:autoSpaceDN w:val="0"/>
      <w:adjustRightInd w:val="0"/>
      <w:jc w:val="left"/>
    </w:pPr>
    <w:rPr>
      <w:rFonts w:ascii="Arial" w:hAnsi="Arial" w:eastAsia="黑体"/>
      <w:kern w:val="0"/>
      <w:sz w:val="20"/>
      <w:szCs w:val="20"/>
    </w:rPr>
  </w:style>
  <w:style w:type="paragraph" w:styleId="14">
    <w:name w:val="Document Map"/>
    <w:basedOn w:val="1"/>
    <w:link w:val="61"/>
    <w:qFormat/>
    <w:uiPriority w:val="99"/>
    <w:pPr>
      <w:shd w:val="clear" w:color="auto" w:fill="000080"/>
    </w:pPr>
  </w:style>
  <w:style w:type="paragraph" w:styleId="15">
    <w:name w:val="annotation text"/>
    <w:basedOn w:val="1"/>
    <w:link w:val="62"/>
    <w:qFormat/>
    <w:uiPriority w:val="0"/>
    <w:pPr>
      <w:jc w:val="left"/>
    </w:pPr>
  </w:style>
  <w:style w:type="paragraph" w:styleId="16">
    <w:name w:val="Body Text"/>
    <w:basedOn w:val="1"/>
    <w:link w:val="59"/>
    <w:qFormat/>
    <w:uiPriority w:val="99"/>
    <w:pPr>
      <w:spacing w:after="120"/>
    </w:pPr>
    <w:rPr>
      <w:rFonts w:eastAsia="等线"/>
    </w:rPr>
  </w:style>
  <w:style w:type="paragraph" w:styleId="17">
    <w:name w:val="Body Text Indent"/>
    <w:basedOn w:val="1"/>
    <w:next w:val="2"/>
    <w:link w:val="63"/>
    <w:qFormat/>
    <w:uiPriority w:val="99"/>
    <w:pPr>
      <w:ind w:left="480" w:hanging="480" w:hangingChars="200"/>
    </w:pPr>
    <w:rPr>
      <w:sz w:val="24"/>
    </w:rPr>
  </w:style>
  <w:style w:type="paragraph" w:styleId="18">
    <w:name w:val="List 2"/>
    <w:basedOn w:val="1"/>
    <w:qFormat/>
    <w:uiPriority w:val="99"/>
    <w:pPr>
      <w:ind w:left="100" w:leftChars="200" w:hanging="200" w:hangingChars="200"/>
    </w:pPr>
  </w:style>
  <w:style w:type="paragraph" w:styleId="19">
    <w:name w:val="Block Text"/>
    <w:basedOn w:val="1"/>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0">
    <w:name w:val="toc 3"/>
    <w:basedOn w:val="1"/>
    <w:next w:val="1"/>
    <w:semiHidden/>
    <w:qFormat/>
    <w:uiPriority w:val="99"/>
    <w:pPr>
      <w:ind w:left="840" w:leftChars="400"/>
    </w:pPr>
  </w:style>
  <w:style w:type="paragraph" w:styleId="21">
    <w:name w:val="Plain Text"/>
    <w:basedOn w:val="1"/>
    <w:next w:val="22"/>
    <w:link w:val="64"/>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2">
    <w:name w:val="toc 2"/>
    <w:basedOn w:val="1"/>
    <w:next w:val="1"/>
    <w:qFormat/>
    <w:uiPriority w:val="99"/>
    <w:pPr>
      <w:ind w:left="420" w:leftChars="200"/>
    </w:pPr>
  </w:style>
  <w:style w:type="paragraph" w:styleId="23">
    <w:name w:val="Date"/>
    <w:basedOn w:val="1"/>
    <w:next w:val="1"/>
    <w:link w:val="65"/>
    <w:qFormat/>
    <w:uiPriority w:val="99"/>
    <w:pPr>
      <w:ind w:left="100" w:leftChars="2500"/>
    </w:pPr>
  </w:style>
  <w:style w:type="paragraph" w:styleId="24">
    <w:name w:val="Body Text Indent 2"/>
    <w:basedOn w:val="1"/>
    <w:link w:val="66"/>
    <w:qFormat/>
    <w:uiPriority w:val="99"/>
    <w:pPr>
      <w:spacing w:line="500" w:lineRule="exact"/>
      <w:ind w:firstLine="511" w:firstLineChars="213"/>
    </w:pPr>
    <w:rPr>
      <w:sz w:val="24"/>
    </w:rPr>
  </w:style>
  <w:style w:type="paragraph" w:styleId="25">
    <w:name w:val="Balloon Text"/>
    <w:basedOn w:val="1"/>
    <w:link w:val="67"/>
    <w:semiHidden/>
    <w:qFormat/>
    <w:uiPriority w:val="99"/>
    <w:rPr>
      <w:sz w:val="18"/>
      <w:szCs w:val="18"/>
    </w:rPr>
  </w:style>
  <w:style w:type="paragraph" w:styleId="26">
    <w:name w:val="footer"/>
    <w:basedOn w:val="1"/>
    <w:link w:val="68"/>
    <w:qFormat/>
    <w:uiPriority w:val="99"/>
    <w:pPr>
      <w:tabs>
        <w:tab w:val="center" w:pos="4153"/>
        <w:tab w:val="right" w:pos="8306"/>
      </w:tabs>
      <w:snapToGrid w:val="0"/>
      <w:jc w:val="left"/>
    </w:pPr>
    <w:rPr>
      <w:rFonts w:eastAsia="等线"/>
      <w:sz w:val="18"/>
      <w:szCs w:val="18"/>
    </w:rPr>
  </w:style>
  <w:style w:type="paragraph" w:styleId="27">
    <w:name w:val="header"/>
    <w:basedOn w:val="1"/>
    <w:link w:val="138"/>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28">
    <w:name w:val="toc 1"/>
    <w:basedOn w:val="1"/>
    <w:next w:val="1"/>
    <w:qFormat/>
    <w:uiPriority w:val="99"/>
    <w:pPr>
      <w:tabs>
        <w:tab w:val="right" w:leader="dot" w:pos="9628"/>
      </w:tabs>
      <w:spacing w:line="480" w:lineRule="auto"/>
    </w:pPr>
    <w:rPr>
      <w:rFonts w:ascii="Arial" w:hAnsi="Arial" w:eastAsia="新宋体" w:cs="Arial"/>
      <w:bCs/>
      <w:sz w:val="24"/>
    </w:rPr>
  </w:style>
  <w:style w:type="paragraph" w:styleId="29">
    <w:name w:val="Subtitle"/>
    <w:basedOn w:val="1"/>
    <w:next w:val="1"/>
    <w:link w:val="70"/>
    <w:qFormat/>
    <w:uiPriority w:val="99"/>
    <w:pPr>
      <w:spacing w:before="240" w:after="60" w:line="312" w:lineRule="auto"/>
      <w:jc w:val="center"/>
      <w:outlineLvl w:val="1"/>
    </w:pPr>
    <w:rPr>
      <w:rFonts w:ascii="Cambria" w:hAnsi="Cambria" w:cs="黑体"/>
      <w:b/>
      <w:bCs/>
      <w:kern w:val="28"/>
      <w:sz w:val="32"/>
      <w:szCs w:val="32"/>
    </w:rPr>
  </w:style>
  <w:style w:type="paragraph" w:styleId="30">
    <w:name w:val="List"/>
    <w:basedOn w:val="1"/>
    <w:qFormat/>
    <w:uiPriority w:val="99"/>
    <w:pPr>
      <w:ind w:left="200" w:hanging="200" w:hangingChars="200"/>
    </w:pPr>
    <w:rPr>
      <w:sz w:val="28"/>
    </w:rPr>
  </w:style>
  <w:style w:type="paragraph" w:styleId="31">
    <w:name w:val="toc 6"/>
    <w:basedOn w:val="1"/>
    <w:next w:val="1"/>
    <w:qFormat/>
    <w:uiPriority w:val="39"/>
    <w:pPr>
      <w:ind w:left="1050"/>
    </w:pPr>
    <w:rPr>
      <w:sz w:val="18"/>
    </w:rPr>
  </w:style>
  <w:style w:type="paragraph" w:styleId="32">
    <w:name w:val="Body Text Indent 3"/>
    <w:basedOn w:val="1"/>
    <w:link w:val="71"/>
    <w:qFormat/>
    <w:uiPriority w:val="99"/>
    <w:pPr>
      <w:spacing w:line="500" w:lineRule="exact"/>
      <w:ind w:left="511" w:hanging="511" w:hangingChars="213"/>
    </w:pPr>
    <w:rPr>
      <w:sz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72"/>
    <w:qFormat/>
    <w:uiPriority w:val="99"/>
    <w:pPr>
      <w:spacing w:before="240" w:after="60"/>
      <w:jc w:val="center"/>
      <w:outlineLvl w:val="0"/>
    </w:pPr>
    <w:rPr>
      <w:rFonts w:ascii="Cambria" w:hAnsi="Cambria"/>
      <w:b/>
      <w:bCs/>
      <w:sz w:val="32"/>
      <w:szCs w:val="32"/>
    </w:rPr>
  </w:style>
  <w:style w:type="paragraph" w:styleId="35">
    <w:name w:val="annotation subject"/>
    <w:basedOn w:val="15"/>
    <w:next w:val="15"/>
    <w:link w:val="73"/>
    <w:semiHidden/>
    <w:qFormat/>
    <w:uiPriority w:val="99"/>
    <w:rPr>
      <w:b/>
      <w:bCs/>
    </w:rPr>
  </w:style>
  <w:style w:type="paragraph" w:styleId="36">
    <w:name w:val="Body Text First Indent"/>
    <w:basedOn w:val="16"/>
    <w:next w:val="31"/>
    <w:link w:val="60"/>
    <w:qFormat/>
    <w:uiPriority w:val="99"/>
    <w:pPr>
      <w:ind w:firstLine="420" w:firstLineChars="100"/>
    </w:pPr>
  </w:style>
  <w:style w:type="paragraph" w:styleId="37">
    <w:name w:val="Body Text First Indent 2"/>
    <w:basedOn w:val="17"/>
    <w:next w:val="38"/>
    <w:link w:val="74"/>
    <w:qFormat/>
    <w:uiPriority w:val="99"/>
    <w:pPr>
      <w:spacing w:after="120"/>
      <w:ind w:left="420" w:leftChars="200" w:firstLine="420" w:firstLineChars="200"/>
    </w:pPr>
    <w:rPr>
      <w:sz w:val="21"/>
    </w:rPr>
  </w:style>
  <w:style w:type="paragraph" w:customStyle="1" w:styleId="3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Professional"/>
    <w:basedOn w:val="39"/>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3">
    <w:name w:val="Strong"/>
    <w:basedOn w:val="42"/>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basedOn w:val="42"/>
    <w:qFormat/>
    <w:uiPriority w:val="99"/>
    <w:rPr>
      <w:rFonts w:cs="Times New Roman"/>
      <w:color w:val="800080"/>
      <w:u w:val="single"/>
    </w:rPr>
  </w:style>
  <w:style w:type="character" w:styleId="46">
    <w:name w:val="Emphasis"/>
    <w:basedOn w:val="42"/>
    <w:qFormat/>
    <w:uiPriority w:val="99"/>
    <w:rPr>
      <w:rFonts w:cs="Times New Roman"/>
      <w:i/>
    </w:rPr>
  </w:style>
  <w:style w:type="character" w:styleId="47">
    <w:name w:val="Hyperlink"/>
    <w:basedOn w:val="42"/>
    <w:qFormat/>
    <w:uiPriority w:val="99"/>
    <w:rPr>
      <w:rFonts w:cs="Times New Roman"/>
      <w:color w:val="000000"/>
      <w:sz w:val="20"/>
      <w:u w:val="none"/>
    </w:rPr>
  </w:style>
  <w:style w:type="character" w:styleId="48">
    <w:name w:val="annotation reference"/>
    <w:basedOn w:val="42"/>
    <w:semiHidden/>
    <w:qFormat/>
    <w:uiPriority w:val="99"/>
    <w:rPr>
      <w:rFonts w:cs="Times New Roman"/>
      <w:sz w:val="21"/>
    </w:rPr>
  </w:style>
  <w:style w:type="paragraph" w:customStyle="1" w:styleId="4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
    <w:name w:val="标题 1 Char2"/>
    <w:basedOn w:val="42"/>
    <w:link w:val="3"/>
    <w:qFormat/>
    <w:locked/>
    <w:uiPriority w:val="99"/>
    <w:rPr>
      <w:rFonts w:ascii="楷体_GB2312" w:eastAsia="楷体_GB2312" w:cs="Times New Roman"/>
      <w:b/>
      <w:kern w:val="2"/>
      <w:sz w:val="24"/>
    </w:rPr>
  </w:style>
  <w:style w:type="character" w:customStyle="1" w:styleId="51">
    <w:name w:val="标题 2 Char1"/>
    <w:basedOn w:val="42"/>
    <w:link w:val="4"/>
    <w:qFormat/>
    <w:locked/>
    <w:uiPriority w:val="99"/>
    <w:rPr>
      <w:rFonts w:eastAsia="黑体" w:cs="Times New Roman"/>
      <w:b/>
      <w:sz w:val="32"/>
    </w:rPr>
  </w:style>
  <w:style w:type="character" w:customStyle="1" w:styleId="52">
    <w:name w:val="标题 3 Char2"/>
    <w:basedOn w:val="42"/>
    <w:link w:val="5"/>
    <w:qFormat/>
    <w:locked/>
    <w:uiPriority w:val="99"/>
    <w:rPr>
      <w:rFonts w:cs="Times New Roman"/>
      <w:b/>
      <w:kern w:val="2"/>
      <w:sz w:val="32"/>
    </w:rPr>
  </w:style>
  <w:style w:type="character" w:customStyle="1" w:styleId="53">
    <w:name w:val="标题 4 Char2"/>
    <w:basedOn w:val="42"/>
    <w:link w:val="6"/>
    <w:semiHidden/>
    <w:qFormat/>
    <w:locked/>
    <w:uiPriority w:val="99"/>
    <w:rPr>
      <w:rFonts w:ascii="Cambria" w:hAnsi="Cambria" w:eastAsia="宋体" w:cs="Times New Roman"/>
      <w:b/>
      <w:kern w:val="2"/>
      <w:sz w:val="28"/>
    </w:rPr>
  </w:style>
  <w:style w:type="character" w:customStyle="1" w:styleId="54">
    <w:name w:val="标题 5 Char"/>
    <w:basedOn w:val="42"/>
    <w:link w:val="7"/>
    <w:qFormat/>
    <w:locked/>
    <w:uiPriority w:val="99"/>
    <w:rPr>
      <w:rFonts w:cs="Times New Roman"/>
      <w:b/>
      <w:bCs/>
      <w:kern w:val="2"/>
      <w:sz w:val="28"/>
      <w:szCs w:val="28"/>
    </w:rPr>
  </w:style>
  <w:style w:type="character" w:customStyle="1" w:styleId="55">
    <w:name w:val="标题 6 Char"/>
    <w:basedOn w:val="42"/>
    <w:link w:val="8"/>
    <w:qFormat/>
    <w:locked/>
    <w:uiPriority w:val="99"/>
    <w:rPr>
      <w:rFonts w:ascii="Arial" w:hAnsi="Arial" w:eastAsia="黑体" w:cs="Times New Roman"/>
      <w:b/>
      <w:kern w:val="2"/>
      <w:sz w:val="24"/>
    </w:rPr>
  </w:style>
  <w:style w:type="character" w:customStyle="1" w:styleId="56">
    <w:name w:val="标题 7 Char"/>
    <w:basedOn w:val="42"/>
    <w:link w:val="9"/>
    <w:qFormat/>
    <w:locked/>
    <w:uiPriority w:val="99"/>
    <w:rPr>
      <w:rFonts w:cs="Times New Roman"/>
      <w:b/>
      <w:kern w:val="2"/>
      <w:sz w:val="24"/>
    </w:rPr>
  </w:style>
  <w:style w:type="character" w:customStyle="1" w:styleId="57">
    <w:name w:val="标题 8 Char"/>
    <w:basedOn w:val="42"/>
    <w:link w:val="10"/>
    <w:qFormat/>
    <w:locked/>
    <w:uiPriority w:val="99"/>
    <w:rPr>
      <w:rFonts w:ascii="Arial" w:hAnsi="Arial" w:eastAsia="黑体" w:cs="Times New Roman"/>
      <w:kern w:val="2"/>
      <w:sz w:val="24"/>
    </w:rPr>
  </w:style>
  <w:style w:type="character" w:customStyle="1" w:styleId="58">
    <w:name w:val="标题 9 Char"/>
    <w:basedOn w:val="42"/>
    <w:link w:val="11"/>
    <w:qFormat/>
    <w:locked/>
    <w:uiPriority w:val="99"/>
    <w:rPr>
      <w:rFonts w:ascii="Arial" w:hAnsi="Arial" w:eastAsia="黑体" w:cs="Times New Roman"/>
      <w:kern w:val="2"/>
      <w:sz w:val="21"/>
    </w:rPr>
  </w:style>
  <w:style w:type="character" w:customStyle="1" w:styleId="59">
    <w:name w:val="正文文本 Char2"/>
    <w:basedOn w:val="42"/>
    <w:link w:val="16"/>
    <w:qFormat/>
    <w:locked/>
    <w:uiPriority w:val="99"/>
    <w:rPr>
      <w:rFonts w:cs="Times New Roman"/>
      <w:kern w:val="2"/>
      <w:sz w:val="24"/>
    </w:rPr>
  </w:style>
  <w:style w:type="character" w:customStyle="1" w:styleId="60">
    <w:name w:val="正文首行缩进 Char"/>
    <w:basedOn w:val="59"/>
    <w:link w:val="36"/>
    <w:qFormat/>
    <w:locked/>
    <w:uiPriority w:val="99"/>
    <w:rPr>
      <w:rFonts w:cs="Times New Roman"/>
      <w:kern w:val="2"/>
      <w:sz w:val="24"/>
      <w:szCs w:val="24"/>
    </w:rPr>
  </w:style>
  <w:style w:type="character" w:customStyle="1" w:styleId="61">
    <w:name w:val="文档结构图 Char1"/>
    <w:basedOn w:val="42"/>
    <w:link w:val="14"/>
    <w:qFormat/>
    <w:locked/>
    <w:uiPriority w:val="99"/>
    <w:rPr>
      <w:rFonts w:cs="Times New Roman"/>
      <w:kern w:val="2"/>
      <w:sz w:val="24"/>
      <w:szCs w:val="24"/>
      <w:shd w:val="clear" w:color="auto" w:fill="000080"/>
    </w:rPr>
  </w:style>
  <w:style w:type="character" w:customStyle="1" w:styleId="62">
    <w:name w:val="批注文字 Char2"/>
    <w:basedOn w:val="42"/>
    <w:link w:val="15"/>
    <w:semiHidden/>
    <w:qFormat/>
    <w:locked/>
    <w:uiPriority w:val="99"/>
    <w:rPr>
      <w:rFonts w:cs="Times New Roman"/>
      <w:kern w:val="2"/>
      <w:sz w:val="24"/>
      <w:szCs w:val="24"/>
    </w:rPr>
  </w:style>
  <w:style w:type="character" w:customStyle="1" w:styleId="63">
    <w:name w:val="正文文本缩进 Char1"/>
    <w:basedOn w:val="42"/>
    <w:link w:val="17"/>
    <w:qFormat/>
    <w:locked/>
    <w:uiPriority w:val="99"/>
    <w:rPr>
      <w:rFonts w:cs="Times New Roman"/>
      <w:kern w:val="2"/>
      <w:sz w:val="24"/>
      <w:szCs w:val="24"/>
    </w:rPr>
  </w:style>
  <w:style w:type="character" w:customStyle="1" w:styleId="64">
    <w:name w:val="纯文本 Char2"/>
    <w:basedOn w:val="42"/>
    <w:link w:val="21"/>
    <w:qFormat/>
    <w:locked/>
    <w:uiPriority w:val="99"/>
    <w:rPr>
      <w:rFonts w:ascii="宋体" w:hAnsi="Courier New" w:eastAsia="宋体" w:cs="Times New Roman"/>
      <w:sz w:val="21"/>
      <w:lang w:val="en-US" w:eastAsia="zh-CN"/>
    </w:rPr>
  </w:style>
  <w:style w:type="character" w:customStyle="1" w:styleId="65">
    <w:name w:val="日期 Char1"/>
    <w:basedOn w:val="42"/>
    <w:link w:val="23"/>
    <w:qFormat/>
    <w:locked/>
    <w:uiPriority w:val="99"/>
    <w:rPr>
      <w:rFonts w:cs="Times New Roman"/>
      <w:kern w:val="2"/>
      <w:sz w:val="24"/>
      <w:szCs w:val="24"/>
    </w:rPr>
  </w:style>
  <w:style w:type="character" w:customStyle="1" w:styleId="66">
    <w:name w:val="正文文本缩进 2 Char1"/>
    <w:basedOn w:val="42"/>
    <w:link w:val="24"/>
    <w:qFormat/>
    <w:locked/>
    <w:uiPriority w:val="99"/>
    <w:rPr>
      <w:rFonts w:cs="Times New Roman"/>
      <w:kern w:val="2"/>
      <w:sz w:val="24"/>
      <w:szCs w:val="24"/>
    </w:rPr>
  </w:style>
  <w:style w:type="character" w:customStyle="1" w:styleId="67">
    <w:name w:val="批注框文本 Char1"/>
    <w:basedOn w:val="42"/>
    <w:link w:val="25"/>
    <w:semiHidden/>
    <w:qFormat/>
    <w:locked/>
    <w:uiPriority w:val="99"/>
    <w:rPr>
      <w:rFonts w:cs="Times New Roman"/>
      <w:kern w:val="2"/>
      <w:sz w:val="18"/>
      <w:szCs w:val="18"/>
    </w:rPr>
  </w:style>
  <w:style w:type="character" w:customStyle="1" w:styleId="68">
    <w:name w:val="页脚 Char2"/>
    <w:basedOn w:val="42"/>
    <w:link w:val="26"/>
    <w:qFormat/>
    <w:locked/>
    <w:uiPriority w:val="99"/>
    <w:rPr>
      <w:rFonts w:cs="Times New Roman"/>
      <w:kern w:val="2"/>
      <w:sz w:val="18"/>
    </w:rPr>
  </w:style>
  <w:style w:type="character" w:customStyle="1" w:styleId="69">
    <w:name w:val="Header Char"/>
    <w:basedOn w:val="42"/>
    <w:qFormat/>
    <w:locked/>
    <w:uiPriority w:val="99"/>
    <w:rPr>
      <w:rFonts w:cs="Times New Roman"/>
      <w:sz w:val="18"/>
    </w:rPr>
  </w:style>
  <w:style w:type="character" w:customStyle="1" w:styleId="70">
    <w:name w:val="副标题 Char1"/>
    <w:basedOn w:val="42"/>
    <w:link w:val="29"/>
    <w:qFormat/>
    <w:locked/>
    <w:uiPriority w:val="99"/>
    <w:rPr>
      <w:rFonts w:ascii="Cambria" w:hAnsi="Cambria" w:cs="黑体"/>
      <w:b/>
      <w:bCs/>
      <w:kern w:val="28"/>
      <w:sz w:val="32"/>
      <w:szCs w:val="32"/>
    </w:rPr>
  </w:style>
  <w:style w:type="character" w:customStyle="1" w:styleId="71">
    <w:name w:val="正文文本缩进 3 Char1"/>
    <w:basedOn w:val="42"/>
    <w:link w:val="32"/>
    <w:qFormat/>
    <w:locked/>
    <w:uiPriority w:val="99"/>
    <w:rPr>
      <w:rFonts w:cs="Times New Roman"/>
      <w:kern w:val="2"/>
      <w:sz w:val="24"/>
      <w:szCs w:val="24"/>
    </w:rPr>
  </w:style>
  <w:style w:type="character" w:customStyle="1" w:styleId="72">
    <w:name w:val="标题 Char1"/>
    <w:basedOn w:val="42"/>
    <w:link w:val="34"/>
    <w:qFormat/>
    <w:locked/>
    <w:uiPriority w:val="99"/>
    <w:rPr>
      <w:rFonts w:ascii="Cambria" w:hAnsi="Cambria" w:cs="Times New Roman"/>
      <w:b/>
      <w:bCs/>
      <w:kern w:val="2"/>
      <w:sz w:val="32"/>
      <w:szCs w:val="32"/>
    </w:rPr>
  </w:style>
  <w:style w:type="character" w:customStyle="1" w:styleId="73">
    <w:name w:val="批注主题 Char1"/>
    <w:basedOn w:val="62"/>
    <w:link w:val="35"/>
    <w:semiHidden/>
    <w:qFormat/>
    <w:locked/>
    <w:uiPriority w:val="99"/>
    <w:rPr>
      <w:rFonts w:cs="Times New Roman"/>
      <w:b/>
      <w:bCs/>
      <w:kern w:val="2"/>
      <w:sz w:val="24"/>
      <w:szCs w:val="24"/>
    </w:rPr>
  </w:style>
  <w:style w:type="character" w:customStyle="1" w:styleId="74">
    <w:name w:val="正文首行缩进 2 Char"/>
    <w:basedOn w:val="63"/>
    <w:link w:val="37"/>
    <w:semiHidden/>
    <w:qFormat/>
    <w:locked/>
    <w:uiPriority w:val="99"/>
    <w:rPr>
      <w:rFonts w:eastAsia="宋体" w:cs="Times New Roman"/>
      <w:kern w:val="2"/>
      <w:sz w:val="24"/>
      <w:szCs w:val="24"/>
    </w:rPr>
  </w:style>
  <w:style w:type="character" w:customStyle="1" w:styleId="75">
    <w:name w:val="标题 4 Char1"/>
    <w:basedOn w:val="42"/>
    <w:qFormat/>
    <w:uiPriority w:val="99"/>
    <w:rPr>
      <w:rFonts w:ascii="Times New Roman" w:hAnsi="Times New Roman" w:eastAsia="宋体" w:cs="Times New Roman"/>
      <w:sz w:val="20"/>
      <w:szCs w:val="20"/>
    </w:rPr>
  </w:style>
  <w:style w:type="character" w:customStyle="1" w:styleId="76">
    <w:name w:val="文档结构图 Char"/>
    <w:qFormat/>
    <w:uiPriority w:val="99"/>
    <w:rPr>
      <w:rFonts w:ascii="宋体" w:hAnsi="Times New Roman" w:eastAsia="宋体"/>
      <w:sz w:val="18"/>
    </w:rPr>
  </w:style>
  <w:style w:type="character" w:customStyle="1" w:styleId="77">
    <w:name w:val="列出段落 Char"/>
    <w:qFormat/>
    <w:uiPriority w:val="99"/>
    <w:rPr>
      <w:rFonts w:ascii="Times New Roman" w:hAnsi="Times New Roman" w:eastAsia="宋体"/>
      <w:sz w:val="20"/>
    </w:rPr>
  </w:style>
  <w:style w:type="character" w:customStyle="1" w:styleId="78">
    <w:name w:val="标题 9 Char1"/>
    <w:basedOn w:val="42"/>
    <w:qFormat/>
    <w:uiPriority w:val="99"/>
    <w:rPr>
      <w:rFonts w:ascii="Arial" w:hAnsi="Arial" w:eastAsia="黑体" w:cs="Times New Roman"/>
      <w:sz w:val="21"/>
      <w:szCs w:val="21"/>
    </w:rPr>
  </w:style>
  <w:style w:type="character" w:customStyle="1" w:styleId="79">
    <w:name w:val="批注文字 Char1"/>
    <w:qFormat/>
    <w:uiPriority w:val="99"/>
    <w:rPr>
      <w:kern w:val="2"/>
      <w:sz w:val="21"/>
    </w:rPr>
  </w:style>
  <w:style w:type="character" w:customStyle="1" w:styleId="80">
    <w:name w:val="正文4 Char"/>
    <w:link w:val="81"/>
    <w:qFormat/>
    <w:locked/>
    <w:uiPriority w:val="99"/>
    <w:rPr>
      <w:kern w:val="2"/>
      <w:sz w:val="24"/>
    </w:rPr>
  </w:style>
  <w:style w:type="paragraph" w:customStyle="1" w:styleId="81">
    <w:name w:val="正文4"/>
    <w:basedOn w:val="1"/>
    <w:link w:val="80"/>
    <w:qFormat/>
    <w:uiPriority w:val="99"/>
    <w:pPr>
      <w:tabs>
        <w:tab w:val="left" w:pos="520"/>
      </w:tabs>
      <w:spacing w:before="60" w:after="60" w:line="360" w:lineRule="auto"/>
      <w:ind w:left="520"/>
    </w:pPr>
    <w:rPr>
      <w:rFonts w:eastAsia="等线"/>
      <w:sz w:val="24"/>
      <w:szCs w:val="20"/>
    </w:rPr>
  </w:style>
  <w:style w:type="character" w:customStyle="1" w:styleId="82">
    <w:name w:val="正文文本缩进 2 Char"/>
    <w:link w:val="83"/>
    <w:qFormat/>
    <w:locked/>
    <w:uiPriority w:val="99"/>
    <w:rPr>
      <w:rFonts w:ascii="仿宋_GB2312" w:eastAsia="仿宋_GB2312"/>
      <w:b/>
      <w:sz w:val="24"/>
    </w:rPr>
  </w:style>
  <w:style w:type="paragraph" w:customStyle="1" w:styleId="83">
    <w:name w:val="正文文本缩进 21"/>
    <w:basedOn w:val="1"/>
    <w:link w:val="82"/>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4">
    <w:name w:val="标题 3 Char"/>
    <w:qFormat/>
    <w:uiPriority w:val="99"/>
    <w:rPr>
      <w:rFonts w:ascii="黑体" w:hAnsi="Times New Roman" w:eastAsia="黑体"/>
      <w:kern w:val="0"/>
      <w:sz w:val="20"/>
    </w:rPr>
  </w:style>
  <w:style w:type="character" w:customStyle="1" w:styleId="85">
    <w:name w:val="文档正文 Char"/>
    <w:link w:val="86"/>
    <w:qFormat/>
    <w:locked/>
    <w:uiPriority w:val="99"/>
    <w:rPr>
      <w:rFonts w:ascii="Tahoma" w:hAnsi="Tahoma" w:eastAsia="仿宋_GB2312"/>
      <w:sz w:val="28"/>
      <w:lang w:val="en-US" w:eastAsia="zh-CN"/>
    </w:rPr>
  </w:style>
  <w:style w:type="paragraph" w:customStyle="1" w:styleId="86">
    <w:name w:val="文档正文"/>
    <w:basedOn w:val="1"/>
    <w:link w:val="85"/>
    <w:qFormat/>
    <w:uiPriority w:val="99"/>
    <w:pPr>
      <w:spacing w:line="360" w:lineRule="auto"/>
      <w:ind w:firstLine="480" w:firstLineChars="200"/>
    </w:pPr>
    <w:rPr>
      <w:rFonts w:ascii="Tahoma" w:hAnsi="Tahoma" w:eastAsia="仿宋_GB2312"/>
      <w:kern w:val="0"/>
      <w:sz w:val="28"/>
      <w:szCs w:val="20"/>
    </w:rPr>
  </w:style>
  <w:style w:type="character" w:customStyle="1" w:styleId="87">
    <w:name w:val="标题 Char"/>
    <w:basedOn w:val="42"/>
    <w:qFormat/>
    <w:uiPriority w:val="99"/>
    <w:rPr>
      <w:rFonts w:ascii="Cambria" w:hAnsi="Cambria" w:cs="Times New Roman"/>
      <w:b/>
      <w:bCs/>
      <w:kern w:val="2"/>
      <w:sz w:val="32"/>
      <w:szCs w:val="32"/>
    </w:rPr>
  </w:style>
  <w:style w:type="character" w:customStyle="1" w:styleId="88">
    <w:name w:val="标题 7 Char1"/>
    <w:basedOn w:val="42"/>
    <w:qFormat/>
    <w:uiPriority w:val="99"/>
    <w:rPr>
      <w:rFonts w:ascii="Times New Roman" w:hAnsi="Times New Roman" w:eastAsia="宋体" w:cs="Times New Roman"/>
      <w:b/>
      <w:bCs/>
      <w:sz w:val="24"/>
      <w:szCs w:val="24"/>
    </w:rPr>
  </w:style>
  <w:style w:type="character" w:customStyle="1" w:styleId="89">
    <w:name w:val="页眉 Char"/>
    <w:qFormat/>
    <w:uiPriority w:val="99"/>
    <w:rPr>
      <w:rFonts w:ascii="Times New Roman" w:hAnsi="Times New Roman" w:eastAsia="宋体"/>
      <w:sz w:val="18"/>
    </w:rPr>
  </w:style>
  <w:style w:type="character" w:customStyle="1" w:styleId="90">
    <w:name w:val="Texte Char Char"/>
    <w:qFormat/>
    <w:uiPriority w:val="99"/>
    <w:rPr>
      <w:rFonts w:ascii="宋体" w:hAnsi="Courier New" w:eastAsia="宋体"/>
      <w:sz w:val="21"/>
      <w:lang w:val="en-US" w:eastAsia="zh-CN"/>
    </w:rPr>
  </w:style>
  <w:style w:type="character" w:customStyle="1" w:styleId="91">
    <w:name w:val="BZ_二级标题 Char"/>
    <w:link w:val="92"/>
    <w:qFormat/>
    <w:locked/>
    <w:uiPriority w:val="99"/>
    <w:rPr>
      <w:rFonts w:eastAsia="楷体"/>
      <w:b/>
      <w:kern w:val="2"/>
      <w:sz w:val="32"/>
    </w:rPr>
  </w:style>
  <w:style w:type="paragraph" w:customStyle="1" w:styleId="92">
    <w:name w:val="BZ_二级标题"/>
    <w:basedOn w:val="4"/>
    <w:next w:val="1"/>
    <w:link w:val="91"/>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3">
    <w:name w:val="正文缩进 Char1"/>
    <w:link w:val="2"/>
    <w:qFormat/>
    <w:locked/>
    <w:uiPriority w:val="99"/>
    <w:rPr>
      <w:rFonts w:eastAsia="宋体"/>
      <w:sz w:val="21"/>
      <w:lang w:val="en-US" w:eastAsia="zh-CN"/>
    </w:rPr>
  </w:style>
  <w:style w:type="character" w:customStyle="1" w:styleId="94">
    <w:name w:val="正文文本首行缩进 字符"/>
    <w:link w:val="95"/>
    <w:qFormat/>
    <w:locked/>
    <w:uiPriority w:val="99"/>
    <w:rPr>
      <w:rFonts w:ascii="仿宋_GB2312"/>
      <w:kern w:val="2"/>
      <w:sz w:val="24"/>
    </w:rPr>
  </w:style>
  <w:style w:type="paragraph" w:customStyle="1" w:styleId="95">
    <w:name w:val="1"/>
    <w:basedOn w:val="16"/>
    <w:next w:val="36"/>
    <w:link w:val="94"/>
    <w:qFormat/>
    <w:uiPriority w:val="99"/>
    <w:pPr>
      <w:ind w:firstLine="420" w:firstLineChars="100"/>
    </w:pPr>
    <w:rPr>
      <w:rFonts w:ascii="仿宋_GB2312"/>
      <w:sz w:val="24"/>
      <w:szCs w:val="20"/>
    </w:rPr>
  </w:style>
  <w:style w:type="character" w:customStyle="1" w:styleId="96">
    <w:name w:val="index-text3"/>
    <w:basedOn w:val="42"/>
    <w:qFormat/>
    <w:uiPriority w:val="99"/>
    <w:rPr>
      <w:rFonts w:cs="Times New Roman"/>
    </w:rPr>
  </w:style>
  <w:style w:type="character" w:customStyle="1" w:styleId="97">
    <w:name w:val="l正文 Char"/>
    <w:link w:val="98"/>
    <w:qFormat/>
    <w:locked/>
    <w:uiPriority w:val="99"/>
    <w:rPr>
      <w:rFonts w:ascii="宋体" w:eastAsia="宋体"/>
      <w:sz w:val="24"/>
    </w:rPr>
  </w:style>
  <w:style w:type="paragraph" w:customStyle="1" w:styleId="98">
    <w:name w:val="l正文"/>
    <w:basedOn w:val="1"/>
    <w:link w:val="97"/>
    <w:qFormat/>
    <w:uiPriority w:val="99"/>
    <w:pPr>
      <w:spacing w:line="360" w:lineRule="auto"/>
      <w:ind w:firstLine="200" w:firstLineChars="200"/>
    </w:pPr>
    <w:rPr>
      <w:rFonts w:ascii="宋体"/>
      <w:kern w:val="0"/>
      <w:sz w:val="24"/>
      <w:szCs w:val="20"/>
    </w:rPr>
  </w:style>
  <w:style w:type="character" w:customStyle="1" w:styleId="99">
    <w:name w:val="￥正文 Char"/>
    <w:link w:val="100"/>
    <w:qFormat/>
    <w:locked/>
    <w:uiPriority w:val="99"/>
    <w:rPr>
      <w:sz w:val="24"/>
    </w:rPr>
  </w:style>
  <w:style w:type="paragraph" w:customStyle="1" w:styleId="100">
    <w:name w:val="￥正文"/>
    <w:basedOn w:val="1"/>
    <w:link w:val="99"/>
    <w:qFormat/>
    <w:uiPriority w:val="99"/>
    <w:pPr>
      <w:spacing w:line="360" w:lineRule="auto"/>
      <w:ind w:firstLine="200" w:firstLineChars="200"/>
    </w:pPr>
    <w:rPr>
      <w:rFonts w:eastAsia="等线"/>
      <w:kern w:val="0"/>
      <w:sz w:val="24"/>
      <w:szCs w:val="20"/>
    </w:rPr>
  </w:style>
  <w:style w:type="character" w:customStyle="1" w:styleId="101">
    <w:name w:val="style44"/>
    <w:qFormat/>
    <w:uiPriority w:val="99"/>
  </w:style>
  <w:style w:type="character" w:customStyle="1" w:styleId="102">
    <w:name w:val="Char Char2"/>
    <w:qFormat/>
    <w:uiPriority w:val="99"/>
    <w:rPr>
      <w:rFonts w:ascii="宋体" w:hAnsi="Courier New" w:eastAsia="宋体"/>
      <w:kern w:val="2"/>
      <w:sz w:val="21"/>
      <w:lang w:val="en-US" w:eastAsia="zh-CN"/>
    </w:rPr>
  </w:style>
  <w:style w:type="character" w:customStyle="1" w:styleId="103">
    <w:name w:val="页脚 Char1"/>
    <w:basedOn w:val="42"/>
    <w:qFormat/>
    <w:uiPriority w:val="99"/>
    <w:rPr>
      <w:rFonts w:cs="Times New Roman"/>
      <w:sz w:val="18"/>
      <w:szCs w:val="18"/>
    </w:rPr>
  </w:style>
  <w:style w:type="character" w:customStyle="1" w:styleId="104">
    <w:name w:val="标题 5 Char1"/>
    <w:basedOn w:val="42"/>
    <w:qFormat/>
    <w:uiPriority w:val="99"/>
    <w:rPr>
      <w:rFonts w:ascii="Times New Roman" w:hAnsi="Times New Roman" w:eastAsia="宋体" w:cs="Times New Roman"/>
      <w:b/>
      <w:bCs/>
      <w:sz w:val="28"/>
      <w:szCs w:val="28"/>
    </w:rPr>
  </w:style>
  <w:style w:type="character" w:customStyle="1" w:styleId="105">
    <w:name w:val="段落文字 Char"/>
    <w:link w:val="106"/>
    <w:qFormat/>
    <w:locked/>
    <w:uiPriority w:val="99"/>
    <w:rPr>
      <w:sz w:val="24"/>
    </w:rPr>
  </w:style>
  <w:style w:type="paragraph" w:customStyle="1" w:styleId="106">
    <w:name w:val="段落文字"/>
    <w:basedOn w:val="1"/>
    <w:link w:val="105"/>
    <w:qFormat/>
    <w:uiPriority w:val="99"/>
    <w:pPr>
      <w:spacing w:line="398" w:lineRule="auto"/>
      <w:ind w:firstLine="480" w:firstLineChars="200"/>
    </w:pPr>
    <w:rPr>
      <w:rFonts w:eastAsia="等线"/>
      <w:kern w:val="0"/>
      <w:sz w:val="24"/>
      <w:szCs w:val="20"/>
    </w:rPr>
  </w:style>
  <w:style w:type="character" w:customStyle="1" w:styleId="107">
    <w:name w:val="标题 4 Char"/>
    <w:qFormat/>
    <w:uiPriority w:val="99"/>
    <w:rPr>
      <w:rFonts w:ascii="Times New Roman" w:hAnsi="Times New Roman" w:eastAsia="宋体"/>
      <w:sz w:val="20"/>
    </w:rPr>
  </w:style>
  <w:style w:type="character" w:customStyle="1" w:styleId="108">
    <w:name w:val="样式6 列表并列 Char"/>
    <w:link w:val="109"/>
    <w:qFormat/>
    <w:locked/>
    <w:uiPriority w:val="99"/>
    <w:rPr>
      <w:rFonts w:ascii="Arial" w:hAnsi="Arial" w:eastAsia="宋体"/>
      <w:kern w:val="21"/>
      <w:sz w:val="24"/>
      <w:lang w:val="en-US" w:eastAsia="zh-CN"/>
    </w:rPr>
  </w:style>
  <w:style w:type="paragraph" w:customStyle="1" w:styleId="109">
    <w:name w:val="样式6 列表并列"/>
    <w:link w:val="108"/>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0">
    <w:name w:val="批注主题 Char"/>
    <w:semiHidden/>
    <w:qFormat/>
    <w:uiPriority w:val="99"/>
    <w:rPr>
      <w:rFonts w:ascii="Times New Roman" w:hAnsi="Times New Roman" w:eastAsia="宋体"/>
      <w:b/>
      <w:sz w:val="20"/>
    </w:rPr>
  </w:style>
  <w:style w:type="character" w:customStyle="1" w:styleId="111">
    <w:name w:val="标题 8 Char1"/>
    <w:basedOn w:val="42"/>
    <w:qFormat/>
    <w:uiPriority w:val="99"/>
    <w:rPr>
      <w:rFonts w:ascii="Arial" w:hAnsi="Arial" w:eastAsia="黑体" w:cs="Times New Roman"/>
      <w:sz w:val="24"/>
      <w:szCs w:val="24"/>
    </w:rPr>
  </w:style>
  <w:style w:type="character" w:customStyle="1" w:styleId="112">
    <w:name w:val="Char Char Char"/>
    <w:qFormat/>
    <w:uiPriority w:val="99"/>
    <w:rPr>
      <w:rFonts w:ascii="宋体" w:hAnsi="Courier New" w:eastAsia="宋体"/>
      <w:sz w:val="21"/>
      <w:lang w:val="en-US" w:eastAsia="zh-CN"/>
    </w:rPr>
  </w:style>
  <w:style w:type="character" w:customStyle="1" w:styleId="113">
    <w:name w:val="style21"/>
    <w:qFormat/>
    <w:uiPriority w:val="99"/>
    <w:rPr>
      <w:sz w:val="15"/>
    </w:rPr>
  </w:style>
  <w:style w:type="character" w:customStyle="1" w:styleId="114">
    <w:name w:val="哈哈正文 Char"/>
    <w:link w:val="115"/>
    <w:qFormat/>
    <w:locked/>
    <w:uiPriority w:val="99"/>
    <w:rPr>
      <w:rFonts w:ascii="宋体" w:hAnsi="宋体" w:eastAsia="宋体"/>
      <w:kern w:val="2"/>
      <w:sz w:val="24"/>
      <w:lang w:val="en-US" w:eastAsia="zh-CN"/>
    </w:rPr>
  </w:style>
  <w:style w:type="paragraph" w:customStyle="1" w:styleId="115">
    <w:name w:val="哈哈正文"/>
    <w:basedOn w:val="1"/>
    <w:link w:val="114"/>
    <w:qFormat/>
    <w:uiPriority w:val="99"/>
    <w:pPr>
      <w:spacing w:line="360" w:lineRule="auto"/>
      <w:ind w:firstLine="200" w:firstLineChars="200"/>
    </w:pPr>
    <w:rPr>
      <w:rFonts w:ascii="宋体" w:hAnsi="宋体"/>
      <w:sz w:val="24"/>
      <w:szCs w:val="20"/>
    </w:rPr>
  </w:style>
  <w:style w:type="character" w:customStyle="1" w:styleId="116">
    <w:name w:val="标题 1 Char1"/>
    <w:basedOn w:val="42"/>
    <w:qFormat/>
    <w:uiPriority w:val="99"/>
    <w:rPr>
      <w:rFonts w:ascii="方正黑体简体" w:hAnsi="Times New Roman" w:eastAsia="方正黑体简体" w:cs="Times New Roman"/>
      <w:b/>
      <w:kern w:val="0"/>
      <w:sz w:val="28"/>
      <w:szCs w:val="28"/>
    </w:rPr>
  </w:style>
  <w:style w:type="character" w:customStyle="1" w:styleId="117">
    <w:name w:val="Char Char1"/>
    <w:qFormat/>
    <w:uiPriority w:val="99"/>
    <w:rPr>
      <w:rFonts w:ascii="楷体_GB2312" w:eastAsia="楷体_GB2312"/>
      <w:sz w:val="28"/>
    </w:rPr>
  </w:style>
  <w:style w:type="character" w:customStyle="1" w:styleId="118">
    <w:name w:val="正文文本 Char"/>
    <w:qFormat/>
    <w:uiPriority w:val="99"/>
    <w:rPr>
      <w:rFonts w:ascii="Times New Roman" w:hAnsi="Times New Roman" w:eastAsia="宋体"/>
      <w:sz w:val="20"/>
    </w:rPr>
  </w:style>
  <w:style w:type="character" w:customStyle="1" w:styleId="119">
    <w:name w:val="*正文 Char"/>
    <w:link w:val="120"/>
    <w:qFormat/>
    <w:locked/>
    <w:uiPriority w:val="99"/>
    <w:rPr>
      <w:rFonts w:ascii="宋体" w:eastAsia="宋体"/>
      <w:kern w:val="2"/>
      <w:sz w:val="24"/>
    </w:rPr>
  </w:style>
  <w:style w:type="paragraph" w:customStyle="1" w:styleId="120">
    <w:name w:val="*正文"/>
    <w:basedOn w:val="1"/>
    <w:link w:val="119"/>
    <w:qFormat/>
    <w:uiPriority w:val="99"/>
    <w:pPr>
      <w:spacing w:line="360" w:lineRule="auto"/>
      <w:ind w:firstLine="200" w:firstLineChars="200"/>
    </w:pPr>
    <w:rPr>
      <w:rFonts w:ascii="宋体"/>
      <w:sz w:val="24"/>
      <w:szCs w:val="20"/>
    </w:rPr>
  </w:style>
  <w:style w:type="character" w:customStyle="1" w:styleId="121">
    <w:name w:val="正文缩进 Char"/>
    <w:qFormat/>
    <w:uiPriority w:val="99"/>
    <w:rPr>
      <w:rFonts w:ascii="仿宋_GB2312" w:eastAsia="宋体"/>
      <w:b/>
      <w:sz w:val="32"/>
      <w:lang w:val="en-US" w:eastAsia="zh-CN"/>
    </w:rPr>
  </w:style>
  <w:style w:type="character" w:customStyle="1" w:styleId="122">
    <w:name w:val="apple-converted-space"/>
    <w:qFormat/>
    <w:uiPriority w:val="99"/>
  </w:style>
  <w:style w:type="character" w:customStyle="1" w:styleId="123">
    <w:name w:val="BZ_三级标题 Char"/>
    <w:link w:val="124"/>
    <w:qFormat/>
    <w:locked/>
    <w:uiPriority w:val="99"/>
    <w:rPr>
      <w:rFonts w:eastAsia="黑体"/>
      <w:b/>
      <w:kern w:val="2"/>
      <w:sz w:val="28"/>
    </w:rPr>
  </w:style>
  <w:style w:type="paragraph" w:customStyle="1" w:styleId="124">
    <w:name w:val="BZ_三级标题"/>
    <w:basedOn w:val="5"/>
    <w:next w:val="1"/>
    <w:link w:val="123"/>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5">
    <w:name w:val="正文文本 Char1"/>
    <w:basedOn w:val="42"/>
    <w:qFormat/>
    <w:uiPriority w:val="99"/>
    <w:rPr>
      <w:rFonts w:ascii="Times New Roman" w:hAnsi="Times New Roman" w:eastAsia="宋体" w:cs="Times New Roman"/>
      <w:sz w:val="20"/>
      <w:szCs w:val="20"/>
    </w:rPr>
  </w:style>
  <w:style w:type="character" w:customStyle="1" w:styleId="126">
    <w:name w:val="日期 Char"/>
    <w:qFormat/>
    <w:uiPriority w:val="99"/>
    <w:rPr>
      <w:rFonts w:ascii="Times New Roman" w:hAnsi="Times New Roman" w:eastAsia="宋体"/>
      <w:sz w:val="20"/>
    </w:rPr>
  </w:style>
  <w:style w:type="character" w:customStyle="1" w:styleId="127">
    <w:name w:val="批注框文本 Char"/>
    <w:semiHidden/>
    <w:qFormat/>
    <w:uiPriority w:val="99"/>
    <w:rPr>
      <w:rFonts w:ascii="Times New Roman" w:hAnsi="Times New Roman" w:eastAsia="宋体"/>
      <w:sz w:val="18"/>
    </w:rPr>
  </w:style>
  <w:style w:type="character" w:customStyle="1" w:styleId="128">
    <w:name w:val="纯文本 Char"/>
    <w:qFormat/>
    <w:uiPriority w:val="99"/>
    <w:rPr>
      <w:rFonts w:ascii="宋体" w:hAnsi="Courier New" w:eastAsia="宋体"/>
      <w:sz w:val="21"/>
      <w:lang w:val="en-US" w:eastAsia="zh-CN"/>
    </w:rPr>
  </w:style>
  <w:style w:type="character" w:customStyle="1" w:styleId="129">
    <w:name w:val="Char Char6"/>
    <w:qFormat/>
    <w:uiPriority w:val="99"/>
    <w:rPr>
      <w:b/>
      <w:kern w:val="2"/>
      <w:sz w:val="32"/>
    </w:rPr>
  </w:style>
  <w:style w:type="character" w:customStyle="1" w:styleId="130">
    <w:name w:val="标题 2 Char"/>
    <w:qFormat/>
    <w:uiPriority w:val="99"/>
    <w:rPr>
      <w:rFonts w:ascii="Arial" w:hAnsi="Arial" w:eastAsia="黑体"/>
      <w:b/>
      <w:sz w:val="32"/>
    </w:rPr>
  </w:style>
  <w:style w:type="character" w:customStyle="1" w:styleId="131">
    <w:name w:val="BZ_一级标题 Char"/>
    <w:link w:val="132"/>
    <w:qFormat/>
    <w:locked/>
    <w:uiPriority w:val="99"/>
    <w:rPr>
      <w:rFonts w:eastAsia="华文中宋"/>
      <w:b/>
      <w:kern w:val="44"/>
      <w:sz w:val="36"/>
    </w:rPr>
  </w:style>
  <w:style w:type="paragraph" w:customStyle="1" w:styleId="132">
    <w:name w:val="BZ_一级标题"/>
    <w:basedOn w:val="3"/>
    <w:next w:val="1"/>
    <w:link w:val="131"/>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3">
    <w:name w:val="正文文本缩进 3 Char"/>
    <w:qFormat/>
    <w:uiPriority w:val="99"/>
    <w:rPr>
      <w:rFonts w:ascii="Times New Roman" w:hAnsi="Times New Roman" w:eastAsia="宋体"/>
      <w:sz w:val="20"/>
    </w:rPr>
  </w:style>
  <w:style w:type="character" w:customStyle="1" w:styleId="134">
    <w:name w:val="标题 6 Char1"/>
    <w:basedOn w:val="42"/>
    <w:qFormat/>
    <w:uiPriority w:val="99"/>
    <w:rPr>
      <w:rFonts w:ascii="Arial" w:hAnsi="Arial" w:eastAsia="黑体" w:cs="Times New Roman"/>
      <w:b/>
      <w:bCs/>
      <w:sz w:val="24"/>
      <w:szCs w:val="24"/>
    </w:rPr>
  </w:style>
  <w:style w:type="character" w:customStyle="1" w:styleId="135">
    <w:name w:val="style7"/>
    <w:qFormat/>
    <w:uiPriority w:val="99"/>
  </w:style>
  <w:style w:type="character" w:customStyle="1" w:styleId="136">
    <w:name w:val="批注文字 Char"/>
    <w:qFormat/>
    <w:uiPriority w:val="99"/>
    <w:rPr>
      <w:rFonts w:ascii="Times New Roman" w:hAnsi="Times New Roman" w:eastAsia="宋体"/>
      <w:sz w:val="24"/>
    </w:rPr>
  </w:style>
  <w:style w:type="character" w:customStyle="1" w:styleId="137">
    <w:name w:val="页脚 Char"/>
    <w:qFormat/>
    <w:uiPriority w:val="99"/>
    <w:rPr>
      <w:rFonts w:ascii="Times New Roman" w:hAnsi="Times New Roman" w:eastAsia="宋体"/>
      <w:sz w:val="18"/>
    </w:rPr>
  </w:style>
  <w:style w:type="character" w:customStyle="1" w:styleId="138">
    <w:name w:val="页眉 Char2"/>
    <w:link w:val="27"/>
    <w:qFormat/>
    <w:locked/>
    <w:uiPriority w:val="99"/>
    <w:rPr>
      <w:kern w:val="2"/>
      <w:sz w:val="18"/>
    </w:rPr>
  </w:style>
  <w:style w:type="character" w:customStyle="1" w:styleId="139">
    <w:name w:val="标题 1 Char"/>
    <w:qFormat/>
    <w:uiPriority w:val="99"/>
    <w:rPr>
      <w:rFonts w:ascii="Times New Roman" w:hAnsi="Times New Roman" w:eastAsia="宋体"/>
      <w:b/>
      <w:kern w:val="44"/>
      <w:sz w:val="44"/>
    </w:rPr>
  </w:style>
  <w:style w:type="character" w:customStyle="1" w:styleId="140">
    <w:name w:val="正文文本缩进 Char"/>
    <w:qFormat/>
    <w:uiPriority w:val="99"/>
    <w:rPr>
      <w:rFonts w:ascii="楷体_GB2312" w:hAnsi="Times New Roman" w:eastAsia="楷体_GB2312"/>
      <w:kern w:val="0"/>
      <w:sz w:val="20"/>
    </w:rPr>
  </w:style>
  <w:style w:type="character" w:customStyle="1" w:styleId="141">
    <w:name w:val="页眉 Char1"/>
    <w:basedOn w:val="42"/>
    <w:qFormat/>
    <w:uiPriority w:val="99"/>
    <w:rPr>
      <w:rFonts w:cs="Times New Roman"/>
      <w:sz w:val="18"/>
      <w:szCs w:val="18"/>
    </w:rPr>
  </w:style>
  <w:style w:type="character" w:customStyle="1" w:styleId="142">
    <w:name w:val="正文缩进 Char2"/>
    <w:qFormat/>
    <w:uiPriority w:val="99"/>
    <w:rPr>
      <w:rFonts w:eastAsia="宋体"/>
      <w:sz w:val="21"/>
      <w:lang w:val="en-US" w:eastAsia="zh-CN"/>
    </w:rPr>
  </w:style>
  <w:style w:type="character" w:customStyle="1" w:styleId="143">
    <w:name w:val="标题 3 Char1"/>
    <w:basedOn w:val="42"/>
    <w:qFormat/>
    <w:uiPriority w:val="99"/>
    <w:rPr>
      <w:rFonts w:ascii="Arial" w:hAnsi="Arial" w:eastAsia="黑体" w:cs="Times New Roman"/>
      <w:sz w:val="24"/>
      <w:szCs w:val="24"/>
    </w:rPr>
  </w:style>
  <w:style w:type="character" w:customStyle="1" w:styleId="144">
    <w:name w:val="纯文本 Char1"/>
    <w:qFormat/>
    <w:uiPriority w:val="99"/>
    <w:rPr>
      <w:rFonts w:ascii="宋体" w:hAnsi="Courier New" w:eastAsia="宋体"/>
      <w:sz w:val="21"/>
      <w:lang w:val="en-US" w:eastAsia="zh-CN"/>
    </w:rPr>
  </w:style>
  <w:style w:type="character" w:customStyle="1" w:styleId="145">
    <w:name w:val="副标题 Char"/>
    <w:basedOn w:val="42"/>
    <w:qFormat/>
    <w:uiPriority w:val="99"/>
    <w:rPr>
      <w:rFonts w:ascii="Cambria" w:hAnsi="Cambria" w:cs="Times New Roman"/>
      <w:b/>
      <w:bCs/>
      <w:kern w:val="28"/>
      <w:sz w:val="32"/>
      <w:szCs w:val="32"/>
    </w:rPr>
  </w:style>
  <w:style w:type="paragraph" w:customStyle="1" w:styleId="146">
    <w:name w:val="正文00"/>
    <w:basedOn w:val="1"/>
    <w:qFormat/>
    <w:uiPriority w:val="99"/>
    <w:pPr>
      <w:topLinePunct/>
      <w:spacing w:line="360" w:lineRule="auto"/>
      <w:ind w:firstLine="200" w:firstLineChars="200"/>
    </w:pPr>
    <w:rPr>
      <w:sz w:val="24"/>
      <w:szCs w:val="21"/>
    </w:rPr>
  </w:style>
  <w:style w:type="paragraph" w:customStyle="1" w:styleId="147">
    <w:name w:val="style3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8">
    <w:name w:val="Default"/>
    <w:next w:val="149"/>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0">
    <w:name w:val="Char Char"/>
    <w:basedOn w:val="1"/>
    <w:qFormat/>
    <w:uiPriority w:val="99"/>
    <w:rPr>
      <w:rFonts w:ascii="仿宋_GB2312" w:eastAsia="仿宋_GB2312"/>
      <w:b/>
      <w:sz w:val="32"/>
      <w:szCs w:val="32"/>
    </w:rPr>
  </w:style>
  <w:style w:type="paragraph" w:customStyle="1" w:styleId="151">
    <w:name w:val="style48"/>
    <w:basedOn w:val="1"/>
    <w:qFormat/>
    <w:uiPriority w:val="99"/>
    <w:pPr>
      <w:widowControl/>
      <w:jc w:val="left"/>
    </w:pPr>
    <w:rPr>
      <w:rFonts w:ascii="宋体" w:hAnsi="宋体" w:cs="宋体"/>
      <w:kern w:val="0"/>
      <w:sz w:val="24"/>
    </w:rPr>
  </w:style>
  <w:style w:type="paragraph" w:customStyle="1" w:styleId="152">
    <w:name w:val="_Style 2"/>
    <w:basedOn w:val="1"/>
    <w:qFormat/>
    <w:uiPriority w:val="99"/>
    <w:pPr>
      <w:spacing w:line="360" w:lineRule="auto"/>
      <w:ind w:firstLine="420" w:firstLineChars="200"/>
    </w:pPr>
    <w:rPr>
      <w:rFonts w:cs="黑体"/>
      <w:sz w:val="24"/>
      <w:szCs w:val="21"/>
    </w:rPr>
  </w:style>
  <w:style w:type="paragraph" w:customStyle="1" w:styleId="153">
    <w:name w:val="正文（小四+1.25倍行距）"/>
    <w:basedOn w:val="1"/>
    <w:qFormat/>
    <w:uiPriority w:val="99"/>
    <w:pPr>
      <w:spacing w:beforeLines="50" w:afterLines="50" w:line="360" w:lineRule="auto"/>
      <w:ind w:firstLine="420"/>
    </w:pPr>
    <w:rPr>
      <w:rFonts w:ascii="Calibri" w:hAnsi="Calibri"/>
      <w:szCs w:val="20"/>
    </w:rPr>
  </w:style>
  <w:style w:type="paragraph" w:customStyle="1" w:styleId="154">
    <w:name w:val="正文 1.1.1"/>
    <w:basedOn w:val="1"/>
    <w:next w:val="1"/>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5">
    <w:name w:val="Char Char Char Char Char Char"/>
    <w:basedOn w:val="1"/>
    <w:qFormat/>
    <w:uiPriority w:val="99"/>
    <w:rPr>
      <w:rFonts w:ascii="Tahoma" w:hAnsi="Tahoma"/>
      <w:sz w:val="24"/>
      <w:szCs w:val="20"/>
    </w:rPr>
  </w:style>
  <w:style w:type="paragraph" w:customStyle="1" w:styleId="156">
    <w:name w:val="标题 55"/>
    <w:basedOn w:val="7"/>
    <w:qFormat/>
    <w:uiPriority w:val="99"/>
    <w:rPr>
      <w:rFonts w:ascii="方正黑体简体" w:eastAsia="方正黑体简体"/>
      <w:b w:val="0"/>
      <w:bCs w:val="0"/>
    </w:rPr>
  </w:style>
  <w:style w:type="paragraph" w:customStyle="1" w:styleId="157">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8">
    <w:name w:val="TOC 标题1"/>
    <w:basedOn w:val="3"/>
    <w:next w:val="1"/>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59">
    <w:name w:val="_Style 36"/>
    <w:basedOn w:val="1"/>
    <w:qFormat/>
    <w:uiPriority w:val="99"/>
    <w:pPr>
      <w:ind w:firstLine="420" w:firstLineChars="200"/>
    </w:pPr>
    <w:rPr>
      <w:szCs w:val="20"/>
    </w:rPr>
  </w:style>
  <w:style w:type="paragraph" w:customStyle="1" w:styleId="160">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M106"/>
    <w:basedOn w:val="148"/>
    <w:next w:val="148"/>
    <w:qFormat/>
    <w:uiPriority w:val="99"/>
    <w:rPr>
      <w:rFonts w:ascii="宋体" w:hAnsi="Times New Roman" w:eastAsia="宋体" w:cs="Times New Roman"/>
      <w:color w:val="auto"/>
    </w:rPr>
  </w:style>
  <w:style w:type="paragraph" w:customStyle="1" w:styleId="162">
    <w:name w:val="默认段落字体 Para Char Char Char Char Char Char Char Char Char1 Char Char Char Char Char Char Char"/>
    <w:basedOn w:val="14"/>
    <w:qFormat/>
    <w:uiPriority w:val="99"/>
    <w:rPr>
      <w:sz w:val="24"/>
    </w:rPr>
  </w:style>
  <w:style w:type="paragraph" w:customStyle="1" w:styleId="163">
    <w:name w:val="列出段落2"/>
    <w:basedOn w:val="1"/>
    <w:qFormat/>
    <w:uiPriority w:val="99"/>
    <w:pPr>
      <w:ind w:firstLine="420" w:firstLineChars="200"/>
    </w:pPr>
    <w:rPr>
      <w:rFonts w:ascii="Calibri" w:hAnsi="Calibri"/>
      <w:szCs w:val="22"/>
    </w:rPr>
  </w:style>
  <w:style w:type="paragraph" w:customStyle="1" w:styleId="164">
    <w:name w:val="Char Char1 Char Char Char Char Char Char"/>
    <w:basedOn w:val="1"/>
    <w:qFormat/>
    <w:uiPriority w:val="99"/>
    <w:pPr>
      <w:widowControl/>
      <w:spacing w:after="160" w:line="240" w:lineRule="exact"/>
      <w:jc w:val="left"/>
    </w:pPr>
    <w:rPr>
      <w:rFonts w:ascii="宋体" w:hAnsi="宋体" w:cs="宋体"/>
      <w:kern w:val="0"/>
      <w:szCs w:val="20"/>
    </w:rPr>
  </w:style>
  <w:style w:type="paragraph" w:customStyle="1" w:styleId="165">
    <w:name w:val="内文正文"/>
    <w:basedOn w:val="21"/>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6">
    <w:name w:val="修订1"/>
    <w:qFormat/>
    <w:uiPriority w:val="99"/>
    <w:rPr>
      <w:rFonts w:ascii="Times New Roman" w:hAnsi="Times New Roman" w:eastAsia="宋体" w:cs="Times New Roman"/>
      <w:kern w:val="2"/>
      <w:sz w:val="21"/>
      <w:szCs w:val="24"/>
      <w:lang w:val="en-US" w:eastAsia="zh-CN" w:bidi="ar-SA"/>
    </w:rPr>
  </w:style>
  <w:style w:type="paragraph" w:customStyle="1" w:styleId="167">
    <w:name w:val="新定义正文"/>
    <w:basedOn w:val="1"/>
    <w:qFormat/>
    <w:uiPriority w:val="99"/>
    <w:pPr>
      <w:widowControl/>
    </w:pPr>
    <w:rPr>
      <w:color w:val="000000"/>
      <w:szCs w:val="21"/>
    </w:rPr>
  </w:style>
  <w:style w:type="paragraph" w:customStyle="1" w:styleId="168">
    <w:name w:val="_Style 5"/>
    <w:basedOn w:val="14"/>
    <w:qFormat/>
    <w:uiPriority w:val="99"/>
  </w:style>
  <w:style w:type="paragraph" w:customStyle="1" w:styleId="169">
    <w:name w:val="正文 第一章"/>
    <w:basedOn w:val="1"/>
    <w:next w:val="170"/>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0">
    <w:name w:val="正文 1.1"/>
    <w:basedOn w:val="1"/>
    <w:next w:val="154"/>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1">
    <w:name w:val="Char Char Char Char11"/>
    <w:basedOn w:val="14"/>
    <w:qFormat/>
    <w:uiPriority w:val="99"/>
    <w:rPr>
      <w:szCs w:val="20"/>
    </w:rPr>
  </w:style>
  <w:style w:type="paragraph" w:customStyle="1" w:styleId="172">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3">
    <w:name w:val="正文2"/>
    <w:basedOn w:val="1"/>
    <w:qFormat/>
    <w:uiPriority w:val="99"/>
    <w:pPr>
      <w:spacing w:before="156" w:line="360" w:lineRule="auto"/>
      <w:ind w:firstLine="510" w:firstLineChars="200"/>
    </w:pPr>
    <w:rPr>
      <w:sz w:val="24"/>
      <w:szCs w:val="20"/>
    </w:rPr>
  </w:style>
  <w:style w:type="paragraph" w:customStyle="1" w:styleId="174">
    <w:name w:val="正文0"/>
    <w:basedOn w:val="1"/>
    <w:qFormat/>
    <w:uiPriority w:val="99"/>
    <w:pPr>
      <w:adjustRightInd w:val="0"/>
      <w:snapToGrid w:val="0"/>
      <w:spacing w:line="440" w:lineRule="exact"/>
      <w:ind w:left="420" w:leftChars="200" w:firstLine="428" w:firstLineChars="200"/>
    </w:pPr>
    <w:rPr>
      <w:spacing w:val="2"/>
      <w:szCs w:val="21"/>
      <w:u w:val="single"/>
    </w:rPr>
  </w:style>
  <w:style w:type="paragraph" w:customStyle="1" w:styleId="175">
    <w:name w:val="样式6"/>
    <w:basedOn w:val="13"/>
    <w:qFormat/>
    <w:uiPriority w:val="99"/>
    <w:pPr>
      <w:spacing w:line="360" w:lineRule="auto"/>
      <w:ind w:firstLine="200" w:firstLineChars="200"/>
    </w:pPr>
    <w:rPr>
      <w:sz w:val="24"/>
    </w:rPr>
  </w:style>
  <w:style w:type="paragraph" w:customStyle="1" w:styleId="176">
    <w:name w:val="TOC 标题2"/>
    <w:basedOn w:val="3"/>
    <w:next w:val="1"/>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7">
    <w:name w:val="ml2"/>
    <w:basedOn w:val="28"/>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8">
    <w:name w:val="Char1 Char Char Char"/>
    <w:basedOn w:val="1"/>
    <w:qFormat/>
    <w:uiPriority w:val="99"/>
    <w:rPr>
      <w:rFonts w:ascii="Tahoma" w:hAnsi="Tahoma"/>
      <w:sz w:val="24"/>
      <w:szCs w:val="20"/>
    </w:rPr>
  </w:style>
  <w:style w:type="paragraph" w:customStyle="1" w:styleId="179">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180">
    <w:name w:val="TOC 标题3"/>
    <w:basedOn w:val="3"/>
    <w:next w:val="1"/>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1">
    <w:name w:val="正文1"/>
    <w:basedOn w:val="1"/>
    <w:qFormat/>
    <w:uiPriority w:val="99"/>
    <w:pPr>
      <w:spacing w:beforeLines="50" w:afterLines="50" w:line="300" w:lineRule="auto"/>
      <w:ind w:firstLine="480" w:firstLineChars="200"/>
    </w:pPr>
    <w:rPr>
      <w:szCs w:val="20"/>
    </w:rPr>
  </w:style>
  <w:style w:type="paragraph" w:customStyle="1" w:styleId="182">
    <w:name w:val="_Style 32"/>
    <w:basedOn w:val="1"/>
    <w:qFormat/>
    <w:uiPriority w:val="99"/>
    <w:rPr>
      <w:szCs w:val="20"/>
    </w:rPr>
  </w:style>
  <w:style w:type="paragraph" w:customStyle="1" w:styleId="183">
    <w:name w:val="彩色列表 - 强调文字颜色 11"/>
    <w:basedOn w:val="1"/>
    <w:qFormat/>
    <w:uiPriority w:val="99"/>
    <w:pPr>
      <w:ind w:firstLine="420" w:firstLineChars="200"/>
    </w:pPr>
  </w:style>
  <w:style w:type="paragraph" w:customStyle="1" w:styleId="184">
    <w:name w:val="Char Char Char Char Char Char Char"/>
    <w:basedOn w:val="1"/>
    <w:qFormat/>
    <w:uiPriority w:val="99"/>
    <w:rPr>
      <w:rFonts w:ascii="仿宋_GB2312" w:eastAsia="仿宋_GB2312"/>
      <w:b/>
      <w:sz w:val="32"/>
      <w:szCs w:val="32"/>
    </w:rPr>
  </w:style>
  <w:style w:type="paragraph" w:customStyle="1" w:styleId="185">
    <w:name w:val="Char Char Char Char Char Char Char Char Char Char Char Char Char1"/>
    <w:basedOn w:val="1"/>
    <w:qFormat/>
    <w:uiPriority w:val="99"/>
    <w:rPr>
      <w:rFonts w:ascii="Tahoma" w:hAnsi="Tahoma"/>
      <w:sz w:val="24"/>
      <w:szCs w:val="20"/>
    </w:rPr>
  </w:style>
  <w:style w:type="paragraph" w:customStyle="1" w:styleId="186">
    <w:name w:val="[Normal]"/>
    <w:qFormat/>
    <w:uiPriority w:val="99"/>
    <w:rPr>
      <w:rFonts w:ascii="宋体" w:hAnsi="宋体" w:eastAsia="宋体" w:cs="Times New Roman"/>
      <w:sz w:val="24"/>
      <w:szCs w:val="22"/>
      <w:lang w:val="zh-CN" w:eastAsia="zh-CN" w:bidi="ar-SA"/>
    </w:rPr>
  </w:style>
  <w:style w:type="paragraph" w:customStyle="1" w:styleId="187">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88">
    <w:name w:val="默认段落字体 Para Char"/>
    <w:basedOn w:val="1"/>
    <w:qFormat/>
    <w:uiPriority w:val="99"/>
    <w:pPr>
      <w:tabs>
        <w:tab w:val="left" w:pos="360"/>
      </w:tabs>
      <w:adjustRightInd w:val="0"/>
      <w:textAlignment w:val="baseline"/>
    </w:pPr>
    <w:rPr>
      <w:kern w:val="0"/>
      <w:sz w:val="24"/>
      <w:szCs w:val="20"/>
    </w:rPr>
  </w:style>
  <w:style w:type="paragraph" w:customStyle="1" w:styleId="189">
    <w:name w:val="Char Char Char Char Char Char Char Char Char Char Char Char Char"/>
    <w:basedOn w:val="1"/>
    <w:qFormat/>
    <w:uiPriority w:val="99"/>
  </w:style>
  <w:style w:type="paragraph" w:customStyle="1" w:styleId="190">
    <w:name w:val="Char Char Char Char Char Char Char Char Char Char Char Char Char2"/>
    <w:basedOn w:val="1"/>
    <w:qFormat/>
    <w:uiPriority w:val="99"/>
    <w:rPr>
      <w:rFonts w:ascii="Tahoma" w:hAnsi="Tahoma"/>
      <w:sz w:val="24"/>
      <w:szCs w:val="20"/>
    </w:rPr>
  </w:style>
  <w:style w:type="paragraph" w:customStyle="1" w:styleId="191">
    <w:name w:val="bt1bt1"/>
    <w:basedOn w:val="3"/>
    <w:qFormat/>
    <w:uiPriority w:val="99"/>
    <w:pPr>
      <w:keepLines/>
      <w:spacing w:before="280" w:after="290"/>
    </w:pPr>
    <w:rPr>
      <w:rFonts w:ascii="黑体" w:eastAsia="黑体"/>
      <w:b w:val="0"/>
      <w:bCs w:val="0"/>
      <w:kern w:val="0"/>
      <w:sz w:val="36"/>
      <w:szCs w:val="36"/>
    </w:rPr>
  </w:style>
  <w:style w:type="paragraph" w:customStyle="1" w:styleId="192">
    <w:name w:val="ml"/>
    <w:basedOn w:val="28"/>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3">
    <w:name w:val="xl55"/>
    <w:basedOn w:val="1"/>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4">
    <w:name w:val="标题 10"/>
    <w:basedOn w:val="4"/>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5">
    <w:name w:val="修订11"/>
    <w:qFormat/>
    <w:uiPriority w:val="99"/>
    <w:rPr>
      <w:rFonts w:ascii="Times New Roman" w:hAnsi="Times New Roman" w:eastAsia="宋体" w:cs="Times New Roman"/>
      <w:kern w:val="2"/>
      <w:sz w:val="21"/>
      <w:szCs w:val="24"/>
      <w:lang w:val="en-US" w:eastAsia="zh-CN" w:bidi="ar-SA"/>
    </w:rPr>
  </w:style>
  <w:style w:type="paragraph" w:customStyle="1" w:styleId="196">
    <w:name w:val="第四级"/>
    <w:basedOn w:val="1"/>
    <w:next w:val="172"/>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7">
    <w:name w:val="样式 标题 3 + (中文) 黑体 小四 非加粗 段前: 7.8 磅 段后: 0 磅 行距: 固定值 20 磅"/>
    <w:basedOn w:val="5"/>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8">
    <w:name w:val="_Style 38"/>
    <w:basedOn w:val="14"/>
    <w:qFormat/>
    <w:uiPriority w:val="99"/>
    <w:rPr>
      <w:rFonts w:ascii="Tahoma" w:hAnsi="Tahoma"/>
      <w:sz w:val="24"/>
    </w:rPr>
  </w:style>
  <w:style w:type="paragraph" w:customStyle="1" w:styleId="19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200">
    <w:name w:val="Char"/>
    <w:basedOn w:val="1"/>
    <w:qFormat/>
    <w:uiPriority w:val="99"/>
    <w:pPr>
      <w:ind w:left="960" w:leftChars="400" w:firstLine="420" w:firstLineChars="200"/>
    </w:pPr>
    <w:rPr>
      <w:rFonts w:ascii="宋体" w:hAnsi="宋体"/>
      <w:szCs w:val="21"/>
    </w:rPr>
  </w:style>
  <w:style w:type="paragraph" w:customStyle="1" w:styleId="201">
    <w:name w:val="2级"/>
    <w:basedOn w:val="4"/>
    <w:next w:val="37"/>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2">
    <w:name w:val="Char1"/>
    <w:basedOn w:val="1"/>
    <w:qFormat/>
    <w:uiPriority w:val="99"/>
    <w:rPr>
      <w:szCs w:val="20"/>
    </w:rPr>
  </w:style>
  <w:style w:type="paragraph" w:styleId="203">
    <w:name w:val="List Paragraph"/>
    <w:basedOn w:val="1"/>
    <w:qFormat/>
    <w:uiPriority w:val="99"/>
    <w:pPr>
      <w:ind w:firstLine="420" w:firstLineChars="200"/>
    </w:pPr>
  </w:style>
  <w:style w:type="paragraph" w:customStyle="1" w:styleId="204">
    <w:name w:val="简单回函地址"/>
    <w:basedOn w:val="1"/>
    <w:qFormat/>
    <w:uiPriority w:val="99"/>
  </w:style>
  <w:style w:type="paragraph" w:customStyle="1" w:styleId="205">
    <w:name w:val="Char Char Char Char1"/>
    <w:basedOn w:val="1"/>
    <w:qFormat/>
    <w:uiPriority w:val="99"/>
    <w:rPr>
      <w:rFonts w:ascii="Tahoma" w:hAnsi="Tahoma"/>
      <w:sz w:val="24"/>
      <w:szCs w:val="20"/>
    </w:rPr>
  </w:style>
  <w:style w:type="paragraph" w:customStyle="1" w:styleId="206">
    <w:name w:val="Char Char Char Char"/>
    <w:basedOn w:val="14"/>
    <w:qFormat/>
    <w:uiPriority w:val="99"/>
    <w:rPr>
      <w:rFonts w:ascii="Tahoma" w:hAnsi="Tahoma"/>
      <w:sz w:val="24"/>
    </w:rPr>
  </w:style>
  <w:style w:type="paragraph" w:customStyle="1" w:styleId="207">
    <w:name w:val="彩色列表 - 强调文字颜色 12"/>
    <w:basedOn w:val="1"/>
    <w:qFormat/>
    <w:uiPriority w:val="99"/>
    <w:pPr>
      <w:ind w:firstLine="420" w:firstLineChars="200"/>
    </w:pPr>
  </w:style>
  <w:style w:type="paragraph" w:customStyle="1" w:styleId="208">
    <w:name w:val="纯文本2"/>
    <w:basedOn w:val="157"/>
    <w:qFormat/>
    <w:uiPriority w:val="99"/>
    <w:pPr>
      <w:widowControl/>
      <w:jc w:val="left"/>
    </w:pPr>
    <w:rPr>
      <w:rFonts w:ascii="宋体" w:hAnsi="Courier New"/>
    </w:rPr>
  </w:style>
  <w:style w:type="paragraph" w:customStyle="1" w:styleId="209">
    <w:name w:val="节"/>
    <w:basedOn w:val="4"/>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10">
    <w:name w:val="标题 60"/>
    <w:basedOn w:val="8"/>
    <w:qFormat/>
    <w:uiPriority w:val="99"/>
    <w:pPr>
      <w:spacing w:line="319" w:lineRule="auto"/>
      <w:ind w:firstLine="200" w:firstLineChars="200"/>
    </w:pPr>
    <w:rPr>
      <w:b w:val="0"/>
      <w:szCs w:val="24"/>
    </w:rPr>
  </w:style>
  <w:style w:type="paragraph" w:customStyle="1" w:styleId="211">
    <w:name w:val="ml3"/>
    <w:basedOn w:val="28"/>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2">
    <w:name w:val="默认段落字体 Para Char Char Char Char Char Char Char"/>
    <w:basedOn w:val="1"/>
    <w:qFormat/>
    <w:uiPriority w:val="99"/>
    <w:rPr>
      <w:rFonts w:ascii="Tahoma" w:hAnsi="Tahoma"/>
      <w:sz w:val="24"/>
      <w:szCs w:val="20"/>
    </w:rPr>
  </w:style>
  <w:style w:type="paragraph" w:customStyle="1" w:styleId="213">
    <w:name w:val="p0"/>
    <w:basedOn w:val="1"/>
    <w:qFormat/>
    <w:uiPriority w:val="99"/>
    <w:pPr>
      <w:widowControl/>
      <w:spacing w:line="360" w:lineRule="auto"/>
    </w:pPr>
    <w:rPr>
      <w:rFonts w:cs="黑体"/>
      <w:kern w:val="0"/>
      <w:szCs w:val="21"/>
    </w:rPr>
  </w:style>
  <w:style w:type="paragraph" w:customStyle="1" w:styleId="214">
    <w:name w:val="保留正文"/>
    <w:basedOn w:val="16"/>
    <w:qFormat/>
    <w:uiPriority w:val="99"/>
    <w:pPr>
      <w:keepNext/>
      <w:spacing w:after="160"/>
    </w:pPr>
  </w:style>
  <w:style w:type="table" w:customStyle="1" w:styleId="215">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专业型1"/>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8">
    <w:name w:val="正文文本 (2)"/>
    <w:basedOn w:val="1"/>
    <w:qFormat/>
    <w:uiPriority w:val="99"/>
    <w:pPr>
      <w:shd w:val="clear" w:color="auto" w:fill="FFFFFF"/>
      <w:spacing w:line="319" w:lineRule="auto"/>
      <w:ind w:firstLine="120"/>
    </w:pPr>
    <w:rPr>
      <w:sz w:val="19"/>
      <w:szCs w:val="19"/>
      <w:lang w:val="zh-CN"/>
    </w:rPr>
  </w:style>
  <w:style w:type="paragraph" w:customStyle="1" w:styleId="219">
    <w:name w:val="正文文本1"/>
    <w:basedOn w:val="1"/>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20">
    <w:name w:val="样式 首行缩进:  2 字符"/>
    <w:basedOn w:val="1"/>
    <w:qFormat/>
    <w:uiPriority w:val="99"/>
    <w:pPr>
      <w:spacing w:line="360" w:lineRule="auto"/>
      <w:ind w:firstLine="480" w:firstLineChars="200"/>
    </w:pPr>
    <w:rPr>
      <w:rFonts w:ascii="宋体" w:hAnsi="宋体" w:cs="宋体"/>
      <w:color w:val="000000"/>
      <w:sz w:val="24"/>
    </w:rPr>
  </w:style>
  <w:style w:type="paragraph" w:customStyle="1" w:styleId="2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2">
    <w:name w:val="表格文字"/>
    <w:basedOn w:val="21"/>
    <w:next w:val="16"/>
    <w:qFormat/>
    <w:uiPriority w:val="0"/>
    <w:pPr>
      <w:spacing w:line="420" w:lineRule="atLeast"/>
    </w:pPr>
    <w:rPr>
      <w:rFonts w:ascii="Times New Roman" w:hAnsi="Times New Roman"/>
      <w:szCs w:val="24"/>
    </w:rPr>
  </w:style>
  <w:style w:type="paragraph" w:customStyle="1" w:styleId="223">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4">
    <w:name w:val="zw1"/>
    <w:basedOn w:val="1"/>
    <w:qFormat/>
    <w:uiPriority w:val="0"/>
    <w:pPr>
      <w:spacing w:line="360" w:lineRule="auto"/>
      <w:ind w:firstLine="560" w:firstLineChars="200"/>
    </w:pPr>
    <w:rPr>
      <w:sz w:val="28"/>
      <w:szCs w:val="20"/>
    </w:rPr>
  </w:style>
  <w:style w:type="paragraph" w:customStyle="1" w:styleId="225">
    <w:name w:val="Body text|1"/>
    <w:basedOn w:val="1"/>
    <w:qFormat/>
    <w:uiPriority w:val="0"/>
    <w:pPr>
      <w:spacing w:line="473" w:lineRule="auto"/>
      <w:ind w:firstLine="400"/>
    </w:pPr>
    <w:rPr>
      <w:rFonts w:ascii="宋体" w:hAnsi="宋体" w:cs="宋体"/>
      <w:sz w:val="20"/>
      <w:szCs w:val="20"/>
      <w:lang w:val="zh-TW" w:eastAsia="zh-TW" w:bidi="zh-TW"/>
    </w:rPr>
  </w:style>
  <w:style w:type="paragraph" w:customStyle="1" w:styleId="226">
    <w:name w:val="Table Paragraph"/>
    <w:basedOn w:val="1"/>
    <w:qFormat/>
    <w:uiPriority w:val="1"/>
    <w:pPr>
      <w:spacing w:before="103"/>
      <w:ind w:left="98"/>
      <w:jc w:val="center"/>
    </w:pPr>
    <w:rPr>
      <w:rFonts w:ascii="宋体" w:hAnsi="宋体" w:cs="宋体"/>
      <w:lang w:eastAsia="en-US" w:bidi="en-US"/>
    </w:rPr>
  </w:style>
  <w:style w:type="character" w:customStyle="1" w:styleId="227">
    <w:name w:val="font11"/>
    <w:basedOn w:val="42"/>
    <w:qFormat/>
    <w:uiPriority w:val="0"/>
    <w:rPr>
      <w:rFonts w:hint="eastAsia" w:ascii="宋体" w:hAnsi="宋体" w:eastAsia="宋体" w:cs="宋体"/>
      <w:color w:val="000000"/>
      <w:sz w:val="20"/>
      <w:szCs w:val="20"/>
      <w:u w:val="none"/>
    </w:rPr>
  </w:style>
  <w:style w:type="character" w:customStyle="1" w:styleId="228">
    <w:name w:val="font71"/>
    <w:basedOn w:val="42"/>
    <w:qFormat/>
    <w:uiPriority w:val="0"/>
    <w:rPr>
      <w:rFonts w:hint="eastAsia" w:ascii="宋体" w:hAnsi="宋体" w:eastAsia="宋体" w:cs="宋体"/>
      <w:color w:val="000000"/>
      <w:sz w:val="20"/>
      <w:szCs w:val="20"/>
      <w:u w:val="none"/>
    </w:rPr>
  </w:style>
  <w:style w:type="paragraph" w:customStyle="1" w:styleId="22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0">
    <w:name w:val="font21"/>
    <w:basedOn w:val="42"/>
    <w:qFormat/>
    <w:uiPriority w:val="0"/>
    <w:rPr>
      <w:rFonts w:hint="eastAsia" w:ascii="微软雅黑" w:hAnsi="微软雅黑" w:eastAsia="微软雅黑" w:cs="微软雅黑"/>
      <w:color w:val="000000"/>
      <w:sz w:val="12"/>
      <w:szCs w:val="12"/>
      <w:u w:val="none"/>
    </w:rPr>
  </w:style>
  <w:style w:type="character" w:customStyle="1" w:styleId="231">
    <w:name w:val="area_1"/>
    <w:qFormat/>
    <w:uiPriority w:val="0"/>
    <w:rPr>
      <w:rFonts w:ascii="宋体" w:hAnsi="宋体"/>
      <w:sz w:val="24"/>
    </w:rPr>
  </w:style>
  <w:style w:type="character" w:customStyle="1" w:styleId="232">
    <w:name w:val="font41"/>
    <w:basedOn w:val="42"/>
    <w:qFormat/>
    <w:uiPriority w:val="0"/>
    <w:rPr>
      <w:rFonts w:hint="eastAsia" w:ascii="宋体" w:hAnsi="宋体" w:eastAsia="宋体" w:cs="宋体"/>
      <w:color w:val="000000"/>
      <w:sz w:val="20"/>
      <w:szCs w:val="20"/>
      <w:u w:val="none"/>
    </w:rPr>
  </w:style>
  <w:style w:type="character" w:customStyle="1" w:styleId="233">
    <w:name w:val="font81"/>
    <w:basedOn w:val="42"/>
    <w:qFormat/>
    <w:uiPriority w:val="0"/>
    <w:rPr>
      <w:rFonts w:hint="eastAsia" w:ascii="宋体" w:hAnsi="宋体" w:eastAsia="宋体" w:cs="宋体"/>
      <w:color w:val="FF0000"/>
      <w:sz w:val="20"/>
      <w:szCs w:val="20"/>
      <w:u w:val="none"/>
    </w:rPr>
  </w:style>
  <w:style w:type="character" w:customStyle="1" w:styleId="234">
    <w:name w:val="font101"/>
    <w:basedOn w:val="42"/>
    <w:qFormat/>
    <w:uiPriority w:val="0"/>
    <w:rPr>
      <w:rFonts w:hint="eastAsia" w:ascii="黑体" w:hAnsi="宋体" w:eastAsia="黑体" w:cs="黑体"/>
      <w:color w:val="000000"/>
      <w:sz w:val="16"/>
      <w:szCs w:val="16"/>
      <w:u w:val="none"/>
    </w:rPr>
  </w:style>
  <w:style w:type="character" w:customStyle="1" w:styleId="235">
    <w:name w:val="font121"/>
    <w:basedOn w:val="42"/>
    <w:qFormat/>
    <w:uiPriority w:val="0"/>
    <w:rPr>
      <w:rFonts w:ascii="华文细黑" w:hAnsi="华文细黑" w:eastAsia="华文细黑" w:cs="华文细黑"/>
      <w:color w:val="000000"/>
      <w:sz w:val="16"/>
      <w:szCs w:val="16"/>
      <w:u w:val="none"/>
    </w:rPr>
  </w:style>
  <w:style w:type="character" w:customStyle="1" w:styleId="236">
    <w:name w:val="font131"/>
    <w:basedOn w:val="42"/>
    <w:qFormat/>
    <w:uiPriority w:val="0"/>
    <w:rPr>
      <w:rFonts w:hint="eastAsia" w:ascii="宋体" w:hAnsi="宋体" w:eastAsia="宋体" w:cs="宋体"/>
      <w:color w:val="000000"/>
      <w:sz w:val="16"/>
      <w:szCs w:val="16"/>
      <w:u w:val="none"/>
    </w:rPr>
  </w:style>
  <w:style w:type="character" w:customStyle="1" w:styleId="237">
    <w:name w:val="font01"/>
    <w:basedOn w:val="42"/>
    <w:qFormat/>
    <w:uiPriority w:val="0"/>
    <w:rPr>
      <w:rFonts w:hint="eastAsia" w:ascii="黑体" w:hAnsi="宋体" w:eastAsia="黑体" w:cs="黑体"/>
      <w:color w:val="000000"/>
      <w:sz w:val="16"/>
      <w:szCs w:val="16"/>
      <w:u w:val="none"/>
    </w:rPr>
  </w:style>
  <w:style w:type="character" w:customStyle="1" w:styleId="238">
    <w:name w:val="font111"/>
    <w:basedOn w:val="42"/>
    <w:qFormat/>
    <w:uiPriority w:val="0"/>
    <w:rPr>
      <w:rFonts w:hint="eastAsia" w:ascii="宋体" w:hAnsi="宋体" w:eastAsia="宋体" w:cs="宋体"/>
      <w:color w:val="000000"/>
      <w:sz w:val="16"/>
      <w:szCs w:val="16"/>
      <w:u w:val="none"/>
    </w:rPr>
  </w:style>
  <w:style w:type="character" w:customStyle="1" w:styleId="239">
    <w:name w:val="font112"/>
    <w:basedOn w:val="42"/>
    <w:qFormat/>
    <w:uiPriority w:val="0"/>
    <w:rPr>
      <w:rFonts w:hint="eastAsia" w:ascii="宋体" w:hAnsi="宋体" w:eastAsia="宋体" w:cs="宋体"/>
      <w:color w:val="000000"/>
      <w:sz w:val="16"/>
      <w:szCs w:val="16"/>
      <w:u w:val="none"/>
    </w:rPr>
  </w:style>
  <w:style w:type="character" w:customStyle="1" w:styleId="240">
    <w:name w:val="font141"/>
    <w:basedOn w:val="42"/>
    <w:qFormat/>
    <w:uiPriority w:val="0"/>
    <w:rPr>
      <w:rFonts w:hint="eastAsia" w:ascii="宋体" w:hAnsi="宋体" w:eastAsia="宋体" w:cs="宋体"/>
      <w:color w:val="000000"/>
      <w:sz w:val="16"/>
      <w:szCs w:val="16"/>
      <w:u w:val="none"/>
    </w:rPr>
  </w:style>
  <w:style w:type="character" w:customStyle="1" w:styleId="241">
    <w:name w:val="font151"/>
    <w:basedOn w:val="42"/>
    <w:qFormat/>
    <w:uiPriority w:val="0"/>
    <w:rPr>
      <w:rFonts w:ascii="华文细黑" w:hAnsi="华文细黑" w:eastAsia="华文细黑" w:cs="华文细黑"/>
      <w:color w:val="000000"/>
      <w:sz w:val="16"/>
      <w:szCs w:val="16"/>
      <w:u w:val="none"/>
    </w:rPr>
  </w:style>
  <w:style w:type="character" w:customStyle="1" w:styleId="242">
    <w:name w:val="font161"/>
    <w:basedOn w:val="42"/>
    <w:qFormat/>
    <w:uiPriority w:val="0"/>
    <w:rPr>
      <w:rFonts w:hint="eastAsia" w:ascii="宋体" w:hAnsi="宋体" w:eastAsia="宋体" w:cs="宋体"/>
      <w:color w:val="000000"/>
      <w:sz w:val="24"/>
      <w:szCs w:val="24"/>
      <w:u w:val="none"/>
    </w:rPr>
  </w:style>
  <w:style w:type="character" w:customStyle="1" w:styleId="243">
    <w:name w:val="font31"/>
    <w:basedOn w:val="42"/>
    <w:qFormat/>
    <w:uiPriority w:val="0"/>
    <w:rPr>
      <w:rFonts w:hint="eastAsia" w:ascii="微软雅黑" w:hAnsi="微软雅黑" w:eastAsia="微软雅黑" w:cs="微软雅黑"/>
      <w:color w:val="000000"/>
      <w:sz w:val="20"/>
      <w:szCs w:val="20"/>
      <w:u w:val="none"/>
    </w:rPr>
  </w:style>
  <w:style w:type="character" w:customStyle="1" w:styleId="244">
    <w:name w:val="font61"/>
    <w:basedOn w:val="42"/>
    <w:qFormat/>
    <w:uiPriority w:val="0"/>
    <w:rPr>
      <w:rFonts w:hint="eastAsia" w:ascii="微软雅黑" w:hAnsi="微软雅黑" w:eastAsia="微软雅黑" w:cs="微软雅黑"/>
      <w:b/>
      <w:bCs/>
      <w:color w:val="FF0000"/>
      <w:sz w:val="20"/>
      <w:szCs w:val="20"/>
      <w:u w:val="none"/>
    </w:rPr>
  </w:style>
  <w:style w:type="character" w:customStyle="1" w:styleId="245">
    <w:name w:val="font51"/>
    <w:basedOn w:val="42"/>
    <w:qFormat/>
    <w:uiPriority w:val="0"/>
    <w:rPr>
      <w:rFonts w:hint="eastAsia" w:ascii="黑体" w:hAnsi="宋体" w:eastAsia="黑体" w:cs="黑体"/>
      <w:color w:val="000000"/>
      <w:sz w:val="20"/>
      <w:szCs w:val="20"/>
      <w:u w:val="none"/>
    </w:rPr>
  </w:style>
  <w:style w:type="paragraph" w:customStyle="1" w:styleId="246">
    <w:name w:val="列出段落3"/>
    <w:basedOn w:val="1"/>
    <w:qFormat/>
    <w:uiPriority w:val="0"/>
    <w:pPr>
      <w:spacing w:line="360" w:lineRule="auto"/>
      <w:ind w:firstLine="420" w:firstLineChars="200"/>
    </w:pPr>
    <w:rPr>
      <w:rFonts w:ascii="Calibri" w:hAnsi="Calibri"/>
      <w:sz w:val="24"/>
      <w:szCs w:val="22"/>
    </w:rPr>
  </w:style>
  <w:style w:type="paragraph" w:customStyle="1" w:styleId="247">
    <w:name w:val="BodyText"/>
    <w:basedOn w:val="1"/>
    <w:next w:val="1"/>
    <w:qFormat/>
    <w:uiPriority w:val="0"/>
    <w:pPr>
      <w:spacing w:after="120"/>
      <w:textAlignment w:val="baseline"/>
    </w:pPr>
    <w:rPr>
      <w:rFonts w:cs="宋体"/>
      <w:szCs w:val="22"/>
    </w:rPr>
  </w:style>
  <w:style w:type="character" w:customStyle="1" w:styleId="248">
    <w:name w:val="NormalCharacter"/>
    <w:qFormat/>
    <w:uiPriority w:val="0"/>
  </w:style>
  <w:style w:type="paragraph" w:customStyle="1" w:styleId="249">
    <w:name w:val="PlainText"/>
    <w:basedOn w:val="1"/>
    <w:qFormat/>
    <w:uiPriority w:val="0"/>
    <w:pPr>
      <w:textAlignment w:val="baseline"/>
    </w:pPr>
    <w:rPr>
      <w:rFonts w:ascii="宋体" w:hAnsi="Courier New" w:eastAsia="仿宋_GB2312" w:cs="宋体"/>
      <w:b/>
      <w:bCs/>
      <w:color w:val="000000"/>
      <w:szCs w:val="22"/>
    </w:rPr>
  </w:style>
  <w:style w:type="table" w:customStyle="1" w:styleId="250">
    <w:name w:val="Table Normal"/>
    <w:semiHidden/>
    <w:unhideWhenUsed/>
    <w:qFormat/>
    <w:uiPriority w:val="0"/>
    <w:tblPr>
      <w:tblCellMar>
        <w:top w:w="0" w:type="dxa"/>
        <w:left w:w="0" w:type="dxa"/>
        <w:bottom w:w="0" w:type="dxa"/>
        <w:right w:w="0" w:type="dxa"/>
      </w:tblCellMar>
    </w:tblPr>
  </w:style>
  <w:style w:type="paragraph" w:customStyle="1" w:styleId="25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2">
    <w:name w:val="纯文本61"/>
    <w:basedOn w:val="181"/>
    <w:qFormat/>
    <w:uiPriority w:val="0"/>
    <w:pPr>
      <w:spacing w:beforeLines="0" w:afterLines="0" w:line="240" w:lineRule="auto"/>
      <w:ind w:firstLine="0" w:firstLineChars="0"/>
      <w:textAlignment w:val="baseline"/>
    </w:pPr>
    <w:rPr>
      <w:rFonts w:ascii="宋体" w:hAnsi="宋体" w:eastAsia="楷体_GB2312"/>
      <w:sz w:val="26"/>
      <w:szCs w:val="24"/>
    </w:rPr>
  </w:style>
  <w:style w:type="character" w:customStyle="1" w:styleId="253">
    <w:name w:val="font91"/>
    <w:basedOn w:val="42"/>
    <w:qFormat/>
    <w:uiPriority w:val="0"/>
    <w:rPr>
      <w:rFonts w:hint="default" w:ascii="Times New Roman" w:hAnsi="Times New Roman" w:cs="Times New Roman"/>
      <w:color w:val="FF0000"/>
      <w:sz w:val="24"/>
      <w:szCs w:val="24"/>
      <w:u w:val="none"/>
    </w:rPr>
  </w:style>
  <w:style w:type="paragraph" w:customStyle="1" w:styleId="254">
    <w:name w:val="List Paragraph1"/>
    <w:basedOn w:val="1"/>
    <w:qFormat/>
    <w:uiPriority w:val="0"/>
    <w:pPr>
      <w:spacing w:line="360" w:lineRule="auto"/>
      <w:ind w:firstLine="420" w:firstLineChars="200"/>
    </w:pPr>
    <w:rPr>
      <w:rFonts w:ascii="等线" w:hAnsi="等线" w:eastAsia="等线" w:cs="等线"/>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4749</Words>
  <Characters>5207</Characters>
  <Lines>230</Lines>
  <Paragraphs>64</Paragraphs>
  <TotalTime>1</TotalTime>
  <ScaleCrop>false</ScaleCrop>
  <LinksUpToDate>false</LinksUpToDate>
  <CharactersWithSpaces>5335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2021-03-19T11:02:00Z</dcterms:created>
  <dc:creator>LCMZX</dc:creator>
  <cp:lastModifiedBy>叶鹏飞       13868755927</cp:lastModifiedBy>
  <cp:lastPrinted>2023-04-23T16:54:00Z</cp:lastPrinted>
  <dcterms:modified xsi:type="dcterms:W3CDTF">2025-01-08T08:13:56Z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2AA2088A1D23447AA2B756C4D0654368_13</vt:lpwstr>
  </property>
  <property fmtid="{D5CDD505-2E9C-101B-9397-08002B2CF9AE}" pid="4" name="commondata">
    <vt:lpwstr>eyJoZGlkIjoiZDRhNzcwYWMxNDc0YjRjN2UxZDk1NTg4ZWEwNTIzZDUifQ==</vt:lpwstr>
  </property>
  <property fmtid="{D5CDD505-2E9C-101B-9397-08002B2CF9AE}" pid="5" name="KSOTemplateDocerSaveRecord">
    <vt:lpwstr>eyJoZGlkIjoiMWM0N2M5YTM0NDE3N2VmZDU4Yjk1YWJjMTY0MWE0YWIiLCJ1c2VySWQiOiI2MzQ4MjYzMzcifQ==</vt:lpwstr>
  </property>
</Properties>
</file>