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spacing w:line="500" w:lineRule="atLeast"/>
        <w:jc w:val="distribute"/>
        <w:textAlignment w:val="bottom"/>
        <w:rPr>
          <w:rFonts w:hint="eastAsia" w:ascii="新宋体" w:hAnsi="新宋体" w:eastAsia="新宋体" w:cs="新宋体"/>
          <w:b/>
          <w:bCs/>
          <w:color w:val="auto"/>
          <w:sz w:val="72"/>
          <w:szCs w:val="72"/>
          <w:highlight w:val="none"/>
        </w:rPr>
      </w:pPr>
      <w:r>
        <w:rPr>
          <w:rFonts w:hint="eastAsia" w:ascii="新宋体" w:hAnsi="新宋体" w:eastAsia="新宋体" w:cs="新宋体"/>
          <w:b/>
          <w:bCs/>
          <w:color w:val="auto"/>
          <w:sz w:val="72"/>
          <w:szCs w:val="72"/>
          <w:highlight w:val="none"/>
        </w:rPr>
        <w:t>温州市</w:t>
      </w:r>
      <w:r>
        <w:rPr>
          <w:rFonts w:hint="eastAsia" w:ascii="新宋体" w:hAnsi="新宋体" w:eastAsia="新宋体" w:cs="新宋体"/>
          <w:b/>
          <w:bCs/>
          <w:color w:val="auto"/>
          <w:sz w:val="72"/>
          <w:szCs w:val="72"/>
          <w:highlight w:val="none"/>
          <w:lang w:eastAsia="zh-CN"/>
        </w:rPr>
        <w:t>鹿城区</w:t>
      </w:r>
      <w:r>
        <w:rPr>
          <w:rFonts w:hint="eastAsia" w:ascii="新宋体" w:hAnsi="新宋体" w:eastAsia="新宋体" w:cs="新宋体"/>
          <w:b/>
          <w:bCs/>
          <w:color w:val="auto"/>
          <w:sz w:val="72"/>
          <w:szCs w:val="72"/>
          <w:highlight w:val="none"/>
        </w:rPr>
        <w:t>政府采购</w:t>
      </w:r>
    </w:p>
    <w:p>
      <w:pPr>
        <w:spacing w:line="400" w:lineRule="atLeast"/>
        <w:rPr>
          <w:rFonts w:hint="eastAsia" w:ascii="新宋体" w:hAnsi="新宋体" w:eastAsia="新宋体" w:cs="新宋体"/>
          <w:b/>
          <w:color w:val="auto"/>
          <w:sz w:val="52"/>
          <w:highlight w:val="none"/>
        </w:rPr>
      </w:pPr>
    </w:p>
    <w:p>
      <w:pPr>
        <w:spacing w:line="400" w:lineRule="atLeast"/>
        <w:jc w:val="center"/>
        <w:rPr>
          <w:rFonts w:hint="eastAsia" w:ascii="新宋体" w:hAnsi="新宋体" w:eastAsia="新宋体" w:cs="新宋体"/>
          <w:b/>
          <w:color w:val="auto"/>
          <w:sz w:val="52"/>
          <w:highlight w:val="none"/>
        </w:rPr>
      </w:pPr>
      <w:r>
        <w:rPr>
          <w:rFonts w:hint="eastAsia" w:ascii="新宋体" w:hAnsi="新宋体" w:eastAsia="新宋体" w:cs="新宋体"/>
          <w:b/>
          <w:color w:val="auto"/>
          <w:kern w:val="2"/>
          <w:sz w:val="52"/>
          <w:szCs w:val="24"/>
          <w:highlight w:val="none"/>
          <w:lang w:val="en-US" w:eastAsia="zh-CN" w:bidi="ar-SA"/>
        </w:rPr>
        <w:pict>
          <v:shape id="Picture 1" o:spid="_x0000_s1034" type="#_x0000_t75" style="height:171.55pt;width:143.6pt;rotation:0f;" o:ole="f" fillcolor="#FFFFFF" filled="f" o:preferrelative="t" stroked="f" coordorigin="0,0" coordsize="21600,21600">
            <v:fill on="f" color2="#FFFFFF" focus="0%"/>
            <v:imagedata gain="65536f" blacklevel="0f" gamma="0" o:title="1715505958557" r:id="rId17"/>
            <o:lock v:ext="edit" position="f" selection="f" grouping="f" rotation="f" cropping="f" text="f" aspectratio="t"/>
            <w10:wrap type="none"/>
            <w10:anchorlock/>
          </v:shape>
        </w:pict>
      </w:r>
    </w:p>
    <w:p>
      <w:pPr>
        <w:spacing w:line="400" w:lineRule="atLeast"/>
        <w:jc w:val="center"/>
        <w:rPr>
          <w:rFonts w:hint="eastAsia" w:ascii="新宋体" w:hAnsi="新宋体" w:eastAsia="新宋体" w:cs="新宋体"/>
          <w:b/>
          <w:color w:val="auto"/>
          <w:sz w:val="52"/>
          <w:highlight w:val="none"/>
        </w:rPr>
      </w:pPr>
    </w:p>
    <w:p>
      <w:pPr>
        <w:spacing w:line="400" w:lineRule="atLeast"/>
        <w:jc w:val="center"/>
        <w:rPr>
          <w:rFonts w:hint="eastAsia" w:ascii="新宋体" w:hAnsi="新宋体" w:eastAsia="新宋体" w:cs="新宋体"/>
          <w:b/>
          <w:bCs/>
          <w:color w:val="auto"/>
          <w:sz w:val="72"/>
          <w:szCs w:val="72"/>
          <w:highlight w:val="none"/>
        </w:rPr>
      </w:pPr>
      <w:r>
        <w:rPr>
          <w:rFonts w:hint="eastAsia" w:ascii="新宋体" w:hAnsi="新宋体" w:eastAsia="新宋体" w:cs="新宋体"/>
          <w:b/>
          <w:bCs/>
          <w:color w:val="auto"/>
          <w:sz w:val="72"/>
          <w:szCs w:val="72"/>
          <w:highlight w:val="none"/>
        </w:rPr>
        <w:t>竞争性磋商文件</w:t>
      </w:r>
    </w:p>
    <w:p>
      <w:pPr>
        <w:spacing w:line="400" w:lineRule="atLeast"/>
        <w:jc w:val="center"/>
        <w:rPr>
          <w:rFonts w:hint="eastAsia" w:ascii="新宋体" w:hAnsi="新宋体" w:eastAsia="新宋体" w:cs="新宋体"/>
          <w:b/>
          <w:color w:val="auto"/>
          <w:sz w:val="32"/>
          <w:highlight w:val="none"/>
        </w:rPr>
      </w:pPr>
    </w:p>
    <w:p>
      <w:pPr>
        <w:spacing w:line="400" w:lineRule="exact"/>
        <w:jc w:val="center"/>
        <w:rPr>
          <w:rFonts w:hint="eastAsia" w:ascii="新宋体" w:hAnsi="新宋体" w:eastAsia="新宋体" w:cs="新宋体"/>
          <w:b/>
          <w:bCs/>
          <w:color w:val="auto"/>
          <w:sz w:val="32"/>
          <w:szCs w:val="32"/>
          <w:highlight w:val="none"/>
        </w:rPr>
      </w:pPr>
    </w:p>
    <w:p>
      <w:pPr>
        <w:tabs>
          <w:tab w:val="left" w:pos="2850"/>
        </w:tabs>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ab/>
      </w:r>
    </w:p>
    <w:p>
      <w:pPr>
        <w:jc w:val="center"/>
        <w:rPr>
          <w:rFonts w:hint="eastAsia" w:ascii="新宋体" w:hAnsi="新宋体" w:eastAsia="新宋体" w:cs="新宋体"/>
          <w:b/>
          <w:bCs/>
          <w:color w:val="auto"/>
          <w:sz w:val="24"/>
          <w:highlight w:val="none"/>
        </w:rPr>
      </w:pPr>
    </w:p>
    <w:p>
      <w:pPr>
        <w:tabs>
          <w:tab w:val="left" w:pos="4860"/>
        </w:tabs>
        <w:spacing w:line="600" w:lineRule="exact"/>
        <w:ind w:right="1143" w:firstLine="1841" w:firstLineChars="483"/>
        <w:jc w:val="left"/>
        <w:rPr>
          <w:rFonts w:hint="eastAsia" w:ascii="新宋体" w:hAnsi="新宋体" w:eastAsia="新宋体" w:cs="新宋体"/>
          <w:b/>
          <w:color w:val="auto"/>
          <w:sz w:val="30"/>
          <w:szCs w:val="30"/>
          <w:highlight w:val="none"/>
          <w:lang w:eastAsia="zh-CN"/>
        </w:rPr>
      </w:pPr>
      <w:r>
        <w:rPr>
          <w:rFonts w:hint="eastAsia" w:ascii="新宋体" w:hAnsi="新宋体" w:eastAsia="新宋体" w:cs="新宋体"/>
          <w:b/>
          <w:color w:val="auto"/>
          <w:spacing w:val="40"/>
          <w:sz w:val="30"/>
          <w:szCs w:val="30"/>
          <w:highlight w:val="none"/>
        </w:rPr>
        <w:t>采购编号</w:t>
      </w:r>
      <w:r>
        <w:rPr>
          <w:rFonts w:hint="eastAsia" w:ascii="新宋体" w:hAnsi="新宋体" w:eastAsia="新宋体" w:cs="新宋体"/>
          <w:b/>
          <w:color w:val="auto"/>
          <w:sz w:val="30"/>
          <w:szCs w:val="30"/>
          <w:highlight w:val="none"/>
        </w:rPr>
        <w:t>：</w:t>
      </w:r>
      <w:r>
        <w:rPr>
          <w:rFonts w:hint="eastAsia" w:ascii="新宋体" w:hAnsi="新宋体" w:eastAsia="新宋体" w:cs="新宋体"/>
          <w:b/>
          <w:color w:val="auto"/>
          <w:sz w:val="30"/>
          <w:szCs w:val="30"/>
          <w:highlight w:val="none"/>
          <w:lang w:val="en-US" w:eastAsia="zh-CN"/>
        </w:rPr>
        <w:t>PLXM-ZC-F20241119</w:t>
      </w:r>
    </w:p>
    <w:p>
      <w:pPr>
        <w:tabs>
          <w:tab w:val="left" w:pos="4253"/>
        </w:tabs>
        <w:spacing w:line="600" w:lineRule="exact"/>
        <w:ind w:left="3683" w:leftChars="868" w:hanging="1860" w:hangingChars="488"/>
        <w:jc w:val="left"/>
        <w:rPr>
          <w:rFonts w:hint="eastAsia" w:ascii="新宋体" w:hAnsi="新宋体" w:eastAsia="新宋体" w:cs="新宋体"/>
          <w:b/>
          <w:color w:val="auto"/>
          <w:sz w:val="30"/>
          <w:szCs w:val="30"/>
          <w:highlight w:val="none"/>
          <w:lang w:eastAsia="zh-CN"/>
        </w:rPr>
      </w:pPr>
      <w:r>
        <w:rPr>
          <w:rFonts w:hint="eastAsia" w:ascii="新宋体" w:hAnsi="新宋体" w:eastAsia="新宋体" w:cs="新宋体"/>
          <w:b/>
          <w:color w:val="auto"/>
          <w:spacing w:val="40"/>
          <w:sz w:val="30"/>
          <w:szCs w:val="30"/>
          <w:highlight w:val="none"/>
        </w:rPr>
        <w:t>项目名称</w:t>
      </w:r>
      <w:r>
        <w:rPr>
          <w:rFonts w:hint="eastAsia" w:ascii="新宋体" w:hAnsi="新宋体" w:eastAsia="新宋体" w:cs="新宋体"/>
          <w:b/>
          <w:color w:val="auto"/>
          <w:sz w:val="30"/>
          <w:szCs w:val="30"/>
          <w:highlight w:val="none"/>
        </w:rPr>
        <w:t>：</w:t>
      </w:r>
      <w:r>
        <w:rPr>
          <w:rFonts w:hint="eastAsia" w:ascii="新宋体" w:hAnsi="新宋体" w:eastAsia="新宋体" w:cs="新宋体"/>
          <w:b/>
          <w:color w:val="auto"/>
          <w:sz w:val="30"/>
          <w:szCs w:val="30"/>
          <w:highlight w:val="none"/>
          <w:lang w:eastAsia="zh-CN"/>
        </w:rPr>
        <w:t>南郊街道办事处食堂菜品配送采购项目</w:t>
      </w:r>
    </w:p>
    <w:p>
      <w:pPr>
        <w:tabs>
          <w:tab w:val="left" w:pos="4253"/>
        </w:tabs>
        <w:spacing w:line="600" w:lineRule="exact"/>
        <w:ind w:left="1823" w:leftChars="868" w:right="1143"/>
        <w:jc w:val="left"/>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采购方式</w:t>
      </w:r>
      <w:r>
        <w:rPr>
          <w:rFonts w:hint="eastAsia" w:ascii="新宋体" w:hAnsi="新宋体" w:eastAsia="新宋体" w:cs="新宋体"/>
          <w:b/>
          <w:color w:val="auto"/>
          <w:sz w:val="30"/>
          <w:szCs w:val="30"/>
          <w:highlight w:val="none"/>
        </w:rPr>
        <w:t>：竞 争 性 磋 商</w:t>
      </w:r>
    </w:p>
    <w:p>
      <w:pPr>
        <w:jc w:val="center"/>
        <w:rPr>
          <w:rFonts w:hint="eastAsia" w:ascii="新宋体" w:hAnsi="新宋体" w:eastAsia="新宋体" w:cs="新宋体"/>
          <w:b/>
          <w:bCs/>
          <w:color w:val="auto"/>
          <w:sz w:val="24"/>
          <w:highlight w:val="none"/>
        </w:rPr>
      </w:pPr>
    </w:p>
    <w:p>
      <w:pPr>
        <w:jc w:val="center"/>
        <w:rPr>
          <w:rFonts w:hint="eastAsia" w:ascii="新宋体" w:hAnsi="新宋体" w:eastAsia="新宋体" w:cs="新宋体"/>
          <w:b/>
          <w:bCs/>
          <w:color w:val="auto"/>
          <w:sz w:val="24"/>
          <w:highlight w:val="none"/>
        </w:rPr>
      </w:pPr>
    </w:p>
    <w:p>
      <w:pPr>
        <w:tabs>
          <w:tab w:val="left" w:pos="5640"/>
        </w:tabs>
        <w:jc w:val="center"/>
        <w:rPr>
          <w:rFonts w:hint="eastAsia" w:ascii="新宋体" w:hAnsi="新宋体" w:eastAsia="新宋体" w:cs="新宋体"/>
          <w:b/>
          <w:bCs/>
          <w:color w:val="auto"/>
          <w:sz w:val="24"/>
          <w:highlight w:val="none"/>
        </w:rPr>
      </w:pPr>
    </w:p>
    <w:p>
      <w:pPr>
        <w:tabs>
          <w:tab w:val="left" w:pos="5640"/>
        </w:tabs>
        <w:jc w:val="center"/>
        <w:rPr>
          <w:rFonts w:hint="eastAsia" w:ascii="新宋体" w:hAnsi="新宋体" w:eastAsia="新宋体" w:cs="新宋体"/>
          <w:b/>
          <w:bCs/>
          <w:color w:val="auto"/>
          <w:sz w:val="24"/>
          <w:highlight w:val="none"/>
        </w:rPr>
      </w:pPr>
    </w:p>
    <w:p>
      <w:pPr>
        <w:spacing w:line="600" w:lineRule="exact"/>
        <w:ind w:firstLine="1440" w:firstLineChars="478"/>
        <w:rPr>
          <w:rFonts w:hint="eastAsia" w:ascii="新宋体" w:hAnsi="新宋体" w:eastAsia="新宋体" w:cs="新宋体"/>
          <w:b/>
          <w:color w:val="auto"/>
          <w:spacing w:val="40"/>
          <w:sz w:val="30"/>
          <w:szCs w:val="30"/>
          <w:highlight w:val="none"/>
          <w:lang w:eastAsia="zh-CN"/>
        </w:rPr>
      </w:pPr>
      <w:r>
        <w:rPr>
          <w:rFonts w:hint="eastAsia" w:ascii="新宋体" w:hAnsi="新宋体" w:eastAsia="新宋体" w:cs="新宋体"/>
          <w:b/>
          <w:color w:val="auto"/>
          <w:sz w:val="30"/>
          <w:szCs w:val="30"/>
          <w:highlight w:val="none"/>
        </w:rPr>
        <w:t>采  购  人：</w:t>
      </w:r>
      <w:r>
        <w:rPr>
          <w:rFonts w:hint="eastAsia" w:ascii="新宋体" w:hAnsi="新宋体" w:eastAsia="新宋体" w:cs="新宋体"/>
          <w:b/>
          <w:color w:val="auto"/>
          <w:spacing w:val="12"/>
          <w:sz w:val="30"/>
          <w:szCs w:val="30"/>
          <w:highlight w:val="none"/>
          <w:lang w:eastAsia="zh-CN"/>
        </w:rPr>
        <w:t>温州市鹿城区人民政府南郊街道办事处</w:t>
      </w:r>
    </w:p>
    <w:p>
      <w:pPr>
        <w:spacing w:line="600" w:lineRule="exact"/>
        <w:ind w:firstLine="1437" w:firstLineChars="377"/>
        <w:rPr>
          <w:rFonts w:hint="eastAsia" w:ascii="新宋体" w:hAnsi="新宋体" w:eastAsia="新宋体" w:cs="新宋体"/>
          <w:b/>
          <w:color w:val="auto"/>
          <w:spacing w:val="12"/>
          <w:sz w:val="30"/>
          <w:szCs w:val="30"/>
          <w:highlight w:val="none"/>
          <w:lang w:eastAsia="zh-CN"/>
        </w:rPr>
      </w:pPr>
      <w:r>
        <w:rPr>
          <w:rFonts w:hint="eastAsia" w:ascii="新宋体" w:hAnsi="新宋体" w:eastAsia="新宋体" w:cs="新宋体"/>
          <w:b/>
          <w:color w:val="auto"/>
          <w:spacing w:val="40"/>
          <w:sz w:val="30"/>
          <w:szCs w:val="30"/>
          <w:highlight w:val="none"/>
        </w:rPr>
        <w:t>采购代理</w:t>
      </w:r>
      <w:r>
        <w:rPr>
          <w:rFonts w:hint="eastAsia" w:ascii="新宋体" w:hAnsi="新宋体" w:eastAsia="新宋体" w:cs="新宋体"/>
          <w:b/>
          <w:color w:val="auto"/>
          <w:spacing w:val="40"/>
          <w:sz w:val="30"/>
          <w:szCs w:val="30"/>
          <w:highlight w:val="none"/>
          <w:lang w:val="en-US" w:eastAsia="zh-CN"/>
        </w:rPr>
        <w:t>机构</w:t>
      </w:r>
      <w:r>
        <w:rPr>
          <w:rFonts w:hint="eastAsia" w:ascii="新宋体" w:hAnsi="新宋体" w:eastAsia="新宋体" w:cs="新宋体"/>
          <w:b/>
          <w:color w:val="auto"/>
          <w:sz w:val="30"/>
          <w:szCs w:val="30"/>
          <w:highlight w:val="none"/>
        </w:rPr>
        <w:t>：</w:t>
      </w:r>
      <w:r>
        <w:rPr>
          <w:rFonts w:hint="eastAsia" w:ascii="新宋体" w:hAnsi="新宋体" w:eastAsia="新宋体" w:cs="新宋体"/>
          <w:b/>
          <w:color w:val="auto"/>
          <w:spacing w:val="12"/>
          <w:sz w:val="30"/>
          <w:szCs w:val="30"/>
          <w:highlight w:val="none"/>
          <w:lang w:eastAsia="zh-CN"/>
        </w:rPr>
        <w:t>温州品立项目管理有限公司</w:t>
      </w:r>
    </w:p>
    <w:p>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四</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十一</w:t>
      </w:r>
      <w:r>
        <w:rPr>
          <w:rFonts w:hint="eastAsia" w:ascii="新宋体" w:hAnsi="新宋体" w:eastAsia="新宋体" w:cs="新宋体"/>
          <w:b/>
          <w:color w:val="auto"/>
          <w:spacing w:val="40"/>
          <w:sz w:val="30"/>
          <w:szCs w:val="30"/>
          <w:highlight w:val="none"/>
        </w:rPr>
        <w:t>月</w:t>
      </w:r>
    </w:p>
    <w:p>
      <w:pPr>
        <w:spacing w:line="600" w:lineRule="exact"/>
        <w:jc w:val="center"/>
        <w:rPr>
          <w:rFonts w:hint="eastAsia" w:ascii="新宋体" w:hAnsi="新宋体" w:eastAsia="新宋体" w:cs="新宋体"/>
          <w:b/>
          <w:bCs/>
          <w:color w:val="auto"/>
          <w:sz w:val="36"/>
          <w:szCs w:val="36"/>
          <w:highlight w:val="none"/>
        </w:rPr>
        <w:sectPr>
          <w:footerReference r:id="rId8" w:type="first"/>
          <w:headerReference r:id="rId4" w:type="default"/>
          <w:footerReference r:id="rId6" w:type="default"/>
          <w:headerReference r:id="rId5" w:type="even"/>
          <w:footerReference r:id="rId7" w:type="even"/>
          <w:pgSz w:w="11906" w:h="16838"/>
          <w:pgMar w:top="1134" w:right="1134" w:bottom="1134" w:left="1134" w:header="851" w:footer="992" w:gutter="0"/>
          <w:pgNumType w:fmt="decimal"/>
          <w:cols w:space="720" w:num="1"/>
          <w:titlePg/>
          <w:docGrid w:linePitch="312" w:charSpace="0"/>
        </w:sectPr>
      </w:pPr>
    </w:p>
    <w:p>
      <w:pPr>
        <w:spacing w:line="600" w:lineRule="exact"/>
        <w:jc w:val="center"/>
        <w:rPr>
          <w:rFonts w:hint="eastAsia" w:ascii="新宋体" w:hAnsi="新宋体" w:eastAsia="新宋体" w:cs="新宋体"/>
          <w:b/>
          <w:bCs/>
          <w:color w:val="auto"/>
          <w:sz w:val="36"/>
          <w:szCs w:val="36"/>
          <w:highlight w:val="none"/>
        </w:rPr>
      </w:pPr>
      <w:r>
        <w:rPr>
          <w:rFonts w:hint="eastAsia" w:ascii="新宋体" w:hAnsi="新宋体" w:eastAsia="新宋体" w:cs="新宋体"/>
          <w:b/>
          <w:bCs/>
          <w:color w:val="auto"/>
          <w:sz w:val="36"/>
          <w:szCs w:val="36"/>
          <w:highlight w:val="none"/>
        </w:rPr>
        <w:t>目    录</w:t>
      </w:r>
    </w:p>
    <w:p>
      <w:pPr>
        <w:spacing w:line="600" w:lineRule="exact"/>
        <w:jc w:val="center"/>
        <w:rPr>
          <w:rFonts w:hint="eastAsia" w:ascii="新宋体" w:hAnsi="新宋体" w:eastAsia="新宋体" w:cs="新宋体"/>
          <w:b/>
          <w:bCs/>
          <w:color w:val="auto"/>
          <w:sz w:val="32"/>
          <w:szCs w:val="32"/>
          <w:highlight w:val="none"/>
        </w:rPr>
      </w:pP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"_Toc17034"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关于</w:t>
      </w:r>
      <w:r>
        <w:rPr>
          <w:rFonts w:hint="eastAsia" w:ascii="新宋体" w:hAnsi="新宋体" w:eastAsia="新宋体" w:cs="新宋体"/>
          <w:color w:val="auto"/>
          <w:sz w:val="22"/>
          <w:szCs w:val="22"/>
          <w:highlight w:val="none"/>
          <w:lang w:eastAsia="zh-CN"/>
        </w:rPr>
        <w:t>南郊街道办事处食堂菜品配送采购项目</w:t>
      </w:r>
      <w:r>
        <w:rPr>
          <w:rFonts w:hint="eastAsia" w:ascii="新宋体" w:hAnsi="新宋体" w:eastAsia="新宋体" w:cs="新宋体"/>
          <w:color w:val="auto"/>
          <w:sz w:val="22"/>
          <w:szCs w:val="22"/>
          <w:highlight w:val="none"/>
        </w:rPr>
        <w:t>的竞争性磋商公告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_Toc17034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"_Toc26377"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第一部分    供应商须知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_Toc26377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"_Toc18758"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一、  供应商须知前附表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_Toc18758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"_Toc12369"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二、说明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_Toc12369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"_Toc6942"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三、 磋商文件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_Toc6942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"_Toc24411"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四、 磋商响应文件的编制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_Toc24411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"_Toc5988"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五、 磋商响应文件的递交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_Toc5988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"_Toc26870"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六、 磋商和评审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_Toc26870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"_Toc12141"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七、定标及授予合同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_Toc12141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"_Toc29173"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第二部分   采购内容及要求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_Toc29173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"_Toc21056"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第三部分   磋商原则及方法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_Toc21056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r>
        <w:rPr>
          <w:rFonts w:hint="eastAsia" w:ascii="新宋体" w:hAnsi="新宋体" w:cs="新宋体"/>
          <w:color w:val="auto"/>
          <w:sz w:val="22"/>
          <w:szCs w:val="22"/>
          <w:highlight w:val="none"/>
          <w:lang w:val="en-US" w:eastAsia="zh-CN"/>
        </w:rPr>
        <w:t>8</w:t>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"_Toc4830"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第四部分   合同格式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_Toc4830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1"/>
        <w:tabs>
          <w:tab w:val="right" w:leader="dot" w:pos="9638"/>
          <w:tab w:val="clear" w:pos="9628"/>
        </w:tabs>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"_Toc27250"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第五部分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_Toc27250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tabs>
          <w:tab w:val="left" w:pos="7110"/>
        </w:tabs>
        <w:spacing w:line="480" w:lineRule="auto"/>
        <w:rPr>
          <w:rFonts w:hint="eastAsia" w:ascii="新宋体" w:hAnsi="新宋体" w:eastAsia="新宋体" w:cs="新宋体"/>
          <w:b/>
          <w:bCs/>
          <w:color w:val="auto"/>
          <w:sz w:val="13"/>
          <w:szCs w:val="13"/>
          <w:highlight w:val="none"/>
        </w:rPr>
      </w:pP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
          <w:bCs/>
          <w:color w:val="auto"/>
          <w:sz w:val="13"/>
          <w:szCs w:val="13"/>
          <w:highlight w:val="none"/>
        </w:rPr>
        <w:tab/>
      </w:r>
    </w:p>
    <w:p>
      <w:pPr>
        <w:tabs>
          <w:tab w:val="left" w:pos="7110"/>
        </w:tabs>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注：磋商文件中</w:t>
      </w:r>
      <w:r>
        <w:rPr>
          <w:rFonts w:hint="eastAsia" w:ascii="新宋体" w:hAnsi="新宋体" w:eastAsia="新宋体" w:cs="新宋体"/>
          <w:b/>
          <w:bCs/>
          <w:color w:val="auto"/>
          <w:szCs w:val="21"/>
          <w:highlight w:val="none"/>
        </w:rPr>
        <w:t>加“▲”且</w:t>
      </w:r>
      <w:r>
        <w:rPr>
          <w:rFonts w:hint="eastAsia" w:ascii="新宋体" w:hAnsi="新宋体" w:eastAsia="新宋体" w:cs="新宋体"/>
          <w:b/>
          <w:bCs/>
          <w:color w:val="auto"/>
          <w:sz w:val="22"/>
          <w:szCs w:val="22"/>
          <w:highlight w:val="none"/>
        </w:rPr>
        <w:t>加下划线的条款，为本次采购的实质性要求和条件，着重提醒各磋商供应商注意，并认真查看磋商文件中的每一个条款及要求，因误读磋商文件而造成的后果，采购人概不负责。</w:t>
      </w:r>
    </w:p>
    <w:p>
      <w:pPr>
        <w:jc w:val="center"/>
        <w:rPr>
          <w:rFonts w:hint="eastAsia" w:ascii="新宋体" w:hAnsi="新宋体" w:eastAsia="新宋体" w:cs="新宋体"/>
          <w:color w:val="auto"/>
          <w:sz w:val="18"/>
          <w:szCs w:val="18"/>
          <w:highlight w:val="none"/>
        </w:rPr>
      </w:pPr>
    </w:p>
    <w:p>
      <w:pPr>
        <w:pStyle w:val="2"/>
        <w:spacing w:before="120" w:after="120"/>
        <w:rPr>
          <w:rFonts w:hint="eastAsia" w:ascii="新宋体" w:hAnsi="新宋体" w:eastAsia="新宋体" w:cs="新宋体"/>
          <w:b w:val="0"/>
          <w:bCs w:val="0"/>
          <w:color w:val="auto"/>
          <w:kern w:val="0"/>
          <w:sz w:val="30"/>
          <w:szCs w:val="30"/>
          <w:highlight w:val="none"/>
        </w:rPr>
      </w:pPr>
      <w:r>
        <w:rPr>
          <w:rFonts w:hint="eastAsia" w:ascii="新宋体" w:hAnsi="新宋体" w:eastAsia="新宋体" w:cs="新宋体"/>
          <w:color w:val="auto"/>
          <w:highlight w:val="none"/>
        </w:rPr>
        <w:br w:type="page"/>
      </w:r>
      <w:bookmarkStart w:id="0" w:name="_Toc15028"/>
      <w:bookmarkStart w:id="1" w:name="_Toc434310670"/>
      <w:bookmarkStart w:id="2" w:name="_Toc477287569"/>
      <w:bookmarkStart w:id="3" w:name="_Toc17034"/>
      <w:r>
        <w:rPr>
          <w:rFonts w:hint="eastAsia" w:ascii="新宋体" w:hAnsi="新宋体" w:eastAsia="新宋体" w:cs="新宋体"/>
          <w:b/>
          <w:bCs/>
          <w:color w:val="auto"/>
          <w:sz w:val="36"/>
          <w:szCs w:val="36"/>
          <w:highlight w:val="none"/>
          <w:lang w:eastAsia="zh-CN"/>
        </w:rPr>
        <w:t>温州品立项目管理有限公司</w:t>
      </w:r>
      <w:r>
        <w:rPr>
          <w:rFonts w:hint="eastAsia" w:ascii="新宋体" w:hAnsi="新宋体" w:eastAsia="新宋体" w:cs="新宋体"/>
          <w:b/>
          <w:bCs/>
          <w:color w:val="auto"/>
          <w:sz w:val="36"/>
          <w:szCs w:val="36"/>
          <w:highlight w:val="none"/>
        </w:rPr>
        <w:t>关于</w:t>
      </w:r>
      <w:r>
        <w:rPr>
          <w:rFonts w:hint="eastAsia" w:ascii="新宋体" w:hAnsi="新宋体" w:eastAsia="新宋体" w:cs="新宋体"/>
          <w:b/>
          <w:bCs/>
          <w:color w:val="auto"/>
          <w:sz w:val="36"/>
          <w:szCs w:val="36"/>
          <w:highlight w:val="none"/>
          <w:lang w:eastAsia="zh-CN"/>
        </w:rPr>
        <w:t>南郊街道办事处食堂菜品配送采购项目</w:t>
      </w:r>
      <w:r>
        <w:rPr>
          <w:rFonts w:hint="eastAsia" w:ascii="新宋体" w:hAnsi="新宋体" w:eastAsia="新宋体" w:cs="新宋体"/>
          <w:b/>
          <w:bCs/>
          <w:color w:val="auto"/>
          <w:sz w:val="36"/>
          <w:szCs w:val="36"/>
          <w:highlight w:val="none"/>
        </w:rPr>
        <w:t>的竞争性磋商公告</w:t>
      </w:r>
      <w:bookmarkEnd w:id="0"/>
      <w:bookmarkEnd w:id="1"/>
      <w:bookmarkEnd w:id="2"/>
      <w:bookmarkEnd w:id="3"/>
    </w:p>
    <w:p>
      <w:pPr>
        <w:widowControl/>
        <w:spacing w:before="60" w:after="60" w:line="360" w:lineRule="exact"/>
        <w:ind w:left="61" w:leftChars="29" w:right="60" w:firstLine="440" w:firstLineChars="200"/>
        <w:jc w:val="left"/>
        <w:rPr>
          <w:rFonts w:hint="eastAsia" w:ascii="新宋体" w:hAnsi="新宋体" w:eastAsia="新宋体" w:cs="新宋体"/>
          <w:color w:val="auto"/>
          <w:kern w:val="0"/>
          <w:sz w:val="22"/>
          <w:szCs w:val="22"/>
          <w:highlight w:val="none"/>
        </w:rPr>
      </w:pPr>
    </w:p>
    <w:p>
      <w:pPr>
        <w:pBdr>
          <w:top w:val="single" w:color="auto" w:sz="4" w:space="1"/>
          <w:left w:val="single" w:color="auto" w:sz="4" w:space="4"/>
          <w:bottom w:val="single" w:color="auto" w:sz="4" w:space="1"/>
          <w:right w:val="single" w:color="auto" w:sz="4" w:space="4"/>
        </w:pBdr>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南郊街道办事处食堂菜品配送采购项目</w:t>
      </w:r>
      <w:r>
        <w:rPr>
          <w:rFonts w:hint="eastAsia" w:ascii="新宋体" w:hAnsi="新宋体" w:eastAsia="新宋体" w:cs="新宋体"/>
          <w:color w:val="auto"/>
          <w:sz w:val="22"/>
          <w:szCs w:val="22"/>
          <w:highlight w:val="none"/>
          <w:u w:val="single"/>
        </w:rPr>
        <w:t>的潜在供应商应在政采云平台（www.zcygov.cn）获取（下载）磋商文件，并于</w:t>
      </w:r>
      <w:r>
        <w:rPr>
          <w:rFonts w:hint="eastAsia" w:ascii="新宋体" w:hAnsi="新宋体" w:eastAsia="新宋体" w:cs="新宋体"/>
          <w:color w:val="auto"/>
          <w:sz w:val="22"/>
          <w:szCs w:val="22"/>
          <w:highlight w:val="none"/>
          <w:u w:val="single"/>
          <w:lang w:eastAsia="zh-CN"/>
        </w:rPr>
        <w:t>2024年12月2日</w:t>
      </w:r>
      <w:r>
        <w:rPr>
          <w:rFonts w:hint="eastAsia" w:ascii="新宋体" w:hAnsi="新宋体" w:eastAsia="新宋体" w:cs="新宋体"/>
          <w:color w:val="auto"/>
          <w:sz w:val="22"/>
          <w:szCs w:val="22"/>
          <w:highlight w:val="none"/>
          <w:u w:val="single"/>
          <w:lang w:val="en-US" w:eastAsia="zh-CN"/>
        </w:rPr>
        <w:t>14：30</w:t>
      </w:r>
      <w:r>
        <w:rPr>
          <w:rFonts w:hint="eastAsia" w:ascii="新宋体" w:hAnsi="新宋体" w:eastAsia="新宋体" w:cs="新宋体"/>
          <w:color w:val="auto"/>
          <w:sz w:val="22"/>
          <w:szCs w:val="22"/>
          <w:highlight w:val="none"/>
          <w:u w:val="single"/>
        </w:rPr>
        <w:t>（北京时间）前提交（上传）响应文件。</w:t>
      </w:r>
    </w:p>
    <w:p>
      <w:pPr>
        <w:widowControl/>
        <w:spacing w:before="60" w:after="60" w:line="360" w:lineRule="exact"/>
        <w:ind w:left="60"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一、项目基本情况</w:t>
      </w:r>
    </w:p>
    <w:p>
      <w:pPr>
        <w:widowControl/>
        <w:spacing w:before="60" w:after="60" w:line="360" w:lineRule="exact"/>
        <w:ind w:left="60" w:right="60"/>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rPr>
        <w:t xml:space="preserve">    项目编号：</w:t>
      </w:r>
      <w:r>
        <w:rPr>
          <w:rFonts w:hint="eastAsia" w:ascii="新宋体" w:hAnsi="新宋体" w:eastAsia="新宋体" w:cs="新宋体"/>
          <w:bCs/>
          <w:color w:val="auto"/>
          <w:kern w:val="0"/>
          <w:sz w:val="22"/>
          <w:szCs w:val="22"/>
          <w:highlight w:val="none"/>
          <w:lang w:eastAsia="zh-CN"/>
        </w:rPr>
        <w:t>PLXM-ZC-F20241119</w:t>
      </w:r>
    </w:p>
    <w:p>
      <w:pPr>
        <w:widowControl/>
        <w:spacing w:before="60" w:after="60" w:line="360" w:lineRule="exact"/>
        <w:ind w:left="60" w:right="60"/>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rPr>
        <w:t xml:space="preserve">    项目名称：</w:t>
      </w:r>
      <w:r>
        <w:rPr>
          <w:rFonts w:hint="eastAsia" w:ascii="新宋体" w:hAnsi="新宋体" w:eastAsia="新宋体" w:cs="新宋体"/>
          <w:bCs/>
          <w:color w:val="auto"/>
          <w:kern w:val="0"/>
          <w:sz w:val="22"/>
          <w:szCs w:val="22"/>
          <w:highlight w:val="none"/>
          <w:lang w:eastAsia="zh-CN"/>
        </w:rPr>
        <w:t>南郊街道办事处食堂菜品配送采购项目</w:t>
      </w:r>
    </w:p>
    <w:p>
      <w:pPr>
        <w:widowControl/>
        <w:spacing w:before="60" w:after="60" w:line="360" w:lineRule="exact"/>
        <w:ind w:left="60" w:right="60" w:firstLine="44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采购方式：竞争性磋商 </w:t>
      </w:r>
    </w:p>
    <w:p>
      <w:pPr>
        <w:widowControl/>
        <w:spacing w:before="60" w:after="60" w:line="360" w:lineRule="exact"/>
        <w:ind w:left="60" w:right="60" w:firstLine="440"/>
        <w:jc w:val="left"/>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rPr>
        <w:t>预算金额（元）：</w:t>
      </w:r>
      <w:r>
        <w:rPr>
          <w:rFonts w:hint="eastAsia" w:ascii="新宋体" w:hAnsi="新宋体" w:eastAsia="新宋体" w:cs="新宋体"/>
          <w:bCs/>
          <w:color w:val="auto"/>
          <w:kern w:val="0"/>
          <w:sz w:val="22"/>
          <w:szCs w:val="22"/>
          <w:highlight w:val="none"/>
          <w:lang w:val="en-US" w:eastAsia="zh-CN"/>
        </w:rPr>
        <w:t>864000</w:t>
      </w:r>
    </w:p>
    <w:p>
      <w:pPr>
        <w:widowControl/>
        <w:spacing w:before="60" w:after="60" w:line="360" w:lineRule="exact"/>
        <w:ind w:left="60" w:right="60"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简要规格描述：</w:t>
      </w:r>
      <w:r>
        <w:rPr>
          <w:rFonts w:hint="eastAsia" w:ascii="新宋体" w:hAnsi="新宋体" w:eastAsia="新宋体" w:cs="新宋体"/>
          <w:bCs/>
          <w:color w:val="auto"/>
          <w:kern w:val="0"/>
          <w:sz w:val="22"/>
          <w:szCs w:val="22"/>
          <w:highlight w:val="none"/>
          <w:lang w:eastAsia="zh-CN"/>
        </w:rPr>
        <w:t>南郊街道办事处食堂菜品配送采购项目</w:t>
      </w:r>
      <w:r>
        <w:rPr>
          <w:rFonts w:hint="eastAsia" w:ascii="新宋体" w:hAnsi="新宋体" w:eastAsia="新宋体" w:cs="新宋体"/>
          <w:bCs/>
          <w:color w:val="auto"/>
          <w:kern w:val="0"/>
          <w:sz w:val="22"/>
          <w:szCs w:val="22"/>
          <w:highlight w:val="none"/>
        </w:rPr>
        <w:t>，具体采购内容及要求详见磋商文件相关部分</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 xml:space="preserve"> </w:t>
      </w:r>
    </w:p>
    <w:p>
      <w:pPr>
        <w:pStyle w:val="15"/>
        <w:ind w:firstLine="440"/>
        <w:rPr>
          <w:rFonts w:hint="eastAsia" w:ascii="新宋体" w:hAnsi="新宋体" w:eastAsia="新宋体" w:cs="新宋体"/>
          <w:color w:val="auto"/>
          <w:highlight w:val="none"/>
        </w:rPr>
      </w:pPr>
      <w:r>
        <w:rPr>
          <w:rFonts w:hint="eastAsia" w:ascii="新宋体" w:hAnsi="新宋体" w:eastAsia="新宋体" w:cs="新宋体"/>
          <w:i w:val="0"/>
          <w:iCs w:val="0"/>
          <w:caps w:val="0"/>
          <w:color w:val="auto"/>
          <w:spacing w:val="0"/>
          <w:sz w:val="22"/>
          <w:szCs w:val="22"/>
          <w:highlight w:val="none"/>
        </w:rPr>
        <w:t>备注：</w:t>
      </w:r>
      <w:r>
        <w:rPr>
          <w:rFonts w:hint="eastAsia" w:ascii="新宋体" w:hAnsi="新宋体" w:eastAsia="新宋体" w:cs="新宋体"/>
          <w:i w:val="0"/>
          <w:iCs w:val="0"/>
          <w:caps w:val="0"/>
          <w:color w:val="auto"/>
          <w:spacing w:val="0"/>
          <w:sz w:val="22"/>
          <w:szCs w:val="22"/>
          <w:highlight w:val="none"/>
          <w:lang w:val="en-US" w:eastAsia="zh-CN"/>
        </w:rPr>
        <w:t>无。</w:t>
      </w:r>
    </w:p>
    <w:p>
      <w:pPr>
        <w:widowControl/>
        <w:spacing w:before="60" w:after="60" w:line="36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合同履约期限：</w:t>
      </w:r>
      <w:r>
        <w:rPr>
          <w:rFonts w:hint="eastAsia" w:ascii="新宋体" w:hAnsi="新宋体" w:eastAsia="新宋体" w:cs="新宋体"/>
          <w:color w:val="auto"/>
          <w:spacing w:val="-4"/>
          <w:sz w:val="22"/>
          <w:szCs w:val="22"/>
          <w:highlight w:val="none"/>
        </w:rPr>
        <w:t>1年</w:t>
      </w:r>
      <w:r>
        <w:rPr>
          <w:rFonts w:hint="eastAsia" w:ascii="新宋体" w:hAnsi="新宋体" w:eastAsia="新宋体" w:cs="新宋体"/>
          <w:bCs/>
          <w:color w:val="auto"/>
          <w:kern w:val="0"/>
          <w:sz w:val="22"/>
          <w:szCs w:val="22"/>
          <w:highlight w:val="none"/>
        </w:rPr>
        <w:t xml:space="preserve">。   </w:t>
      </w:r>
    </w:p>
    <w:p>
      <w:pPr>
        <w:widowControl/>
        <w:spacing w:before="60" w:after="60" w:line="360" w:lineRule="exact"/>
        <w:ind w:left="60" w:right="60"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本项目（否）接受联合体投标。</w:t>
      </w:r>
    </w:p>
    <w:p>
      <w:pPr>
        <w:widowControl/>
        <w:spacing w:before="60" w:after="60" w:line="360" w:lineRule="exact"/>
        <w:ind w:left="60" w:right="60" w:firstLine="44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二、申请人的资格要求</w:t>
      </w:r>
    </w:p>
    <w:p>
      <w:pPr>
        <w:widowControl/>
        <w:spacing w:before="60" w:after="60" w:line="360" w:lineRule="exact"/>
        <w:ind w:left="708" w:leftChars="285" w:right="60" w:hanging="110" w:hangingChars="5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pPr>
        <w:widowControl/>
        <w:spacing w:before="60" w:after="60" w:line="360" w:lineRule="exact"/>
        <w:ind w:left="708" w:leftChars="285" w:right="60" w:hanging="110" w:hangingChars="50"/>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rPr>
        <w:t>2.落实政府采购政策需满足的资格要求：</w:t>
      </w:r>
      <w:r>
        <w:rPr>
          <w:rFonts w:hint="eastAsia" w:ascii="新宋体" w:hAnsi="新宋体" w:eastAsia="新宋体" w:cs="新宋体"/>
          <w:b/>
          <w:bCs w:val="0"/>
          <w:color w:val="auto"/>
          <w:kern w:val="0"/>
          <w:sz w:val="22"/>
          <w:szCs w:val="22"/>
          <w:highlight w:val="none"/>
        </w:rPr>
        <w:t>本项目为专门面向中小企业采购的项目，供应商为中小企业/小微企业或监狱企业或残疾人福利企业</w:t>
      </w:r>
      <w:r>
        <w:rPr>
          <w:rFonts w:hint="eastAsia" w:ascii="新宋体" w:hAnsi="新宋体" w:eastAsia="新宋体" w:cs="新宋体"/>
          <w:bCs/>
          <w:color w:val="auto"/>
          <w:kern w:val="0"/>
          <w:sz w:val="22"/>
          <w:szCs w:val="22"/>
          <w:highlight w:val="none"/>
          <w:lang w:eastAsia="zh-CN"/>
        </w:rPr>
        <w:t>。</w:t>
      </w:r>
    </w:p>
    <w:p>
      <w:pPr>
        <w:widowControl/>
        <w:spacing w:before="60" w:after="60" w:line="360" w:lineRule="exact"/>
        <w:ind w:left="708" w:leftChars="285" w:right="60" w:hanging="110" w:hangingChars="5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3.本项目的特定资格要求：</w:t>
      </w:r>
      <w:r>
        <w:rPr>
          <w:rFonts w:hint="eastAsia" w:ascii="新宋体" w:hAnsi="新宋体" w:eastAsia="新宋体" w:cs="新宋体"/>
          <w:b/>
          <w:bCs w:val="0"/>
          <w:color w:val="auto"/>
          <w:kern w:val="0"/>
          <w:sz w:val="22"/>
          <w:szCs w:val="22"/>
          <w:highlight w:val="none"/>
        </w:rPr>
        <w:t>具有有效的食品经营许可证</w:t>
      </w:r>
      <w:r>
        <w:rPr>
          <w:rFonts w:hint="eastAsia" w:ascii="新宋体" w:hAnsi="新宋体" w:eastAsia="新宋体" w:cs="新宋体"/>
          <w:bCs/>
          <w:color w:val="auto"/>
          <w:kern w:val="0"/>
          <w:sz w:val="22"/>
          <w:szCs w:val="22"/>
          <w:highlight w:val="none"/>
        </w:rPr>
        <w:t>。</w:t>
      </w:r>
    </w:p>
    <w:p>
      <w:pPr>
        <w:widowControl/>
        <w:spacing w:before="60" w:after="60" w:line="360" w:lineRule="exact"/>
        <w:ind w:left="60"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三、获取（下载）采购文件</w:t>
      </w:r>
    </w:p>
    <w:p>
      <w:pPr>
        <w:widowControl/>
        <w:spacing w:before="60" w:after="60" w:line="360" w:lineRule="exact"/>
        <w:ind w:right="60" w:firstLine="44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1.时间：公告发布之日起至</w:t>
      </w:r>
      <w:r>
        <w:rPr>
          <w:rFonts w:hint="eastAsia" w:ascii="新宋体" w:hAnsi="新宋体" w:eastAsia="新宋体" w:cs="新宋体"/>
          <w:color w:val="auto"/>
          <w:kern w:val="0"/>
          <w:sz w:val="22"/>
          <w:szCs w:val="22"/>
          <w:highlight w:val="none"/>
          <w:lang w:eastAsia="zh-CN"/>
        </w:rPr>
        <w:t>2024年12月2日</w:t>
      </w:r>
      <w:r>
        <w:rPr>
          <w:rFonts w:hint="eastAsia" w:ascii="新宋体" w:hAnsi="新宋体" w:eastAsia="新宋体" w:cs="新宋体"/>
          <w:color w:val="auto"/>
          <w:kern w:val="0"/>
          <w:sz w:val="22"/>
          <w:szCs w:val="22"/>
          <w:highlight w:val="none"/>
        </w:rPr>
        <w:t xml:space="preserve"> ，每天上午00:00至12:00 ，下午12:00至23:59（北京时间，线上获取法定节假日均可，线下获取文件法定节假日除外）。</w:t>
      </w:r>
    </w:p>
    <w:p>
      <w:pPr>
        <w:widowControl/>
        <w:spacing w:before="60" w:after="60" w:line="360" w:lineRule="exact"/>
        <w:ind w:right="60" w:firstLine="44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2.地点：在政采云平台（www.zcygov.cn）。</w:t>
      </w:r>
    </w:p>
    <w:p>
      <w:pPr>
        <w:widowControl/>
        <w:spacing w:before="60" w:after="60" w:line="360" w:lineRule="exact"/>
        <w:ind w:right="60" w:firstLine="44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3.方式：</w:t>
      </w:r>
      <w:r>
        <w:rPr>
          <w:rFonts w:hint="eastAsia" w:ascii="新宋体" w:hAnsi="新宋体" w:eastAsia="新宋体" w:cs="新宋体"/>
          <w:color w:val="auto"/>
          <w:sz w:val="22"/>
          <w:szCs w:val="22"/>
          <w:highlight w:val="none"/>
        </w:rPr>
        <w:t>潜在供应商登陆政采云平台</w:t>
      </w:r>
      <w:r>
        <w:rPr>
          <w:rFonts w:hint="eastAsia" w:ascii="新宋体" w:hAnsi="新宋体" w:eastAsia="新宋体" w:cs="新宋体"/>
          <w:color w:val="auto"/>
          <w:kern w:val="0"/>
          <w:sz w:val="22"/>
          <w:szCs w:val="22"/>
          <w:highlight w:val="none"/>
        </w:rPr>
        <w:t>（www.zcygov.cn）</w:t>
      </w:r>
      <w:r>
        <w:rPr>
          <w:rFonts w:hint="eastAsia" w:ascii="新宋体" w:hAnsi="新宋体" w:eastAsia="新宋体" w:cs="新宋体"/>
          <w:color w:val="auto"/>
          <w:sz w:val="22"/>
          <w:szCs w:val="22"/>
          <w:highlight w:val="none"/>
        </w:rPr>
        <w:t>，在线申请获取采购文件（进入“项目采购”应用，在获取采购文件菜单中选择项目，申请获取采购文件；仅需浏览采购文件的供应商可点击“游客，浏览采购文件”直接下载采购文件浏览）。</w:t>
      </w:r>
    </w:p>
    <w:p>
      <w:pPr>
        <w:widowControl/>
        <w:spacing w:before="60" w:after="60" w:line="360" w:lineRule="exact"/>
        <w:ind w:right="60" w:firstLine="440"/>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pPr>
        <w:widowControl/>
        <w:spacing w:before="60" w:after="60" w:line="360" w:lineRule="exact"/>
        <w:ind w:right="60" w:firstLine="44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color w:val="auto"/>
          <w:kern w:val="0"/>
          <w:sz w:val="22"/>
          <w:szCs w:val="22"/>
          <w:highlight w:val="none"/>
        </w:rPr>
        <w:t>4．售价（元）：0</w:t>
      </w:r>
    </w:p>
    <w:p>
      <w:pPr>
        <w:widowControl/>
        <w:spacing w:before="60" w:after="60" w:line="360" w:lineRule="exact"/>
        <w:ind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四、响应文件提交（上传） </w:t>
      </w:r>
    </w:p>
    <w:p>
      <w:pPr>
        <w:widowControl/>
        <w:spacing w:before="60" w:after="60" w:line="360" w:lineRule="exact"/>
        <w:ind w:right="60" w:firstLine="44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截止时间：</w:t>
      </w:r>
      <w:r>
        <w:rPr>
          <w:rFonts w:hint="eastAsia" w:ascii="新宋体" w:hAnsi="新宋体" w:eastAsia="新宋体" w:cs="新宋体"/>
          <w:color w:val="auto"/>
          <w:sz w:val="22"/>
          <w:szCs w:val="22"/>
          <w:highlight w:val="none"/>
          <w:lang w:eastAsia="zh-CN"/>
        </w:rPr>
        <w:t>2024年12月2日</w:t>
      </w:r>
      <w:r>
        <w:rPr>
          <w:rFonts w:hint="eastAsia" w:ascii="新宋体" w:hAnsi="新宋体" w:eastAsia="新宋体" w:cs="新宋体"/>
          <w:color w:val="auto"/>
          <w:sz w:val="22"/>
          <w:szCs w:val="22"/>
          <w:highlight w:val="none"/>
          <w:lang w:val="en-US" w:eastAsia="zh-CN"/>
        </w:rPr>
        <w:t>14：30</w:t>
      </w:r>
      <w:r>
        <w:rPr>
          <w:rFonts w:hint="eastAsia" w:ascii="新宋体" w:hAnsi="新宋体" w:eastAsia="新宋体" w:cs="新宋体"/>
          <w:color w:val="auto"/>
          <w:sz w:val="22"/>
          <w:szCs w:val="22"/>
          <w:highlight w:val="none"/>
        </w:rPr>
        <w:t>（北京时间）</w:t>
      </w:r>
    </w:p>
    <w:p>
      <w:pPr>
        <w:widowControl/>
        <w:spacing w:before="60" w:after="60" w:line="360" w:lineRule="exact"/>
        <w:ind w:right="60" w:firstLine="44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地点（网址）：请登录政采云投标客户端投标  </w:t>
      </w:r>
    </w:p>
    <w:p>
      <w:pPr>
        <w:widowControl/>
        <w:spacing w:before="60" w:after="60" w:line="360" w:lineRule="exact"/>
        <w:ind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五、响应文件开启 </w:t>
      </w:r>
    </w:p>
    <w:p>
      <w:pPr>
        <w:widowControl/>
        <w:spacing w:before="60" w:after="60" w:line="360" w:lineRule="exact"/>
        <w:ind w:right="60" w:firstLine="44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开启时间：</w:t>
      </w:r>
      <w:r>
        <w:rPr>
          <w:rFonts w:hint="eastAsia" w:ascii="新宋体" w:hAnsi="新宋体" w:eastAsia="新宋体" w:cs="新宋体"/>
          <w:color w:val="auto"/>
          <w:sz w:val="22"/>
          <w:szCs w:val="22"/>
          <w:highlight w:val="none"/>
          <w:lang w:eastAsia="zh-CN"/>
        </w:rPr>
        <w:t>2024年12月2日</w:t>
      </w:r>
      <w:r>
        <w:rPr>
          <w:rFonts w:hint="eastAsia" w:ascii="新宋体" w:hAnsi="新宋体" w:eastAsia="新宋体" w:cs="新宋体"/>
          <w:color w:val="auto"/>
          <w:sz w:val="22"/>
          <w:szCs w:val="22"/>
          <w:highlight w:val="none"/>
          <w:lang w:val="en-US" w:eastAsia="zh-CN"/>
        </w:rPr>
        <w:t>14：30</w:t>
      </w:r>
      <w:r>
        <w:rPr>
          <w:rFonts w:hint="eastAsia" w:ascii="新宋体" w:hAnsi="新宋体" w:eastAsia="新宋体" w:cs="新宋体"/>
          <w:color w:val="auto"/>
          <w:sz w:val="22"/>
          <w:szCs w:val="22"/>
          <w:highlight w:val="none"/>
        </w:rPr>
        <w:t> （北京时间）</w:t>
      </w:r>
    </w:p>
    <w:p>
      <w:pPr>
        <w:pStyle w:val="36"/>
        <w:widowControl/>
        <w:wordWrap/>
        <w:adjustRightInd/>
        <w:snapToGrid/>
        <w:spacing w:before="75" w:beforeAutospacing="0" w:after="75" w:afterAutospacing="0" w:line="400" w:lineRule="exact"/>
        <w:ind w:left="0" w:right="0" w:firstLine="440" w:firstLineChars="20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地点（网址）：在政府采购云平台（https://www.zcygov.cn）上开启磋商响应文件；</w:t>
      </w:r>
    </w:p>
    <w:p>
      <w:pPr>
        <w:pStyle w:val="36"/>
        <w:widowControl/>
        <w:wordWrap/>
        <w:adjustRightInd/>
        <w:snapToGrid/>
        <w:spacing w:before="75" w:beforeAutospacing="0" w:after="75" w:afterAutospacing="0" w:line="400" w:lineRule="exact"/>
        <w:ind w:left="0" w:right="0"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lang w:val="en-US" w:eastAsia="zh-CN" w:bidi="ar-SA"/>
        </w:rPr>
        <w:t>开标时间后30分钟内，磋商供应商须登录政府采购云平台，用“项目采购-开标评标”功能解密磋商响应文件（线上）。 </w:t>
      </w:r>
      <w:r>
        <w:rPr>
          <w:rFonts w:hint="eastAsia" w:ascii="新宋体" w:hAnsi="新宋体" w:eastAsia="新宋体" w:cs="新宋体"/>
          <w:color w:val="auto"/>
          <w:sz w:val="22"/>
          <w:szCs w:val="22"/>
          <w:highlight w:val="none"/>
        </w:rPr>
        <w:t> </w:t>
      </w:r>
      <w:r>
        <w:rPr>
          <w:rFonts w:hint="eastAsia" w:ascii="新宋体" w:hAnsi="新宋体" w:eastAsia="新宋体" w:cs="新宋体"/>
          <w:i w:val="0"/>
          <w:iCs w:val="0"/>
          <w:caps w:val="0"/>
          <w:color w:val="auto"/>
          <w:spacing w:val="0"/>
          <w:sz w:val="22"/>
          <w:szCs w:val="22"/>
          <w:highlight w:val="none"/>
        </w:rPr>
        <w:t> </w:t>
      </w:r>
    </w:p>
    <w:p>
      <w:pPr>
        <w:widowControl/>
        <w:spacing w:before="60" w:after="60" w:line="360" w:lineRule="exact"/>
        <w:ind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六、公告期限</w:t>
      </w:r>
    </w:p>
    <w:p>
      <w:pPr>
        <w:widowControl/>
        <w:spacing w:before="60" w:after="60" w:line="360" w:lineRule="exact"/>
        <w:ind w:left="61" w:leftChars="29" w:right="60" w:firstLine="323" w:firstLineChars="147"/>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自本公告发布之日起3个工作日。</w:t>
      </w:r>
    </w:p>
    <w:p>
      <w:pPr>
        <w:widowControl/>
        <w:numPr>
          <w:ilvl w:val="0"/>
          <w:numId w:val="1"/>
        </w:numPr>
        <w:spacing w:before="60" w:after="60" w:line="360" w:lineRule="exact"/>
        <w:ind w:left="60"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其他补充事宜</w:t>
      </w:r>
    </w:p>
    <w:p>
      <w:pPr>
        <w:pStyle w:val="36"/>
        <w:widowControl/>
        <w:spacing w:before="255" w:beforeAutospacing="0" w:after="255" w:afterAutospacing="0" w:line="300" w:lineRule="atLeast"/>
        <w:ind w:left="0" w:right="0" w:firstLine="420"/>
        <w:jc w:val="both"/>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6"/>
        <w:widowControl/>
        <w:spacing w:before="255" w:beforeAutospacing="0" w:after="255" w:afterAutospacing="0" w:line="300" w:lineRule="atLeast"/>
        <w:ind w:left="0" w:right="0" w:firstLine="420"/>
        <w:jc w:val="both"/>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6"/>
        <w:widowControl/>
        <w:spacing w:before="75" w:beforeAutospacing="0" w:after="75" w:afterAutospacing="0" w:line="315" w:lineRule="atLeast"/>
        <w:ind w:left="0" w:right="0" w:firstLine="42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3.其他事项： </w:t>
      </w:r>
    </w:p>
    <w:p>
      <w:pPr>
        <w:widowControl/>
        <w:numPr>
          <w:numId w:val="0"/>
        </w:numPr>
        <w:spacing w:line="240" w:lineRule="auto"/>
        <w:ind w:leftChars="0" w:right="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lang w:val="zh-CN" w:eastAsia="zh-CN" w:bidi="ar-SA"/>
        </w:rPr>
        <w:t>（</w:t>
      </w:r>
      <w:r>
        <w:rPr>
          <w:rFonts w:hint="eastAsia" w:ascii="新宋体" w:hAnsi="新宋体" w:eastAsia="新宋体" w:cs="新宋体"/>
          <w:color w:val="auto"/>
          <w:kern w:val="0"/>
          <w:sz w:val="22"/>
          <w:szCs w:val="22"/>
          <w:highlight w:val="none"/>
          <w:lang w:val="en-US" w:eastAsia="zh-CN" w:bidi="ar-SA"/>
        </w:rPr>
        <w:t>1</w:t>
      </w:r>
      <w:r>
        <w:rPr>
          <w:rFonts w:hint="eastAsia" w:ascii="新宋体" w:hAnsi="新宋体" w:eastAsia="新宋体" w:cs="新宋体"/>
          <w:color w:val="auto"/>
          <w:kern w:val="0"/>
          <w:sz w:val="22"/>
          <w:szCs w:val="22"/>
          <w:highlight w:val="none"/>
          <w:lang w:val="zh-CN" w:eastAsia="zh-CN" w:bidi="ar-SA"/>
        </w:rPr>
        <w:t>）</w:t>
      </w:r>
      <w:r>
        <w:rPr>
          <w:rFonts w:hint="eastAsia" w:ascii="新宋体" w:hAnsi="新宋体" w:eastAsia="新宋体" w:cs="新宋体"/>
          <w:bCs/>
          <w:color w:val="auto"/>
          <w:kern w:val="0"/>
          <w:sz w:val="22"/>
          <w:szCs w:val="22"/>
          <w:highlight w:val="none"/>
        </w:rPr>
        <w:t>本项目通过“政采云平台（www.zcygov.cn）”实行在线投标响应（电子投标），供应商应按照本磋商文件和“政采云平台”的要求，编制并加密磋商响应文件。电子投标具体操作流程详见《供应商项目采购-电子招投标操作指南》，如遇技术问题详询</w:t>
      </w:r>
      <w:r>
        <w:rPr>
          <w:rFonts w:hint="eastAsia" w:ascii="新宋体" w:hAnsi="新宋体" w:eastAsia="新宋体" w:cs="新宋体"/>
          <w:bCs/>
          <w:color w:val="auto"/>
          <w:kern w:val="0"/>
          <w:sz w:val="22"/>
          <w:szCs w:val="22"/>
          <w:highlight w:val="none"/>
          <w:lang w:eastAsia="zh-CN"/>
        </w:rPr>
        <w:t>95763</w:t>
      </w:r>
      <w:r>
        <w:rPr>
          <w:rFonts w:hint="eastAsia" w:ascii="新宋体" w:hAnsi="新宋体" w:eastAsia="新宋体" w:cs="新宋体"/>
          <w:bCs/>
          <w:color w:val="auto"/>
          <w:kern w:val="0"/>
          <w:sz w:val="22"/>
          <w:szCs w:val="22"/>
          <w:highlight w:val="none"/>
        </w:rPr>
        <w:t>。</w:t>
      </w:r>
    </w:p>
    <w:p>
      <w:pPr>
        <w:widowControl/>
        <w:numPr>
          <w:numId w:val="0"/>
        </w:numPr>
        <w:spacing w:line="240" w:lineRule="auto"/>
        <w:ind w:leftChars="0" w:right="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eastAsia="zh-CN" w:bidi="ar-SA"/>
        </w:rPr>
        <w:t>（</w:t>
      </w:r>
      <w:r>
        <w:rPr>
          <w:rFonts w:hint="eastAsia" w:ascii="新宋体" w:hAnsi="新宋体" w:eastAsia="新宋体" w:cs="新宋体"/>
          <w:color w:val="auto"/>
          <w:kern w:val="0"/>
          <w:sz w:val="22"/>
          <w:szCs w:val="22"/>
          <w:highlight w:val="none"/>
          <w:lang w:val="en-US" w:eastAsia="zh-CN" w:bidi="ar-SA"/>
        </w:rPr>
        <w:t>2</w:t>
      </w:r>
      <w:r>
        <w:rPr>
          <w:rFonts w:hint="eastAsia" w:ascii="新宋体" w:hAnsi="新宋体" w:eastAsia="新宋体" w:cs="新宋体"/>
          <w:color w:val="auto"/>
          <w:kern w:val="0"/>
          <w:sz w:val="22"/>
          <w:szCs w:val="22"/>
          <w:highlight w:val="none"/>
          <w:lang w:val="zh-CN" w:eastAsia="zh-CN" w:bidi="ar-SA"/>
        </w:rPr>
        <w:t>）</w:t>
      </w:r>
      <w:r>
        <w:rPr>
          <w:rFonts w:hint="eastAsia" w:ascii="新宋体" w:hAnsi="新宋体" w:eastAsia="新宋体" w:cs="新宋体"/>
          <w:color w:val="auto"/>
          <w:highlight w:val="none"/>
          <w:lang w:val="zh-CN"/>
        </w:rPr>
        <w:t>为支持和促进中小企业发展</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zh-CN"/>
        </w:rPr>
        <w:t>进一步发挥政府采购政策功能</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zh-CN"/>
        </w:rPr>
        <w:t>温州市财政局出台了《温州市财政局关于温州市政府采购支持中小企业信用融资的通知》</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zh-CN"/>
        </w:rPr>
        <w:t>温财采〔</w:t>
      </w:r>
      <w:r>
        <w:rPr>
          <w:rFonts w:hint="eastAsia" w:ascii="新宋体" w:hAnsi="新宋体" w:eastAsia="新宋体" w:cs="新宋体"/>
          <w:color w:val="auto"/>
          <w:highlight w:val="none"/>
        </w:rPr>
        <w:t>2020</w:t>
      </w:r>
      <w:r>
        <w:rPr>
          <w:rFonts w:hint="eastAsia" w:ascii="新宋体" w:hAnsi="新宋体" w:eastAsia="新宋体" w:cs="新宋体"/>
          <w:color w:val="auto"/>
          <w:highlight w:val="none"/>
          <w:lang w:val="zh-CN"/>
        </w:rPr>
        <w:t>〕</w:t>
      </w:r>
      <w:r>
        <w:rPr>
          <w:rFonts w:hint="eastAsia" w:ascii="新宋体" w:hAnsi="新宋体" w:eastAsia="新宋体" w:cs="新宋体"/>
          <w:color w:val="auto"/>
          <w:highlight w:val="none"/>
        </w:rPr>
        <w:t>3</w:t>
      </w:r>
      <w:r>
        <w:rPr>
          <w:rFonts w:hint="eastAsia" w:ascii="新宋体" w:hAnsi="新宋体" w:eastAsia="新宋体" w:cs="新宋体"/>
          <w:color w:val="auto"/>
          <w:highlight w:val="none"/>
          <w:lang w:val="zh-CN"/>
        </w:rPr>
        <w:t>号</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zh-CN"/>
        </w:rPr>
        <w:t>供应商若有融资意向</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zh-CN"/>
        </w:rPr>
        <w:t>可直接登录</w:t>
      </w:r>
      <w:r>
        <w:rPr>
          <w:rFonts w:hint="eastAsia" w:ascii="新宋体" w:hAnsi="新宋体" w:eastAsia="新宋体" w:cs="新宋体"/>
          <w:color w:val="auto"/>
          <w:highlight w:val="none"/>
        </w:rPr>
        <w:t>http://jinrong.zcygov.cn，</w:t>
      </w:r>
      <w:r>
        <w:rPr>
          <w:rFonts w:hint="eastAsia" w:ascii="新宋体" w:hAnsi="新宋体" w:eastAsia="新宋体" w:cs="新宋体"/>
          <w:color w:val="auto"/>
          <w:highlight w:val="none"/>
          <w:lang w:val="zh-CN"/>
        </w:rPr>
        <w:t>查看信用融资政策文件及各相关银行服务方案</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zh-CN"/>
        </w:rPr>
        <w:t>也可直接向各银行咨询相关业务。</w:t>
      </w:r>
    </w:p>
    <w:p>
      <w:pPr>
        <w:pStyle w:val="36"/>
        <w:widowControl/>
        <w:spacing w:before="0" w:beforeAutospacing="0" w:after="0" w:afterAutospacing="0" w:line="240" w:lineRule="auto"/>
        <w:ind w:left="0" w:right="0" w:firstLine="0"/>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eastAsia="zh-CN" w:bidi="ar-SA"/>
        </w:rPr>
        <w:t>（</w:t>
      </w:r>
      <w:r>
        <w:rPr>
          <w:rFonts w:hint="eastAsia" w:ascii="新宋体" w:hAnsi="新宋体" w:eastAsia="新宋体" w:cs="新宋体"/>
          <w:color w:val="auto"/>
          <w:kern w:val="0"/>
          <w:sz w:val="22"/>
          <w:szCs w:val="22"/>
          <w:highlight w:val="none"/>
          <w:lang w:val="en-US" w:eastAsia="zh-CN" w:bidi="ar-SA"/>
        </w:rPr>
        <w:t>3</w:t>
      </w:r>
      <w:r>
        <w:rPr>
          <w:rFonts w:hint="eastAsia" w:ascii="新宋体" w:hAnsi="新宋体" w:eastAsia="新宋体" w:cs="新宋体"/>
          <w:color w:val="auto"/>
          <w:kern w:val="0"/>
          <w:sz w:val="22"/>
          <w:szCs w:val="22"/>
          <w:highlight w:val="none"/>
          <w:lang w:val="zh-CN" w:eastAsia="zh-CN" w:bidi="ar-SA"/>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jc w:val="both"/>
        <w:rPr>
          <w:rFonts w:hint="eastAsia" w:ascii="新宋体" w:hAnsi="新宋体" w:eastAsia="新宋体" w:cs="新宋体"/>
          <w:color w:val="auto"/>
          <w:highlight w:val="none"/>
        </w:rPr>
      </w:pPr>
    </w:p>
    <w:p>
      <w:pPr>
        <w:widowControl/>
        <w:spacing w:before="60" w:after="60" w:line="360" w:lineRule="exact"/>
        <w:ind w:left="60"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八、凡</w:t>
      </w:r>
      <w:r>
        <w:rPr>
          <w:rFonts w:hint="eastAsia" w:ascii="新宋体" w:hAnsi="新宋体" w:eastAsia="新宋体" w:cs="新宋体"/>
          <w:b/>
          <w:bCs/>
          <w:color w:val="auto"/>
          <w:kern w:val="0"/>
          <w:sz w:val="22"/>
          <w:szCs w:val="22"/>
          <w:highlight w:val="none"/>
        </w:rPr>
        <w:t>对本次采购提出询问、质疑、投诉，请按以下方式联系</w:t>
      </w:r>
    </w:p>
    <w:p>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Cs w:val="21"/>
          <w:highlight w:val="non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1.采购人信息</w:t>
      </w:r>
    </w:p>
    <w:p>
      <w:pPr>
        <w:spacing w:line="5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 xml:space="preserve">    名称：</w:t>
      </w:r>
      <w:r>
        <w:rPr>
          <w:rFonts w:hint="eastAsia" w:ascii="新宋体" w:hAnsi="新宋体" w:eastAsia="新宋体" w:cs="新宋体"/>
          <w:color w:val="auto"/>
          <w:kern w:val="2"/>
          <w:sz w:val="22"/>
          <w:szCs w:val="22"/>
          <w:highlight w:val="none"/>
          <w:lang w:eastAsia="zh-CN"/>
        </w:rPr>
        <w:t>温州市鹿城区人民政府南郊街道办事处</w:t>
      </w:r>
    </w:p>
    <w:p>
      <w:pPr>
        <w:spacing w:line="500" w:lineRule="exact"/>
        <w:ind w:firstLine="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w:t>
      </w:r>
      <w:r>
        <w:rPr>
          <w:rFonts w:hint="eastAsia" w:ascii="新宋体" w:hAnsi="新宋体" w:eastAsia="新宋体" w:cs="新宋体"/>
          <w:color w:val="auto"/>
          <w:kern w:val="2"/>
          <w:sz w:val="22"/>
          <w:szCs w:val="22"/>
          <w:highlight w:val="none"/>
          <w:lang w:eastAsia="zh-CN"/>
        </w:rPr>
        <w:t xml:space="preserve">址：温州市鹿城区温州大道洛河路10号    </w:t>
      </w:r>
    </w:p>
    <w:p>
      <w:pPr>
        <w:spacing w:line="500" w:lineRule="exact"/>
        <w:ind w:firstLine="440"/>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kern w:val="2"/>
          <w:sz w:val="22"/>
          <w:szCs w:val="22"/>
          <w:highlight w:val="none"/>
          <w:lang w:val="en-US" w:eastAsia="zh-CN"/>
        </w:rPr>
        <w:t xml:space="preserve"> 蔡女士</w:t>
      </w:r>
    </w:p>
    <w:p>
      <w:pPr>
        <w:spacing w:line="500" w:lineRule="exact"/>
        <w:ind w:firstLine="440"/>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2"/>
          <w:highlight w:val="none"/>
        </w:rPr>
        <w:t>项目联系方式（询问）：</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kern w:val="2"/>
          <w:sz w:val="22"/>
          <w:szCs w:val="22"/>
          <w:highlight w:val="none"/>
          <w:lang w:val="en-US" w:eastAsia="zh-CN"/>
        </w:rPr>
        <w:t>577-56573922</w:t>
      </w:r>
    </w:p>
    <w:p>
      <w:pPr>
        <w:spacing w:line="500" w:lineRule="exact"/>
        <w:ind w:firstLine="440" w:firstLineChars="200"/>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质疑联系人：鲁先生</w:t>
      </w:r>
    </w:p>
    <w:p>
      <w:pPr>
        <w:spacing w:line="500" w:lineRule="exact"/>
        <w:ind w:firstLine="440"/>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质疑联系方式：0577-55573968</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             </w:t>
      </w:r>
    </w:p>
    <w:p>
      <w:pPr>
        <w:spacing w:line="50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温州市鹿城区锦绣路19号宏嘉大厦2幢2005室</w:t>
      </w:r>
      <w:r>
        <w:rPr>
          <w:rFonts w:hint="eastAsia" w:ascii="新宋体" w:hAnsi="新宋体" w:eastAsia="新宋体" w:cs="新宋体"/>
          <w:color w:val="auto"/>
          <w:sz w:val="22"/>
          <w:szCs w:val="22"/>
          <w:highlight w:val="none"/>
        </w:rPr>
        <w:t>             </w:t>
      </w:r>
    </w:p>
    <w:p>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邵海勇、泮赛琼</w:t>
      </w:r>
      <w:r>
        <w:rPr>
          <w:rFonts w:hint="eastAsia" w:ascii="新宋体" w:hAnsi="新宋体" w:eastAsia="新宋体" w:cs="新宋体"/>
          <w:color w:val="auto"/>
          <w:sz w:val="22"/>
          <w:szCs w:val="22"/>
          <w:highlight w:val="none"/>
        </w:rPr>
        <w:t>              </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w:t>
      </w:r>
      <w:r>
        <w:rPr>
          <w:rFonts w:hint="eastAsia" w:ascii="新宋体" w:hAnsi="新宋体" w:eastAsia="新宋体" w:cs="新宋体"/>
          <w:color w:val="auto"/>
          <w:sz w:val="22"/>
          <w:szCs w:val="22"/>
          <w:highlight w:val="none"/>
          <w:lang w:eastAsia="zh-CN"/>
        </w:rPr>
        <w:t>18967751006、18158772688</w:t>
      </w:r>
      <w:r>
        <w:rPr>
          <w:rFonts w:hint="eastAsia" w:ascii="新宋体" w:hAnsi="新宋体" w:eastAsia="新宋体" w:cs="新宋体"/>
          <w:color w:val="auto"/>
          <w:sz w:val="22"/>
          <w:szCs w:val="22"/>
          <w:highlight w:val="none"/>
        </w:rPr>
        <w:t> </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潘晓洁</w:t>
      </w:r>
      <w:r>
        <w:rPr>
          <w:rFonts w:hint="eastAsia" w:ascii="新宋体" w:hAnsi="新宋体" w:eastAsia="新宋体" w:cs="新宋体"/>
          <w:color w:val="auto"/>
          <w:sz w:val="22"/>
          <w:szCs w:val="22"/>
          <w:highlight w:val="none"/>
        </w:rPr>
        <w:t>             </w:t>
      </w:r>
    </w:p>
    <w:p>
      <w:pPr>
        <w:spacing w:line="500" w:lineRule="exact"/>
        <w:ind w:firstLine="440" w:firstLineChars="200"/>
        <w:rPr>
          <w:rFonts w:hint="eastAsia" w:ascii="新宋体" w:hAnsi="新宋体" w:eastAsia="新宋体" w:cs="新宋体"/>
          <w:i w:val="0"/>
          <w:iCs w:val="0"/>
          <w:caps w:val="0"/>
          <w:color w:val="auto"/>
          <w:spacing w:val="0"/>
          <w:sz w:val="27"/>
          <w:szCs w:val="27"/>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15267758672</w:t>
      </w:r>
      <w:r>
        <w:rPr>
          <w:rFonts w:hint="eastAsia" w:ascii="新宋体" w:hAnsi="新宋体" w:eastAsia="新宋体" w:cs="新宋体"/>
          <w:color w:val="auto"/>
          <w:sz w:val="22"/>
          <w:szCs w:val="22"/>
          <w:highlight w:val="none"/>
        </w:rPr>
        <w:t> 　　　</w:t>
      </w:r>
      <w:r>
        <w:rPr>
          <w:rFonts w:hint="eastAsia" w:ascii="新宋体" w:hAnsi="新宋体" w:eastAsia="新宋体" w:cs="新宋体"/>
          <w:i w:val="0"/>
          <w:iCs w:val="0"/>
          <w:caps w:val="0"/>
          <w:color w:val="auto"/>
          <w:spacing w:val="0"/>
          <w:sz w:val="27"/>
          <w:szCs w:val="27"/>
          <w:highlight w:val="none"/>
        </w:rPr>
        <w:t>　</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3.同级政府采购监督管理部门 </w:t>
      </w:r>
    </w:p>
    <w:p>
      <w:pPr>
        <w:spacing w:line="50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温州市鹿城区财政局</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kern w:val="0"/>
          <w:sz w:val="22"/>
          <w:szCs w:val="22"/>
          <w:highlight w:val="none"/>
          <w:lang w:eastAsia="zh-CN"/>
        </w:rPr>
        <w:t>温州江滨西路552号博林大厦2楼</w:t>
      </w:r>
    </w:p>
    <w:p>
      <w:pPr>
        <w:spacing w:line="50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联系人 ：</w:t>
      </w:r>
      <w:r>
        <w:rPr>
          <w:rFonts w:hint="eastAsia" w:ascii="新宋体" w:hAnsi="新宋体" w:eastAsia="新宋体" w:cs="新宋体"/>
          <w:color w:val="auto"/>
          <w:sz w:val="22"/>
          <w:szCs w:val="22"/>
          <w:highlight w:val="none"/>
          <w:lang w:eastAsia="zh-CN"/>
        </w:rPr>
        <w:t>黄女士、朱先生 </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w:t>
      </w:r>
      <w:r>
        <w:rPr>
          <w:rFonts w:hint="eastAsia" w:ascii="新宋体" w:hAnsi="新宋体" w:eastAsia="新宋体" w:cs="新宋体"/>
          <w:color w:val="auto"/>
          <w:kern w:val="0"/>
          <w:sz w:val="22"/>
          <w:szCs w:val="22"/>
          <w:highlight w:val="none"/>
          <w:lang w:eastAsia="zh-CN"/>
        </w:rPr>
        <w:t>0577-88359173</w:t>
      </w:r>
    </w:p>
    <w:p>
      <w:pPr>
        <w:widowControl/>
        <w:spacing w:before="60" w:after="60" w:line="400" w:lineRule="exact"/>
        <w:ind w:left="61" w:leftChars="29" w:right="60" w:firstLine="440" w:firstLineChars="200"/>
        <w:jc w:val="left"/>
        <w:rPr>
          <w:rFonts w:hint="eastAsia" w:ascii="新宋体" w:hAnsi="新宋体" w:eastAsia="新宋体" w:cs="新宋体"/>
          <w:color w:val="auto"/>
          <w:kern w:val="0"/>
          <w:sz w:val="22"/>
          <w:szCs w:val="22"/>
          <w:highlight w:val="none"/>
        </w:rPr>
      </w:pPr>
    </w:p>
    <w:p>
      <w:pPr>
        <w:widowControl/>
        <w:spacing w:before="75" w:after="75"/>
        <w:jc w:val="left"/>
        <w:rPr>
          <w:rFonts w:hint="eastAsia" w:ascii="新宋体" w:hAnsi="新宋体" w:eastAsia="新宋体" w:cs="新宋体"/>
          <w:color w:val="auto"/>
          <w:kern w:val="0"/>
          <w:sz w:val="22"/>
          <w:szCs w:val="22"/>
          <w:highlight w:val="none"/>
        </w:rPr>
      </w:pPr>
    </w:p>
    <w:p>
      <w:pPr>
        <w:widowControl/>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若对项目采购电子交易系统操作有疑问，可登录政采云（https://www.zcygov.cn/），点击右侧咨询小采，获取采小蜜智能服务管家帮助，或拨打政采云服务热线</w:t>
      </w:r>
      <w:r>
        <w:rPr>
          <w:rFonts w:hint="eastAsia" w:ascii="新宋体" w:hAnsi="新宋体" w:eastAsia="新宋体" w:cs="新宋体"/>
          <w:color w:val="auto"/>
          <w:kern w:val="0"/>
          <w:sz w:val="22"/>
          <w:szCs w:val="22"/>
          <w:highlight w:val="none"/>
          <w:lang w:val="en-US" w:eastAsia="zh-CN"/>
        </w:rPr>
        <w:t>95763</w:t>
      </w:r>
      <w:r>
        <w:rPr>
          <w:rFonts w:hint="eastAsia" w:ascii="新宋体" w:hAnsi="新宋体" w:eastAsia="新宋体" w:cs="新宋体"/>
          <w:color w:val="auto"/>
          <w:kern w:val="0"/>
          <w:sz w:val="22"/>
          <w:szCs w:val="22"/>
          <w:highlight w:val="none"/>
        </w:rPr>
        <w:t>获取热线服务帮助。       </w:t>
      </w:r>
    </w:p>
    <w:p>
      <w:pPr>
        <w:widowControl/>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CA问题联系电话（人工）：汇信CA 400-888-4636；天谷CA 400-087-8198。</w:t>
      </w:r>
    </w:p>
    <w:p>
      <w:pPr>
        <w:widowControl/>
        <w:spacing w:before="60" w:after="60" w:line="400" w:lineRule="exact"/>
        <w:ind w:left="61" w:leftChars="29" w:right="60" w:firstLine="440" w:firstLineChars="200"/>
        <w:jc w:val="left"/>
        <w:rPr>
          <w:rFonts w:hint="eastAsia" w:ascii="新宋体" w:hAnsi="新宋体" w:eastAsia="新宋体" w:cs="新宋体"/>
          <w:color w:val="auto"/>
          <w:kern w:val="0"/>
          <w:sz w:val="22"/>
          <w:szCs w:val="22"/>
          <w:highlight w:val="none"/>
        </w:rPr>
      </w:pPr>
    </w:p>
    <w:p>
      <w:pPr>
        <w:widowControl/>
        <w:spacing w:line="360" w:lineRule="exact"/>
        <w:ind w:firstLine="420" w:firstLineChars="200"/>
        <w:jc w:val="left"/>
        <w:rPr>
          <w:rFonts w:hint="eastAsia" w:ascii="新宋体" w:hAnsi="新宋体" w:eastAsia="新宋体" w:cs="新宋体"/>
          <w:color w:val="auto"/>
          <w:kern w:val="0"/>
          <w:szCs w:val="21"/>
          <w:highlight w:val="none"/>
        </w:rPr>
      </w:pPr>
      <w:bookmarkStart w:id="4" w:name="_Toc221356881"/>
      <w:bookmarkStart w:id="5" w:name="_Toc246261260"/>
      <w:bookmarkStart w:id="6" w:name="_Toc262049413"/>
      <w:bookmarkStart w:id="7" w:name="_Toc222114874"/>
      <w:bookmarkStart w:id="8" w:name="_Toc249758859"/>
      <w:bookmarkStart w:id="9" w:name="_Toc262105498"/>
      <w:bookmarkStart w:id="10" w:name="_Toc221423614"/>
      <w:bookmarkStart w:id="11" w:name="_Toc249758707"/>
      <w:bookmarkStart w:id="12" w:name="_Toc223715993"/>
      <w:bookmarkStart w:id="13" w:name="_Toc245722276"/>
      <w:bookmarkStart w:id="14" w:name="_Toc241404197"/>
      <w:bookmarkStart w:id="15" w:name="_Toc245191309"/>
      <w:bookmarkStart w:id="16" w:name="_Toc221356946"/>
      <w:bookmarkStart w:id="17" w:name="_Toc239145349"/>
      <w:bookmarkStart w:id="18" w:name="_Toc221374621"/>
    </w:p>
    <w:p>
      <w:pPr>
        <w:widowControl/>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pStyle w:val="2"/>
        <w:spacing w:before="120" w:after="120"/>
        <w:rPr>
          <w:rFonts w:hint="eastAsia" w:ascii="新宋体" w:hAnsi="新宋体" w:eastAsia="新宋体" w:cs="新宋体"/>
          <w:color w:val="auto"/>
          <w:sz w:val="36"/>
          <w:szCs w:val="36"/>
          <w:highlight w:val="none"/>
        </w:rPr>
      </w:pPr>
      <w:bookmarkStart w:id="19" w:name="_Toc221423615"/>
      <w:bookmarkStart w:id="20" w:name="_Toc221356947"/>
      <w:bookmarkStart w:id="21" w:name="_Toc26377"/>
      <w:bookmarkStart w:id="22" w:name="_Toc221356882"/>
      <w:bookmarkStart w:id="23" w:name="_Toc246261261"/>
      <w:bookmarkStart w:id="24" w:name="_Toc262105499"/>
      <w:bookmarkStart w:id="25" w:name="_Toc245722277"/>
      <w:bookmarkStart w:id="26" w:name="_Toc223715994"/>
      <w:bookmarkStart w:id="27" w:name="_Toc245191310"/>
      <w:bookmarkStart w:id="28" w:name="_Toc262049414"/>
      <w:bookmarkStart w:id="29" w:name="_Toc239145350"/>
      <w:bookmarkStart w:id="30" w:name="_Toc221374622"/>
      <w:bookmarkStart w:id="31" w:name="_Toc222114875"/>
      <w:bookmarkStart w:id="32" w:name="_Toc241404198"/>
      <w:bookmarkStart w:id="33" w:name="_Toc249758708"/>
      <w:bookmarkStart w:id="34" w:name="_Toc249758860"/>
      <w:r>
        <w:rPr>
          <w:rFonts w:hint="eastAsia" w:ascii="新宋体" w:hAnsi="新宋体" w:eastAsia="新宋体" w:cs="新宋体"/>
          <w:color w:val="auto"/>
          <w:sz w:val="36"/>
          <w:szCs w:val="36"/>
          <w:highlight w:val="none"/>
        </w:rPr>
        <w:t>第一部分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2"/>
        <w:spacing w:before="120" w:after="120"/>
        <w:rPr>
          <w:rFonts w:hint="eastAsia" w:ascii="新宋体" w:hAnsi="新宋体" w:eastAsia="新宋体" w:cs="新宋体"/>
          <w:color w:val="auto"/>
          <w:sz w:val="26"/>
          <w:szCs w:val="26"/>
          <w:highlight w:val="none"/>
        </w:rPr>
      </w:pPr>
      <w:bookmarkStart w:id="35" w:name="_Toc18758"/>
      <w:bookmarkStart w:id="36" w:name="_Toc262105500"/>
      <w:bookmarkStart w:id="37" w:name="_Toc239145351"/>
      <w:bookmarkStart w:id="38" w:name="_Toc262049415"/>
      <w:bookmarkStart w:id="39" w:name="_Toc221356948"/>
      <w:bookmarkStart w:id="40" w:name="_Toc249758861"/>
      <w:bookmarkStart w:id="41" w:name="_Toc245722278"/>
      <w:bookmarkStart w:id="42" w:name="_Toc222114876"/>
      <w:bookmarkStart w:id="43" w:name="_Toc221374623"/>
      <w:bookmarkStart w:id="44" w:name="_Toc221423616"/>
      <w:bookmarkStart w:id="45" w:name="_Toc249758709"/>
      <w:bookmarkStart w:id="46" w:name="_Toc223715995"/>
      <w:bookmarkStart w:id="47" w:name="_Toc246261262"/>
      <w:bookmarkStart w:id="48" w:name="_Toc221356883"/>
      <w:bookmarkStart w:id="49" w:name="_Toc245191311"/>
      <w:bookmarkStart w:id="50" w:name="_Toc241404199"/>
      <w:r>
        <w:rPr>
          <w:rFonts w:hint="eastAsia" w:ascii="新宋体" w:hAnsi="新宋体" w:eastAsia="新宋体" w:cs="新宋体"/>
          <w:color w:val="auto"/>
          <w:sz w:val="26"/>
          <w:szCs w:val="26"/>
          <w:highlight w:val="none"/>
        </w:rPr>
        <w:t xml:space="preserve">一、  </w:t>
      </w:r>
      <w:bookmarkStart w:id="51" w:name="_Toc27051"/>
      <w:r>
        <w:rPr>
          <w:rFonts w:hint="eastAsia" w:ascii="新宋体" w:hAnsi="新宋体" w:eastAsia="新宋体" w:cs="新宋体"/>
          <w:color w:val="auto"/>
          <w:sz w:val="26"/>
          <w:szCs w:val="26"/>
          <w:highlight w:val="none"/>
        </w:rPr>
        <w:t>供应商须知前附表</w:t>
      </w:r>
      <w:bookmarkEnd w:id="35"/>
      <w:bookmarkEnd w:id="51"/>
    </w:p>
    <w:tbl>
      <w:tblPr>
        <w:tblStyle w:val="45"/>
        <w:tblW w:w="98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518"/>
        <w:gridCol w:w="7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序号</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条款名称</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采购人</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sz w:val="22"/>
                <w:szCs w:val="22"/>
                <w:highlight w:val="none"/>
              </w:rPr>
              <w:t>采购人：</w:t>
            </w:r>
            <w:r>
              <w:rPr>
                <w:rFonts w:hint="eastAsia" w:ascii="新宋体" w:hAnsi="新宋体" w:eastAsia="新宋体" w:cs="新宋体"/>
                <w:color w:val="auto"/>
                <w:kern w:val="0"/>
                <w:sz w:val="22"/>
                <w:szCs w:val="22"/>
                <w:highlight w:val="none"/>
                <w:lang w:eastAsia="zh-CN"/>
              </w:rPr>
              <w:t>温州市鹿城区人民政府南郊街道办事处</w:t>
            </w:r>
          </w:p>
          <w:p>
            <w:pPr>
              <w:widowControl/>
              <w:spacing w:before="60" w:after="60" w:line="360" w:lineRule="exact"/>
              <w:ind w:right="6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联系人：</w:t>
            </w:r>
            <w:r>
              <w:rPr>
                <w:rFonts w:hint="eastAsia" w:ascii="新宋体" w:hAnsi="新宋体" w:eastAsia="新宋体" w:cs="新宋体"/>
                <w:color w:val="auto"/>
                <w:kern w:val="2"/>
                <w:sz w:val="22"/>
                <w:szCs w:val="22"/>
                <w:highlight w:val="none"/>
                <w:lang w:val="en-US" w:eastAsia="zh-CN"/>
              </w:rPr>
              <w:t>蔡女士</w:t>
            </w:r>
            <w:r>
              <w:rPr>
                <w:rFonts w:hint="eastAsia" w:ascii="新宋体" w:hAnsi="新宋体" w:eastAsia="新宋体" w:cs="新宋体"/>
                <w:color w:val="auto"/>
                <w:kern w:val="0"/>
                <w:sz w:val="22"/>
                <w:szCs w:val="22"/>
                <w:highlight w:val="none"/>
                <w:lang w:val="en-US" w:eastAsia="zh-CN"/>
              </w:rPr>
              <w:t xml:space="preserve">  </w:t>
            </w:r>
          </w:p>
          <w:p>
            <w:pPr>
              <w:widowControl/>
              <w:spacing w:before="60" w:after="60" w:line="360" w:lineRule="exact"/>
              <w:ind w:right="6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电话 / 传真：</w:t>
            </w:r>
            <w:r>
              <w:rPr>
                <w:rFonts w:hint="eastAsia" w:ascii="新宋体" w:hAnsi="新宋体" w:eastAsia="新宋体" w:cs="新宋体"/>
                <w:color w:val="auto"/>
                <w:sz w:val="22"/>
                <w:szCs w:val="22"/>
                <w:highlight w:val="none"/>
                <w:lang w:val="en-US" w:eastAsia="zh-CN"/>
              </w:rPr>
              <w:t>0577-56573922（工作时间）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采购代理机构</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代理机构名称：温州品立项目管理有限公司</w:t>
            </w:r>
          </w:p>
          <w:p>
            <w:pPr>
              <w:spacing w:line="4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代理机构地址：温州市鹿城区锦绣路19号宏嘉大厦2幢2005室</w:t>
            </w:r>
          </w:p>
          <w:p>
            <w:pPr>
              <w:spacing w:line="4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联系人：邵海勇、泮赛琼</w:t>
            </w:r>
          </w:p>
          <w:p>
            <w:pPr>
              <w:spacing w:line="4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电话：18967751006、18158772688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采购名称</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南郊街道办事处食堂菜品配送采购项目</w:t>
            </w:r>
          </w:p>
          <w:p>
            <w:pPr>
              <w:spacing w:line="4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项目</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lang w:eastAsia="zh-CN"/>
              </w:rPr>
              <w:t>PLXM-ZC-F20241119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4</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采购内容</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ind w:right="-34"/>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具体内容及要求见竞争性磋商文件。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5</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color w:val="auto"/>
                <w:kern w:val="0"/>
                <w:sz w:val="22"/>
                <w:szCs w:val="22"/>
                <w:highlight w:val="none"/>
              </w:rPr>
              <w:t>核心产品</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本项目为服务类采购，无核心产品。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6</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rPr>
              <w:t>供应商</w:t>
            </w:r>
            <w:r>
              <w:rPr>
                <w:rFonts w:hint="eastAsia" w:ascii="新宋体" w:hAnsi="新宋体" w:eastAsia="新宋体" w:cs="新宋体"/>
                <w:b/>
                <w:bCs/>
                <w:color w:val="auto"/>
                <w:kern w:val="0"/>
                <w:sz w:val="22"/>
                <w:szCs w:val="22"/>
                <w:highlight w:val="none"/>
                <w:u w:val="single"/>
                <w:lang w:val="zh-CN"/>
              </w:rPr>
              <w:t>资质格要求</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before="60" w:after="60" w:line="36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详见磋商公告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7</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是否接受联合体磋商</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lang w:val="zh-CN"/>
              </w:rPr>
              <w:t>不接受</w:t>
            </w:r>
          </w:p>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8</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踏勘现场</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sym w:font="Wingdings 2" w:char="0052"/>
            </w:r>
            <w:r>
              <w:rPr>
                <w:rFonts w:hint="eastAsia" w:ascii="新宋体" w:hAnsi="新宋体" w:eastAsia="新宋体" w:cs="新宋体"/>
                <w:color w:val="auto"/>
                <w:kern w:val="0"/>
                <w:sz w:val="22"/>
                <w:szCs w:val="22"/>
                <w:highlight w:val="none"/>
                <w:lang w:val="zh-CN"/>
              </w:rPr>
              <w:t>组织</w:t>
            </w:r>
          </w:p>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lang w:val="zh-CN"/>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9</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投标预备会</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□召开</w:t>
            </w: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lang w:val="zh-CN"/>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10</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磋商</w:t>
            </w:r>
            <w:r>
              <w:rPr>
                <w:rFonts w:hint="eastAsia" w:ascii="新宋体" w:hAnsi="新宋体" w:eastAsia="新宋体" w:cs="新宋体"/>
                <w:color w:val="auto"/>
                <w:kern w:val="0"/>
                <w:sz w:val="22"/>
                <w:szCs w:val="22"/>
                <w:highlight w:val="none"/>
              </w:rPr>
              <w:t>响应</w:t>
            </w:r>
            <w:r>
              <w:rPr>
                <w:rFonts w:hint="eastAsia" w:ascii="新宋体" w:hAnsi="新宋体" w:eastAsia="新宋体" w:cs="新宋体"/>
                <w:color w:val="auto"/>
                <w:kern w:val="0"/>
                <w:sz w:val="22"/>
                <w:szCs w:val="22"/>
                <w:highlight w:val="none"/>
                <w:lang w:val="zh-CN"/>
              </w:rPr>
              <w:t>截止时间</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rPr>
              <w:t>见竞争性磋商公告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11</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□允许</w:t>
            </w: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lang w:val="zh-CN"/>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12</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偏离</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偏差允许幅度及其处理方法：允许细微偏差，不允许重大偏差。由磋商小组判断，细微偏差要求供应商在评标结束前予以澄清、说明或补正，不接受要求进行的，</w:t>
            </w:r>
            <w:r>
              <w:rPr>
                <w:rFonts w:hint="eastAsia" w:ascii="新宋体" w:hAnsi="新宋体" w:eastAsia="新宋体" w:cs="新宋体"/>
                <w:color w:val="auto"/>
                <w:kern w:val="0"/>
                <w:sz w:val="22"/>
                <w:szCs w:val="22"/>
                <w:highlight w:val="none"/>
              </w:rPr>
              <w:t>磋商小组</w:t>
            </w:r>
            <w:r>
              <w:rPr>
                <w:rFonts w:hint="eastAsia" w:ascii="新宋体" w:hAnsi="新宋体" w:eastAsia="新宋体" w:cs="新宋体"/>
                <w:color w:val="auto"/>
                <w:kern w:val="0"/>
                <w:sz w:val="22"/>
                <w:szCs w:val="22"/>
                <w:highlight w:val="none"/>
                <w:lang w:val="zh-CN"/>
              </w:rPr>
              <w:t>有权做无效标处理，详见评标办法。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13</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磋商有效期</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自磋商</w:t>
            </w:r>
            <w:r>
              <w:rPr>
                <w:rFonts w:hint="eastAsia" w:ascii="新宋体" w:hAnsi="新宋体" w:eastAsia="新宋体" w:cs="新宋体"/>
                <w:color w:val="auto"/>
                <w:kern w:val="0"/>
                <w:sz w:val="22"/>
                <w:szCs w:val="22"/>
                <w:highlight w:val="none"/>
              </w:rPr>
              <w:t>响应</w:t>
            </w:r>
            <w:r>
              <w:rPr>
                <w:rFonts w:hint="eastAsia" w:ascii="新宋体" w:hAnsi="新宋体" w:eastAsia="新宋体" w:cs="新宋体"/>
                <w:color w:val="auto"/>
                <w:kern w:val="0"/>
                <w:sz w:val="22"/>
                <w:szCs w:val="22"/>
                <w:highlight w:val="none"/>
                <w:lang w:val="zh-CN"/>
              </w:rPr>
              <w:t>截止时间起生效，有效期90天。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14</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投标保证金</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无需提交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响应文件</w:t>
            </w:r>
            <w:r>
              <w:rPr>
                <w:rFonts w:hint="eastAsia" w:ascii="新宋体" w:hAnsi="新宋体" w:eastAsia="新宋体" w:cs="新宋体"/>
                <w:b/>
                <w:bCs/>
                <w:color w:val="auto"/>
                <w:kern w:val="0"/>
                <w:sz w:val="22"/>
                <w:szCs w:val="22"/>
                <w:highlight w:val="none"/>
                <w:lang w:val="zh-CN"/>
              </w:rPr>
              <w:t>的组成</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由“资格响应文件”、“</w:t>
            </w:r>
            <w:r>
              <w:rPr>
                <w:rFonts w:hint="eastAsia" w:ascii="新宋体" w:hAnsi="新宋体" w:eastAsia="新宋体" w:cs="新宋体"/>
                <w:b/>
                <w:bCs/>
                <w:color w:val="auto"/>
                <w:kern w:val="0"/>
                <w:sz w:val="22"/>
                <w:szCs w:val="22"/>
                <w:highlight w:val="none"/>
              </w:rPr>
              <w:t>商务技术响应文件</w:t>
            </w:r>
            <w:r>
              <w:rPr>
                <w:rFonts w:hint="eastAsia" w:ascii="新宋体" w:hAnsi="新宋体" w:eastAsia="新宋体" w:cs="新宋体"/>
                <w:b/>
                <w:bCs/>
                <w:color w:val="auto"/>
                <w:kern w:val="0"/>
                <w:sz w:val="22"/>
                <w:szCs w:val="22"/>
                <w:highlight w:val="none"/>
                <w:lang w:val="zh-CN"/>
              </w:rPr>
              <w:t>”和“报价响应文件”三个部分组成。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响应文件</w:t>
            </w:r>
            <w:r>
              <w:rPr>
                <w:rFonts w:hint="eastAsia" w:ascii="新宋体" w:hAnsi="新宋体" w:eastAsia="新宋体" w:cs="新宋体"/>
                <w:b/>
                <w:bCs/>
                <w:color w:val="auto"/>
                <w:kern w:val="0"/>
                <w:sz w:val="22"/>
                <w:szCs w:val="22"/>
                <w:highlight w:val="none"/>
                <w:lang w:val="zh-CN"/>
              </w:rPr>
              <w:t>的编制</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供应商应先安装“政采云</w:t>
            </w: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客户端”，并按照本</w:t>
            </w:r>
            <w:r>
              <w:rPr>
                <w:rFonts w:hint="eastAsia" w:ascii="新宋体" w:hAnsi="新宋体" w:eastAsia="新宋体" w:cs="新宋体"/>
                <w:b/>
                <w:bCs/>
                <w:color w:val="auto"/>
                <w:kern w:val="0"/>
                <w:sz w:val="22"/>
                <w:szCs w:val="22"/>
                <w:highlight w:val="none"/>
              </w:rPr>
              <w:t>竞争性磋商</w:t>
            </w:r>
            <w:r>
              <w:rPr>
                <w:rFonts w:hint="eastAsia" w:ascii="新宋体" w:hAnsi="新宋体" w:eastAsia="新宋体" w:cs="新宋体"/>
                <w:b/>
                <w:bCs/>
                <w:color w:val="auto"/>
                <w:kern w:val="0"/>
                <w:sz w:val="22"/>
                <w:szCs w:val="22"/>
                <w:highlight w:val="none"/>
                <w:lang w:val="zh-CN"/>
              </w:rPr>
              <w:t>文件和“《政府采购项目电子交易管理操作指南-供应商》”的要求，编制并加密</w:t>
            </w:r>
            <w:r>
              <w:rPr>
                <w:rFonts w:hint="eastAsia" w:ascii="新宋体" w:hAnsi="新宋体" w:eastAsia="新宋体" w:cs="新宋体"/>
                <w:b/>
                <w:bCs/>
                <w:color w:val="auto"/>
                <w:kern w:val="0"/>
                <w:sz w:val="22"/>
                <w:szCs w:val="22"/>
                <w:highlight w:val="none"/>
              </w:rPr>
              <w:t>响应</w:t>
            </w:r>
            <w:r>
              <w:rPr>
                <w:rFonts w:hint="eastAsia" w:ascii="新宋体" w:hAnsi="新宋体" w:eastAsia="新宋体" w:cs="新宋体"/>
                <w:b/>
                <w:bCs/>
                <w:color w:val="auto"/>
                <w:kern w:val="0"/>
                <w:sz w:val="22"/>
                <w:szCs w:val="22"/>
                <w:highlight w:val="none"/>
                <w:lang w:val="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签字或盖章要求</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磋商响应文件的相应位置应加盖：</w:t>
            </w:r>
            <w:r>
              <w:rPr>
                <w:rFonts w:hint="eastAsia" w:ascii="新宋体" w:hAnsi="新宋体" w:eastAsia="新宋体" w:cs="新宋体"/>
                <w:b/>
                <w:bCs/>
                <w:color w:val="auto"/>
                <w:sz w:val="22"/>
                <w:szCs w:val="22"/>
                <w:highlight w:val="none"/>
              </w:rPr>
              <w:t>电子签章或实体章均可（下同），政府采购云平台另有规定的，从其规定</w:t>
            </w:r>
            <w:r>
              <w:rPr>
                <w:rFonts w:hint="eastAsia" w:ascii="新宋体" w:hAnsi="新宋体" w:eastAsia="新宋体" w:cs="新宋体"/>
                <w:color w:val="auto"/>
                <w:kern w:val="0"/>
                <w:sz w:val="22"/>
                <w:szCs w:val="22"/>
                <w:highlight w:val="none"/>
                <w:lang w:val="zh-CN"/>
              </w:rPr>
              <w:t>。（或先制作word版打印，相应位置签字或盖章后再扫描上传）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响应</w:t>
            </w:r>
            <w:r>
              <w:rPr>
                <w:rFonts w:hint="eastAsia" w:ascii="新宋体" w:hAnsi="新宋体" w:eastAsia="新宋体" w:cs="新宋体"/>
                <w:b/>
                <w:bCs/>
                <w:color w:val="auto"/>
                <w:kern w:val="0"/>
                <w:sz w:val="22"/>
                <w:szCs w:val="22"/>
                <w:highlight w:val="none"/>
                <w:lang w:val="zh-CN"/>
              </w:rPr>
              <w:t>文件形式、制作及组成</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供应商须准备电子磋商响应文件（包括“电子加密磋商响应文件”和“备份磋商响应文件”两类，在磋商响应文件编制完成后同时生成）。</w:t>
            </w:r>
          </w:p>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（1）“电子加密磋商响应文件”（后缀格式为.jmbs）是指通过“政采云电子交易客户端”完成磋商响应文件编制后生成并加密的数据电文形式的磋商响应文件。</w:t>
            </w:r>
          </w:p>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（2）“备份磋商响应文件”（后缀格式为.bfbs）是指与“电子加密磋商响应文件”同时生成的数据电文形式的电子文件（备份标书），其他方式编制的备份磋商响应文件视为无效备份磋商响应文件。</w:t>
            </w:r>
          </w:p>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以上两类磋商响应文件均由资格审查资料、商务技术文件、报价文件三部分组成。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响应</w:t>
            </w:r>
            <w:r>
              <w:rPr>
                <w:rFonts w:hint="eastAsia" w:ascii="新宋体" w:hAnsi="新宋体" w:eastAsia="新宋体" w:cs="新宋体"/>
                <w:b/>
                <w:bCs/>
                <w:color w:val="auto"/>
                <w:kern w:val="0"/>
                <w:sz w:val="22"/>
                <w:szCs w:val="22"/>
                <w:highlight w:val="none"/>
                <w:lang w:val="zh-CN"/>
              </w:rPr>
              <w:t>文件的上传和递交</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104"/>
              <w:autoSpaceDE w:val="0"/>
              <w:autoSpaceDN w:val="0"/>
              <w:adjustRightInd w:val="0"/>
              <w:spacing w:line="40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（1）“电子加密磋商响应文件”的上传、递交：</w:t>
            </w:r>
          </w:p>
          <w:p>
            <w:pPr>
              <w:pStyle w:val="104"/>
              <w:numPr>
                <w:ilvl w:val="0"/>
                <w:numId w:val="2"/>
              </w:numPr>
              <w:autoSpaceDE w:val="0"/>
              <w:autoSpaceDN w:val="0"/>
              <w:adjustRightInd w:val="0"/>
              <w:spacing w:line="400" w:lineRule="exact"/>
              <w:ind w:firstLine="0"/>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供应商应在磋商响应文件递交截止时间前将“电子加密磋商响应文件”成功上传递交至“政采云平台”，否则投标无效。</w:t>
            </w:r>
          </w:p>
          <w:p>
            <w:pPr>
              <w:pStyle w:val="104"/>
              <w:numPr>
                <w:ilvl w:val="0"/>
                <w:numId w:val="2"/>
              </w:numPr>
              <w:autoSpaceDE w:val="0"/>
              <w:autoSpaceDN w:val="0"/>
              <w:adjustRightInd w:val="0"/>
              <w:spacing w:line="400" w:lineRule="exact"/>
              <w:ind w:firstLine="0"/>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“电子加密磋商响应文件”成功上传递交后，供应商可自行打印磋商响应文件接收回执。</w:t>
            </w:r>
          </w:p>
          <w:p>
            <w:pPr>
              <w:pStyle w:val="104"/>
              <w:autoSpaceDE w:val="0"/>
              <w:autoSpaceDN w:val="0"/>
              <w:adjustRightInd w:val="0"/>
              <w:spacing w:line="40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（2）“备份磋商响应文件”的密封包装、递交：</w:t>
            </w:r>
          </w:p>
          <w:p>
            <w:pPr>
              <w:pStyle w:val="104"/>
              <w:numPr>
                <w:ilvl w:val="0"/>
                <w:numId w:val="3"/>
              </w:numPr>
              <w:autoSpaceDE w:val="0"/>
              <w:autoSpaceDN w:val="0"/>
              <w:adjustRightInd w:val="0"/>
              <w:spacing w:line="400" w:lineRule="exact"/>
              <w:ind w:firstLine="0"/>
              <w:jc w:val="both"/>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供应商在“政采云平台”完成“电子加密磋商响应文件”的上传递交后，可以（建议）</w:t>
            </w:r>
            <w:r>
              <w:rPr>
                <w:rFonts w:hint="eastAsia" w:ascii="新宋体" w:hAnsi="新宋体" w:eastAsia="新宋体" w:cs="新宋体"/>
                <w:b/>
                <w:bCs/>
                <w:color w:val="auto"/>
                <w:sz w:val="22"/>
                <w:highlight w:val="none"/>
                <w:lang w:val="en-US" w:eastAsia="zh-CN"/>
              </w:rPr>
              <w:t>将</w:t>
            </w:r>
            <w:r>
              <w:rPr>
                <w:rFonts w:hint="eastAsia" w:ascii="新宋体" w:hAnsi="新宋体" w:eastAsia="新宋体" w:cs="新宋体"/>
                <w:b/>
                <w:bCs/>
                <w:color w:val="auto"/>
                <w:sz w:val="22"/>
                <w:highlight w:val="none"/>
                <w:lang w:val="zh-CN"/>
              </w:rPr>
              <w:t>备份磋商响应文件</w:t>
            </w:r>
            <w:r>
              <w:rPr>
                <w:rFonts w:hint="eastAsia" w:ascii="新宋体" w:hAnsi="新宋体" w:eastAsia="新宋体" w:cs="新宋体"/>
                <w:b/>
                <w:bCs/>
                <w:color w:val="auto"/>
                <w:sz w:val="22"/>
                <w:highlight w:val="none"/>
              </w:rPr>
              <w:t>以电子邮件形式在提交磋商响应文件截止时间前传送至采购代理机构邮箱</w:t>
            </w:r>
            <w:r>
              <w:rPr>
                <w:rFonts w:hint="eastAsia" w:ascii="新宋体" w:hAnsi="新宋体" w:eastAsia="新宋体" w:cs="新宋体"/>
                <w:b/>
                <w:bCs/>
                <w:color w:val="auto"/>
                <w:sz w:val="22"/>
                <w:highlight w:val="none"/>
                <w:lang w:eastAsia="zh-CN"/>
              </w:rPr>
              <w:t>53514766@qq.com</w:t>
            </w:r>
            <w:r>
              <w:rPr>
                <w:rFonts w:hint="eastAsia" w:ascii="新宋体" w:hAnsi="新宋体" w:eastAsia="新宋体" w:cs="新宋体"/>
                <w:b/>
                <w:bCs/>
                <w:color w:val="auto"/>
                <w:sz w:val="22"/>
                <w:highlight w:val="none"/>
              </w:rPr>
              <w:t>。传送的备份标书需打包压缩并加密，加密密码由</w:t>
            </w:r>
            <w:r>
              <w:rPr>
                <w:rFonts w:hint="eastAsia" w:ascii="新宋体" w:hAnsi="新宋体" w:eastAsia="新宋体" w:cs="新宋体"/>
                <w:b/>
                <w:bCs/>
                <w:color w:val="auto"/>
                <w:sz w:val="22"/>
                <w:highlight w:val="none"/>
                <w:lang w:val="en-US"/>
              </w:rPr>
              <w:t>供应商</w:t>
            </w:r>
            <w:r>
              <w:rPr>
                <w:rFonts w:hint="eastAsia" w:ascii="新宋体" w:hAnsi="新宋体" w:eastAsia="新宋体" w:cs="新宋体"/>
                <w:b/>
                <w:bCs/>
                <w:color w:val="auto"/>
                <w:sz w:val="22"/>
                <w:highlight w:val="none"/>
              </w:rPr>
              <w:t>自行保管。</w:t>
            </w:r>
          </w:p>
          <w:p>
            <w:pPr>
              <w:pStyle w:val="104"/>
              <w:numPr>
                <w:ilvl w:val="0"/>
                <w:numId w:val="3"/>
              </w:numPr>
              <w:autoSpaceDE w:val="0"/>
              <w:autoSpaceDN w:val="0"/>
              <w:adjustRightInd w:val="0"/>
              <w:spacing w:line="400" w:lineRule="exact"/>
              <w:ind w:firstLine="0"/>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通过“政采云平台”成功上传递交的“电子加密磋商响应文件”已按时解密的，“备份磋商响应文件”自动失效。磋商响应文件递交截止时间前，供应商仅递交了“备份磋商响应文件”的，投标无效。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电子响应文件的解密和异常情况处理</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（1）磋商</w:t>
            </w:r>
            <w:r>
              <w:rPr>
                <w:rFonts w:hint="eastAsia" w:ascii="新宋体" w:hAnsi="新宋体" w:eastAsia="新宋体" w:cs="新宋体"/>
                <w:b/>
                <w:bCs/>
                <w:color w:val="auto"/>
                <w:kern w:val="0"/>
                <w:sz w:val="22"/>
                <w:szCs w:val="22"/>
                <w:highlight w:val="none"/>
              </w:rPr>
              <w:t>响应</w:t>
            </w:r>
            <w:r>
              <w:rPr>
                <w:rFonts w:hint="eastAsia" w:ascii="新宋体" w:hAnsi="新宋体" w:eastAsia="新宋体" w:cs="新宋体"/>
                <w:b/>
                <w:bCs/>
                <w:color w:val="auto"/>
                <w:kern w:val="0"/>
                <w:sz w:val="22"/>
                <w:szCs w:val="22"/>
                <w:highlight w:val="none"/>
                <w:lang w:val="zh-CN"/>
              </w:rPr>
              <w:t>截止时间后，采购组织机构将向各供应商发出解密通知，各供应商代表应当在接到解密通知后登录政采云平台，对电子响应文件进行在线解密（解密</w:t>
            </w:r>
            <w:r>
              <w:rPr>
                <w:rFonts w:hint="eastAsia" w:ascii="新宋体" w:hAnsi="新宋体" w:eastAsia="新宋体" w:cs="新宋体"/>
                <w:b/>
                <w:bCs/>
                <w:color w:val="auto"/>
                <w:kern w:val="0"/>
                <w:sz w:val="22"/>
                <w:szCs w:val="22"/>
                <w:highlight w:val="none"/>
              </w:rPr>
              <w:t>电子响应</w:t>
            </w:r>
            <w:r>
              <w:rPr>
                <w:rFonts w:hint="eastAsia" w:ascii="新宋体" w:hAnsi="新宋体" w:eastAsia="新宋体" w:cs="新宋体"/>
                <w:b/>
                <w:bCs/>
                <w:color w:val="auto"/>
                <w:kern w:val="0"/>
                <w:sz w:val="22"/>
                <w:szCs w:val="22"/>
                <w:highlight w:val="none"/>
                <w:lang w:val="zh-CN"/>
              </w:rPr>
              <w:t>文件必须插入CA），在线解密电子响应文件时间为接到解密通知后</w:t>
            </w: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0分钟内。</w:t>
            </w:r>
          </w:p>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2）异常处理：如政采云上电子响应文件出现解密失败情况，供应商可根据自身意愿确认是否将备份标书压缩包的解密密码传送至采购代理机构邮箱53514766@qq.com,采购代理机构收到解密密码后通过【异常处理】的端口对供应商的备份响应文件进行上传（上传成功后，“电子</w:t>
            </w:r>
            <w:r>
              <w:rPr>
                <w:rFonts w:hint="eastAsia" w:ascii="新宋体" w:hAnsi="新宋体" w:eastAsia="新宋体" w:cs="新宋体"/>
                <w:b/>
                <w:bCs/>
                <w:color w:val="auto"/>
                <w:kern w:val="0"/>
                <w:sz w:val="22"/>
                <w:szCs w:val="22"/>
                <w:highlight w:val="none"/>
              </w:rPr>
              <w:t>响应</w:t>
            </w:r>
            <w:r>
              <w:rPr>
                <w:rFonts w:hint="eastAsia" w:ascii="新宋体" w:hAnsi="新宋体" w:eastAsia="新宋体" w:cs="新宋体"/>
                <w:b/>
                <w:bCs/>
                <w:color w:val="auto"/>
                <w:kern w:val="0"/>
                <w:sz w:val="22"/>
                <w:szCs w:val="22"/>
                <w:highlight w:val="none"/>
                <w:lang w:val="zh-CN"/>
              </w:rPr>
              <w:t>文件”自动失效），不能成功上传的视为</w:t>
            </w:r>
            <w:r>
              <w:rPr>
                <w:rFonts w:hint="eastAsia" w:ascii="新宋体" w:hAnsi="新宋体" w:eastAsia="新宋体" w:cs="新宋体"/>
                <w:b/>
                <w:bCs/>
                <w:color w:val="auto"/>
                <w:kern w:val="0"/>
                <w:sz w:val="22"/>
                <w:szCs w:val="22"/>
                <w:highlight w:val="none"/>
              </w:rPr>
              <w:t>响应</w:t>
            </w:r>
            <w:r>
              <w:rPr>
                <w:rFonts w:hint="eastAsia" w:ascii="新宋体" w:hAnsi="新宋体" w:eastAsia="新宋体" w:cs="新宋体"/>
                <w:b/>
                <w:bCs/>
                <w:color w:val="auto"/>
                <w:kern w:val="0"/>
                <w:sz w:val="22"/>
                <w:szCs w:val="22"/>
                <w:highlight w:val="none"/>
                <w:lang w:val="zh-CN"/>
              </w:rPr>
              <w:t>文件撤回）。</w:t>
            </w:r>
          </w:p>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bCs/>
                <w:color w:val="auto"/>
                <w:kern w:val="0"/>
                <w:sz w:val="22"/>
                <w:szCs w:val="22"/>
                <w:highlight w:val="none"/>
              </w:rPr>
              <w:t>3）响应</w:t>
            </w:r>
            <w:r>
              <w:rPr>
                <w:rFonts w:hint="eastAsia" w:ascii="新宋体" w:hAnsi="新宋体" w:eastAsia="新宋体" w:cs="新宋体"/>
                <w:b/>
                <w:bCs/>
                <w:color w:val="auto"/>
                <w:kern w:val="0"/>
                <w:sz w:val="22"/>
                <w:szCs w:val="22"/>
                <w:highlight w:val="none"/>
                <w:lang w:val="zh-CN"/>
              </w:rPr>
              <w:t>文件的启用，按先后顺序分别为电子响应文件、以电子邮件形式的备份响应文件，在下一顺位的</w:t>
            </w:r>
            <w:r>
              <w:rPr>
                <w:rFonts w:hint="eastAsia" w:ascii="新宋体" w:hAnsi="新宋体" w:eastAsia="新宋体" w:cs="新宋体"/>
                <w:b/>
                <w:bCs/>
                <w:color w:val="auto"/>
                <w:kern w:val="0"/>
                <w:sz w:val="22"/>
                <w:szCs w:val="22"/>
                <w:highlight w:val="none"/>
              </w:rPr>
              <w:t>响应</w:t>
            </w:r>
            <w:r>
              <w:rPr>
                <w:rFonts w:hint="eastAsia" w:ascii="新宋体" w:hAnsi="新宋体" w:eastAsia="新宋体" w:cs="新宋体"/>
                <w:b/>
                <w:bCs/>
                <w:color w:val="auto"/>
                <w:kern w:val="0"/>
                <w:sz w:val="22"/>
                <w:szCs w:val="22"/>
                <w:highlight w:val="none"/>
                <w:lang w:val="zh-CN"/>
              </w:rPr>
              <w:t>文件启用之后，前一顺位的</w:t>
            </w:r>
            <w:r>
              <w:rPr>
                <w:rFonts w:hint="eastAsia" w:ascii="新宋体" w:hAnsi="新宋体" w:eastAsia="新宋体" w:cs="新宋体"/>
                <w:b/>
                <w:bCs/>
                <w:color w:val="auto"/>
                <w:kern w:val="0"/>
                <w:sz w:val="22"/>
                <w:szCs w:val="22"/>
                <w:highlight w:val="none"/>
              </w:rPr>
              <w:t>响应</w:t>
            </w:r>
            <w:r>
              <w:rPr>
                <w:rFonts w:hint="eastAsia" w:ascii="新宋体" w:hAnsi="新宋体" w:eastAsia="新宋体" w:cs="新宋体"/>
                <w:b/>
                <w:bCs/>
                <w:color w:val="auto"/>
                <w:kern w:val="0"/>
                <w:sz w:val="22"/>
                <w:szCs w:val="22"/>
                <w:highlight w:val="none"/>
                <w:lang w:val="zh-CN"/>
              </w:rPr>
              <w:t>文件自动失效。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政采云系统默认供应商自动放弃的情形</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numPr>
                <w:ilvl w:val="0"/>
                <w:numId w:val="4"/>
              </w:numPr>
              <w:autoSpaceDE w:val="0"/>
              <w:autoSpaceDN w:val="0"/>
              <w:adjustRightInd w:val="0"/>
              <w:spacing w:line="400" w:lineRule="exact"/>
              <w:ind w:firstLine="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供应商未按规定上传电子响应文件的；</w:t>
            </w:r>
          </w:p>
          <w:p>
            <w:pPr>
              <w:numPr>
                <w:ilvl w:val="0"/>
                <w:numId w:val="4"/>
              </w:numPr>
              <w:autoSpaceDE w:val="0"/>
              <w:autoSpaceDN w:val="0"/>
              <w:adjustRightInd w:val="0"/>
              <w:spacing w:line="400" w:lineRule="exact"/>
              <w:ind w:firstLine="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在解密期限内供应商电子响应文件解密失败，且经异常处理后政采云电子交易系统仍未能解决的。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22</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和地点</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详见竞争性磋商公告</w:t>
            </w:r>
          </w:p>
          <w:p>
            <w:pPr>
              <w:pStyle w:val="15"/>
              <w:spacing w:line="400" w:lineRule="exact"/>
              <w:ind w:firstLine="42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注：本项目为电子招投标，相关的招投标流程（</w:t>
            </w:r>
            <w:r>
              <w:rPr>
                <w:rFonts w:hint="eastAsia" w:ascii="新宋体" w:hAnsi="新宋体" w:eastAsia="新宋体" w:cs="新宋体"/>
                <w:color w:val="auto"/>
                <w:sz w:val="22"/>
                <w:szCs w:val="22"/>
                <w:highlight w:val="none"/>
              </w:rPr>
              <w:t>磋商</w:t>
            </w:r>
            <w:r>
              <w:rPr>
                <w:rFonts w:hint="eastAsia" w:ascii="新宋体" w:hAnsi="新宋体" w:eastAsia="新宋体" w:cs="新宋体"/>
                <w:color w:val="auto"/>
                <w:sz w:val="22"/>
                <w:szCs w:val="22"/>
                <w:highlight w:val="none"/>
                <w:lang w:val="zh-CN"/>
              </w:rPr>
              <w:t>文件下载、电子</w:t>
            </w:r>
            <w:r>
              <w:rPr>
                <w:rFonts w:hint="eastAsia" w:ascii="新宋体" w:hAnsi="新宋体" w:eastAsia="新宋体" w:cs="新宋体"/>
                <w:color w:val="auto"/>
                <w:sz w:val="22"/>
                <w:szCs w:val="22"/>
                <w:highlight w:val="none"/>
              </w:rPr>
              <w:t>响应</w:t>
            </w:r>
            <w:r>
              <w:rPr>
                <w:rFonts w:hint="eastAsia" w:ascii="新宋体" w:hAnsi="新宋体" w:eastAsia="新宋体" w:cs="新宋体"/>
                <w:color w:val="auto"/>
                <w:sz w:val="22"/>
                <w:szCs w:val="22"/>
                <w:highlight w:val="none"/>
                <w:lang w:val="zh-CN"/>
              </w:rPr>
              <w:t>文件上传、</w:t>
            </w:r>
            <w:r>
              <w:rPr>
                <w:rFonts w:hint="eastAsia" w:ascii="新宋体" w:hAnsi="新宋体" w:eastAsia="新宋体" w:cs="新宋体"/>
                <w:color w:val="auto"/>
                <w:sz w:val="22"/>
                <w:szCs w:val="22"/>
                <w:highlight w:val="none"/>
              </w:rPr>
              <w:t>磋商</w:t>
            </w:r>
            <w:r>
              <w:rPr>
                <w:rFonts w:hint="eastAsia" w:ascii="新宋体" w:hAnsi="新宋体" w:eastAsia="新宋体" w:cs="新宋体"/>
                <w:color w:val="auto"/>
                <w:sz w:val="22"/>
                <w:szCs w:val="22"/>
                <w:highlight w:val="none"/>
                <w:lang w:val="zh-CN"/>
              </w:rPr>
              <w:t>等程序）均在浙江政府采购网“政府采购云平台”进行，</w:t>
            </w:r>
            <w:r>
              <w:rPr>
                <w:rFonts w:hint="eastAsia" w:ascii="新宋体" w:hAnsi="新宋体" w:eastAsia="新宋体" w:cs="新宋体"/>
                <w:color w:val="auto"/>
                <w:sz w:val="22"/>
                <w:szCs w:val="22"/>
                <w:highlight w:val="none"/>
              </w:rPr>
              <w:t>供应商</w:t>
            </w:r>
            <w:r>
              <w:rPr>
                <w:rFonts w:hint="eastAsia" w:ascii="新宋体" w:hAnsi="新宋体" w:eastAsia="新宋体" w:cs="新宋体"/>
                <w:color w:val="auto"/>
                <w:sz w:val="22"/>
                <w:szCs w:val="22"/>
                <w:highlight w:val="none"/>
                <w:lang w:val="zh-CN"/>
              </w:rPr>
              <w:t>不必前往现场进行</w:t>
            </w:r>
            <w:r>
              <w:rPr>
                <w:rFonts w:hint="eastAsia" w:ascii="新宋体" w:hAnsi="新宋体" w:eastAsia="新宋体" w:cs="新宋体"/>
                <w:color w:val="auto"/>
                <w:sz w:val="22"/>
                <w:szCs w:val="22"/>
                <w:highlight w:val="none"/>
              </w:rPr>
              <w:t>磋商</w:t>
            </w:r>
            <w:r>
              <w:rPr>
                <w:rFonts w:hint="eastAsia" w:ascii="新宋体" w:hAnsi="新宋体" w:eastAsia="新宋体" w:cs="新宋体"/>
                <w:color w:val="auto"/>
                <w:sz w:val="22"/>
                <w:szCs w:val="22"/>
                <w:highlight w:val="none"/>
                <w:lang w:val="zh-CN"/>
              </w:rPr>
              <w:t>活动等事宜。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询标澄清</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（1）在</w:t>
            </w:r>
            <w:r>
              <w:rPr>
                <w:rFonts w:hint="eastAsia" w:ascii="新宋体" w:hAnsi="新宋体" w:eastAsia="新宋体" w:cs="新宋体"/>
                <w:color w:val="auto"/>
                <w:highlight w:val="none"/>
              </w:rPr>
              <w:t>评标</w:t>
            </w:r>
            <w:r>
              <w:rPr>
                <w:rFonts w:hint="eastAsia" w:ascii="新宋体" w:hAnsi="新宋体" w:eastAsia="新宋体" w:cs="新宋体"/>
                <w:color w:val="auto"/>
                <w:highlight w:val="none"/>
                <w:lang w:val="zh-CN"/>
              </w:rPr>
              <w:t>过程中，如磋商小组对供应商递交的电子响应文件存有疑问要求供应商进行澄清或根据评审需求需要与供应商进行投标的，将采用在政采云系统上向供应商发起询标函的方式进行。供应商须在“规定时间”内登录政采云系统根据标项回复询标函。</w:t>
            </w:r>
          </w:p>
          <w:p>
            <w:pPr>
              <w:autoSpaceDE w:val="0"/>
              <w:autoSpaceDN w:val="0"/>
              <w:adjustRightInd w:val="0"/>
              <w:spacing w:line="400" w:lineRule="exact"/>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w:t>
            </w:r>
            <w:r>
              <w:rPr>
                <w:rFonts w:hint="eastAsia" w:ascii="新宋体" w:hAnsi="新宋体" w:eastAsia="新宋体" w:cs="新宋体"/>
                <w:color w:val="auto"/>
                <w:highlight w:val="none"/>
              </w:rPr>
              <w:t>2</w:t>
            </w:r>
            <w:r>
              <w:rPr>
                <w:rFonts w:hint="eastAsia" w:ascii="新宋体" w:hAnsi="新宋体" w:eastAsia="新宋体" w:cs="新宋体"/>
                <w:color w:val="auto"/>
                <w:highlight w:val="none"/>
                <w:lang w:val="zh-CN"/>
              </w:rPr>
              <w:t>）</w:t>
            </w:r>
            <w:r>
              <w:rPr>
                <w:rFonts w:hint="eastAsia" w:ascii="新宋体" w:hAnsi="新宋体" w:eastAsia="新宋体" w:cs="新宋体"/>
                <w:color w:val="auto"/>
                <w:highlight w:val="none"/>
              </w:rPr>
              <w:t>在评标</w:t>
            </w:r>
            <w:r>
              <w:rPr>
                <w:rFonts w:hint="eastAsia" w:ascii="新宋体" w:hAnsi="新宋体" w:eastAsia="新宋体" w:cs="新宋体"/>
                <w:color w:val="auto"/>
                <w:highlight w:val="none"/>
                <w:lang w:val="zh-CN"/>
              </w:rPr>
              <w:t>过程中，建议各供应商代表应在电脑前及时在线关注评审动态，若因供应商自身原因导致其未能在规定时间内完成询标澄清或多轮报价事宜的，由此造成的后果由供应商自行承担。</w:t>
            </w:r>
          </w:p>
          <w:p>
            <w:pPr>
              <w:pStyle w:val="15"/>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highlight w:val="none"/>
                <w:lang w:val="zh-CN"/>
              </w:rPr>
              <w:t>（</w:t>
            </w:r>
            <w:r>
              <w:rPr>
                <w:rFonts w:hint="eastAsia" w:ascii="新宋体" w:hAnsi="新宋体" w:eastAsia="新宋体" w:cs="新宋体"/>
                <w:color w:val="auto"/>
                <w:highlight w:val="none"/>
              </w:rPr>
              <w:t>3</w:t>
            </w:r>
            <w:r>
              <w:rPr>
                <w:rFonts w:hint="eastAsia" w:ascii="新宋体" w:hAnsi="新宋体" w:eastAsia="新宋体" w:cs="新宋体"/>
                <w:color w:val="auto"/>
                <w:highlight w:val="none"/>
                <w:lang w:val="zh-CN"/>
              </w:rPr>
              <w:t>）</w:t>
            </w:r>
            <w:r>
              <w:rPr>
                <w:rFonts w:hint="eastAsia" w:ascii="新宋体" w:hAnsi="新宋体" w:eastAsia="新宋体" w:cs="新宋体"/>
                <w:b/>
                <w:bCs/>
                <w:color w:val="auto"/>
                <w:highlight w:val="none"/>
                <w:lang w:val="zh-CN"/>
              </w:rPr>
              <w:t>本项目采购过程中，涉及的供应商联系方式（如手机号码、响应文件中预留的邮箱、供应商地址），均以供应商递交的电子响应文件中《法定代表人资格声明书》或《法定代表人授权委托书》上注明的联系方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磋商小组</w:t>
            </w:r>
          </w:p>
          <w:p>
            <w:pPr>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磋商小组，磋商小组由采购人代表和有关技术、经济等方面的专家组成，成员人数为3人（含）以上单数，除采购人代表外的专家将在评标专家库中随机抽取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fldChar w:fldCharType="begin"/>
            </w:r>
            <w:r>
              <w:rPr>
                <w:rFonts w:hint="eastAsia" w:ascii="新宋体" w:hAnsi="新宋体" w:eastAsia="新宋体" w:cs="新宋体"/>
                <w:b/>
                <w:bCs/>
                <w:color w:val="auto"/>
                <w:kern w:val="0"/>
                <w:sz w:val="22"/>
                <w:szCs w:val="22"/>
                <w:highlight w:val="none"/>
              </w:rPr>
              <w:instrText xml:space="preserve"> eq \o\ac(</w:instrText>
            </w:r>
            <w:r>
              <w:rPr>
                <w:rFonts w:hint="eastAsia" w:ascii="新宋体" w:hAnsi="新宋体" w:eastAsia="新宋体" w:cs="新宋体"/>
                <w:b/>
                <w:bCs/>
                <w:color w:val="auto"/>
                <w:kern w:val="0"/>
                <w:position w:val="-4"/>
                <w:sz w:val="22"/>
                <w:szCs w:val="22"/>
                <w:highlight w:val="none"/>
              </w:rPr>
              <w:instrText xml:space="preserve">□,</w:instrText>
            </w:r>
            <w:r>
              <w:rPr>
                <w:rFonts w:hint="eastAsia" w:ascii="新宋体" w:hAnsi="新宋体" w:eastAsia="新宋体" w:cs="新宋体"/>
                <w:b/>
                <w:bCs/>
                <w:color w:val="auto"/>
                <w:kern w:val="0"/>
                <w:position w:val="-1"/>
                <w:sz w:val="15"/>
                <w:szCs w:val="22"/>
                <w:highlight w:val="none"/>
              </w:rPr>
              <w:instrText xml:space="preserve">√</w:instrText>
            </w:r>
            <w:r>
              <w:rPr>
                <w:rFonts w:hint="eastAsia" w:ascii="新宋体" w:hAnsi="新宋体" w:eastAsia="新宋体" w:cs="新宋体"/>
                <w:b/>
                <w:bCs/>
                <w:color w:val="auto"/>
                <w:kern w:val="0"/>
                <w:sz w:val="22"/>
                <w:szCs w:val="22"/>
                <w:highlight w:val="none"/>
              </w:rPr>
              <w:instrText xml:space="preserve">)</w:instrText>
            </w:r>
            <w:r>
              <w:rPr>
                <w:rFonts w:hint="eastAsia" w:ascii="新宋体" w:hAnsi="新宋体" w:eastAsia="新宋体" w:cs="新宋体"/>
                <w:b/>
                <w:bCs/>
                <w:color w:val="auto"/>
                <w:kern w:val="0"/>
                <w:sz w:val="22"/>
                <w:szCs w:val="22"/>
                <w:highlight w:val="none"/>
              </w:rPr>
              <w:fldChar w:fldCharType="end"/>
            </w:r>
            <w:r>
              <w:rPr>
                <w:rFonts w:hint="eastAsia" w:ascii="新宋体" w:hAnsi="新宋体" w:eastAsia="新宋体" w:cs="新宋体"/>
                <w:b/>
                <w:bCs/>
                <w:color w:val="auto"/>
                <w:kern w:val="0"/>
                <w:sz w:val="22"/>
                <w:szCs w:val="22"/>
                <w:highlight w:val="none"/>
              </w:rPr>
              <w:t>不需要</w:t>
            </w:r>
          </w:p>
          <w:p>
            <w:pPr>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eq \o\ac(□)</w:instrTex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需要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pPr>
              <w:adjustRightInd w:val="0"/>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numPr>
                <w:ilvl w:val="0"/>
                <w:numId w:val="5"/>
              </w:numPr>
              <w:autoSpaceDE w:val="0"/>
              <w:autoSpaceDN w:val="0"/>
              <w:adjustRightIn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中小微企业扶持政策</w:t>
            </w:r>
          </w:p>
          <w:p>
            <w:pPr>
              <w:autoSpaceDE w:val="0"/>
              <w:autoSpaceDN w:val="0"/>
              <w:adjustRightInd w:val="0"/>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1）本次采购为</w:t>
            </w:r>
            <w:r>
              <w:rPr>
                <w:rFonts w:hint="eastAsia" w:ascii="新宋体" w:hAnsi="新宋体" w:eastAsia="新宋体" w:cs="新宋体"/>
                <w:b/>
                <w:bCs/>
                <w:color w:val="auto"/>
                <w:sz w:val="22"/>
                <w:szCs w:val="22"/>
                <w:highlight w:val="none"/>
                <w:u w:val="single"/>
              </w:rPr>
              <w:t xml:space="preserve"> 是 </w:t>
            </w:r>
            <w:r>
              <w:rPr>
                <w:rFonts w:hint="eastAsia" w:ascii="新宋体" w:hAnsi="新宋体" w:eastAsia="新宋体" w:cs="新宋体"/>
                <w:color w:val="auto"/>
                <w:sz w:val="22"/>
                <w:szCs w:val="22"/>
                <w:highlight w:val="none"/>
                <w:lang w:val="zh-CN"/>
              </w:rPr>
              <w:t>专门面向中小企业预留采购份额的采购项目。</w:t>
            </w:r>
          </w:p>
          <w:p>
            <w:pPr>
              <w:autoSpaceDE w:val="0"/>
              <w:autoSpaceDN w:val="0"/>
              <w:adjustRightInd w:val="0"/>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adjustRightInd w:val="0"/>
              <w:spacing w:line="400" w:lineRule="exact"/>
              <w:rPr>
                <w:rFonts w:hint="eastAsia" w:ascii="新宋体" w:hAnsi="新宋体" w:eastAsia="新宋体" w:cs="新宋体"/>
                <w:color w:val="auto"/>
                <w:highlight w:val="none"/>
                <w:lang w:val="zh-CN"/>
              </w:rPr>
            </w:pPr>
            <w:r>
              <w:rPr>
                <w:rFonts w:hint="eastAsia" w:ascii="新宋体" w:hAnsi="新宋体" w:eastAsia="新宋体" w:cs="新宋体"/>
                <w:color w:val="auto"/>
                <w:sz w:val="22"/>
                <w:szCs w:val="22"/>
                <w:highlight w:val="none"/>
                <w:lang w:val="zh-CN"/>
              </w:rPr>
              <w:t>3）本次采购对应的中小企业划分标准所属行业是：</w:t>
            </w:r>
            <w:r>
              <w:rPr>
                <w:rFonts w:hint="eastAsia" w:ascii="新宋体" w:hAnsi="新宋体" w:eastAsia="新宋体" w:cs="新宋体"/>
                <w:b/>
                <w:bCs/>
                <w:color w:val="auto"/>
                <w:sz w:val="22"/>
                <w:szCs w:val="22"/>
                <w:highlight w:val="none"/>
                <w:lang w:val="en-US" w:eastAsia="zh-CN"/>
              </w:rPr>
              <w:t>批发</w:t>
            </w:r>
            <w:r>
              <w:rPr>
                <w:rFonts w:hint="eastAsia" w:ascii="新宋体" w:hAnsi="新宋体" w:eastAsia="新宋体" w:cs="新宋体"/>
                <w:b/>
                <w:bCs/>
                <w:color w:val="auto"/>
                <w:sz w:val="22"/>
                <w:szCs w:val="22"/>
                <w:highlight w:val="none"/>
                <w:lang w:val="zh-CN"/>
              </w:rPr>
              <w:t>业</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bCs/>
                <w:color w:val="auto"/>
                <w:sz w:val="22"/>
                <w:szCs w:val="22"/>
                <w:highlight w:val="none"/>
                <w:lang w:val="zh-CN"/>
              </w:rPr>
              <w:t>根据工信部等部委发布的《关于印发中小企业划型标准规定的通知》（工信部联企业〔2011〕300号</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lang w:val="zh-CN"/>
              </w:rPr>
              <w:t>从业人员200人以下或营业收入40000万元以下的为中小微型企业。其中，从业人员20人及以上，且营业收入5000万元及以上的为</w:t>
            </w:r>
            <w:r>
              <w:rPr>
                <w:rFonts w:hint="eastAsia" w:ascii="新宋体" w:hAnsi="新宋体" w:eastAsia="新宋体" w:cs="新宋体"/>
                <w:color w:val="auto"/>
                <w:sz w:val="22"/>
                <w:szCs w:val="22"/>
                <w:highlight w:val="none"/>
                <w:u w:val="single"/>
                <w:lang w:val="zh-CN"/>
              </w:rPr>
              <w:t>中型企业</w:t>
            </w:r>
            <w:r>
              <w:rPr>
                <w:rFonts w:hint="eastAsia" w:ascii="新宋体" w:hAnsi="新宋体" w:eastAsia="新宋体" w:cs="新宋体"/>
                <w:color w:val="auto"/>
                <w:sz w:val="22"/>
                <w:szCs w:val="22"/>
                <w:highlight w:val="none"/>
                <w:lang w:val="zh-CN"/>
              </w:rPr>
              <w:t>；从业人员5人及以上，且营业收入1000万元及以上的为</w:t>
            </w:r>
            <w:r>
              <w:rPr>
                <w:rFonts w:hint="eastAsia" w:ascii="新宋体" w:hAnsi="新宋体" w:eastAsia="新宋体" w:cs="新宋体"/>
                <w:color w:val="auto"/>
                <w:sz w:val="22"/>
                <w:szCs w:val="22"/>
                <w:highlight w:val="none"/>
                <w:u w:val="single"/>
                <w:lang w:val="zh-CN"/>
              </w:rPr>
              <w:t>小型企业</w:t>
            </w:r>
            <w:r>
              <w:rPr>
                <w:rFonts w:hint="eastAsia" w:ascii="新宋体" w:hAnsi="新宋体" w:eastAsia="新宋体" w:cs="新宋体"/>
                <w:color w:val="auto"/>
                <w:sz w:val="22"/>
                <w:szCs w:val="22"/>
                <w:highlight w:val="none"/>
                <w:lang w:val="zh-CN"/>
              </w:rPr>
              <w:t>；从业人员5人以下或营 业收入1000万元以下的为</w:t>
            </w:r>
            <w:r>
              <w:rPr>
                <w:rFonts w:hint="eastAsia" w:ascii="新宋体" w:hAnsi="新宋体" w:eastAsia="新宋体" w:cs="新宋体"/>
                <w:color w:val="auto"/>
                <w:sz w:val="22"/>
                <w:szCs w:val="22"/>
                <w:highlight w:val="none"/>
                <w:u w:val="single"/>
                <w:lang w:val="zh-CN"/>
              </w:rPr>
              <w:t>微型企业</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w:t>
            </w:r>
          </w:p>
          <w:p>
            <w:pPr>
              <w:autoSpaceDE w:val="0"/>
              <w:autoSpaceDN w:val="0"/>
              <w:adjustRightInd w:val="0"/>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4）以联合体形式参加政府采购活动，联合体各方均为小微企业的，联合体视同小微企业。本项目不接受联合体投标。</w:t>
            </w:r>
          </w:p>
          <w:p>
            <w:pPr>
              <w:autoSpaceDE w:val="0"/>
              <w:autoSpaceDN w:val="0"/>
              <w:adjustRightInd w:val="0"/>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5）供应商应当出具《中小企业声明函》，否则</w:t>
            </w:r>
            <w:r>
              <w:rPr>
                <w:rFonts w:hint="eastAsia" w:ascii="新宋体" w:hAnsi="新宋体" w:eastAsia="新宋体" w:cs="新宋体"/>
                <w:color w:val="auto"/>
                <w:sz w:val="22"/>
                <w:szCs w:val="22"/>
                <w:highlight w:val="none"/>
              </w:rPr>
              <w:t>资格审查不予通过</w:t>
            </w:r>
            <w:r>
              <w:rPr>
                <w:rFonts w:hint="eastAsia" w:ascii="新宋体" w:hAnsi="新宋体" w:eastAsia="新宋体" w:cs="新宋体"/>
                <w:color w:val="auto"/>
                <w:sz w:val="22"/>
                <w:szCs w:val="22"/>
                <w:highlight w:val="none"/>
                <w:lang w:val="zh-CN"/>
              </w:rPr>
              <w:t>。</w:t>
            </w:r>
          </w:p>
          <w:p>
            <w:pPr>
              <w:autoSpaceDE w:val="0"/>
              <w:autoSpaceDN w:val="0"/>
              <w:adjustRightInd w:val="0"/>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6）残疾人福利性单位视同小微企业，享受小微企业同等的价格扣除。残疾人福利性单位参加政府采购活动时，应当提供《残疾人福利性单位声明函》。</w:t>
            </w:r>
          </w:p>
          <w:p>
            <w:pPr>
              <w:pStyle w:val="15"/>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val="zh-CN"/>
              </w:rPr>
              <w:t>）监狱企业视同小微企业，享受小微企业同等的价格扣除。监狱企业参加政府采购活动时，应当提供《监狱企业声明函》。</w:t>
            </w:r>
          </w:p>
          <w:p>
            <w:pPr>
              <w:numPr>
                <w:ilvl w:val="0"/>
                <w:numId w:val="5"/>
              </w:numPr>
              <w:autoSpaceDE w:val="0"/>
              <w:autoSpaceDN w:val="0"/>
              <w:adjustRightInd w:val="0"/>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节能产品 、环境标志产品扶持政策说明</w:t>
            </w:r>
          </w:p>
          <w:p>
            <w:pPr>
              <w:autoSpaceDE w:val="0"/>
              <w:autoSpaceDN w:val="0"/>
              <w:adjustRightInd w:val="0"/>
              <w:spacing w:line="400" w:lineRule="exact"/>
              <w:ind w:firstLine="440" w:firstLineChars="200"/>
              <w:rPr>
                <w:rFonts w:hint="eastAsia" w:ascii="新宋体" w:hAnsi="新宋体" w:eastAsia="新宋体" w:cs="新宋体"/>
                <w:b w:val="0"/>
                <w:bCs w:val="0"/>
                <w:color w:val="auto"/>
                <w:sz w:val="22"/>
                <w:szCs w:val="22"/>
                <w:highlight w:val="none"/>
                <w:lang w:val="zh-CN"/>
              </w:rPr>
            </w:pPr>
            <w:r>
              <w:rPr>
                <w:rFonts w:hint="eastAsia" w:ascii="新宋体" w:hAnsi="新宋体" w:eastAsia="新宋体" w:cs="新宋体"/>
                <w:b w:val="0"/>
                <w:bCs w:val="0"/>
                <w:color w:val="auto"/>
                <w:sz w:val="22"/>
                <w:szCs w:val="22"/>
                <w:highlight w:val="none"/>
                <w:lang w:val="zh-CN"/>
              </w:rPr>
              <w:t>供应商所投产品属于节能产品或环境标志产品，给予适当加分。</w:t>
            </w:r>
          </w:p>
          <w:p>
            <w:pPr>
              <w:autoSpaceDE w:val="0"/>
              <w:autoSpaceDN w:val="0"/>
              <w:adjustRightInd w:val="0"/>
              <w:spacing w:line="40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详见评分细则。</w:t>
            </w:r>
          </w:p>
          <w:p>
            <w:pPr>
              <w:widowControl w:val="0"/>
              <w:numPr>
                <w:ilvl w:val="0"/>
                <w:numId w:val="5"/>
              </w:numPr>
              <w:wordWrap/>
              <w:autoSpaceDE w:val="0"/>
              <w:autoSpaceDN w:val="0"/>
              <w:adjustRightInd w:val="0"/>
              <w:snapToGrid/>
              <w:spacing w:line="360" w:lineRule="exact"/>
              <w:ind w:left="5" w:leftChars="0" w:hanging="5" w:firstLineChars="0"/>
              <w:textAlignment w:val="auto"/>
              <w:rPr>
                <w:rFonts w:hint="eastAsia" w:ascii="新宋体" w:hAnsi="新宋体" w:eastAsia="新宋体" w:cs="新宋体"/>
                <w:b w:val="0"/>
                <w:bCs w:val="0"/>
                <w:color w:val="auto"/>
                <w:sz w:val="22"/>
                <w:szCs w:val="22"/>
                <w:highlight w:val="none"/>
                <w:lang w:val="zh-CN" w:eastAsia="zh-CN"/>
              </w:rPr>
            </w:pPr>
            <w:r>
              <w:rPr>
                <w:rFonts w:hint="eastAsia" w:ascii="新宋体" w:hAnsi="新宋体" w:eastAsia="新宋体" w:cs="新宋体"/>
                <w:b w:val="0"/>
                <w:bCs w:val="0"/>
                <w:color w:val="auto"/>
                <w:sz w:val="22"/>
                <w:szCs w:val="22"/>
                <w:highlight w:val="none"/>
                <w:lang w:val="en-US" w:eastAsia="zh-CN"/>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w:t>
            </w:r>
          </w:p>
          <w:p>
            <w:pPr>
              <w:numPr>
                <w:ilvl w:val="0"/>
                <w:numId w:val="5"/>
              </w:numPr>
              <w:autoSpaceDE w:val="0"/>
              <w:autoSpaceDN w:val="0"/>
              <w:adjustRightInd w:val="0"/>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政府采购金融服务相关信息告知函</w:t>
            </w:r>
          </w:p>
          <w:p>
            <w:pPr>
              <w:autoSpaceDE w:val="0"/>
              <w:autoSpaceDN w:val="0"/>
              <w:adjustRightInd w:val="0"/>
              <w:spacing w:line="40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pPr>
              <w:autoSpaceDE w:val="0"/>
              <w:autoSpaceDN w:val="0"/>
              <w:adjustRightInd w:val="0"/>
              <w:spacing w:line="40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8"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27</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供应商信用查询</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（1）供应商信用信息查询的查询渠道：“信用中国”(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www.creditchina.gov.cn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)；“中国政府采购网”（http://www.ccgp.gov.cn/）；</w:t>
            </w:r>
          </w:p>
          <w:p>
            <w:pPr>
              <w:spacing w:line="40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（2）供应商信用信息查询记录和证据留存的具体方式：网页截图打印；</w:t>
            </w:r>
          </w:p>
          <w:p>
            <w:pPr>
              <w:spacing w:line="40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（3）信用信息的使用规则：</w:t>
            </w:r>
          </w:p>
          <w:p>
            <w:pPr>
              <w:spacing w:line="40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①在“信用中国”具有负面记录：列入失信被执行人、重大税收违法案件当事人名单、政府采购严重违法失信行为名单；</w:t>
            </w:r>
          </w:p>
          <w:p>
            <w:pPr>
              <w:spacing w:line="40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②被“中国政府采购网”(www.ccgp.gov.cn)列入政府采购严重违法失信行为记录名单。</w:t>
            </w:r>
          </w:p>
          <w:p>
            <w:pPr>
              <w:numPr>
                <w:ilvl w:val="0"/>
                <w:numId w:val="6"/>
              </w:numPr>
              <w:spacing w:line="40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具有以上（3）所述信息记录的供应商，其投标做无效投标处理。</w:t>
            </w:r>
          </w:p>
          <w:p>
            <w:pPr>
              <w:numPr>
                <w:ilvl w:val="0"/>
                <w:numId w:val="6"/>
              </w:numPr>
              <w:spacing w:line="400" w:lineRule="exact"/>
              <w:jc w:val="lef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具体结果以开标当日采购人或采购代理机构对磋商供应商信用查询网页的查询结果为准。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合同备案</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（1）成交供应商在中标通知书发出之日起30日历天内与采购人签订合同。</w:t>
            </w:r>
          </w:p>
          <w:p>
            <w:pPr>
              <w:spacing w:line="40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（2）成交供应商与采购人签订合同后，2日历天内将合同扫描件电子版发给采购代理机构：邮箱：</w:t>
            </w:r>
            <w:r>
              <w:rPr>
                <w:rFonts w:hint="eastAsia" w:ascii="新宋体" w:hAnsi="新宋体" w:eastAsia="新宋体" w:cs="新宋体"/>
                <w:b/>
                <w:color w:val="auto"/>
                <w:sz w:val="22"/>
                <w:szCs w:val="22"/>
                <w:highlight w:val="none"/>
                <w:u w:val="single"/>
                <w:lang w:eastAsia="zh-CN"/>
              </w:rPr>
              <w:t>53514766@qq.com</w:t>
            </w:r>
            <w:r>
              <w:rPr>
                <w:rFonts w:hint="eastAsia" w:ascii="新宋体" w:hAnsi="新宋体" w:eastAsia="新宋体" w:cs="新宋体"/>
                <w:color w:val="auto"/>
                <w:sz w:val="22"/>
                <w:szCs w:val="22"/>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w:t>
            </w:r>
          </w:p>
        </w:tc>
        <w:tc>
          <w:tcPr>
            <w:tcW w:w="15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采购代理服务费</w:t>
            </w:r>
          </w:p>
        </w:tc>
        <w:tc>
          <w:tcPr>
            <w:tcW w:w="7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新宋体" w:hAnsi="新宋体" w:eastAsia="新宋体" w:cs="新宋体"/>
                <w:color w:val="auto"/>
                <w:sz w:val="22"/>
                <w:szCs w:val="22"/>
                <w:highlight w:val="none"/>
                <w:lang w:val="zh-CN"/>
              </w:rPr>
            </w:pPr>
            <w:r>
              <w:rPr>
                <w:rFonts w:hint="eastAsia" w:ascii="宋体" w:hAnsi="宋体" w:cs="宋体"/>
                <w:b w:val="0"/>
                <w:bCs w:val="0"/>
                <w:color w:val="auto"/>
                <w:kern w:val="0"/>
                <w:sz w:val="22"/>
                <w:szCs w:val="22"/>
                <w:highlight w:val="none"/>
                <w:lang w:val="en-US" w:eastAsia="zh-CN" w:bidi="ar-SA"/>
              </w:rPr>
              <w:t>本次招标采购代理费参照国家计委计价格[2002]1980号规定的服务类标准收费，计费基数为采购预算金额，由成交供应商支付给采购代理机构，该服务费须计入投标报价。采购代理服务费可以是现金、支票或汇票。采购代理机构开具增值税普通发票。</w:t>
            </w:r>
          </w:p>
        </w:tc>
      </w:tr>
    </w:tbl>
    <w:p>
      <w:pPr>
        <w:spacing w:before="100" w:beforeAutospacing="1" w:after="100" w:afterAutospacing="1" w:line="440" w:lineRule="exact"/>
        <w:jc w:val="center"/>
        <w:outlineLvl w:val="0"/>
        <w:rPr>
          <w:rFonts w:hint="eastAsia" w:ascii="新宋体" w:hAnsi="新宋体" w:eastAsia="新宋体" w:cs="新宋体"/>
          <w:b/>
          <w:bCs/>
          <w:color w:val="auto"/>
          <w:sz w:val="26"/>
          <w:szCs w:val="26"/>
          <w:highlight w:val="none"/>
        </w:rPr>
      </w:pPr>
      <w:bookmarkStart w:id="52" w:name="_Toc12369"/>
      <w:r>
        <w:rPr>
          <w:rFonts w:hint="eastAsia" w:ascii="新宋体" w:hAnsi="新宋体" w:eastAsia="新宋体" w:cs="新宋体"/>
          <w:b/>
          <w:bCs/>
          <w:color w:val="auto"/>
          <w:sz w:val="26"/>
          <w:szCs w:val="26"/>
          <w:highlight w:val="none"/>
        </w:rPr>
        <w:t>二、说明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p>
    <w:p>
      <w:pPr>
        <w:widowControl w:val="0"/>
        <w:numPr>
          <w:ilvl w:val="0"/>
          <w:numId w:val="7"/>
        </w:numPr>
        <w:tabs>
          <w:tab w:val="left" w:pos="540"/>
          <w:tab w:val="left" w:pos="900"/>
          <w:tab w:val="clear" w:pos="562"/>
        </w:tabs>
        <w:wordWrap/>
        <w:adjustRightInd/>
        <w:snapToGrid/>
        <w:spacing w:beforeAutospacing="0" w:afterAutospacing="0" w:line="400" w:lineRule="auto"/>
        <w:ind w:left="540" w:right="0" w:hanging="54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本次采购是按照《中华人民共和国政府采购法》、《政府采购竞争性磋商采购方式管理暂行办法》和《关于进一步规范政府采购活动的若干意见》等法律及有关法规组织和实施的。</w:t>
      </w:r>
    </w:p>
    <w:p>
      <w:pPr>
        <w:widowControl w:val="0"/>
        <w:numPr>
          <w:ilvl w:val="0"/>
          <w:numId w:val="7"/>
        </w:numPr>
        <w:tabs>
          <w:tab w:val="left" w:pos="540"/>
          <w:tab w:val="left" w:pos="900"/>
          <w:tab w:val="clear" w:pos="562"/>
        </w:tabs>
        <w:wordWrap/>
        <w:adjustRightInd/>
        <w:snapToGrid/>
        <w:spacing w:beforeAutospacing="0" w:afterAutospacing="0" w:line="400" w:lineRule="auto"/>
        <w:ind w:left="540" w:right="0" w:hanging="54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合格供应商要求以磋商公告对供应商资格条件要求的表述为准。</w:t>
      </w:r>
    </w:p>
    <w:p>
      <w:pPr>
        <w:widowControl w:val="0"/>
        <w:numPr>
          <w:ilvl w:val="0"/>
          <w:numId w:val="7"/>
        </w:numPr>
        <w:tabs>
          <w:tab w:val="left" w:pos="540"/>
          <w:tab w:val="left" w:pos="900"/>
          <w:tab w:val="clear" w:pos="562"/>
        </w:tabs>
        <w:wordWrap/>
        <w:adjustRightInd/>
        <w:snapToGrid/>
        <w:spacing w:beforeAutospacing="0" w:afterAutospacing="0" w:line="400" w:lineRule="auto"/>
        <w:ind w:left="540" w:right="0" w:hanging="54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磋商供应商代表</w:t>
      </w:r>
    </w:p>
    <w:p>
      <w:pPr>
        <w:widowControl w:val="0"/>
        <w:wordWrap/>
        <w:adjustRightInd/>
        <w:snapToGrid/>
        <w:spacing w:beforeAutospacing="0" w:afterAutospacing="0" w:line="400" w:lineRule="auto"/>
        <w:ind w:left="538" w:leftChars="256"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指全权代表磋商供应商参加磋商活动并签署磋商响应文件的人。如果磋商供应商代表不是法定代表人（负责人），须持有《法定代表人（负责人）授权书》。</w:t>
      </w:r>
    </w:p>
    <w:p>
      <w:pPr>
        <w:widowControl w:val="0"/>
        <w:numPr>
          <w:ilvl w:val="0"/>
          <w:numId w:val="7"/>
        </w:numPr>
        <w:tabs>
          <w:tab w:val="left" w:pos="540"/>
          <w:tab w:val="left" w:pos="900"/>
          <w:tab w:val="clear" w:pos="562"/>
        </w:tabs>
        <w:wordWrap/>
        <w:adjustRightInd/>
        <w:snapToGrid/>
        <w:spacing w:beforeAutospacing="0" w:afterAutospacing="0" w:line="400" w:lineRule="auto"/>
        <w:ind w:left="540" w:right="0" w:hanging="54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磋商费用</w:t>
      </w:r>
    </w:p>
    <w:p>
      <w:pPr>
        <w:widowControl w:val="0"/>
        <w:wordWrap/>
        <w:adjustRightInd/>
        <w:snapToGrid/>
        <w:spacing w:beforeAutospacing="0" w:afterAutospacing="0" w:line="400" w:lineRule="auto"/>
        <w:ind w:left="538" w:leftChars="256"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磋商供应商应承担所有与准备和参加磋商有关费用，不论磋商的结果如何，采购人均无义务和责任承担这些费用。</w:t>
      </w:r>
    </w:p>
    <w:p>
      <w:pPr>
        <w:widowControl w:val="0"/>
        <w:numPr>
          <w:ilvl w:val="0"/>
          <w:numId w:val="7"/>
        </w:numPr>
        <w:tabs>
          <w:tab w:val="left" w:pos="540"/>
          <w:tab w:val="left" w:pos="900"/>
          <w:tab w:val="clear" w:pos="562"/>
        </w:tabs>
        <w:wordWrap/>
        <w:adjustRightInd/>
        <w:snapToGrid/>
        <w:spacing w:beforeAutospacing="0" w:afterAutospacing="0" w:line="400" w:lineRule="auto"/>
        <w:ind w:left="540" w:right="0" w:hanging="54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优化政府采购金融服务</w:t>
      </w:r>
    </w:p>
    <w:p>
      <w:pPr>
        <w:widowControl w:val="0"/>
        <w:wordWrap/>
        <w:adjustRightInd/>
        <w:snapToGrid/>
        <w:spacing w:beforeAutospacing="0" w:afterAutospacing="0" w:line="400" w:lineRule="auto"/>
        <w:ind w:right="0" w:firstLine="464" w:firstLineChars="200"/>
        <w:textAlignment w:val="auto"/>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widowControl w:val="0"/>
        <w:numPr>
          <w:ilvl w:val="0"/>
          <w:numId w:val="7"/>
        </w:numPr>
        <w:tabs>
          <w:tab w:val="left" w:pos="540"/>
          <w:tab w:val="left" w:pos="900"/>
          <w:tab w:val="clear" w:pos="562"/>
        </w:tabs>
        <w:wordWrap/>
        <w:adjustRightInd/>
        <w:snapToGrid/>
        <w:spacing w:beforeAutospacing="0" w:afterAutospacing="0" w:line="400" w:lineRule="auto"/>
        <w:ind w:left="540" w:right="0" w:hanging="54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特别说明：</w:t>
      </w:r>
    </w:p>
    <w:p>
      <w:pPr>
        <w:widowControl w:val="0"/>
        <w:numPr>
          <w:ilvl w:val="1"/>
          <w:numId w:val="8"/>
        </w:numPr>
        <w:tabs>
          <w:tab w:val="left" w:pos="220"/>
          <w:tab w:val="left" w:pos="525"/>
          <w:tab w:val="clear" w:pos="992"/>
        </w:tabs>
        <w:wordWrap/>
        <w:adjustRightInd/>
        <w:snapToGrid/>
        <w:spacing w:beforeAutospacing="0" w:afterAutospacing="0" w:line="400" w:lineRule="auto"/>
        <w:ind w:left="64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供应商应仔细阅读磋商文件的所有内容，按照磋商文件的要求提交磋商响应文件，并对所提供的全部资料的真实性承担法律责任。</w:t>
      </w:r>
    </w:p>
    <w:p>
      <w:pPr>
        <w:widowControl w:val="0"/>
        <w:numPr>
          <w:ilvl w:val="1"/>
          <w:numId w:val="8"/>
        </w:numPr>
        <w:tabs>
          <w:tab w:val="left" w:pos="220"/>
          <w:tab w:val="left" w:pos="525"/>
          <w:tab w:val="clear" w:pos="992"/>
        </w:tabs>
        <w:wordWrap/>
        <w:adjustRightInd/>
        <w:snapToGrid/>
        <w:spacing w:beforeAutospacing="0" w:afterAutospacing="0" w:line="400" w:lineRule="auto"/>
        <w:ind w:left="640" w:right="0"/>
        <w:textAlignment w:val="auto"/>
        <w:rPr>
          <w:rFonts w:hint="eastAsia" w:ascii="新宋体" w:hAnsi="新宋体" w:eastAsia="新宋体" w:cs="新宋体"/>
          <w:color w:val="auto"/>
          <w:sz w:val="22"/>
          <w:szCs w:val="22"/>
          <w:highlight w:val="none"/>
        </w:rPr>
      </w:pPr>
      <w:bookmarkStart w:id="53" w:name="_Hlk37697637"/>
      <w:r>
        <w:rPr>
          <w:rFonts w:hint="eastAsia" w:ascii="新宋体" w:hAnsi="新宋体" w:eastAsia="新宋体" w:cs="新宋体"/>
          <w:color w:val="auto"/>
          <w:sz w:val="22"/>
          <w:szCs w:val="22"/>
          <w:highlight w:val="none"/>
        </w:rPr>
        <w:t>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pPr>
        <w:widowControl w:val="0"/>
        <w:numPr>
          <w:ilvl w:val="1"/>
          <w:numId w:val="8"/>
        </w:numPr>
        <w:tabs>
          <w:tab w:val="left" w:pos="220"/>
          <w:tab w:val="left" w:pos="525"/>
          <w:tab w:val="clear" w:pos="992"/>
        </w:tabs>
        <w:wordWrap/>
        <w:adjustRightInd/>
        <w:snapToGrid/>
        <w:spacing w:beforeAutospacing="0" w:afterAutospacing="0" w:line="400" w:lineRule="auto"/>
        <w:ind w:left="64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非单一产品采购项目，采购人应当根据采购项目技术构成、产品价格比重等合理确定核心产品，并在磋商文件中载明。多家供应商提供的核心产品品牌相同的，按前两款规定处理。</w:t>
      </w:r>
      <w:bookmarkEnd w:id="53"/>
    </w:p>
    <w:p>
      <w:pPr>
        <w:widowControl w:val="0"/>
        <w:numPr>
          <w:ilvl w:val="1"/>
          <w:numId w:val="8"/>
        </w:numPr>
        <w:tabs>
          <w:tab w:val="left" w:pos="220"/>
          <w:tab w:val="left" w:pos="525"/>
          <w:tab w:val="clear" w:pos="992"/>
        </w:tabs>
        <w:wordWrap/>
        <w:adjustRightInd/>
        <w:snapToGrid/>
        <w:spacing w:beforeAutospacing="0" w:afterAutospacing="0" w:line="400" w:lineRule="auto"/>
        <w:ind w:left="64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val="0"/>
        <w:numPr>
          <w:ilvl w:val="1"/>
          <w:numId w:val="8"/>
        </w:numPr>
        <w:tabs>
          <w:tab w:val="left" w:pos="220"/>
          <w:tab w:val="left" w:pos="525"/>
          <w:tab w:val="clear" w:pos="992"/>
        </w:tabs>
        <w:wordWrap/>
        <w:adjustRightInd/>
        <w:snapToGrid/>
        <w:spacing w:beforeAutospacing="0" w:afterAutospacing="0" w:line="400" w:lineRule="auto"/>
        <w:ind w:left="64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widowControl w:val="0"/>
        <w:numPr>
          <w:ilvl w:val="1"/>
          <w:numId w:val="8"/>
        </w:numPr>
        <w:tabs>
          <w:tab w:val="left" w:pos="220"/>
          <w:tab w:val="left" w:pos="525"/>
          <w:tab w:val="clear" w:pos="992"/>
        </w:tabs>
        <w:wordWrap/>
        <w:adjustRightInd/>
        <w:snapToGrid/>
        <w:spacing w:beforeAutospacing="0" w:afterAutospacing="0" w:line="400" w:lineRule="auto"/>
        <w:ind w:left="64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pPr>
        <w:widowControl w:val="0"/>
        <w:wordWrap/>
        <w:adjustRightInd/>
        <w:snapToGrid/>
        <w:spacing w:beforeAutospacing="0" w:afterAutospacing="0" w:line="400" w:lineRule="auto"/>
        <w:ind w:right="0"/>
        <w:jc w:val="center"/>
        <w:textAlignment w:val="auto"/>
        <w:outlineLvl w:val="0"/>
        <w:rPr>
          <w:rFonts w:hint="eastAsia" w:ascii="新宋体" w:hAnsi="新宋体" w:eastAsia="新宋体" w:cs="新宋体"/>
          <w:b/>
          <w:bCs/>
          <w:color w:val="auto"/>
          <w:sz w:val="26"/>
          <w:szCs w:val="26"/>
          <w:highlight w:val="none"/>
        </w:rPr>
      </w:pPr>
      <w:bookmarkStart w:id="54" w:name="_Toc262105501"/>
      <w:bookmarkStart w:id="55" w:name="_Toc6942"/>
      <w:bookmarkStart w:id="56" w:name="_Toc222114877"/>
      <w:bookmarkStart w:id="57" w:name="_Toc249758862"/>
      <w:bookmarkStart w:id="58" w:name="_Toc239145352"/>
      <w:bookmarkStart w:id="59" w:name="_Toc245722279"/>
      <w:bookmarkStart w:id="60" w:name="_Toc221374624"/>
      <w:bookmarkStart w:id="61" w:name="_Toc221423617"/>
      <w:bookmarkStart w:id="62" w:name="_Toc246261263"/>
      <w:bookmarkStart w:id="63" w:name="_Toc221356949"/>
      <w:bookmarkStart w:id="64" w:name="_Toc221356884"/>
      <w:bookmarkStart w:id="65" w:name="_Toc245191312"/>
      <w:bookmarkStart w:id="66" w:name="_Toc241404200"/>
      <w:bookmarkStart w:id="67" w:name="_Toc223715996"/>
      <w:bookmarkStart w:id="68" w:name="_Toc249758710"/>
      <w:bookmarkStart w:id="69" w:name="_Toc262049416"/>
      <w:r>
        <w:rPr>
          <w:rFonts w:hint="eastAsia" w:ascii="新宋体" w:hAnsi="新宋体" w:eastAsia="新宋体" w:cs="新宋体"/>
          <w:b/>
          <w:bCs/>
          <w:color w:val="auto"/>
          <w:sz w:val="26"/>
          <w:szCs w:val="26"/>
          <w:highlight w:val="none"/>
        </w:rPr>
        <w:t>三、 磋商文件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widowControl w:val="0"/>
        <w:numPr>
          <w:ilvl w:val="0"/>
          <w:numId w:val="9"/>
        </w:numPr>
        <w:tabs>
          <w:tab w:val="left" w:pos="425"/>
          <w:tab w:val="left" w:pos="900"/>
        </w:tabs>
        <w:wordWrap/>
        <w:adjustRightInd/>
        <w:snapToGrid/>
        <w:spacing w:beforeAutospacing="0" w:afterAutospacing="0" w:line="40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磋商文件由磋商文件目录所列内容及相关资料组成。</w:t>
      </w:r>
    </w:p>
    <w:p>
      <w:pPr>
        <w:widowControl w:val="0"/>
        <w:numPr>
          <w:ilvl w:val="0"/>
          <w:numId w:val="9"/>
        </w:numPr>
        <w:wordWrap/>
        <w:adjustRightInd/>
        <w:snapToGrid/>
        <w:spacing w:beforeAutospacing="0" w:afterAutospacing="0" w:line="40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w:t>
      </w:r>
    </w:p>
    <w:p>
      <w:pPr>
        <w:widowControl w:val="0"/>
        <w:numPr>
          <w:numId w:val="0"/>
        </w:numPr>
        <w:tabs>
          <w:tab w:val="left" w:pos="420"/>
          <w:tab w:val="left" w:pos="525"/>
        </w:tabs>
        <w:wordWrap/>
        <w:adjustRightInd/>
        <w:snapToGrid/>
        <w:spacing w:beforeAutospacing="0" w:afterAutospacing="0" w:line="400" w:lineRule="auto"/>
        <w:ind w:left="73" w:leftChars="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lang w:val="en-US" w:eastAsia="zh-CN"/>
        </w:rPr>
        <w:t>2.1</w:t>
      </w:r>
      <w:r>
        <w:rPr>
          <w:rFonts w:hint="eastAsia" w:ascii="新宋体" w:hAnsi="新宋体" w:eastAsia="新宋体" w:cs="新宋体"/>
          <w:color w:val="auto"/>
          <w:spacing w:val="6"/>
          <w:sz w:val="22"/>
          <w:highlight w:val="none"/>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r>
        <w:rPr>
          <w:rFonts w:hint="eastAsia" w:ascii="新宋体" w:hAnsi="新宋体" w:eastAsia="新宋体" w:cs="新宋体"/>
          <w:color w:val="auto"/>
          <w:sz w:val="22"/>
          <w:szCs w:val="22"/>
          <w:highlight w:val="none"/>
        </w:rPr>
        <w:t>。</w:t>
      </w:r>
    </w:p>
    <w:p>
      <w:pPr>
        <w:widowControl w:val="0"/>
        <w:tabs>
          <w:tab w:val="left" w:pos="540"/>
        </w:tabs>
        <w:wordWrap/>
        <w:adjustRightInd/>
        <w:snapToGrid/>
        <w:spacing w:beforeAutospacing="0" w:afterAutospacing="0" w:line="400" w:lineRule="auto"/>
        <w:ind w:right="0"/>
        <w:textAlignment w:val="auto"/>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pacing w:val="6"/>
          <w:sz w:val="22"/>
          <w:highlight w:val="none"/>
        </w:rPr>
        <w:t>供应商提出质疑应当提交质疑函和必要的证明材料，质疑函范本请到“浙江政府采购网下载专区”下载，质疑函内容及签署等相关要求请参看《政府采购质疑和投诉办法》相关规定。</w:t>
      </w:r>
    </w:p>
    <w:p>
      <w:pPr>
        <w:widowControl w:val="0"/>
        <w:numPr>
          <w:numId w:val="0"/>
        </w:numPr>
        <w:tabs>
          <w:tab w:val="left" w:pos="420"/>
          <w:tab w:val="left" w:pos="525"/>
        </w:tabs>
        <w:wordWrap/>
        <w:adjustRightInd/>
        <w:snapToGrid/>
        <w:spacing w:beforeAutospacing="0" w:afterAutospacing="0" w:line="400" w:lineRule="auto"/>
        <w:ind w:left="73" w:leftChars="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lang w:val="en-US" w:eastAsia="zh-CN"/>
        </w:rPr>
        <w:t>2</w:t>
      </w:r>
      <w:r>
        <w:rPr>
          <w:rFonts w:hint="eastAsia" w:ascii="新宋体" w:hAnsi="新宋体" w:eastAsia="新宋体" w:cs="新宋体"/>
          <w:color w:val="auto"/>
          <w:spacing w:val="6"/>
          <w:sz w:val="22"/>
          <w:highlight w:val="none"/>
        </w:rPr>
        <w:t>.3提出质疑的供应商应当是参与本项目采购活动的供应商。供应商在法定质疑期内一次性提出针对同一采购程序环节的质疑</w:t>
      </w:r>
      <w:r>
        <w:rPr>
          <w:rFonts w:hint="eastAsia" w:ascii="新宋体" w:hAnsi="新宋体" w:eastAsia="新宋体" w:cs="新宋体"/>
          <w:color w:val="auto"/>
          <w:sz w:val="22"/>
          <w:szCs w:val="22"/>
          <w:highlight w:val="none"/>
        </w:rPr>
        <w:t>。</w:t>
      </w:r>
    </w:p>
    <w:p>
      <w:pPr>
        <w:widowControl w:val="0"/>
        <w:numPr>
          <w:numId w:val="0"/>
        </w:numPr>
        <w:tabs>
          <w:tab w:val="left" w:pos="420"/>
          <w:tab w:val="left" w:pos="525"/>
        </w:tabs>
        <w:wordWrap/>
        <w:adjustRightInd/>
        <w:snapToGrid/>
        <w:spacing w:beforeAutospacing="0" w:afterAutospacing="0" w:line="400" w:lineRule="auto"/>
        <w:ind w:left="73" w:leftChars="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2.4</w:t>
      </w:r>
      <w:r>
        <w:rPr>
          <w:rFonts w:hint="eastAsia" w:ascii="新宋体" w:hAnsi="新宋体" w:eastAsia="新宋体" w:cs="新宋体"/>
          <w:color w:val="auto"/>
          <w:sz w:val="22"/>
          <w:szCs w:val="22"/>
          <w:highlight w:val="none"/>
        </w:rPr>
        <w:t>提出质疑的供应商应当是参与本项目招标活动的供应商。供应商在法定质疑期内一次性提出针对同一采购程序环节的质疑。</w:t>
      </w:r>
    </w:p>
    <w:p>
      <w:pPr>
        <w:widowControl w:val="0"/>
        <w:numPr>
          <w:numId w:val="0"/>
        </w:numPr>
        <w:tabs>
          <w:tab w:val="left" w:pos="420"/>
          <w:tab w:val="left" w:pos="525"/>
        </w:tabs>
        <w:wordWrap/>
        <w:adjustRightInd/>
        <w:snapToGrid/>
        <w:spacing w:beforeAutospacing="0" w:afterAutospacing="0" w:line="400" w:lineRule="auto"/>
        <w:ind w:left="73" w:leftChars="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2.5</w:t>
      </w:r>
      <w:r>
        <w:rPr>
          <w:rFonts w:hint="eastAsia" w:ascii="新宋体" w:hAnsi="新宋体" w:eastAsia="新宋体" w:cs="新宋体"/>
          <w:color w:val="auto"/>
          <w:sz w:val="22"/>
          <w:szCs w:val="22"/>
          <w:highlight w:val="none"/>
        </w:rPr>
        <w:t>根据《政府采购质疑和投诉办法》第三十七条的规定，投诉人在全国范围12个月内三次以上投诉查无实据的，由财政部门列入不良行为记录名单。</w:t>
      </w:r>
    </w:p>
    <w:p>
      <w:pPr>
        <w:widowControl w:val="0"/>
        <w:numPr>
          <w:ilvl w:val="0"/>
          <w:numId w:val="9"/>
        </w:numPr>
        <w:wordWrap/>
        <w:adjustRightInd/>
        <w:snapToGrid/>
        <w:spacing w:beforeAutospacing="0" w:afterAutospacing="0" w:line="40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投诉</w:t>
      </w:r>
    </w:p>
    <w:p>
      <w:pPr>
        <w:widowControl w:val="0"/>
        <w:tabs>
          <w:tab w:val="left" w:pos="540"/>
        </w:tabs>
        <w:wordWrap/>
        <w:adjustRightInd/>
        <w:snapToGrid/>
        <w:spacing w:beforeAutospacing="0" w:afterAutospacing="0" w:line="400" w:lineRule="auto"/>
        <w:ind w:right="0" w:firstLine="464" w:firstLineChars="200"/>
        <w:textAlignment w:val="auto"/>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widowControl w:val="0"/>
        <w:tabs>
          <w:tab w:val="left" w:pos="540"/>
        </w:tabs>
        <w:wordWrap/>
        <w:adjustRightInd/>
        <w:snapToGrid/>
        <w:spacing w:beforeAutospacing="0" w:afterAutospacing="0" w:line="40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磋商文件的澄清或修改</w:t>
      </w:r>
    </w:p>
    <w:p>
      <w:pPr>
        <w:widowControl w:val="0"/>
        <w:wordWrap/>
        <w:adjustRightInd/>
        <w:snapToGrid/>
        <w:spacing w:beforeAutospacing="0" w:afterAutospacing="0" w:line="40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.1 提交首次响应文件截止之日前，采购人、采购代理机构或者磋商小组可以对已发出的磋商文件进行必要的澄清或者修改，澄清或者修改在浙江政府采购网上发布公告，政采云系统将自动发送消息通知所有获取磋商文件的潜在供应商。澄清或者修改的内容作为磋商文件的组成部分。澄清或者修改的内容可能影响响应文件编制的，采购人或者采购代理机构应当在提交首次响应文件截止时间至少5日前，在浙江政府采购网上发布更正公告，政采云系统将自动发送消息通知所有获取磋商文件的潜在供应商；不足5日的，采购人、采购代理机构应当顺延提交首次响应文件截止时间。</w:t>
      </w:r>
    </w:p>
    <w:p>
      <w:pPr>
        <w:widowControl w:val="0"/>
        <w:wordWrap/>
        <w:adjustRightInd/>
        <w:snapToGrid/>
        <w:spacing w:beforeAutospacing="0" w:afterAutospacing="0" w:line="40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.2竞争性磋商文件如有补充更正均见“政采云”（http://www.zjzfcg.gov.cn）。供应商须在开标前一日自行查看是否有补充更正文件，并按补充更正文件要求磋商响应，否则责任自负。</w:t>
      </w:r>
    </w:p>
    <w:p>
      <w:pPr>
        <w:tabs>
          <w:tab w:val="left" w:pos="540"/>
        </w:tabs>
        <w:spacing w:line="400" w:lineRule="exact"/>
        <w:rPr>
          <w:rFonts w:hint="eastAsia" w:ascii="新宋体" w:hAnsi="新宋体" w:eastAsia="新宋体" w:cs="新宋体"/>
          <w:color w:val="auto"/>
          <w:spacing w:val="6"/>
          <w:sz w:val="22"/>
          <w:highlight w:val="none"/>
        </w:rPr>
      </w:pPr>
    </w:p>
    <w:p>
      <w:pPr>
        <w:spacing w:before="100" w:beforeAutospacing="1" w:after="100" w:afterAutospacing="1" w:line="440" w:lineRule="exact"/>
        <w:jc w:val="center"/>
        <w:outlineLvl w:val="0"/>
        <w:rPr>
          <w:rFonts w:hint="eastAsia" w:ascii="新宋体" w:hAnsi="新宋体" w:eastAsia="新宋体" w:cs="新宋体"/>
          <w:b/>
          <w:bCs/>
          <w:color w:val="auto"/>
          <w:sz w:val="26"/>
          <w:szCs w:val="26"/>
          <w:highlight w:val="none"/>
        </w:rPr>
      </w:pPr>
      <w:bookmarkStart w:id="70" w:name="_Toc221423618"/>
      <w:bookmarkStart w:id="71" w:name="_Toc221374625"/>
      <w:bookmarkStart w:id="72" w:name="_Toc249758863"/>
      <w:bookmarkStart w:id="73" w:name="_Toc245722280"/>
      <w:bookmarkStart w:id="74" w:name="_Toc222114878"/>
      <w:bookmarkStart w:id="75" w:name="_Toc221356950"/>
      <w:bookmarkStart w:id="76" w:name="_Toc24411"/>
      <w:bookmarkStart w:id="77" w:name="_Toc221356885"/>
      <w:bookmarkStart w:id="78" w:name="_Toc245191313"/>
      <w:bookmarkStart w:id="79" w:name="_Toc223715997"/>
      <w:bookmarkStart w:id="80" w:name="_Toc239145353"/>
      <w:bookmarkStart w:id="81" w:name="_Toc262105502"/>
      <w:bookmarkStart w:id="82" w:name="_Toc262049417"/>
      <w:bookmarkStart w:id="83" w:name="_Toc246261264"/>
      <w:bookmarkStart w:id="84" w:name="_Toc241404201"/>
      <w:bookmarkStart w:id="85" w:name="_Toc249758711"/>
      <w:r>
        <w:rPr>
          <w:rFonts w:hint="eastAsia" w:ascii="新宋体" w:hAnsi="新宋体" w:eastAsia="新宋体" w:cs="新宋体"/>
          <w:b/>
          <w:bCs/>
          <w:color w:val="auto"/>
          <w:sz w:val="26"/>
          <w:szCs w:val="26"/>
          <w:highlight w:val="none"/>
        </w:rPr>
        <w:t>四、 磋商响应文件的编制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numPr>
          <w:ilvl w:val="0"/>
          <w:numId w:val="10"/>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磋商供应商应认真阅读磋商文件中所有事项格式、条款和技术规范等。</w:t>
      </w:r>
      <w:r>
        <w:rPr>
          <w:rFonts w:hint="eastAsia" w:ascii="新宋体" w:hAnsi="新宋体" w:eastAsia="新宋体" w:cs="新宋体"/>
          <w:b/>
          <w:color w:val="auto"/>
          <w:sz w:val="22"/>
          <w:szCs w:val="22"/>
          <w:highlight w:val="none"/>
        </w:rPr>
        <w:t>磋商供应商没有按照磋商文件要求提交全部资料，或者没有对磋商文件各个方面做出实质性响应，导致报价被拒绝的风险由供应商人自行承担。</w:t>
      </w:r>
    </w:p>
    <w:p>
      <w:pPr>
        <w:numPr>
          <w:ilvl w:val="0"/>
          <w:numId w:val="10"/>
        </w:num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磋商响应文件的构成</w:t>
      </w:r>
    </w:p>
    <w:p>
      <w:pPr>
        <w:tabs>
          <w:tab w:val="left" w:pos="360"/>
          <w:tab w:val="left" w:pos="1135"/>
        </w:tabs>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 xml:space="preserve">     </w:t>
      </w:r>
      <w:r>
        <w:rPr>
          <w:rFonts w:hint="eastAsia" w:ascii="新宋体" w:hAnsi="新宋体" w:eastAsia="新宋体" w:cs="新宋体"/>
          <w:b/>
          <w:color w:val="auto"/>
          <w:sz w:val="22"/>
          <w:szCs w:val="22"/>
          <w:highlight w:val="none"/>
        </w:rPr>
        <w:t>磋商响应文件由由资格文件、报价文件、商务技术文件三部分构成：</w:t>
      </w:r>
    </w:p>
    <w:p>
      <w:pPr>
        <w:spacing w:line="400" w:lineRule="exact"/>
        <w:ind w:left="187" w:leftChars="85" w:hanging="9" w:hangingChars="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（1）资格文件</w:t>
      </w:r>
    </w:p>
    <w:tbl>
      <w:tblPr>
        <w:tblStyle w:val="45"/>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trPr>
        <w:tc>
          <w:tcPr>
            <w:tcW w:w="817" w:type="dxa"/>
            <w:vAlign w:val="center"/>
          </w:tcPr>
          <w:p>
            <w:pPr>
              <w:overflowPunct w:val="0"/>
              <w:spacing w:line="40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514" w:type="dxa"/>
            <w:vAlign w:val="center"/>
          </w:tcPr>
          <w:p>
            <w:pPr>
              <w:overflowPunct w:val="0"/>
              <w:spacing w:line="40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c>
          <w:tcPr>
            <w:tcW w:w="1523" w:type="dxa"/>
            <w:vAlign w:val="center"/>
          </w:tcPr>
          <w:p>
            <w:pPr>
              <w:overflowPunct w:val="0"/>
              <w:spacing w:line="40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center"/>
          </w:tcPr>
          <w:p>
            <w:pPr>
              <w:overflowPunct w:val="0"/>
              <w:spacing w:line="40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1.</w:t>
            </w:r>
          </w:p>
        </w:tc>
        <w:tc>
          <w:tcPr>
            <w:tcW w:w="751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52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新宋体" w:hAnsi="新宋体" w:eastAsia="新宋体" w:cs="新宋体"/>
                <w:bCs/>
                <w:color w:val="auto"/>
                <w:sz w:val="22"/>
                <w:szCs w:val="22"/>
                <w:highlight w:val="none"/>
              </w:rPr>
            </w:pPr>
            <w:bookmarkStart w:id="252" w:name="_GoBack" w:colFirst="1" w:colLast="1"/>
            <w:r>
              <w:rPr>
                <w:rFonts w:hint="eastAsia" w:ascii="新宋体" w:hAnsi="新宋体" w:eastAsia="新宋体" w:cs="新宋体"/>
                <w:color w:val="auto"/>
                <w:sz w:val="22"/>
                <w:szCs w:val="22"/>
                <w:highlight w:val="none"/>
              </w:rPr>
              <w:t>1）</w:t>
            </w:r>
          </w:p>
        </w:tc>
        <w:tc>
          <w:tcPr>
            <w:tcW w:w="7514" w:type="dxa"/>
            <w:vAlign w:val="center"/>
          </w:tcPr>
          <w:p>
            <w:pPr>
              <w:spacing w:line="400" w:lineRule="exact"/>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pPr>
              <w:overflowPunct w:val="0"/>
              <w:spacing w:line="40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w:t>
            </w:r>
          </w:p>
        </w:tc>
        <w:tc>
          <w:tcPr>
            <w:tcW w:w="7514" w:type="dxa"/>
            <w:vAlign w:val="center"/>
          </w:tcPr>
          <w:p>
            <w:pPr>
              <w:spacing w:line="400" w:lineRule="exact"/>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法定代表人声明书或法定代表人授权书</w:t>
            </w:r>
            <w:r>
              <w:rPr>
                <w:rFonts w:hint="eastAsia" w:ascii="新宋体" w:hAnsi="新宋体" w:eastAsia="新宋体" w:cs="新宋体"/>
                <w:b/>
                <w:bCs/>
                <w:color w:val="auto"/>
                <w:sz w:val="22"/>
                <w:szCs w:val="22"/>
                <w:highlight w:val="none"/>
                <w:u w:val="single" w:color="auto"/>
                <w:lang w:val="en-US" w:eastAsia="zh-CN"/>
              </w:rPr>
              <w:t>；</w:t>
            </w:r>
          </w:p>
        </w:tc>
        <w:tc>
          <w:tcPr>
            <w:tcW w:w="1523" w:type="dxa"/>
            <w:vAlign w:val="center"/>
          </w:tcPr>
          <w:p>
            <w:pPr>
              <w:spacing w:line="40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3）</w:t>
            </w:r>
          </w:p>
        </w:tc>
        <w:tc>
          <w:tcPr>
            <w:tcW w:w="7514" w:type="dxa"/>
            <w:vAlign w:val="center"/>
          </w:tcPr>
          <w:p>
            <w:pPr>
              <w:spacing w:line="400" w:lineRule="exact"/>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投标供应商参与政府采购活动投标资格声明函</w:t>
            </w:r>
            <w:r>
              <w:rPr>
                <w:rFonts w:hint="eastAsia" w:ascii="新宋体" w:hAnsi="新宋体" w:eastAsia="新宋体" w:cs="新宋体"/>
                <w:b/>
                <w:bCs/>
                <w:color w:val="auto"/>
                <w:sz w:val="22"/>
                <w:szCs w:val="22"/>
                <w:highlight w:val="none"/>
                <w:u w:val="single" w:color="auto"/>
                <w:lang w:val="en-US" w:eastAsia="zh-CN"/>
              </w:rPr>
              <w:t>；</w:t>
            </w:r>
          </w:p>
        </w:tc>
        <w:tc>
          <w:tcPr>
            <w:tcW w:w="1523" w:type="dxa"/>
            <w:vAlign w:val="center"/>
          </w:tcPr>
          <w:p>
            <w:pPr>
              <w:spacing w:line="40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w:t>
            </w:r>
          </w:p>
        </w:tc>
        <w:tc>
          <w:tcPr>
            <w:tcW w:w="7514" w:type="dxa"/>
            <w:vAlign w:val="center"/>
          </w:tcPr>
          <w:p>
            <w:pPr>
              <w:spacing w:line="400" w:lineRule="exact"/>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诚信投标承诺书</w:t>
            </w:r>
            <w:r>
              <w:rPr>
                <w:rFonts w:hint="eastAsia" w:ascii="新宋体" w:hAnsi="新宋体" w:eastAsia="新宋体" w:cs="新宋体"/>
                <w:b/>
                <w:bCs/>
                <w:color w:val="auto"/>
                <w:sz w:val="22"/>
                <w:szCs w:val="22"/>
                <w:highlight w:val="none"/>
                <w:u w:val="single" w:color="auto"/>
                <w:lang w:val="en-US" w:eastAsia="zh-CN"/>
              </w:rPr>
              <w:t>；</w:t>
            </w:r>
          </w:p>
        </w:tc>
        <w:tc>
          <w:tcPr>
            <w:tcW w:w="1523"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w:t>
            </w:r>
          </w:p>
        </w:tc>
        <w:tc>
          <w:tcPr>
            <w:tcW w:w="7514" w:type="dxa"/>
            <w:vAlign w:val="center"/>
          </w:tcPr>
          <w:p>
            <w:pPr>
              <w:spacing w:line="400" w:lineRule="exact"/>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中小微企业（或监狱企业、残疾人福利单位）声明函</w:t>
            </w:r>
            <w:r>
              <w:rPr>
                <w:rFonts w:hint="eastAsia" w:ascii="新宋体" w:hAnsi="新宋体" w:eastAsia="新宋体" w:cs="新宋体"/>
                <w:b/>
                <w:bCs/>
                <w:color w:val="auto"/>
                <w:sz w:val="22"/>
                <w:szCs w:val="22"/>
                <w:highlight w:val="none"/>
                <w:u w:val="single" w:color="auto"/>
                <w:lang w:val="en-US" w:eastAsia="zh-CN"/>
              </w:rPr>
              <w:t>；</w:t>
            </w:r>
          </w:p>
        </w:tc>
        <w:tc>
          <w:tcPr>
            <w:tcW w:w="1523"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6）</w:t>
            </w:r>
          </w:p>
        </w:tc>
        <w:tc>
          <w:tcPr>
            <w:tcW w:w="7514" w:type="dxa"/>
            <w:vAlign w:val="center"/>
          </w:tcPr>
          <w:p>
            <w:pPr>
              <w:spacing w:line="400" w:lineRule="exact"/>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有效的食品经营许可证</w:t>
            </w:r>
            <w:r>
              <w:rPr>
                <w:rFonts w:hint="eastAsia" w:ascii="新宋体" w:hAnsi="新宋体" w:eastAsia="新宋体" w:cs="新宋体"/>
                <w:b/>
                <w:bCs/>
                <w:color w:val="auto"/>
                <w:sz w:val="22"/>
                <w:szCs w:val="22"/>
                <w:highlight w:val="none"/>
                <w:u w:val="single" w:color="auto"/>
                <w:lang w:val="en-US" w:eastAsia="zh-CN"/>
              </w:rPr>
              <w:t>复印件。</w:t>
            </w:r>
          </w:p>
        </w:tc>
        <w:tc>
          <w:tcPr>
            <w:tcW w:w="1523" w:type="dxa"/>
            <w:vAlign w:val="center"/>
          </w:tcPr>
          <w:p>
            <w:pPr>
              <w:spacing w:line="40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6）</w:t>
            </w:r>
          </w:p>
        </w:tc>
      </w:tr>
      <w:bookmarkEnd w:id="252"/>
    </w:tbl>
    <w:p>
      <w:pPr>
        <w:spacing w:line="400" w:lineRule="exact"/>
        <w:ind w:left="187" w:leftChars="85" w:hanging="9" w:hangingChars="4"/>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备注：</w:t>
      </w: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pPr>
        <w:numPr>
          <w:numId w:val="0"/>
        </w:numPr>
        <w:spacing w:line="430" w:lineRule="exact"/>
        <w:ind w:left="400" w:leftChars="0"/>
        <w:rPr>
          <w:rFonts w:hint="eastAsia" w:ascii="新宋体" w:hAnsi="新宋体" w:eastAsia="新宋体" w:cs="新宋体"/>
          <w:b/>
          <w:bCs/>
          <w:color w:val="auto"/>
          <w:highlight w:val="none"/>
        </w:rPr>
      </w:pP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以上所需的各种证书、证件、证明、执照若系复制件，须在复制件上加盖供应商有效的公章。</w:t>
      </w:r>
    </w:p>
    <w:p>
      <w:pPr>
        <w:numPr>
          <w:numId w:val="0"/>
        </w:numPr>
        <w:spacing w:line="430" w:lineRule="exact"/>
        <w:ind w:left="400" w:leftChars="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p>
    <w:p>
      <w:pPr>
        <w:spacing w:line="40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（2）</w:t>
      </w:r>
      <w:r>
        <w:rPr>
          <w:rFonts w:hint="eastAsia" w:ascii="新宋体" w:hAnsi="新宋体" w:eastAsia="新宋体" w:cs="新宋体"/>
          <w:b/>
          <w:color w:val="auto"/>
          <w:kern w:val="0"/>
          <w:sz w:val="22"/>
          <w:szCs w:val="22"/>
          <w:highlight w:val="none"/>
        </w:rPr>
        <w:t>报价文件</w:t>
      </w:r>
    </w:p>
    <w:tbl>
      <w:tblPr>
        <w:tblStyle w:val="4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7" w:type="dxa"/>
            <w:vAlign w:val="center"/>
          </w:tcPr>
          <w:p>
            <w:pPr>
              <w:spacing w:line="4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7513" w:type="dxa"/>
            <w:vAlign w:val="center"/>
          </w:tcPr>
          <w:p>
            <w:pPr>
              <w:spacing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内容</w:t>
            </w:r>
          </w:p>
        </w:tc>
        <w:tc>
          <w:tcPr>
            <w:tcW w:w="1524" w:type="dxa"/>
            <w:vAlign w:val="center"/>
          </w:tcPr>
          <w:p>
            <w:pPr>
              <w:spacing w:line="4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w:t>
            </w:r>
          </w:p>
        </w:tc>
        <w:tc>
          <w:tcPr>
            <w:tcW w:w="7513" w:type="dxa"/>
            <w:vAlign w:val="center"/>
          </w:tcPr>
          <w:p>
            <w:pPr>
              <w:spacing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报价一览表</w:t>
            </w:r>
          </w:p>
        </w:tc>
        <w:tc>
          <w:tcPr>
            <w:tcW w:w="1524" w:type="dxa"/>
            <w:vAlign w:val="center"/>
          </w:tcPr>
          <w:p>
            <w:pPr>
              <w:spacing w:line="4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附件二</w:t>
            </w:r>
          </w:p>
        </w:tc>
      </w:tr>
    </w:tbl>
    <w:p>
      <w:pPr>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（3）</w:t>
      </w:r>
      <w:r>
        <w:rPr>
          <w:rFonts w:hint="eastAsia" w:ascii="新宋体" w:hAnsi="新宋体" w:eastAsia="新宋体" w:cs="新宋体"/>
          <w:b/>
          <w:color w:val="auto"/>
          <w:sz w:val="22"/>
          <w:szCs w:val="22"/>
          <w:highlight w:val="none"/>
        </w:rPr>
        <w:t>商务技术文件</w:t>
      </w:r>
    </w:p>
    <w:tbl>
      <w:tblPr>
        <w:tblStyle w:val="45"/>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513" w:type="dxa"/>
            <w:vAlign w:val="center"/>
          </w:tcPr>
          <w:p>
            <w:pPr>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524" w:type="dxa"/>
            <w:vAlign w:val="center"/>
          </w:tcPr>
          <w:p>
            <w:pPr>
              <w:spacing w:line="40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513" w:type="dxa"/>
            <w:vAlign w:val="center"/>
          </w:tcPr>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磋商函</w:t>
            </w:r>
          </w:p>
        </w:tc>
        <w:tc>
          <w:tcPr>
            <w:tcW w:w="1524"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513" w:type="dxa"/>
            <w:vAlign w:val="center"/>
          </w:tcPr>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技术规格、商务条款偏离表</w:t>
            </w:r>
          </w:p>
        </w:tc>
        <w:tc>
          <w:tcPr>
            <w:tcW w:w="1524"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513" w:type="dxa"/>
            <w:vAlign w:val="center"/>
          </w:tcPr>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投标技术方案（按“评标细则”相关评分内容逐项编制，格式自拟）</w:t>
            </w:r>
          </w:p>
        </w:tc>
        <w:tc>
          <w:tcPr>
            <w:tcW w:w="1524" w:type="dxa"/>
            <w:vAlign w:val="center"/>
          </w:tcPr>
          <w:p>
            <w:pPr>
              <w:spacing w:line="40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513" w:type="dxa"/>
            <w:vAlign w:val="center"/>
          </w:tcPr>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服务保证措施资信证明文件（本部分为商务技术文件评分内容，各供应商参照评分标准根据自身情况提供）</w:t>
            </w:r>
          </w:p>
        </w:tc>
        <w:tc>
          <w:tcPr>
            <w:tcW w:w="1524" w:type="dxa"/>
            <w:vAlign w:val="center"/>
          </w:tcPr>
          <w:p>
            <w:pPr>
              <w:spacing w:line="40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513" w:type="dxa"/>
            <w:vAlign w:val="center"/>
          </w:tcPr>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w:t>
            </w:r>
            <w:r>
              <w:rPr>
                <w:rFonts w:hint="eastAsia" w:ascii="新宋体" w:hAnsi="新宋体" w:eastAsia="新宋体" w:cs="新宋体"/>
                <w:color w:val="auto"/>
                <w:sz w:val="22"/>
                <w:szCs w:val="22"/>
                <w:highlight w:val="none"/>
                <w:lang w:eastAsia="zh-CN"/>
              </w:rPr>
              <w:t>磋商文件</w:t>
            </w:r>
            <w:r>
              <w:rPr>
                <w:rFonts w:hint="eastAsia" w:ascii="新宋体" w:hAnsi="新宋体" w:eastAsia="新宋体" w:cs="新宋体"/>
                <w:color w:val="auto"/>
                <w:sz w:val="22"/>
                <w:szCs w:val="22"/>
                <w:highlight w:val="none"/>
              </w:rPr>
              <w:t>评分细则供应商认为需要提供的其他技术资料</w:t>
            </w:r>
          </w:p>
        </w:tc>
        <w:tc>
          <w:tcPr>
            <w:tcW w:w="1524" w:type="dxa"/>
            <w:vAlign w:val="center"/>
          </w:tcPr>
          <w:p>
            <w:pPr>
              <w:spacing w:line="400" w:lineRule="exact"/>
              <w:jc w:val="center"/>
              <w:rPr>
                <w:rFonts w:hint="eastAsia" w:ascii="新宋体" w:hAnsi="新宋体" w:eastAsia="新宋体" w:cs="新宋体"/>
                <w:color w:val="auto"/>
                <w:sz w:val="22"/>
                <w:szCs w:val="22"/>
                <w:highlight w:val="none"/>
              </w:rPr>
            </w:pPr>
          </w:p>
        </w:tc>
      </w:tr>
    </w:tbl>
    <w:p>
      <w:pPr>
        <w:spacing w:line="400" w:lineRule="exact"/>
        <w:ind w:left="187" w:leftChars="85" w:hanging="9" w:hangingChars="4"/>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说明：</w:t>
      </w:r>
    </w:p>
    <w:p>
      <w:pPr>
        <w:numPr>
          <w:ilvl w:val="0"/>
          <w:numId w:val="11"/>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供应商可根据磋商文件中的采购内容及需求和商务技术文件评分细则，提供供应商认为需要提供的文件和资料。</w:t>
      </w:r>
    </w:p>
    <w:p>
      <w:pPr>
        <w:numPr>
          <w:ilvl w:val="0"/>
          <w:numId w:val="11"/>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pPr>
        <w:numPr>
          <w:ilvl w:val="0"/>
          <w:numId w:val="11"/>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以上所需的各种证书、证件、证明等若系复印件、扫描件，须加盖供应商有效的公章。</w:t>
      </w:r>
    </w:p>
    <w:p>
      <w:pPr>
        <w:numPr>
          <w:ilvl w:val="0"/>
          <w:numId w:val="11"/>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numPr>
          <w:ilvl w:val="0"/>
          <w:numId w:val="10"/>
        </w:num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磋商响应文件编制</w:t>
      </w:r>
    </w:p>
    <w:p>
      <w:pPr>
        <w:numPr>
          <w:ilvl w:val="1"/>
          <w:numId w:val="12"/>
        </w:numPr>
        <w:tabs>
          <w:tab w:val="left" w:pos="220"/>
          <w:tab w:val="clear" w:pos="992"/>
        </w:tabs>
        <w:spacing w:line="400" w:lineRule="exact"/>
        <w:ind w:left="420" w:hanging="347"/>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本项目通过“政采云平台（www.zcygov.cn）”实行在线投标响应（电子投标）。供应商应通过“政采云电子交易客户端”，并按照本磋商文件和“政采云平台”的要求编制并加密磋商响应文件。</w:t>
      </w:r>
    </w:p>
    <w:p>
      <w:pPr>
        <w:numPr>
          <w:ilvl w:val="1"/>
          <w:numId w:val="12"/>
        </w:numPr>
        <w:tabs>
          <w:tab w:val="left" w:pos="220"/>
          <w:tab w:val="clear" w:pos="992"/>
        </w:tabs>
        <w:spacing w:line="400" w:lineRule="exact"/>
        <w:ind w:left="420" w:hanging="347"/>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供应商提供的联系方式（手机号码、联系邮箱、联系地址），均以法定代表人声明书或法定代表人授权委托书上注明的联系方式为准，供应商必须保障其联系方式保持畅通。否则由此造成的后果均有供应商自行承担。</w:t>
      </w:r>
    </w:p>
    <w:p>
      <w:pPr>
        <w:numPr>
          <w:ilvl w:val="1"/>
          <w:numId w:val="12"/>
        </w:numPr>
        <w:tabs>
          <w:tab w:val="left" w:pos="220"/>
          <w:tab w:val="clear" w:pos="992"/>
        </w:tabs>
        <w:spacing w:line="400" w:lineRule="exact"/>
        <w:ind w:left="420" w:hanging="347"/>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本磋商文件“第五部分 ”中有提供格式的，供应商须参照格式进行编制（格式中要求提供相关证明材料的还需后附相关证明材料），并按格式要求在指定位置根据要求进行签章，否则视为未提供；本文件未提供格式的，请各供应商自行拟定格式，并加盖单位公章并由法定代表人或其授权代表签署（签字或盖章），否则视为未提供。</w:t>
      </w:r>
    </w:p>
    <w:p>
      <w:pPr>
        <w:numPr>
          <w:ilvl w:val="1"/>
          <w:numId w:val="12"/>
        </w:numPr>
        <w:tabs>
          <w:tab w:val="left" w:pos="220"/>
          <w:tab w:val="clear" w:pos="992"/>
        </w:tabs>
        <w:spacing w:line="400" w:lineRule="exact"/>
        <w:ind w:left="420" w:hanging="347"/>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磋商响应文件内容不完整、编排混乱导致磋商响应文件被误读、漏读或者查找不到相关内容的，是供应商的责任。</w:t>
      </w:r>
    </w:p>
    <w:p>
      <w:pPr>
        <w:numPr>
          <w:ilvl w:val="1"/>
          <w:numId w:val="12"/>
        </w:numPr>
        <w:tabs>
          <w:tab w:val="left" w:pos="220"/>
          <w:tab w:val="clear" w:pos="992"/>
        </w:tabs>
        <w:spacing w:line="400" w:lineRule="exact"/>
        <w:ind w:left="420" w:hanging="347"/>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磋商响应文件因字迹潦草或表达不清所引起的后果由供应商负责。</w:t>
      </w:r>
    </w:p>
    <w:p>
      <w:pPr>
        <w:numPr>
          <w:ilvl w:val="1"/>
          <w:numId w:val="12"/>
        </w:numPr>
        <w:tabs>
          <w:tab w:val="left" w:pos="220"/>
          <w:tab w:val="clear" w:pos="992"/>
        </w:tabs>
        <w:spacing w:line="400" w:lineRule="exact"/>
        <w:ind w:left="420" w:hanging="347"/>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供应商没有按照本章节 “磋商响应文件组成”要求提供全部资料，或者没有仔细阅读磋商文件，或者没有对磋商文件在各方面的要求作出实质性响应是供应商的风险，由此造成的一切后果由供应商自行承担。</w:t>
      </w:r>
    </w:p>
    <w:p>
      <w:pPr>
        <w:numPr>
          <w:ilvl w:val="0"/>
          <w:numId w:val="10"/>
        </w:num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磋商响应文件的签章</w:t>
      </w:r>
    </w:p>
    <w:p>
      <w:pPr>
        <w:numPr>
          <w:ilvl w:val="1"/>
          <w:numId w:val="13"/>
        </w:numPr>
        <w:tabs>
          <w:tab w:val="left" w:pos="420"/>
          <w:tab w:val="left" w:pos="525"/>
          <w:tab w:val="clear" w:pos="992"/>
        </w:tabs>
        <w:spacing w:line="400" w:lineRule="exact"/>
        <w:ind w:left="6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磋商响应文件的签章要求：供应商须知前附表第17款；</w:t>
      </w:r>
    </w:p>
    <w:p>
      <w:pPr>
        <w:numPr>
          <w:ilvl w:val="1"/>
          <w:numId w:val="13"/>
        </w:numPr>
        <w:tabs>
          <w:tab w:val="left" w:pos="420"/>
          <w:tab w:val="left" w:pos="525"/>
          <w:tab w:val="clear" w:pos="992"/>
        </w:tabs>
        <w:spacing w:line="400" w:lineRule="exact"/>
        <w:ind w:left="6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磋商响应文件应由供应商法定代表人或其授权代表签章，并同时加盖供应商公章。</w:t>
      </w:r>
      <w:r>
        <w:rPr>
          <w:rFonts w:hint="eastAsia" w:ascii="新宋体" w:hAnsi="新宋体" w:eastAsia="新宋体" w:cs="新宋体"/>
          <w:color w:val="auto"/>
          <w:kern w:val="0"/>
          <w:sz w:val="22"/>
          <w:szCs w:val="22"/>
          <w:highlight w:val="none"/>
          <w:lang w:val="zh-CN"/>
        </w:rPr>
        <w:t>（或先制作word版打印，相应位置签字或盖章后再扫描上传）</w:t>
      </w:r>
    </w:p>
    <w:p>
      <w:pPr>
        <w:numPr>
          <w:ilvl w:val="0"/>
          <w:numId w:val="10"/>
        </w:num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磋商响应文件的形式</w:t>
      </w:r>
    </w:p>
    <w:p>
      <w:pPr>
        <w:tabs>
          <w:tab w:val="left" w:pos="360"/>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磋商响应文件的形式：见供应商须知前附表第18款；</w:t>
      </w:r>
    </w:p>
    <w:p>
      <w:pPr>
        <w:numPr>
          <w:ilvl w:val="0"/>
          <w:numId w:val="10"/>
        </w:num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政采云系统默认供应商自动放弃的情形</w:t>
      </w:r>
    </w:p>
    <w:p>
      <w:pPr>
        <w:tabs>
          <w:tab w:val="left" w:pos="5355"/>
        </w:tabs>
        <w:spacing w:line="40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政采云系统默认供应商自动放弃的情形</w:t>
      </w:r>
      <w:r>
        <w:rPr>
          <w:rFonts w:hint="eastAsia" w:ascii="新宋体" w:hAnsi="新宋体" w:eastAsia="新宋体" w:cs="新宋体"/>
          <w:color w:val="auto"/>
          <w:sz w:val="22"/>
          <w:szCs w:val="22"/>
          <w:highlight w:val="none"/>
        </w:rPr>
        <w:t>：见供应商须知前附表第21款。</w:t>
      </w:r>
    </w:p>
    <w:p>
      <w:pPr>
        <w:numPr>
          <w:ilvl w:val="0"/>
          <w:numId w:val="10"/>
        </w:numPr>
        <w:spacing w:line="400" w:lineRule="exact"/>
        <w:ind w:hanging="562"/>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磋商报价</w:t>
      </w:r>
    </w:p>
    <w:p>
      <w:pPr>
        <w:numPr>
          <w:ilvl w:val="1"/>
          <w:numId w:val="14"/>
        </w:numPr>
        <w:tabs>
          <w:tab w:val="left" w:pos="540"/>
          <w:tab w:val="clear" w:pos="992"/>
        </w:tabs>
        <w:spacing w:line="400" w:lineRule="exact"/>
        <w:ind w:left="540"/>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本次投标以折扣率进行报价，该报价包括</w:t>
      </w:r>
      <w:r>
        <w:rPr>
          <w:rFonts w:hint="eastAsia" w:ascii="新宋体" w:hAnsi="新宋体" w:eastAsia="新宋体" w:cs="新宋体"/>
          <w:b/>
          <w:color w:val="auto"/>
          <w:kern w:val="0"/>
          <w:sz w:val="22"/>
          <w:szCs w:val="22"/>
          <w:highlight w:val="none"/>
          <w:lang w:val="en-US" w:eastAsia="zh-CN"/>
        </w:rPr>
        <w:t>但不限于</w:t>
      </w:r>
      <w:r>
        <w:rPr>
          <w:rFonts w:hint="eastAsia" w:ascii="新宋体" w:hAnsi="新宋体" w:eastAsia="新宋体" w:cs="新宋体"/>
          <w:b/>
          <w:color w:val="auto"/>
          <w:sz w:val="22"/>
          <w:highlight w:val="none"/>
          <w:lang w:val="en-US" w:eastAsia="zh-CN"/>
        </w:rPr>
        <w:t>食材的供货、人员工资、税金、包装、运输、装卸、验收、采购代理服务费等全部费用以及供货时间内所供货物的价格浮动因素</w:t>
      </w:r>
      <w:r>
        <w:rPr>
          <w:rFonts w:hint="eastAsia" w:ascii="新宋体" w:hAnsi="新宋体" w:eastAsia="新宋体" w:cs="新宋体"/>
          <w:b/>
          <w:color w:val="auto"/>
          <w:sz w:val="22"/>
          <w:highlight w:val="none"/>
        </w:rPr>
        <w:t>等全部本身和不可或缺的所有工作开支等各项全部费用并承担一切风险责任。</w:t>
      </w:r>
      <w:r>
        <w:rPr>
          <w:rFonts w:hint="eastAsia" w:ascii="新宋体" w:hAnsi="新宋体" w:eastAsia="新宋体" w:cs="新宋体"/>
          <w:b/>
          <w:bCs/>
          <w:color w:val="auto"/>
          <w:sz w:val="22"/>
          <w:szCs w:val="22"/>
          <w:highlight w:val="none"/>
        </w:rPr>
        <w:t>供应商应根据上述因素自行考虑含入磋商报价</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折扣率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color w:val="auto"/>
          <w:sz w:val="22"/>
          <w:szCs w:val="22"/>
          <w:highlight w:val="none"/>
        </w:rPr>
        <w:t>。</w:t>
      </w:r>
    </w:p>
    <w:p>
      <w:pPr>
        <w:numPr>
          <w:ilvl w:val="1"/>
          <w:numId w:val="15"/>
        </w:numPr>
        <w:tabs>
          <w:tab w:val="left" w:pos="420"/>
          <w:tab w:val="left" w:pos="525"/>
          <w:tab w:val="clear" w:pos="992"/>
        </w:tabs>
        <w:spacing w:line="400" w:lineRule="exact"/>
        <w:ind w:left="6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须认真阅读、充分理解磋商文件，如有疑问可在询疑截止时间前送达（或传真）招标代理机构，招标代理机构将会统一解答。任何因对本项目磋商文件理解不清、产生歧义等由此产生的费用，视作以含在投标总价中。</w:t>
      </w:r>
    </w:p>
    <w:p>
      <w:pPr>
        <w:numPr>
          <w:ilvl w:val="1"/>
          <w:numId w:val="15"/>
        </w:numPr>
        <w:tabs>
          <w:tab w:val="left" w:pos="420"/>
          <w:tab w:val="left" w:pos="525"/>
          <w:tab w:val="clear" w:pos="992"/>
        </w:tabs>
        <w:spacing w:line="400" w:lineRule="exact"/>
        <w:ind w:left="6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所有报价均以人民币报价，以其它货币报价的磋商不予接受。</w:t>
      </w:r>
    </w:p>
    <w:p>
      <w:pPr>
        <w:numPr>
          <w:ilvl w:val="1"/>
          <w:numId w:val="15"/>
        </w:numPr>
        <w:tabs>
          <w:tab w:val="left" w:pos="420"/>
          <w:tab w:val="left" w:pos="525"/>
          <w:tab w:val="clear" w:pos="992"/>
        </w:tabs>
        <w:spacing w:line="400" w:lineRule="exact"/>
        <w:ind w:left="6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采购人不接受任何选择报价，对每项内容只允许一个报价。</w:t>
      </w:r>
    </w:p>
    <w:p>
      <w:pPr>
        <w:numPr>
          <w:ilvl w:val="1"/>
          <w:numId w:val="15"/>
        </w:numPr>
        <w:tabs>
          <w:tab w:val="left" w:pos="420"/>
          <w:tab w:val="left" w:pos="525"/>
          <w:tab w:val="clear" w:pos="992"/>
        </w:tabs>
        <w:spacing w:line="400" w:lineRule="exact"/>
        <w:ind w:left="6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采购人要求分类报价是为了方便评标，但在任何情况下不限制采购人以其认为最合适的条款、条件签订合同的权利。</w:t>
      </w:r>
    </w:p>
    <w:p>
      <w:pPr>
        <w:numPr>
          <w:ilvl w:val="1"/>
          <w:numId w:val="15"/>
        </w:numPr>
        <w:tabs>
          <w:tab w:val="left" w:pos="420"/>
          <w:tab w:val="left" w:pos="525"/>
          <w:tab w:val="clear" w:pos="992"/>
        </w:tabs>
        <w:spacing w:line="400" w:lineRule="exact"/>
        <w:ind w:left="64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磋商供应商所报的价格</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折扣率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在合同执行过程中是固定不变的，不得以任何理由予以变更。任何包含价格调整的要求，将被认为是非实质性响应报价而予以拒绝。</w:t>
      </w:r>
    </w:p>
    <w:p>
      <w:pPr>
        <w:numPr>
          <w:ilvl w:val="1"/>
          <w:numId w:val="15"/>
        </w:numPr>
        <w:tabs>
          <w:tab w:val="left" w:pos="420"/>
          <w:tab w:val="left" w:pos="525"/>
          <w:tab w:val="clear" w:pos="992"/>
        </w:tabs>
        <w:spacing w:line="400" w:lineRule="exact"/>
        <w:ind w:left="64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最低报价不能作为成交的保证。</w:t>
      </w:r>
    </w:p>
    <w:p>
      <w:pPr>
        <w:numPr>
          <w:ilvl w:val="0"/>
          <w:numId w:val="10"/>
        </w:num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供应商如发生下列情况之一，将上报同级政府采购监督管理部门，追究其责任：</w:t>
      </w:r>
    </w:p>
    <w:p>
      <w:pPr>
        <w:numPr>
          <w:ilvl w:val="0"/>
          <w:numId w:val="16"/>
        </w:numPr>
        <w:tabs>
          <w:tab w:val="left" w:pos="360"/>
          <w:tab w:val="clear" w:pos="420"/>
        </w:tabs>
        <w:spacing w:line="40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供应商在磋商文件规定的投标有效期内撤回投标；</w:t>
      </w:r>
    </w:p>
    <w:p>
      <w:pPr>
        <w:numPr>
          <w:ilvl w:val="0"/>
          <w:numId w:val="16"/>
        </w:numPr>
        <w:tabs>
          <w:tab w:val="left" w:pos="360"/>
          <w:tab w:val="clear" w:pos="420"/>
        </w:tabs>
        <w:spacing w:line="40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成交供应商未按成交通知书中规定的时间与采购人签订合同；</w:t>
      </w:r>
    </w:p>
    <w:p>
      <w:pPr>
        <w:numPr>
          <w:ilvl w:val="0"/>
          <w:numId w:val="16"/>
        </w:numPr>
        <w:tabs>
          <w:tab w:val="left" w:pos="360"/>
          <w:tab w:val="clear" w:pos="420"/>
        </w:tabs>
        <w:spacing w:line="40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供应商在磋商文件中提供虚假技术指标及参数，经磋商小组确认属实的。</w:t>
      </w:r>
    </w:p>
    <w:p>
      <w:pPr>
        <w:numPr>
          <w:ilvl w:val="0"/>
          <w:numId w:val="16"/>
        </w:numPr>
        <w:tabs>
          <w:tab w:val="left" w:pos="360"/>
          <w:tab w:val="clear" w:pos="420"/>
        </w:tabs>
        <w:spacing w:line="40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经同级政府采购监督管理部门审查认定供应商有违反《中华人民共和国政府采购法》等有关法律法规的行为。</w:t>
      </w:r>
    </w:p>
    <w:p>
      <w:pPr>
        <w:numPr>
          <w:ilvl w:val="0"/>
          <w:numId w:val="10"/>
        </w:numPr>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报价文件有效期</w:t>
      </w:r>
    </w:p>
    <w:p>
      <w:pPr>
        <w:numPr>
          <w:ilvl w:val="1"/>
          <w:numId w:val="17"/>
        </w:numPr>
        <w:tabs>
          <w:tab w:val="left" w:pos="420"/>
          <w:tab w:val="left" w:pos="525"/>
          <w:tab w:val="clear" w:pos="992"/>
        </w:tabs>
        <w:spacing w:line="400" w:lineRule="exact"/>
        <w:ind w:left="64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自开标之日起 90天内报价应保持有效。报价有效期短于这个规定期限将视为非响应性报价而予以拒绝。</w:t>
      </w:r>
    </w:p>
    <w:p>
      <w:pPr>
        <w:numPr>
          <w:ilvl w:val="1"/>
          <w:numId w:val="17"/>
        </w:numPr>
        <w:tabs>
          <w:tab w:val="left" w:pos="420"/>
          <w:tab w:val="left" w:pos="525"/>
          <w:tab w:val="clear" w:pos="992"/>
        </w:tabs>
        <w:spacing w:line="400" w:lineRule="exact"/>
        <w:ind w:left="6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特殊情况下，在原报价有效期截止前，采购人可与磋商供应商协商延长报价有效期，这种要求和答复均以书面形式进行。磋商供应商可拒绝接受延期要求。同意延长报价文件有效期的供应商不得修改磋商响应文件。</w:t>
      </w:r>
    </w:p>
    <w:p>
      <w:pPr>
        <w:spacing w:before="100" w:beforeAutospacing="1" w:after="100" w:afterAutospacing="1" w:line="440" w:lineRule="exact"/>
        <w:ind w:left="783" w:hanging="783" w:hangingChars="300"/>
        <w:jc w:val="center"/>
        <w:outlineLvl w:val="0"/>
        <w:rPr>
          <w:rFonts w:hint="eastAsia" w:ascii="新宋体" w:hAnsi="新宋体" w:eastAsia="新宋体" w:cs="新宋体"/>
          <w:color w:val="auto"/>
          <w:sz w:val="22"/>
          <w:szCs w:val="22"/>
          <w:highlight w:val="none"/>
        </w:rPr>
      </w:pPr>
      <w:bookmarkStart w:id="86" w:name="_Toc249758864"/>
      <w:bookmarkStart w:id="87" w:name="_Toc222114879"/>
      <w:bookmarkStart w:id="88" w:name="_Toc221356887"/>
      <w:bookmarkStart w:id="89" w:name="_Toc241404202"/>
      <w:bookmarkStart w:id="90" w:name="_Toc262049418"/>
      <w:bookmarkStart w:id="91" w:name="_Toc245722281"/>
      <w:bookmarkStart w:id="92" w:name="_Toc262105503"/>
      <w:bookmarkStart w:id="93" w:name="_Toc223715998"/>
      <w:bookmarkStart w:id="94" w:name="_Toc249758712"/>
      <w:bookmarkStart w:id="95" w:name="_Toc5988"/>
      <w:bookmarkStart w:id="96" w:name="_Toc246261265"/>
      <w:bookmarkStart w:id="97" w:name="_Toc221356951"/>
      <w:bookmarkStart w:id="98" w:name="_Toc221374626"/>
      <w:bookmarkStart w:id="99" w:name="_Toc245191314"/>
      <w:bookmarkStart w:id="100" w:name="_Toc221423619"/>
      <w:bookmarkStart w:id="101" w:name="_Toc239145354"/>
      <w:r>
        <w:rPr>
          <w:rFonts w:hint="eastAsia" w:ascii="新宋体" w:hAnsi="新宋体" w:eastAsia="新宋体" w:cs="新宋体"/>
          <w:b/>
          <w:bCs/>
          <w:color w:val="auto"/>
          <w:sz w:val="26"/>
          <w:szCs w:val="26"/>
          <w:highlight w:val="none"/>
        </w:rPr>
        <w:t>五、 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numPr>
          <w:ilvl w:val="0"/>
          <w:numId w:val="18"/>
        </w:numPr>
        <w:tabs>
          <w:tab w:val="left" w:pos="540"/>
          <w:tab w:val="clear" w:pos="420"/>
        </w:tabs>
        <w:spacing w:line="400" w:lineRule="exact"/>
        <w:rPr>
          <w:rFonts w:hint="eastAsia" w:ascii="新宋体" w:hAnsi="新宋体" w:eastAsia="新宋体" w:cs="新宋体"/>
          <w:b/>
          <w:color w:val="auto"/>
          <w:sz w:val="22"/>
          <w:szCs w:val="22"/>
          <w:highlight w:val="none"/>
        </w:rPr>
      </w:pPr>
      <w:bookmarkStart w:id="102" w:name="_Toc333430596"/>
      <w:r>
        <w:rPr>
          <w:rFonts w:hint="eastAsia" w:ascii="新宋体" w:hAnsi="新宋体" w:eastAsia="新宋体" w:cs="新宋体"/>
          <w:bCs/>
          <w:color w:val="auto"/>
          <w:sz w:val="22"/>
          <w:szCs w:val="22"/>
          <w:highlight w:val="none"/>
        </w:rPr>
        <w:t>磋商响应文件的递交</w:t>
      </w:r>
    </w:p>
    <w:p>
      <w:pPr>
        <w:tabs>
          <w:tab w:val="left" w:pos="360"/>
          <w:tab w:val="left" w:pos="540"/>
        </w:tabs>
        <w:spacing w:line="400" w:lineRule="exact"/>
        <w:ind w:firstLine="440"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color w:val="auto"/>
          <w:sz w:val="22"/>
          <w:szCs w:val="22"/>
          <w:highlight w:val="none"/>
        </w:rPr>
        <w:t>本项目实行网上投标。响应文件</w:t>
      </w:r>
      <w:r>
        <w:rPr>
          <w:rFonts w:hint="eastAsia" w:ascii="新宋体" w:hAnsi="新宋体" w:eastAsia="新宋体" w:cs="新宋体"/>
          <w:bCs/>
          <w:color w:val="auto"/>
          <w:kern w:val="0"/>
          <w:sz w:val="22"/>
          <w:szCs w:val="22"/>
          <w:highlight w:val="none"/>
        </w:rPr>
        <w:t>的上传、递交：见供应商须知前附表第18款。</w:t>
      </w:r>
    </w:p>
    <w:p>
      <w:pPr>
        <w:numPr>
          <w:ilvl w:val="0"/>
          <w:numId w:val="18"/>
        </w:numPr>
        <w:tabs>
          <w:tab w:val="left" w:pos="540"/>
          <w:tab w:val="clear" w:pos="420"/>
        </w:tabs>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“电子加密磋商响应文件”解密和异常情况处理。</w:t>
      </w:r>
    </w:p>
    <w:p>
      <w:pPr>
        <w:tabs>
          <w:tab w:val="left" w:pos="540"/>
        </w:tabs>
        <w:spacing w:line="400" w:lineRule="exact"/>
        <w:ind w:firstLine="440" w:firstLineChars="20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“电子加密磋商响应文件”解密：见供应商须知前附表第19款。</w:t>
      </w:r>
    </w:p>
    <w:p>
      <w:pPr>
        <w:numPr>
          <w:ilvl w:val="0"/>
          <w:numId w:val="18"/>
        </w:numPr>
        <w:tabs>
          <w:tab w:val="left" w:pos="540"/>
          <w:tab w:val="clear" w:pos="420"/>
        </w:tabs>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磋商响应文件的修改和撤回</w:t>
      </w:r>
    </w:p>
    <w:p>
      <w:pPr>
        <w:numPr>
          <w:ilvl w:val="1"/>
          <w:numId w:val="19"/>
        </w:numPr>
        <w:tabs>
          <w:tab w:val="left" w:pos="540"/>
          <w:tab w:val="clear" w:pos="992"/>
        </w:tabs>
        <w:spacing w:line="400" w:lineRule="exact"/>
        <w:ind w:left="540" w:hanging="5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供应商应当在磋商截止时间前完成电子磋商响应文件的传输递交，并可以补充、修改或者撤回电子磋商响应文件。补充或者修改电子磋商响应文件的，应当先行撤回原文件，补充、修改后重新传输递交。</w:t>
      </w:r>
    </w:p>
    <w:p>
      <w:pPr>
        <w:numPr>
          <w:ilvl w:val="1"/>
          <w:numId w:val="19"/>
        </w:numPr>
        <w:tabs>
          <w:tab w:val="left" w:pos="540"/>
          <w:tab w:val="clear" w:pos="992"/>
        </w:tabs>
        <w:spacing w:line="400" w:lineRule="exact"/>
        <w:ind w:left="540" w:hanging="54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▲磋商截止时间前未完成传输的，视为撤回磋商响应文件。磋商响应截止时间后送达的投标响应文件，将被政采云平台拒收。</w:t>
      </w:r>
    </w:p>
    <w:p>
      <w:pPr>
        <w:numPr>
          <w:ilvl w:val="0"/>
          <w:numId w:val="18"/>
        </w:numPr>
        <w:tabs>
          <w:tab w:val="left" w:pos="540"/>
          <w:tab w:val="clear" w:pos="420"/>
        </w:tabs>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sz w:val="22"/>
          <w:szCs w:val="22"/>
          <w:highlight w:val="none"/>
          <w:u w:val="single"/>
        </w:rPr>
        <w:t>发生下列情况之一的磋商响应文件将不予受理</w:t>
      </w:r>
      <w:r>
        <w:rPr>
          <w:rFonts w:hint="eastAsia" w:ascii="新宋体" w:hAnsi="新宋体" w:eastAsia="新宋体" w:cs="新宋体"/>
          <w:bCs/>
          <w:color w:val="auto"/>
          <w:sz w:val="22"/>
          <w:szCs w:val="22"/>
          <w:highlight w:val="none"/>
        </w:rPr>
        <w:t>：</w:t>
      </w:r>
    </w:p>
    <w:p>
      <w:pPr>
        <w:numPr>
          <w:ilvl w:val="1"/>
          <w:numId w:val="20"/>
        </w:numPr>
        <w:tabs>
          <w:tab w:val="left" w:pos="420"/>
          <w:tab w:val="left" w:pos="525"/>
          <w:tab w:val="clear" w:pos="992"/>
        </w:tabs>
        <w:spacing w:line="400" w:lineRule="exact"/>
        <w:ind w:left="64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在磋商截止时间以后上传的磋商响应文件；</w:t>
      </w:r>
    </w:p>
    <w:p>
      <w:pPr>
        <w:numPr>
          <w:ilvl w:val="1"/>
          <w:numId w:val="20"/>
        </w:numPr>
        <w:tabs>
          <w:tab w:val="left" w:pos="420"/>
          <w:tab w:val="left" w:pos="525"/>
          <w:tab w:val="clear" w:pos="992"/>
        </w:tabs>
        <w:spacing w:line="400" w:lineRule="exact"/>
        <w:ind w:left="64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仅递交了“备份磋商响应文件”而未将电子加密磋商响应文件上传至“政府采购云平台”的；</w:t>
      </w:r>
    </w:p>
    <w:p>
      <w:pPr>
        <w:numPr>
          <w:ilvl w:val="1"/>
          <w:numId w:val="20"/>
        </w:numPr>
        <w:tabs>
          <w:tab w:val="left" w:pos="420"/>
          <w:tab w:val="left" w:pos="525"/>
          <w:tab w:val="clear" w:pos="992"/>
        </w:tabs>
        <w:spacing w:line="400" w:lineRule="exact"/>
        <w:ind w:left="64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 xml:space="preserve">未在规定时间解密，或者，解密失败且经异常处理政采云系统仍未能识别的； </w:t>
      </w:r>
    </w:p>
    <w:p>
      <w:pPr>
        <w:numPr>
          <w:ilvl w:val="1"/>
          <w:numId w:val="20"/>
        </w:numPr>
        <w:tabs>
          <w:tab w:val="left" w:pos="420"/>
          <w:tab w:val="left" w:pos="525"/>
          <w:tab w:val="clear" w:pos="992"/>
        </w:tabs>
        <w:spacing w:line="400" w:lineRule="exact"/>
        <w:ind w:left="64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以纸质形式提交的</w:t>
      </w:r>
      <w:r>
        <w:rPr>
          <w:rFonts w:hint="eastAsia" w:ascii="新宋体" w:hAnsi="新宋体" w:eastAsia="新宋体" w:cs="新宋体"/>
          <w:b/>
          <w:bCs/>
          <w:color w:val="auto"/>
          <w:sz w:val="22"/>
          <w:szCs w:val="22"/>
          <w:highlight w:val="none"/>
          <w:u w:val="single"/>
          <w:lang w:eastAsia="zh-CN"/>
        </w:rPr>
        <w:t>。</w:t>
      </w:r>
    </w:p>
    <w:p>
      <w:pPr>
        <w:spacing w:before="100" w:beforeAutospacing="1" w:after="100" w:afterAutospacing="1" w:line="440" w:lineRule="exact"/>
        <w:ind w:left="783" w:hanging="783" w:hangingChars="300"/>
        <w:jc w:val="center"/>
        <w:outlineLvl w:val="0"/>
        <w:rPr>
          <w:rFonts w:hint="eastAsia" w:ascii="新宋体" w:hAnsi="新宋体" w:eastAsia="新宋体" w:cs="新宋体"/>
          <w:b/>
          <w:bCs/>
          <w:color w:val="auto"/>
          <w:sz w:val="26"/>
          <w:szCs w:val="26"/>
          <w:highlight w:val="none"/>
        </w:rPr>
      </w:pPr>
      <w:bookmarkStart w:id="103" w:name="_Toc26870"/>
      <w:r>
        <w:rPr>
          <w:rFonts w:hint="eastAsia" w:ascii="新宋体" w:hAnsi="新宋体" w:eastAsia="新宋体" w:cs="新宋体"/>
          <w:b/>
          <w:bCs/>
          <w:color w:val="auto"/>
          <w:sz w:val="26"/>
          <w:szCs w:val="26"/>
          <w:highlight w:val="none"/>
        </w:rPr>
        <w:t>六、 磋商和评审</w:t>
      </w:r>
      <w:bookmarkEnd w:id="102"/>
      <w:bookmarkEnd w:id="103"/>
    </w:p>
    <w:p>
      <w:pPr>
        <w:spacing w:line="400" w:lineRule="exact"/>
        <w:ind w:left="674" w:leftChars="17" w:hanging="638" w:hangingChars="290"/>
        <w:rPr>
          <w:rFonts w:hint="eastAsia" w:ascii="新宋体" w:hAnsi="新宋体" w:eastAsia="新宋体" w:cs="新宋体"/>
          <w:color w:val="auto"/>
          <w:sz w:val="22"/>
          <w:szCs w:val="22"/>
          <w:highlight w:val="none"/>
        </w:rPr>
      </w:pPr>
      <w:bookmarkStart w:id="104" w:name="_Toc239145357"/>
      <w:bookmarkStart w:id="105" w:name="_Toc262049421"/>
      <w:bookmarkStart w:id="106" w:name="_Toc245191317"/>
      <w:bookmarkStart w:id="107" w:name="_Toc221356954"/>
      <w:bookmarkStart w:id="108" w:name="_Toc221374629"/>
      <w:bookmarkStart w:id="109" w:name="_Toc246261268"/>
      <w:bookmarkStart w:id="110" w:name="_Toc222114882"/>
      <w:bookmarkStart w:id="111" w:name="_Toc223716001"/>
      <w:bookmarkStart w:id="112" w:name="_Toc249758867"/>
      <w:bookmarkStart w:id="113" w:name="_Toc241404205"/>
      <w:bookmarkStart w:id="114" w:name="_Toc249758715"/>
      <w:bookmarkStart w:id="115" w:name="_Toc221423622"/>
      <w:bookmarkStart w:id="116" w:name="_Toc245722284"/>
      <w:bookmarkStart w:id="117" w:name="_Toc262105506"/>
      <w:bookmarkStart w:id="118" w:name="_Toc221356890"/>
      <w:r>
        <w:rPr>
          <w:rFonts w:hint="eastAsia" w:ascii="新宋体" w:hAnsi="新宋体" w:eastAsia="新宋体" w:cs="新宋体"/>
          <w:color w:val="auto"/>
          <w:sz w:val="22"/>
          <w:szCs w:val="22"/>
          <w:highlight w:val="none"/>
        </w:rPr>
        <w:t>1．磋商小组</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  政府采购代理机构依法组建磋商小组，磋商小组的成员在磋商过程中必须严格遵守《政府采购法》、</w:t>
      </w:r>
      <w:r>
        <w:rPr>
          <w:rFonts w:hint="eastAsia" w:ascii="新宋体" w:hAnsi="新宋体" w:eastAsia="新宋体" w:cs="新宋体"/>
          <w:color w:val="auto"/>
          <w:kern w:val="0"/>
          <w:sz w:val="22"/>
          <w:szCs w:val="22"/>
          <w:highlight w:val="none"/>
        </w:rPr>
        <w:t>《政府采购竞争性磋商采购方式管理暂行办法》</w:t>
      </w:r>
      <w:r>
        <w:rPr>
          <w:rFonts w:hint="eastAsia" w:ascii="新宋体" w:hAnsi="新宋体" w:eastAsia="新宋体" w:cs="新宋体"/>
          <w:color w:val="auto"/>
          <w:sz w:val="22"/>
          <w:szCs w:val="22"/>
          <w:highlight w:val="none"/>
        </w:rPr>
        <w:t>等有关法律、法规的规定。不得泄露评审情况和评审中获悉的商业秘密。</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  磋商小组由3人（含）以上的单数组成，磋商小组负责对磋商响应文件进行审查、质疑、评估、比较及确定成交候选人。</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2．开标（三阶段）</w:t>
      </w:r>
    </w:p>
    <w:p>
      <w:pPr>
        <w:spacing w:line="400" w:lineRule="exact"/>
        <w:ind w:firstLine="42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2.1 开标第一阶段 </w:t>
      </w:r>
    </w:p>
    <w:p>
      <w:pPr>
        <w:numPr>
          <w:ilvl w:val="0"/>
          <w:numId w:val="21"/>
        </w:numPr>
        <w:spacing w:line="4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磋商</w:t>
      </w:r>
      <w:r>
        <w:rPr>
          <w:rFonts w:hint="eastAsia" w:ascii="新宋体" w:hAnsi="新宋体" w:eastAsia="新宋体" w:cs="新宋体"/>
          <w:color w:val="auto"/>
          <w:sz w:val="22"/>
          <w:szCs w:val="22"/>
          <w:highlight w:val="none"/>
        </w:rPr>
        <w:t>响应</w:t>
      </w:r>
      <w:r>
        <w:rPr>
          <w:rFonts w:hint="eastAsia" w:ascii="新宋体" w:hAnsi="新宋体" w:eastAsia="新宋体" w:cs="新宋体"/>
          <w:color w:val="auto"/>
          <w:sz w:val="22"/>
          <w:szCs w:val="22"/>
          <w:highlight w:val="none"/>
          <w:lang w:val="zh-CN"/>
        </w:rPr>
        <w:t>截止时间后，采购组织机构将向各供应商发出解密通知，各供应商代表应当在接到解密通知后登录政采云平台，对电子响应文件进行在线解密。</w:t>
      </w:r>
    </w:p>
    <w:p>
      <w:pPr>
        <w:numPr>
          <w:ilvl w:val="0"/>
          <w:numId w:val="21"/>
        </w:numPr>
        <w:spacing w:line="400" w:lineRule="exact"/>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异常处理：</w:t>
      </w:r>
      <w:r>
        <w:rPr>
          <w:rFonts w:hint="eastAsia" w:ascii="新宋体" w:hAnsi="新宋体" w:eastAsia="新宋体" w:cs="新宋体"/>
          <w:b/>
          <w:bCs/>
          <w:color w:val="auto"/>
          <w:sz w:val="22"/>
          <w:szCs w:val="22"/>
          <w:highlight w:val="none"/>
          <w:u w:val="single"/>
        </w:rPr>
        <w:t>如政采云上电子响应文件出现解密失败情况，供应商可根据自身意愿确认是否将备份标书压缩包的解密密码传送至采购代理机构邮箱</w:t>
      </w:r>
      <w:r>
        <w:rPr>
          <w:rFonts w:hint="eastAsia" w:ascii="新宋体" w:hAnsi="新宋体" w:eastAsia="新宋体" w:cs="新宋体"/>
          <w:b/>
          <w:bCs/>
          <w:color w:val="auto"/>
          <w:sz w:val="22"/>
          <w:szCs w:val="22"/>
          <w:highlight w:val="none"/>
          <w:u w:val="single"/>
          <w:lang w:eastAsia="zh-CN"/>
        </w:rPr>
        <w:t>53514766@qq.com</w:t>
      </w:r>
      <w:r>
        <w:rPr>
          <w:rFonts w:hint="eastAsia" w:ascii="新宋体" w:hAnsi="新宋体" w:eastAsia="新宋体" w:cs="新宋体"/>
          <w:b/>
          <w:bCs/>
          <w:color w:val="auto"/>
          <w:sz w:val="22"/>
          <w:szCs w:val="22"/>
          <w:highlight w:val="none"/>
          <w:u w:val="single"/>
        </w:rPr>
        <w:t>,采购代理机构收到解密密码后通过【异常处理】的端口对供应商的备份响应文件进行上传（上传成功后，“电子响应文件”自动失效），不能成功上传的视为响应文件撤回）。</w:t>
      </w:r>
    </w:p>
    <w:p>
      <w:pPr>
        <w:numPr>
          <w:ilvl w:val="0"/>
          <w:numId w:val="21"/>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电子响应</w:t>
      </w:r>
      <w:r>
        <w:rPr>
          <w:rFonts w:hint="eastAsia" w:ascii="新宋体" w:hAnsi="新宋体" w:eastAsia="新宋体" w:cs="新宋体"/>
          <w:color w:val="auto"/>
          <w:sz w:val="22"/>
          <w:szCs w:val="22"/>
          <w:highlight w:val="none"/>
          <w:lang w:val="zh-CN"/>
        </w:rPr>
        <w:t>文件解密结束后</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各</w:t>
      </w:r>
      <w:r>
        <w:rPr>
          <w:rFonts w:hint="eastAsia" w:ascii="新宋体" w:hAnsi="新宋体" w:eastAsia="新宋体" w:cs="新宋体"/>
          <w:color w:val="auto"/>
          <w:sz w:val="22"/>
          <w:szCs w:val="22"/>
          <w:highlight w:val="none"/>
        </w:rPr>
        <w:t>供应商签署《政府采购活动现场确认声明书》（</w:t>
      </w:r>
      <w:r>
        <w:rPr>
          <w:rFonts w:hint="eastAsia" w:ascii="新宋体" w:hAnsi="新宋体" w:eastAsia="新宋体" w:cs="新宋体"/>
          <w:b/>
          <w:bCs/>
          <w:color w:val="auto"/>
          <w:sz w:val="22"/>
          <w:szCs w:val="22"/>
          <w:highlight w:val="none"/>
        </w:rPr>
        <w:t>见附件五</w:t>
      </w:r>
      <w:r>
        <w:rPr>
          <w:rFonts w:hint="eastAsia" w:ascii="新宋体" w:hAnsi="新宋体" w:eastAsia="新宋体" w:cs="新宋体"/>
          <w:color w:val="auto"/>
          <w:sz w:val="22"/>
          <w:szCs w:val="22"/>
          <w:highlight w:val="none"/>
        </w:rPr>
        <w:t>）后将扫描件发送至采购代理机构邮箱</w:t>
      </w:r>
      <w:r>
        <w:rPr>
          <w:rFonts w:hint="eastAsia" w:ascii="新宋体" w:hAnsi="新宋体" w:eastAsia="新宋体" w:cs="新宋体"/>
          <w:color w:val="auto"/>
          <w:sz w:val="22"/>
          <w:szCs w:val="22"/>
          <w:highlight w:val="none"/>
          <w:lang w:eastAsia="zh-CN"/>
        </w:rPr>
        <w:t>53514766@qq.com</w:t>
      </w:r>
      <w:r>
        <w:rPr>
          <w:rFonts w:hint="eastAsia" w:ascii="新宋体" w:hAnsi="新宋体" w:eastAsia="新宋体" w:cs="新宋体"/>
          <w:color w:val="auto"/>
          <w:sz w:val="22"/>
          <w:szCs w:val="22"/>
          <w:highlight w:val="none"/>
          <w:lang w:val="zh-CN"/>
        </w:rPr>
        <w:t>。</w:t>
      </w:r>
    </w:p>
    <w:p>
      <w:pPr>
        <w:numPr>
          <w:ilvl w:val="0"/>
          <w:numId w:val="21"/>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启各供应商的标书信息，采购人授权磋商小组对供应商进行资格审查，经资格审查确认通过的电子响应文件由磋商小组进行进入符合性审查和商务技术响应文件评审，资格审查确认未通过的电子响应文件将被拒绝，其磋商不进入下一步评审。</w:t>
      </w:r>
    </w:p>
    <w:p>
      <w:pPr>
        <w:spacing w:line="400" w:lineRule="exact"/>
        <w:ind w:firstLine="42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2.2开标第二阶段  </w:t>
      </w:r>
    </w:p>
    <w:p>
      <w:pPr>
        <w:numPr>
          <w:ilvl w:val="0"/>
          <w:numId w:val="22"/>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性审查：由磋商小组对各供应商的电子响应文件的有效性、完整性和对竞争性磋商文件的响应程度进行符合性审查，并在“政采云系统-符合性评审”中录入供应商的符合性审查情况；符合性审查未通过的电子响应文件将被拒绝，其磋商不进入下一步评审。</w:t>
      </w:r>
    </w:p>
    <w:p>
      <w:pPr>
        <w:numPr>
          <w:ilvl w:val="0"/>
          <w:numId w:val="22"/>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商务技术响应文件的评审</w:t>
      </w:r>
    </w:p>
    <w:p>
      <w:pPr>
        <w:spacing w:line="400" w:lineRule="exact"/>
        <w:ind w:firstLine="422"/>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由磋商小组对各供应商的电子响应文件的商务技术部分按竞争性磋商文件规定的评审方法进行评审，并得出商务技术得分。之后开启各供应商的报价文件，在“政采云平台”系统平台上公布各供应商报价一览表有关内容，同时当场制作开标记录，供应商在线进行确认。开标结束后，由磋商小组对报价的合理性、准确性等进行审查核实。</w:t>
      </w:r>
    </w:p>
    <w:p>
      <w:pPr>
        <w:spacing w:line="400" w:lineRule="exact"/>
        <w:ind w:firstLine="42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2.3 开标第三阶段</w:t>
      </w:r>
    </w:p>
    <w:p>
      <w:pPr>
        <w:numPr>
          <w:ilvl w:val="0"/>
          <w:numId w:val="23"/>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磋商小组根据项目情况组织多轮报价，</w:t>
      </w:r>
      <w:r>
        <w:rPr>
          <w:rFonts w:hint="eastAsia" w:ascii="新宋体" w:hAnsi="新宋体" w:eastAsia="新宋体" w:cs="新宋体"/>
          <w:color w:val="auto"/>
          <w:kern w:val="0"/>
          <w:sz w:val="22"/>
          <w:szCs w:val="22"/>
          <w:highlight w:val="none"/>
        </w:rPr>
        <w:t>供应商在规定的时间内在政采云平台提交二次（最终）报价；</w:t>
      </w:r>
    </w:p>
    <w:p>
      <w:pPr>
        <w:numPr>
          <w:ilvl w:val="0"/>
          <w:numId w:val="23"/>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开启供应商的二次（最终）报价文件，公布二次（最终）报价有关内容，同时当场制作开标记录，供应商在线进行确认。开标结束后，由磋商小组对报价的合理性、准确性等进行审查核实。</w:t>
      </w:r>
    </w:p>
    <w:p>
      <w:pPr>
        <w:numPr>
          <w:ilvl w:val="0"/>
          <w:numId w:val="23"/>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公布商务技术得分情况、二次（最终）报价有关内容及各供应商排名情况。</w:t>
      </w:r>
    </w:p>
    <w:p>
      <w:pPr>
        <w:numPr>
          <w:ilvl w:val="0"/>
          <w:numId w:val="23"/>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评审结束后，在“政采云平台”系统平台上公布中标（成交）候选供应商名单，及采购人最终确定中标（成交）供应商名单的时间和公告方式等；</w:t>
      </w:r>
    </w:p>
    <w:p>
      <w:pPr>
        <w:tabs>
          <w:tab w:val="left" w:pos="540"/>
        </w:tabs>
        <w:spacing w:line="400" w:lineRule="exact"/>
        <w:rPr>
          <w:rFonts w:hint="eastAsia" w:ascii="新宋体" w:hAnsi="新宋体" w:eastAsia="新宋体" w:cs="新宋体"/>
          <w:b/>
          <w:bCs/>
          <w:color w:val="auto"/>
          <w:kern w:val="0"/>
          <w:sz w:val="22"/>
          <w:szCs w:val="22"/>
          <w:highlight w:val="none"/>
          <w:u w:val="single" w:color="auto"/>
        </w:rPr>
      </w:pPr>
      <w:r>
        <w:rPr>
          <w:rFonts w:hint="eastAsia" w:ascii="新宋体" w:hAnsi="新宋体" w:eastAsia="新宋体" w:cs="新宋体"/>
          <w:b/>
          <w:bCs/>
          <w:color w:val="auto"/>
          <w:kern w:val="0"/>
          <w:sz w:val="22"/>
          <w:szCs w:val="22"/>
          <w:highlight w:val="none"/>
          <w:u w:val="single" w:color="auto"/>
        </w:rPr>
        <w:t>▲特别说明：如遇“政采云平台”电子化开标或评审程序调整的，按调整后程序执行。</w:t>
      </w:r>
    </w:p>
    <w:p>
      <w:pPr>
        <w:tabs>
          <w:tab w:val="left" w:pos="540"/>
        </w:tabs>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3.磋商</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签章的政采云平台上传文件，下同），并由磋商供应商代表签字。磋商轮次最多不超过3轮。</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3.3在磋商过程中，磋商供应商不得向磋商小组成员询问磋商情况，不得进行旨在影响磋商结果的活动，否则将取消其磋商资格。</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3.4在磋商过程中，磋商小组成员不得与磋商供应商私下交换意见，在竞争性磋商结束后，凡与磋商情况有接触的人不得将磋商情况扩散出磋商小组成员外。</w:t>
      </w:r>
    </w:p>
    <w:p>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3.5磋商结束后，磋商小组将要求磋商供应商在规定的时间内，统一进行最后报价，最后报价不得高于一次报价（磋商小组另有决议的除外）。</w:t>
      </w:r>
    </w:p>
    <w:p>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3.6</w:t>
      </w:r>
      <w:r>
        <w:rPr>
          <w:rFonts w:hint="eastAsia" w:ascii="新宋体" w:hAnsi="新宋体" w:eastAsia="新宋体" w:cs="新宋体"/>
          <w:b/>
          <w:bCs/>
          <w:color w:val="auto"/>
          <w:sz w:val="22"/>
          <w:szCs w:val="22"/>
          <w:highlight w:val="none"/>
        </w:rPr>
        <w:t>磋商响应</w:t>
      </w:r>
      <w:r>
        <w:rPr>
          <w:rFonts w:hint="eastAsia" w:ascii="新宋体" w:hAnsi="新宋体" w:eastAsia="新宋体" w:cs="新宋体"/>
          <w:b/>
          <w:bCs/>
          <w:color w:val="auto"/>
          <w:sz w:val="22"/>
          <w:highlight w:val="none"/>
        </w:rPr>
        <w:t>文件中首次开标一览表（报价表）内容与政采云系统显示的电子首次开标一览表（报价表）相应内容不一致的，以上传政采云系统并已签章的纸质开标一览表（报价表）为准；最后报价出现相同情形的，按上述办法执行</w:t>
      </w:r>
      <w:r>
        <w:rPr>
          <w:rFonts w:hint="eastAsia" w:ascii="新宋体" w:hAnsi="新宋体" w:eastAsia="新宋体" w:cs="新宋体"/>
          <w:b/>
          <w:bCs/>
          <w:color w:val="auto"/>
          <w:kern w:val="0"/>
          <w:sz w:val="22"/>
          <w:szCs w:val="22"/>
          <w:highlight w:val="none"/>
        </w:rPr>
        <w:t>。磋商供应商不接受修正的，其磋商响应无效。</w:t>
      </w:r>
    </w:p>
    <w:p>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bCs/>
          <w:color w:val="auto"/>
          <w:sz w:val="22"/>
          <w:szCs w:val="22"/>
          <w:highlight w:val="none"/>
        </w:rPr>
        <w:t>二次（最终）报价文件开启后，由磋商小组对各供应商的二次（最终）报价进行核查，核查时发现二次（最终）报价内容不清楚可要求供应商书面澄清，计算上的错误，可按下面方法修正：</w:t>
      </w:r>
    </w:p>
    <w:p>
      <w:pPr>
        <w:numPr>
          <w:ilvl w:val="0"/>
          <w:numId w:val="24"/>
        </w:numPr>
        <w:tabs>
          <w:tab w:val="left" w:pos="720"/>
          <w:tab w:val="clear" w:pos="420"/>
        </w:tabs>
        <w:spacing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二次（最终）报价文件中上传的价格和系统中报价一览表里填写的价格不一致的，以供应商上传的</w:t>
      </w:r>
      <w:r>
        <w:rPr>
          <w:rFonts w:hint="eastAsia" w:ascii="新宋体" w:hAnsi="新宋体" w:eastAsia="新宋体" w:cs="新宋体"/>
          <w:color w:val="auto"/>
          <w:sz w:val="22"/>
          <w:szCs w:val="22"/>
          <w:highlight w:val="none"/>
        </w:rPr>
        <w:t>二次（最终）报价</w:t>
      </w:r>
      <w:r>
        <w:rPr>
          <w:rFonts w:hint="eastAsia" w:ascii="新宋体" w:hAnsi="新宋体" w:eastAsia="新宋体" w:cs="新宋体"/>
          <w:color w:val="auto"/>
          <w:kern w:val="0"/>
          <w:sz w:val="22"/>
          <w:szCs w:val="22"/>
          <w:highlight w:val="none"/>
        </w:rPr>
        <w:t>文件为准；磋商响应文件中开标一览表内容与磋商响应文件中相应内容不一致的，以开标一览表为准；磋商响应文件的大写金额和小写金额不一致的，以大写金额为准；单价金额小数点或者百分比有明显错位的，以开标一览表的总价为准，并修改单价；总价金额与按单价汇总金额不一致的，以单价金额计算结果为准。</w:t>
      </w:r>
    </w:p>
    <w:p>
      <w:pPr>
        <w:numPr>
          <w:ilvl w:val="0"/>
          <w:numId w:val="24"/>
        </w:numPr>
        <w:tabs>
          <w:tab w:val="left" w:pos="720"/>
          <w:tab w:val="clear" w:pos="420"/>
        </w:tabs>
        <w:spacing w:line="400" w:lineRule="exact"/>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color w:val="auto"/>
          <w:kern w:val="0"/>
          <w:sz w:val="22"/>
          <w:szCs w:val="22"/>
          <w:highlight w:val="none"/>
          <w:u w:val="single"/>
        </w:rPr>
        <w:t>如果供应商不接受对其价格错误进行修正，其投标无效。</w:t>
      </w:r>
    </w:p>
    <w:p>
      <w:pPr>
        <w:tabs>
          <w:tab w:val="left" w:pos="540"/>
        </w:tabs>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  无效标认定</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4.1 </w:t>
      </w:r>
      <w:r>
        <w:rPr>
          <w:rFonts w:hint="eastAsia" w:ascii="新宋体" w:hAnsi="新宋体" w:eastAsia="新宋体" w:cs="新宋体"/>
          <w:b/>
          <w:bCs/>
          <w:color w:val="auto"/>
          <w:sz w:val="22"/>
          <w:szCs w:val="22"/>
          <w:highlight w:val="none"/>
          <w:u w:val="single"/>
        </w:rPr>
        <w:t>▲供应商有以下情形之一的，政府采购云平台将默认供应商自动放弃：</w:t>
      </w:r>
    </w:p>
    <w:p>
      <w:pPr>
        <w:numPr>
          <w:ilvl w:val="0"/>
          <w:numId w:val="25"/>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供应商未按规定上传电子响应文件的。</w:t>
      </w:r>
    </w:p>
    <w:p>
      <w:pPr>
        <w:numPr>
          <w:ilvl w:val="0"/>
          <w:numId w:val="25"/>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在解密期限内供应商电子响应文件解密失败，且经异常处理后政采云电子交易系统仍未能解决的。</w:t>
      </w:r>
    </w:p>
    <w:p>
      <w:pPr>
        <w:numPr>
          <w:ilvl w:val="0"/>
          <w:numId w:val="25"/>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供应商在规定时间内未提交二次（最终）报价的。</w:t>
      </w:r>
    </w:p>
    <w:p>
      <w:pPr>
        <w:spacing w:line="400" w:lineRule="exact"/>
        <w:ind w:left="676" w:leftChars="17" w:hanging="640" w:hangingChars="29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4.2</w:t>
      </w:r>
      <w:r>
        <w:rPr>
          <w:rFonts w:hint="eastAsia" w:ascii="新宋体" w:hAnsi="新宋体" w:eastAsia="新宋体" w:cs="新宋体"/>
          <w:color w:val="auto"/>
          <w:sz w:val="22"/>
          <w:szCs w:val="22"/>
          <w:highlight w:val="none"/>
          <w:u w:val="single" w:color="auto"/>
        </w:rPr>
        <w:t>▲</w:t>
      </w:r>
      <w:r>
        <w:rPr>
          <w:rFonts w:hint="eastAsia" w:ascii="新宋体" w:hAnsi="新宋体" w:eastAsia="新宋体" w:cs="新宋体"/>
          <w:b/>
          <w:bCs/>
          <w:color w:val="auto"/>
          <w:sz w:val="22"/>
          <w:szCs w:val="22"/>
          <w:highlight w:val="none"/>
          <w:u w:val="single"/>
        </w:rPr>
        <w:t>在磋商过程中，有下列情况之一的，经磋商小组认定后按无效报价处理：</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响应文件中要求</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lang w:val="en-US" w:eastAsia="zh-CN"/>
        </w:rPr>
        <w:t>非实质性要求除外</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供应商</w:t>
      </w:r>
      <w:r>
        <w:rPr>
          <w:rFonts w:hint="eastAsia" w:ascii="新宋体" w:hAnsi="新宋体" w:eastAsia="新宋体" w:cs="新宋体"/>
          <w:b/>
          <w:bCs/>
          <w:color w:val="auto"/>
          <w:kern w:val="0"/>
          <w:sz w:val="22"/>
          <w:szCs w:val="22"/>
          <w:highlight w:val="none"/>
          <w:u w:val="single"/>
          <w:lang w:eastAsia="zh-CN"/>
        </w:rPr>
        <w:t>法定代表人（负责人）或其授权代表</w:t>
      </w:r>
      <w:r>
        <w:rPr>
          <w:rFonts w:hint="eastAsia" w:ascii="新宋体" w:hAnsi="新宋体" w:eastAsia="新宋体" w:cs="新宋体"/>
          <w:b/>
          <w:bCs/>
          <w:color w:val="auto"/>
          <w:kern w:val="0"/>
          <w:sz w:val="22"/>
          <w:szCs w:val="22"/>
          <w:highlight w:val="none"/>
          <w:u w:val="single"/>
        </w:rPr>
        <w:t>签字</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lang w:val="en-US" w:eastAsia="zh-CN"/>
        </w:rPr>
        <w:t>或盖章</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的地方无法定代表人签字</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lang w:val="en-US" w:eastAsia="zh-CN"/>
        </w:rPr>
        <w:t>或盖章</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或其授权代表签字</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lang w:val="en-US" w:eastAsia="zh-CN"/>
        </w:rPr>
        <w:t>或盖章</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的；</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授权代表没有法定代表人合法、有效委托的；</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未按磋商文件要求提供资格文件的；</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供应商被政府采购云平台默认自动放弃的；</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电子响应文件内容不全或关键字迹模糊无法辨认的；</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磋商供应商递交两份或多份内容不同的电子响应文件的；</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电子响应文件附有采购人不能接受的条件；</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报价明显低于其他通过符合性审查供应商的报价，且在评标现场合理的时间内不能证明其报价合理性的；</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磋商报价</w:t>
      </w:r>
      <w:r>
        <w:rPr>
          <w:rFonts w:hint="eastAsia" w:ascii="新宋体" w:hAnsi="新宋体" w:eastAsia="新宋体" w:cs="新宋体"/>
          <w:b/>
          <w:bCs/>
          <w:color w:val="auto"/>
          <w:kern w:val="0"/>
          <w:sz w:val="22"/>
          <w:szCs w:val="22"/>
          <w:highlight w:val="none"/>
          <w:u w:val="single"/>
          <w:lang w:eastAsia="zh-CN"/>
        </w:rPr>
        <w:t>最后报价</w:t>
      </w:r>
      <w:r>
        <w:rPr>
          <w:rFonts w:hint="eastAsia" w:ascii="新宋体" w:hAnsi="新宋体" w:eastAsia="新宋体" w:cs="新宋体"/>
          <w:b/>
          <w:bCs/>
          <w:color w:val="auto"/>
          <w:kern w:val="0"/>
          <w:sz w:val="22"/>
          <w:szCs w:val="22"/>
          <w:highlight w:val="none"/>
          <w:u w:val="single"/>
        </w:rPr>
        <w:t>超过</w:t>
      </w:r>
      <w:r>
        <w:rPr>
          <w:rFonts w:hint="eastAsia" w:ascii="新宋体" w:hAnsi="新宋体" w:eastAsia="新宋体" w:cs="新宋体"/>
          <w:b/>
          <w:bCs/>
          <w:color w:val="auto"/>
          <w:kern w:val="0"/>
          <w:sz w:val="22"/>
          <w:szCs w:val="22"/>
          <w:highlight w:val="none"/>
          <w:u w:val="single"/>
          <w:lang w:val="en-US" w:eastAsia="zh-CN"/>
        </w:rPr>
        <w:t>最高限价</w:t>
      </w:r>
      <w:r>
        <w:rPr>
          <w:rFonts w:hint="eastAsia" w:ascii="新宋体" w:hAnsi="新宋体" w:eastAsia="新宋体" w:cs="新宋体"/>
          <w:b/>
          <w:bCs/>
          <w:color w:val="auto"/>
          <w:kern w:val="0"/>
          <w:sz w:val="22"/>
          <w:szCs w:val="22"/>
          <w:highlight w:val="none"/>
          <w:u w:val="single"/>
        </w:rPr>
        <w:t>的；</w:t>
      </w:r>
    </w:p>
    <w:p>
      <w:pPr>
        <w:numPr>
          <w:ilvl w:val="0"/>
          <w:numId w:val="26"/>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磋商小组认定不符合法律、法规和磋商文件中规定的其他实质性要求的。</w:t>
      </w:r>
    </w:p>
    <w:p>
      <w:pPr>
        <w:pStyle w:val="99"/>
        <w:spacing w:line="400" w:lineRule="exact"/>
        <w:ind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bCs/>
          <w:color w:val="auto"/>
          <w:sz w:val="22"/>
          <w:szCs w:val="22"/>
          <w:highlight w:val="none"/>
          <w:u w:val="single"/>
        </w:rPr>
        <w:t>有下列情形之一的，认定为串通投标行为，按无效标处理：</w:t>
      </w:r>
    </w:p>
    <w:p>
      <w:pPr>
        <w:numPr>
          <w:ilvl w:val="0"/>
          <w:numId w:val="27"/>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不同供应商的磋商响应文件由同一单位（或个人）编制；</w:t>
      </w:r>
    </w:p>
    <w:p>
      <w:pPr>
        <w:numPr>
          <w:ilvl w:val="0"/>
          <w:numId w:val="27"/>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不同供应商委托同一人办理磋商事宜的或不同供应商与同一供应商联合磋商的；</w:t>
      </w:r>
    </w:p>
    <w:p>
      <w:pPr>
        <w:numPr>
          <w:ilvl w:val="0"/>
          <w:numId w:val="27"/>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不同供应商的磋商响应文件内容出现非正常一致，或者报价细目呈明显规律性变化；</w:t>
      </w:r>
    </w:p>
    <w:p>
      <w:pPr>
        <w:numPr>
          <w:ilvl w:val="0"/>
          <w:numId w:val="27"/>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不同供应商的磋商响应文件载明的项目管理人员出现同一人的情况；</w:t>
      </w:r>
    </w:p>
    <w:p>
      <w:pPr>
        <w:numPr>
          <w:ilvl w:val="0"/>
          <w:numId w:val="27"/>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不同供应商的磋商响应文件相互混装；</w:t>
      </w:r>
    </w:p>
    <w:p>
      <w:pPr>
        <w:numPr>
          <w:ilvl w:val="0"/>
          <w:numId w:val="27"/>
        </w:numPr>
        <w:spacing w:line="40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法律、法规或规章规定的其他串通投标行为。</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5．确定成交候选人</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  本次采购由采购人确定成交候选人。</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  磋商小组应当根据综合评分情况，按照综合得分由高到低顺序推荐3名以上成交候选供应商。</w:t>
      </w:r>
      <w:r>
        <w:rPr>
          <w:rFonts w:hint="eastAsia" w:ascii="新宋体" w:hAnsi="新宋体" w:eastAsia="新宋体" w:cs="新宋体"/>
          <w:bCs/>
          <w:color w:val="auto"/>
          <w:sz w:val="22"/>
          <w:highlight w:val="none"/>
        </w:rPr>
        <w:t>综合得分相同的，以报价分得分高的优先；综合得分相同且报价分得分相同的，由磋商小组抽签决定。</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5.3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依次确定排名第二、第三的成交候选人为成交供应商。</w:t>
      </w:r>
    </w:p>
    <w:p>
      <w:pPr>
        <w:tabs>
          <w:tab w:val="left" w:pos="540"/>
        </w:tabs>
        <w:spacing w:line="400" w:lineRule="exact"/>
        <w:ind w:left="552" w:hanging="552" w:hangingChars="250"/>
        <w:rPr>
          <w:rFonts w:hint="eastAsia" w:ascii="新宋体" w:hAnsi="新宋体" w:eastAsia="新宋体" w:cs="新宋体"/>
          <w:b/>
          <w:color w:val="auto"/>
          <w:kern w:val="0"/>
          <w:sz w:val="22"/>
          <w:szCs w:val="22"/>
          <w:highlight w:val="none"/>
          <w:u w:val="single"/>
        </w:rPr>
      </w:pPr>
      <w:r>
        <w:rPr>
          <w:rFonts w:hint="eastAsia" w:ascii="新宋体" w:hAnsi="新宋体" w:eastAsia="新宋体" w:cs="新宋体"/>
          <w:b/>
          <w:color w:val="auto"/>
          <w:kern w:val="0"/>
          <w:sz w:val="22"/>
          <w:szCs w:val="22"/>
          <w:highlight w:val="none"/>
        </w:rPr>
        <w:t>6．▲</w:t>
      </w:r>
      <w:r>
        <w:rPr>
          <w:rFonts w:hint="eastAsia" w:ascii="新宋体" w:hAnsi="新宋体" w:eastAsia="新宋体" w:cs="新宋体"/>
          <w:b/>
          <w:color w:val="auto"/>
          <w:kern w:val="0"/>
          <w:sz w:val="22"/>
          <w:szCs w:val="22"/>
          <w:highlight w:val="none"/>
          <w:u w:val="single"/>
        </w:rPr>
        <w:t>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pPr>
        <w:tabs>
          <w:tab w:val="left" w:pos="540"/>
        </w:tabs>
        <w:spacing w:line="400" w:lineRule="exact"/>
        <w:ind w:left="550"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7.   </w:t>
      </w:r>
      <w:r>
        <w:rPr>
          <w:rFonts w:hint="eastAsia" w:ascii="新宋体" w:hAnsi="新宋体" w:eastAsia="新宋体" w:cs="新宋体"/>
          <w:b/>
          <w:color w:val="auto"/>
          <w:kern w:val="0"/>
          <w:sz w:val="22"/>
          <w:szCs w:val="22"/>
          <w:highlight w:val="none"/>
        </w:rPr>
        <w:t>评审过程中遇到特殊情况，由磋商小级遵循公开、公正原则，采取投票方式按照少数服从多数原则决定。</w:t>
      </w:r>
    </w:p>
    <w:p>
      <w:pPr>
        <w:tabs>
          <w:tab w:val="left" w:pos="540"/>
        </w:tabs>
        <w:spacing w:line="400" w:lineRule="exact"/>
        <w:ind w:left="552" w:hanging="552" w:hangingChars="25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8.　▲</w:t>
      </w:r>
      <w:r>
        <w:rPr>
          <w:rFonts w:hint="eastAsia" w:ascii="新宋体" w:hAnsi="新宋体" w:eastAsia="新宋体" w:cs="新宋体"/>
          <w:b/>
          <w:color w:val="auto"/>
          <w:kern w:val="0"/>
          <w:sz w:val="22"/>
          <w:szCs w:val="22"/>
          <w:highlight w:val="none"/>
          <w:u w:val="single"/>
        </w:rPr>
        <w:t>在磋商过程中符合竞争要求的供应商或者</w:t>
      </w:r>
      <w:r>
        <w:rPr>
          <w:rFonts w:hint="eastAsia" w:ascii="新宋体" w:hAnsi="新宋体" w:eastAsia="新宋体" w:cs="新宋体"/>
          <w:b/>
          <w:color w:val="auto"/>
          <w:sz w:val="22"/>
          <w:szCs w:val="22"/>
          <w:highlight w:val="none"/>
          <w:u w:val="single"/>
        </w:rPr>
        <w:t>最后磋商</w:t>
      </w:r>
      <w:r>
        <w:rPr>
          <w:rFonts w:hint="eastAsia" w:ascii="新宋体" w:hAnsi="新宋体" w:eastAsia="新宋体" w:cs="新宋体"/>
          <w:b/>
          <w:color w:val="auto"/>
          <w:kern w:val="0"/>
          <w:sz w:val="22"/>
          <w:szCs w:val="22"/>
          <w:highlight w:val="none"/>
          <w:u w:val="single"/>
          <w:lang w:eastAsia="zh-CN"/>
        </w:rPr>
        <w:t>最后报价</w:t>
      </w:r>
      <w:r>
        <w:rPr>
          <w:rFonts w:hint="eastAsia" w:ascii="新宋体" w:hAnsi="新宋体" w:eastAsia="新宋体" w:cs="新宋体"/>
          <w:b/>
          <w:color w:val="auto"/>
          <w:kern w:val="0"/>
          <w:sz w:val="22"/>
          <w:szCs w:val="22"/>
          <w:highlight w:val="none"/>
          <w:u w:val="single"/>
        </w:rPr>
        <w:t>未超过采购预算的供应商不足3家</w:t>
      </w:r>
      <w:r>
        <w:rPr>
          <w:rFonts w:hint="eastAsia" w:ascii="新宋体" w:hAnsi="新宋体" w:eastAsia="新宋体" w:cs="新宋体"/>
          <w:b/>
          <w:color w:val="auto"/>
          <w:sz w:val="22"/>
          <w:szCs w:val="22"/>
          <w:highlight w:val="none"/>
          <w:u w:val="single"/>
        </w:rPr>
        <w:t>的，</w:t>
      </w:r>
      <w:r>
        <w:rPr>
          <w:rFonts w:hint="eastAsia" w:ascii="新宋体" w:hAnsi="新宋体" w:eastAsia="新宋体" w:cs="新宋体"/>
          <w:b/>
          <w:bCs/>
          <w:color w:val="auto"/>
          <w:sz w:val="22"/>
          <w:szCs w:val="22"/>
          <w:highlight w:val="none"/>
          <w:u w:val="single"/>
        </w:rPr>
        <w:t>按以下情况处理</w:t>
      </w:r>
      <w:r>
        <w:rPr>
          <w:rFonts w:hint="eastAsia" w:ascii="新宋体" w:hAnsi="新宋体" w:eastAsia="新宋体" w:cs="新宋体"/>
          <w:b/>
          <w:color w:val="auto"/>
          <w:kern w:val="0"/>
          <w:sz w:val="22"/>
          <w:szCs w:val="22"/>
          <w:highlight w:val="none"/>
          <w:u w:val="single"/>
        </w:rPr>
        <w:t>：</w:t>
      </w:r>
    </w:p>
    <w:p>
      <w:pPr>
        <w:tabs>
          <w:tab w:val="left" w:pos="540"/>
        </w:tabs>
        <w:spacing w:line="400" w:lineRule="exact"/>
        <w:ind w:left="549" w:leftChars="209" w:hanging="110" w:hangingChars="50"/>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u w:val="single"/>
        </w:rPr>
        <w:t>1）磋商过程中符合竞争要求的供应商或者</w:t>
      </w:r>
      <w:r>
        <w:rPr>
          <w:rFonts w:hint="eastAsia" w:ascii="新宋体" w:hAnsi="新宋体" w:eastAsia="新宋体" w:cs="新宋体"/>
          <w:bCs/>
          <w:color w:val="auto"/>
          <w:sz w:val="22"/>
          <w:szCs w:val="22"/>
          <w:highlight w:val="none"/>
          <w:u w:val="single"/>
          <w:lang w:eastAsia="zh-CN"/>
        </w:rPr>
        <w:t>最后报价</w:t>
      </w:r>
      <w:r>
        <w:rPr>
          <w:rFonts w:hint="eastAsia" w:ascii="新宋体" w:hAnsi="新宋体" w:eastAsia="新宋体" w:cs="新宋体"/>
          <w:bCs/>
          <w:color w:val="auto"/>
          <w:sz w:val="22"/>
          <w:szCs w:val="22"/>
          <w:highlight w:val="none"/>
          <w:u w:val="single"/>
        </w:rPr>
        <w:t>未超过采购预算的供应商为2家，如满足《财政部关于政府采购竞争性磋商采购方式管理暂行办法有关问题的补充通知》的相关规定，则继续评审磋商程序，按照两名供应商的综合得分排名推荐为第一、第二成交候选供应商；如未满足，则本项目流标，重新组织采购流程。</w:t>
      </w:r>
    </w:p>
    <w:p>
      <w:pPr>
        <w:tabs>
          <w:tab w:val="left" w:pos="540"/>
        </w:tabs>
        <w:spacing w:line="400" w:lineRule="exact"/>
        <w:ind w:left="549" w:leftChars="209" w:hanging="110" w:hangingChars="50"/>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u w:val="single"/>
        </w:rPr>
        <w:t>2）磋商过程中符合竞争要求的供应商或者</w:t>
      </w:r>
      <w:r>
        <w:rPr>
          <w:rFonts w:hint="eastAsia" w:ascii="新宋体" w:hAnsi="新宋体" w:eastAsia="新宋体" w:cs="新宋体"/>
          <w:bCs/>
          <w:color w:val="auto"/>
          <w:sz w:val="22"/>
          <w:szCs w:val="22"/>
          <w:highlight w:val="none"/>
          <w:u w:val="single"/>
          <w:lang w:eastAsia="zh-CN"/>
        </w:rPr>
        <w:t>最后报价</w:t>
      </w:r>
      <w:r>
        <w:rPr>
          <w:rFonts w:hint="eastAsia" w:ascii="新宋体" w:hAnsi="新宋体" w:eastAsia="新宋体" w:cs="新宋体"/>
          <w:bCs/>
          <w:color w:val="auto"/>
          <w:sz w:val="22"/>
          <w:szCs w:val="22"/>
          <w:highlight w:val="none"/>
          <w:u w:val="single"/>
        </w:rPr>
        <w:t>未超过采购预算的供应商仅有1家，本项目流标，应重新组织采购流程。</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  磋商小组不向未成交供应商解释未成交原因，不退还电子响应文件。</w:t>
      </w:r>
    </w:p>
    <w:p>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  可中止电子交易活动的情形</w:t>
      </w:r>
    </w:p>
    <w:p>
      <w:pPr>
        <w:spacing w:line="40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采购过程中出现以下情形，导致电子交易平台无法正常运行，或者无法保证电子交易的公平、公正和安全时，采购组织机构可中止电子交易活动：</w:t>
      </w:r>
    </w:p>
    <w:p>
      <w:pPr>
        <w:numPr>
          <w:ilvl w:val="0"/>
          <w:numId w:val="28"/>
        </w:numPr>
        <w:spacing w:line="400" w:lineRule="exact"/>
        <w:ind w:firstLine="6"/>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电子交易平台发生故障而无法登录访问的；</w:t>
      </w:r>
    </w:p>
    <w:p>
      <w:pPr>
        <w:numPr>
          <w:ilvl w:val="0"/>
          <w:numId w:val="28"/>
        </w:numPr>
        <w:spacing w:line="400" w:lineRule="exact"/>
        <w:ind w:firstLine="6"/>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电子交易平台应用或数据库出现错误，不能进行正常操作的；</w:t>
      </w:r>
    </w:p>
    <w:p>
      <w:pPr>
        <w:numPr>
          <w:ilvl w:val="0"/>
          <w:numId w:val="28"/>
        </w:numPr>
        <w:spacing w:line="400" w:lineRule="exact"/>
        <w:ind w:firstLine="6"/>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电子交易平台发现严重安全漏洞，有潜在泄密危险的；</w:t>
      </w:r>
    </w:p>
    <w:p>
      <w:pPr>
        <w:numPr>
          <w:ilvl w:val="0"/>
          <w:numId w:val="28"/>
        </w:numPr>
        <w:spacing w:line="400" w:lineRule="exact"/>
        <w:ind w:firstLine="6"/>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电子交易平台确认病毒发作导致不能进行正常操作的；</w:t>
      </w:r>
    </w:p>
    <w:p>
      <w:pPr>
        <w:numPr>
          <w:ilvl w:val="0"/>
          <w:numId w:val="28"/>
        </w:numPr>
        <w:spacing w:line="400" w:lineRule="exact"/>
        <w:ind w:firstLine="6"/>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其他无法保证电子交易的公平、公正和安全的情况。</w:t>
      </w:r>
    </w:p>
    <w:p>
      <w:pPr>
        <w:spacing w:line="40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出现前款规定情形，不影响采购公平、公正性的，采购组织机构可以待上述情形消除后继续组织电子交易活动；影响或可能影响采购公平、公正性的，应当重新采购未详尽事宜，遵照有关法律法规执行。</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  磋商和评审方法详见《磋商原则及方法》。</w:t>
      </w:r>
    </w:p>
    <w:p>
      <w:pPr>
        <w:spacing w:line="40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  未详尽事宜，遵照有关法律法规执行。</w:t>
      </w:r>
    </w:p>
    <w:p>
      <w:pPr>
        <w:spacing w:before="100" w:beforeAutospacing="1" w:after="100" w:afterAutospacing="1" w:line="440" w:lineRule="exact"/>
        <w:ind w:left="783" w:hanging="783" w:hangingChars="300"/>
        <w:jc w:val="center"/>
        <w:outlineLvl w:val="0"/>
        <w:rPr>
          <w:rFonts w:hint="eastAsia" w:ascii="新宋体" w:hAnsi="新宋体" w:eastAsia="新宋体" w:cs="新宋体"/>
          <w:b/>
          <w:bCs/>
          <w:color w:val="auto"/>
          <w:sz w:val="26"/>
          <w:szCs w:val="26"/>
          <w:highlight w:val="none"/>
        </w:rPr>
      </w:pPr>
      <w:bookmarkStart w:id="119" w:name="_Toc221374628"/>
      <w:bookmarkStart w:id="120" w:name="_Toc223716000"/>
      <w:bookmarkStart w:id="121" w:name="_Toc222114881"/>
      <w:bookmarkStart w:id="122" w:name="_Toc245722283"/>
      <w:bookmarkStart w:id="123" w:name="_Toc32288"/>
      <w:bookmarkStart w:id="124" w:name="_Toc239145356"/>
      <w:bookmarkStart w:id="125" w:name="_Toc249758714"/>
      <w:bookmarkStart w:id="126" w:name="_Toc262105505"/>
      <w:bookmarkStart w:id="127" w:name="_Toc221423621"/>
      <w:bookmarkStart w:id="128" w:name="_Toc246261267"/>
      <w:bookmarkStart w:id="129" w:name="_Toc241404204"/>
      <w:bookmarkStart w:id="130" w:name="_Toc422225256"/>
      <w:bookmarkStart w:id="131" w:name="_Toc249758866"/>
      <w:bookmarkStart w:id="132" w:name="_Toc11411"/>
      <w:bookmarkStart w:id="133" w:name="_Toc245191316"/>
      <w:bookmarkStart w:id="134" w:name="_Toc221356953"/>
      <w:bookmarkStart w:id="135" w:name="_Toc12141"/>
      <w:bookmarkStart w:id="136" w:name="_Toc262049420"/>
      <w:bookmarkStart w:id="137" w:name="_Toc221356889"/>
      <w:r>
        <w:rPr>
          <w:rFonts w:hint="eastAsia" w:ascii="新宋体" w:hAnsi="新宋体" w:eastAsia="新宋体" w:cs="新宋体"/>
          <w:b/>
          <w:bCs/>
          <w:color w:val="auto"/>
          <w:sz w:val="26"/>
          <w:szCs w:val="26"/>
          <w:highlight w:val="none"/>
        </w:rPr>
        <w:t>七、定标及授予合同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定标</w:t>
      </w:r>
    </w:p>
    <w:p>
      <w:pPr>
        <w:spacing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1.1 磋商小组提交评审报告之日起2个工作日内，</w:t>
      </w:r>
      <w:r>
        <w:rPr>
          <w:rFonts w:hint="eastAsia" w:ascii="新宋体" w:hAnsi="新宋体" w:eastAsia="新宋体" w:cs="新宋体"/>
          <w:color w:val="auto"/>
          <w:kern w:val="0"/>
          <w:sz w:val="22"/>
          <w:szCs w:val="22"/>
          <w:highlight w:val="none"/>
        </w:rPr>
        <w:t>采购人在磋商小组推荐的成交候选供应商名单中最终确定成交供应商。</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 采购代理机构在“政采云”平台上公示成交结果，成交公告期限为1个工作日。</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 各供应商对结果如有异议，可在公示之日起7个工作日内以书面形式向采购人进行署名投诉或提出质疑，但需对投诉或质疑内容的真实性承担法律责任。</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 在公示成交结果的同时，采购人向成交供应商发出成交通知书。</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签订合同</w:t>
      </w:r>
    </w:p>
    <w:p>
      <w:pPr>
        <w:tabs>
          <w:tab w:val="left" w:pos="540"/>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2.1采购人应当自中标通知书发出之日起30日内，按照磋商文件和成交供应商磋商响应文件的规定，与成交供应商签订书面合同。所签订的合同不得对磋商文件确定的事项和成交供应商磋商响应文件作实质性修改。</w:t>
      </w:r>
    </w:p>
    <w:p>
      <w:pPr>
        <w:tabs>
          <w:tab w:val="left" w:pos="540"/>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采购人不得向成交供应商提出任何不合理的要求作为签订合同的条件。</w:t>
      </w:r>
    </w:p>
    <w:p>
      <w:pPr>
        <w:tabs>
          <w:tab w:val="left" w:pos="540"/>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2.3</w:t>
      </w:r>
      <w:r>
        <w:rPr>
          <w:rFonts w:hint="eastAsia" w:ascii="新宋体" w:hAnsi="新宋体" w:eastAsia="新宋体" w:cs="新宋体"/>
          <w:color w:val="auto"/>
          <w:sz w:val="22"/>
          <w:szCs w:val="22"/>
          <w:highlight w:val="none"/>
        </w:rPr>
        <w:t>竞争性磋商文件、成交供应商的磋商响应文件及磋商响应修改文件、磋商评审过程中有关澄清文件及经双方签字的询标纪要（承诺）和成交通知书均作为合同附件。</w:t>
      </w:r>
    </w:p>
    <w:p>
      <w:pPr>
        <w:tabs>
          <w:tab w:val="left" w:pos="540"/>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 拒签合同的责任</w:t>
      </w:r>
    </w:p>
    <w:p>
      <w:pPr>
        <w:tabs>
          <w:tab w:val="left" w:pos="540"/>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 成交供应商在规定时间内（30日历天）借故否认已经承诺的条件、拒签合同者，以投标违约处理，赔偿采购人由此造成的直接经济损失；采购人重新组织招标的，所需费用由原成交供应商承担。</w:t>
      </w:r>
    </w:p>
    <w:p>
      <w:pPr>
        <w:tabs>
          <w:tab w:val="left" w:pos="540"/>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2.5成交供应商应在合同签订后2个工作日内提交一份合同文本扫描件报采购代理机构备案。</w:t>
      </w:r>
    </w:p>
    <w:p>
      <w:pPr>
        <w:numPr>
          <w:numId w:val="0"/>
        </w:num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b/>
          <w:bCs/>
          <w:color w:val="auto"/>
          <w:sz w:val="22"/>
          <w:szCs w:val="22"/>
          <w:highlight w:val="none"/>
        </w:rPr>
        <w:t>若出现以下情形之一，采购人可视具体情况确定是否由第二成交候选供应商（以此类推，如有）为成交供应商或重新组织采购：</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1）成交供应商拒绝与采购人签订合同的；</w:t>
      </w:r>
    </w:p>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2）经质疑，采购人审查后，成交候选供应商或成交供应商确实在本次采购活动中存在违法违规行为或其他原因使质疑成立的。</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放弃中标（成交）资格的供应商，需承担代理费和专家评审费等费用。</w:t>
      </w:r>
    </w:p>
    <w:p>
      <w:pPr>
        <w:spacing w:before="100" w:beforeAutospacing="1" w:after="100" w:afterAutospacing="1" w:line="440" w:lineRule="exact"/>
        <w:ind w:left="783" w:hanging="783" w:hangingChars="300"/>
        <w:jc w:val="center"/>
        <w:outlineLvl w:val="0"/>
        <w:rPr>
          <w:rFonts w:hint="eastAsia" w:ascii="新宋体" w:hAnsi="新宋体" w:eastAsia="新宋体" w:cs="新宋体"/>
          <w:b/>
          <w:bCs/>
          <w:color w:val="auto"/>
          <w:sz w:val="26"/>
          <w:szCs w:val="26"/>
          <w:highlight w:val="none"/>
          <w:lang w:val="en-US" w:eastAsia="zh-CN"/>
        </w:rPr>
      </w:pPr>
      <w:bookmarkStart w:id="138" w:name="_Toc25540"/>
      <w:bookmarkStart w:id="139" w:name="_Toc18423"/>
      <w:r>
        <w:rPr>
          <w:rFonts w:hint="eastAsia" w:ascii="新宋体" w:hAnsi="新宋体" w:eastAsia="新宋体" w:cs="新宋体"/>
          <w:b/>
          <w:bCs/>
          <w:color w:val="auto"/>
          <w:sz w:val="26"/>
          <w:szCs w:val="26"/>
          <w:highlight w:val="none"/>
          <w:lang w:val="en-US" w:eastAsia="zh-CN"/>
        </w:rPr>
        <w:t>八、验收</w:t>
      </w:r>
      <w:bookmarkEnd w:id="138"/>
      <w:bookmarkEnd w:id="139"/>
    </w:p>
    <w:p>
      <w:pPr>
        <w:widowControl w:val="0"/>
        <w:numPr>
          <w:ilvl w:val="0"/>
          <w:numId w:val="29"/>
        </w:numPr>
        <w:tabs>
          <w:tab w:val="left" w:pos="540"/>
          <w:tab w:val="clear" w:pos="420"/>
        </w:tabs>
        <w:wordWrap/>
        <w:adjustRightInd/>
        <w:snapToGrid/>
        <w:spacing w:line="400" w:lineRule="exact"/>
        <w:ind w:left="420" w:hanging="420"/>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numPr>
          <w:ilvl w:val="0"/>
          <w:numId w:val="29"/>
        </w:numPr>
        <w:tabs>
          <w:tab w:val="left" w:pos="540"/>
          <w:tab w:val="clear" w:pos="420"/>
        </w:tabs>
        <w:wordWrap/>
        <w:adjustRightInd/>
        <w:snapToGrid/>
        <w:spacing w:line="400" w:lineRule="exact"/>
        <w:ind w:left="420" w:hanging="420"/>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采购人可以邀请参加本项目的其他供应商或者第三方机构参与验收。参与验收的供应商或者第三方机构的意见作为验收书的参考资料一并存档。</w:t>
      </w:r>
    </w:p>
    <w:p>
      <w:pPr>
        <w:widowControl w:val="0"/>
        <w:numPr>
          <w:ilvl w:val="0"/>
          <w:numId w:val="29"/>
        </w:numPr>
        <w:tabs>
          <w:tab w:val="left" w:pos="540"/>
          <w:tab w:val="clear" w:pos="420"/>
        </w:tabs>
        <w:wordWrap/>
        <w:adjustRightInd/>
        <w:snapToGrid/>
        <w:spacing w:line="400" w:lineRule="exact"/>
        <w:ind w:left="420" w:hanging="420"/>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widowControl w:val="0"/>
        <w:numPr>
          <w:ilvl w:val="0"/>
          <w:numId w:val="29"/>
        </w:numPr>
        <w:tabs>
          <w:tab w:val="left" w:pos="540"/>
          <w:tab w:val="clear" w:pos="420"/>
        </w:tabs>
        <w:wordWrap/>
        <w:adjustRightInd/>
        <w:snapToGrid/>
        <w:spacing w:line="400" w:lineRule="exact"/>
        <w:ind w:left="420" w:hanging="420"/>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val="0"/>
        <w:numPr>
          <w:ilvl w:val="0"/>
          <w:numId w:val="29"/>
        </w:numPr>
        <w:tabs>
          <w:tab w:val="left" w:pos="540"/>
          <w:tab w:val="clear" w:pos="420"/>
        </w:tabs>
        <w:wordWrap/>
        <w:adjustRightInd/>
        <w:snapToGrid/>
        <w:spacing w:line="400" w:lineRule="exact"/>
        <w:ind w:left="420" w:hanging="420"/>
        <w:textAlignment w:val="auto"/>
        <w:rPr>
          <w:rFonts w:hint="eastAsia" w:ascii="新宋体" w:hAnsi="新宋体" w:eastAsia="新宋体" w:cs="新宋体"/>
          <w:b/>
          <w:bCs w:val="0"/>
          <w:color w:val="auto"/>
          <w:sz w:val="22"/>
          <w:szCs w:val="22"/>
          <w:highlight w:val="none"/>
          <w:lang w:val="en-US" w:eastAsia="zh-CN"/>
        </w:rPr>
      </w:pPr>
      <w:bookmarkStart w:id="140" w:name="_Hlt68072990"/>
      <w:bookmarkEnd w:id="140"/>
      <w:bookmarkStart w:id="141" w:name="_Hlt68403820"/>
      <w:bookmarkEnd w:id="141"/>
      <w:bookmarkStart w:id="142" w:name="_Hlt74714665"/>
      <w:bookmarkEnd w:id="142"/>
      <w:bookmarkStart w:id="143" w:name="_Hlt75236101"/>
      <w:bookmarkEnd w:id="143"/>
      <w:bookmarkStart w:id="144" w:name="_Hlt68057669"/>
      <w:bookmarkEnd w:id="144"/>
      <w:bookmarkStart w:id="145" w:name="_Hlt68072998"/>
      <w:bookmarkEnd w:id="145"/>
      <w:bookmarkStart w:id="146" w:name="_Hlt68073093"/>
      <w:bookmarkEnd w:id="146"/>
      <w:bookmarkStart w:id="147" w:name="_Hlt75236011"/>
      <w:bookmarkEnd w:id="147"/>
      <w:bookmarkStart w:id="148" w:name="_Hlt74730295"/>
      <w:bookmarkEnd w:id="148"/>
      <w:bookmarkStart w:id="149" w:name="_Hlt75236290"/>
      <w:bookmarkEnd w:id="149"/>
      <w:bookmarkStart w:id="150" w:name="_Hlt74707468"/>
      <w:bookmarkEnd w:id="150"/>
      <w:bookmarkStart w:id="151" w:name="_Hlt74729768"/>
      <w:bookmarkEnd w:id="151"/>
      <w:r>
        <w:rPr>
          <w:rFonts w:hint="eastAsia" w:ascii="新宋体" w:hAnsi="新宋体" w:eastAsia="新宋体" w:cs="新宋体"/>
          <w:b/>
          <w:bCs w:val="0"/>
          <w:color w:val="auto"/>
          <w:sz w:val="22"/>
          <w:szCs w:val="22"/>
          <w:highlight w:val="none"/>
          <w:lang w:val="en-US" w:eastAsia="zh-CN"/>
        </w:rPr>
        <w:t>履约验收费用由供应商承担，因供应商原因造成验收不通过的，再次验收的费用仍由供应商承担。如采用简易验收的，则不需要支付该笔费用。</w:t>
      </w:r>
    </w:p>
    <w:p>
      <w:pPr>
        <w:pStyle w:val="2"/>
        <w:spacing w:line="400" w:lineRule="exact"/>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52" w:name="_Toc29173"/>
      <w:r>
        <w:rPr>
          <w:rFonts w:hint="eastAsia" w:ascii="新宋体" w:hAnsi="新宋体" w:eastAsia="新宋体" w:cs="新宋体"/>
          <w:color w:val="auto"/>
          <w:sz w:val="36"/>
          <w:szCs w:val="36"/>
          <w:highlight w:val="none"/>
        </w:rPr>
        <w:t>第二部分   采购内容及要求</w:t>
      </w:r>
      <w:bookmarkEnd w:id="152"/>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Pr>
        <w:widowControl w:val="0"/>
        <w:numPr>
          <w:ilvl w:val="0"/>
          <w:numId w:val="30"/>
        </w:numPr>
        <w:wordWrap/>
        <w:adjustRightInd w:val="0"/>
        <w:snapToGrid w:val="0"/>
        <w:spacing w:line="360" w:lineRule="auto"/>
        <w:ind w:right="0"/>
        <w:textAlignment w:val="auto"/>
        <w:outlineLvl w:val="0"/>
        <w:rPr>
          <w:rFonts w:hint="eastAsia" w:ascii="新宋体" w:hAnsi="新宋体" w:eastAsia="新宋体" w:cs="新宋体"/>
          <w:b/>
          <w:bCs/>
          <w:color w:val="auto"/>
          <w:sz w:val="22"/>
          <w:szCs w:val="22"/>
          <w:highlight w:val="none"/>
        </w:rPr>
      </w:pPr>
      <w:bookmarkStart w:id="153" w:name="_Toc222114884"/>
      <w:bookmarkStart w:id="154" w:name="_Toc21056"/>
      <w:bookmarkStart w:id="155" w:name="_Toc458516429"/>
      <w:bookmarkStart w:id="156" w:name="_Toc467175860"/>
      <w:bookmarkStart w:id="157" w:name="_Toc221374631"/>
      <w:bookmarkStart w:id="158" w:name="_Toc262105509"/>
      <w:bookmarkStart w:id="159" w:name="_Toc221356956"/>
      <w:bookmarkStart w:id="160" w:name="_Toc223716003"/>
      <w:bookmarkStart w:id="161" w:name="_Toc246261270"/>
      <w:bookmarkStart w:id="162" w:name="_Toc262049424"/>
      <w:bookmarkStart w:id="163" w:name="_Toc245191319"/>
      <w:bookmarkStart w:id="164" w:name="_Toc239145359"/>
      <w:bookmarkStart w:id="165" w:name="_Toc527717315"/>
      <w:bookmarkStart w:id="166" w:name="_Toc221423624"/>
      <w:bookmarkStart w:id="167" w:name="_Toc241404207"/>
      <w:bookmarkStart w:id="168" w:name="_Toc249758718"/>
      <w:bookmarkStart w:id="169" w:name="_Toc221356892"/>
      <w:bookmarkStart w:id="170" w:name="_Toc507146682"/>
      <w:bookmarkStart w:id="171" w:name="_Toc249758870"/>
      <w:bookmarkStart w:id="172" w:name="_Toc445832494"/>
      <w:bookmarkStart w:id="173" w:name="_Toc249758719"/>
      <w:bookmarkStart w:id="174" w:name="_Toc245722286"/>
      <w:r>
        <w:rPr>
          <w:rFonts w:hint="eastAsia" w:ascii="新宋体" w:hAnsi="新宋体" w:eastAsia="新宋体" w:cs="新宋体"/>
          <w:b/>
          <w:bCs/>
          <w:color w:val="auto"/>
          <w:sz w:val="22"/>
          <w:szCs w:val="22"/>
          <w:highlight w:val="none"/>
        </w:rPr>
        <w:t>项目情况</w:t>
      </w:r>
    </w:p>
    <w:p>
      <w:pPr>
        <w:pStyle w:val="20"/>
        <w:widowControl w:val="0"/>
        <w:numPr>
          <w:ilvl w:val="0"/>
          <w:numId w:val="31"/>
        </w:numPr>
        <w:wordWrap/>
        <w:spacing w:line="360" w:lineRule="auto"/>
        <w:ind w:left="0" w:leftChars="0" w:right="0" w:firstLine="40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项目名称：南郊街道办事处食堂菜品配送采购项目。</w:t>
      </w:r>
    </w:p>
    <w:p>
      <w:pPr>
        <w:widowControl w:val="0"/>
        <w:numPr>
          <w:ilvl w:val="0"/>
          <w:numId w:val="31"/>
        </w:numPr>
        <w:wordWrap/>
        <w:adjustRightInd w:val="0"/>
        <w:snapToGrid w:val="0"/>
        <w:spacing w:line="360" w:lineRule="auto"/>
        <w:ind w:left="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服务期限：</w:t>
      </w:r>
      <w:r>
        <w:rPr>
          <w:rFonts w:hint="eastAsia" w:ascii="新宋体" w:hAnsi="新宋体" w:eastAsia="新宋体" w:cs="新宋体"/>
          <w:sz w:val="22"/>
          <w:szCs w:val="22"/>
        </w:rPr>
        <w:t>合同签订之日起一年</w:t>
      </w:r>
      <w:r>
        <w:rPr>
          <w:rFonts w:hint="eastAsia" w:ascii="新宋体" w:hAnsi="新宋体" w:eastAsia="新宋体" w:cs="新宋体"/>
          <w:color w:val="auto"/>
          <w:kern w:val="2"/>
          <w:sz w:val="22"/>
          <w:szCs w:val="22"/>
          <w:highlight w:val="none"/>
          <w:lang w:val="en-US" w:eastAsia="zh-CN" w:bidi="ar-SA"/>
        </w:rPr>
        <w:t>。合同履行期间采购人对成交供应商按采购文件要求进行检查考核，如成交供应商考核未达到要求，采购人有权无责解除合同。</w:t>
      </w:r>
    </w:p>
    <w:p>
      <w:pPr>
        <w:widowControl w:val="0"/>
        <w:numPr>
          <w:ilvl w:val="0"/>
          <w:numId w:val="30"/>
        </w:numPr>
        <w:wordWrap/>
        <w:adjustRightInd w:val="0"/>
        <w:snapToGrid w:val="0"/>
        <w:spacing w:line="360" w:lineRule="auto"/>
        <w:ind w:right="0"/>
        <w:textAlignment w:val="auto"/>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服务内容：</w:t>
      </w:r>
    </w:p>
    <w:p>
      <w:pPr>
        <w:widowControl w:val="0"/>
        <w:numPr>
          <w:ilvl w:val="0"/>
          <w:numId w:val="32"/>
        </w:numPr>
        <w:wordWrap/>
        <w:adjustRightInd w:val="0"/>
        <w:snapToGrid w:val="0"/>
        <w:spacing w:line="360" w:lineRule="auto"/>
        <w:ind w:left="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采购内容包括但不限于南郊街道食堂需配送的蔬菜类、生鲜类、冷冻品及半成品（鸡鸭副产品）、干货类、水果类、豆制品、大米等原材料。</w:t>
      </w:r>
    </w:p>
    <w:p>
      <w:pPr>
        <w:widowControl w:val="0"/>
        <w:numPr>
          <w:ilvl w:val="0"/>
          <w:numId w:val="30"/>
        </w:numPr>
        <w:wordWrap/>
        <w:adjustRightInd w:val="0"/>
        <w:snapToGrid w:val="0"/>
        <w:spacing w:line="360" w:lineRule="auto"/>
        <w:ind w:right="0"/>
        <w:textAlignment w:val="auto"/>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服务</w:t>
      </w:r>
      <w:r>
        <w:rPr>
          <w:rFonts w:hint="eastAsia" w:ascii="新宋体" w:hAnsi="新宋体" w:eastAsia="新宋体" w:cs="新宋体"/>
          <w:b/>
          <w:bCs/>
          <w:color w:val="auto"/>
          <w:sz w:val="22"/>
          <w:szCs w:val="22"/>
          <w:highlight w:val="none"/>
        </w:rPr>
        <w:t>要求：</w:t>
      </w:r>
    </w:p>
    <w:p>
      <w:pPr>
        <w:widowControl w:val="0"/>
        <w:numPr>
          <w:ilvl w:val="0"/>
          <w:numId w:val="33"/>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肉、禽、蛋、水产等必须具有动物检验检疫合格证明或化验单；</w:t>
      </w:r>
    </w:p>
    <w:p>
      <w:pPr>
        <w:widowControl w:val="0"/>
        <w:numPr>
          <w:ilvl w:val="0"/>
          <w:numId w:val="33"/>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豆制品、辅料、半成品必须具有“</w:t>
      </w:r>
      <w:r>
        <w:rPr>
          <w:rFonts w:hint="eastAsia" w:ascii="新宋体" w:hAnsi="新宋体" w:eastAsia="新宋体" w:cs="新宋体"/>
          <w:color w:val="auto"/>
          <w:kern w:val="2"/>
          <w:sz w:val="22"/>
          <w:szCs w:val="22"/>
          <w:highlight w:val="none"/>
          <w:lang w:val="en-US" w:eastAsia="zh-CN" w:bidi="ar-SA"/>
        </w:rPr>
        <w:t>SC</w:t>
      </w:r>
      <w:r>
        <w:rPr>
          <w:rFonts w:hint="eastAsia" w:ascii="新宋体" w:hAnsi="新宋体" w:eastAsia="新宋体" w:cs="新宋体"/>
          <w:color w:val="auto"/>
          <w:kern w:val="2"/>
          <w:sz w:val="22"/>
          <w:szCs w:val="22"/>
          <w:highlight w:val="none"/>
          <w:lang w:val="zh-CN" w:eastAsia="zh-CN" w:bidi="ar-SA"/>
        </w:rPr>
        <w:t>”食品质量安全认证；</w:t>
      </w:r>
    </w:p>
    <w:p>
      <w:pPr>
        <w:widowControl w:val="0"/>
        <w:numPr>
          <w:ilvl w:val="0"/>
          <w:numId w:val="33"/>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蔬菜必须保证新鲜，按供货批次提供农贸市场蔬菜农药检测结果，且符合食品卫生安全法要求；</w:t>
      </w:r>
    </w:p>
    <w:p>
      <w:pPr>
        <w:widowControl w:val="0"/>
        <w:numPr>
          <w:ilvl w:val="0"/>
          <w:numId w:val="33"/>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采购货源必须持有与销售内容相对应的有效营业执照，食品生产许可证或食品销售许可证（</w:t>
      </w:r>
      <w:r>
        <w:rPr>
          <w:rFonts w:hint="eastAsia" w:ascii="新宋体" w:hAnsi="新宋体" w:eastAsia="新宋体" w:cs="新宋体"/>
          <w:color w:val="auto"/>
          <w:kern w:val="2"/>
          <w:sz w:val="22"/>
          <w:szCs w:val="22"/>
          <w:highlight w:val="none"/>
          <w:lang w:val="en-US" w:eastAsia="zh-CN" w:bidi="ar-SA"/>
        </w:rPr>
        <w:t>法律法规另有规定的从其规定</w:t>
      </w:r>
      <w:r>
        <w:rPr>
          <w:rFonts w:hint="eastAsia" w:ascii="新宋体" w:hAnsi="新宋体" w:eastAsia="新宋体" w:cs="新宋体"/>
          <w:color w:val="auto"/>
          <w:kern w:val="2"/>
          <w:sz w:val="22"/>
          <w:szCs w:val="22"/>
          <w:highlight w:val="none"/>
          <w:lang w:val="zh-CN" w:eastAsia="zh-CN" w:bidi="ar-SA"/>
        </w:rPr>
        <w:t>）；</w:t>
      </w:r>
    </w:p>
    <w:p>
      <w:pPr>
        <w:widowControl w:val="0"/>
        <w:numPr>
          <w:ilvl w:val="0"/>
          <w:numId w:val="33"/>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供应商负责供货产品的食品安全，须做到来源可溯；</w:t>
      </w:r>
    </w:p>
    <w:p>
      <w:pPr>
        <w:widowControl w:val="0"/>
        <w:numPr>
          <w:ilvl w:val="0"/>
          <w:numId w:val="33"/>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具体配送产品品质要求详见“</w:t>
      </w:r>
      <w:r>
        <w:rPr>
          <w:rFonts w:hint="eastAsia" w:ascii="新宋体" w:hAnsi="新宋体" w:eastAsia="新宋体" w:cs="新宋体"/>
          <w:b/>
          <w:bCs/>
          <w:color w:val="auto"/>
          <w:kern w:val="2"/>
          <w:sz w:val="22"/>
          <w:szCs w:val="22"/>
          <w:highlight w:val="none"/>
          <w:lang w:val="en-US" w:eastAsia="zh-CN" w:bidi="ar-SA"/>
        </w:rPr>
        <w:t>四、</w:t>
      </w:r>
      <w:r>
        <w:rPr>
          <w:rFonts w:hint="eastAsia" w:ascii="新宋体" w:hAnsi="新宋体" w:eastAsia="新宋体" w:cs="新宋体"/>
          <w:b/>
          <w:bCs/>
          <w:color w:val="auto"/>
          <w:kern w:val="2"/>
          <w:sz w:val="22"/>
          <w:szCs w:val="22"/>
          <w:highlight w:val="none"/>
          <w:lang w:val="zh-CN" w:eastAsia="zh-CN" w:bidi="ar-SA"/>
        </w:rPr>
        <w:t>对配送产品品质的基本要求</w:t>
      </w:r>
      <w:r>
        <w:rPr>
          <w:rFonts w:hint="eastAsia" w:ascii="新宋体" w:hAnsi="新宋体" w:eastAsia="新宋体" w:cs="新宋体"/>
          <w:color w:val="auto"/>
          <w:kern w:val="2"/>
          <w:sz w:val="22"/>
          <w:szCs w:val="22"/>
          <w:highlight w:val="none"/>
          <w:lang w:val="zh-CN" w:eastAsia="zh-CN" w:bidi="ar-SA"/>
        </w:rPr>
        <w:t>”。</w:t>
      </w:r>
    </w:p>
    <w:p>
      <w:pPr>
        <w:widowControl w:val="0"/>
        <w:numPr>
          <w:ilvl w:val="0"/>
          <w:numId w:val="33"/>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供应商需对所有配送品类进行提前分拣，保证食材的新鲜、大小均匀。</w:t>
      </w:r>
    </w:p>
    <w:p>
      <w:pPr>
        <w:widowControl w:val="0"/>
        <w:numPr>
          <w:ilvl w:val="0"/>
          <w:numId w:val="33"/>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国家法定禁渔期间可适当提供冰冻海鲜食材，其余时间需按照采购方采购要求供应新鲜海鲜原材料。（冰冻海鲜产品提供必须符合国家食品安全法对于冰冻海鲜类产品相应条例）。</w:t>
      </w:r>
    </w:p>
    <w:p>
      <w:pPr>
        <w:widowControl w:val="0"/>
        <w:numPr>
          <w:ilvl w:val="0"/>
          <w:numId w:val="30"/>
        </w:numPr>
        <w:wordWrap/>
        <w:adjustRightInd w:val="0"/>
        <w:snapToGrid w:val="0"/>
        <w:spacing w:line="360" w:lineRule="auto"/>
        <w:ind w:right="0"/>
        <w:textAlignment w:val="auto"/>
        <w:outlineLvl w:val="0"/>
        <w:rPr>
          <w:rFonts w:hint="eastAsia" w:ascii="新宋体" w:hAnsi="新宋体" w:eastAsia="新宋体" w:cs="新宋体"/>
          <w:b/>
          <w:bCs/>
          <w:color w:val="auto"/>
          <w:sz w:val="22"/>
          <w:szCs w:val="22"/>
          <w:highlight w:val="none"/>
          <w:lang w:val="zh-CN" w:eastAsia="zh-CN"/>
        </w:rPr>
      </w:pPr>
      <w:r>
        <w:rPr>
          <w:rFonts w:hint="eastAsia" w:ascii="新宋体" w:hAnsi="新宋体" w:eastAsia="新宋体" w:cs="新宋体"/>
          <w:b/>
          <w:bCs/>
          <w:color w:val="auto"/>
          <w:sz w:val="22"/>
          <w:szCs w:val="22"/>
          <w:highlight w:val="none"/>
          <w:lang w:val="zh-CN" w:eastAsia="zh-CN"/>
        </w:rPr>
        <w:t xml:space="preserve"> 对配送产品品质的基本要求</w:t>
      </w:r>
    </w:p>
    <w:p>
      <w:pPr>
        <w:widowControl w:val="0"/>
        <w:numPr>
          <w:ilvl w:val="0"/>
          <w:numId w:val="34"/>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en-US" w:eastAsia="zh-CN" w:bidi="ar-SA"/>
        </w:rPr>
        <w:t>品质基本要求</w:t>
      </w:r>
    </w:p>
    <w:tbl>
      <w:tblPr>
        <w:tblStyle w:val="45"/>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480"/>
        <w:gridCol w:w="3501"/>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982" w:type="dxa"/>
            <w:gridSpan w:val="2"/>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p>
        </w:tc>
        <w:tc>
          <w:tcPr>
            <w:tcW w:w="3501" w:type="dxa"/>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验收标准</w:t>
            </w:r>
          </w:p>
        </w:tc>
        <w:tc>
          <w:tcPr>
            <w:tcW w:w="4365" w:type="dxa"/>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退货依据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982" w:type="dxa"/>
            <w:gridSpan w:val="2"/>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大米</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要求提供各类货品，保证新鲜度，注意保质期，外包装清洁卫生，完整坚固，且包装上的商品名称、厂址、规格等与内容物相符，标示清晰，批次清楚等</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(1)不符合验收标准的、无“</w:t>
            </w:r>
            <w:r>
              <w:rPr>
                <w:rFonts w:hint="eastAsia" w:ascii="新宋体" w:hAnsi="新宋体" w:eastAsia="新宋体" w:cs="新宋体"/>
                <w:color w:val="auto"/>
                <w:kern w:val="0"/>
                <w:sz w:val="22"/>
                <w:szCs w:val="22"/>
                <w:highlight w:val="none"/>
                <w:lang w:eastAsia="zh-CN"/>
              </w:rPr>
              <w:t>SC</w:t>
            </w:r>
            <w:r>
              <w:rPr>
                <w:rFonts w:hint="eastAsia" w:ascii="新宋体" w:hAnsi="新宋体" w:eastAsia="新宋体" w:cs="新宋体"/>
                <w:color w:val="auto"/>
                <w:kern w:val="0"/>
                <w:sz w:val="22"/>
                <w:szCs w:val="22"/>
                <w:highlight w:val="none"/>
              </w:rPr>
              <w:t>”食品质量安全认证的产品。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982" w:type="dxa"/>
            <w:gridSpan w:val="2"/>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食用油、调味品</w:t>
            </w:r>
            <w:r>
              <w:rPr>
                <w:rFonts w:hint="eastAsia" w:ascii="新宋体" w:hAnsi="新宋体" w:eastAsia="新宋体" w:cs="新宋体"/>
                <w:color w:val="auto"/>
                <w:kern w:val="0"/>
                <w:sz w:val="22"/>
                <w:szCs w:val="22"/>
                <w:highlight w:val="none"/>
              </w:rPr>
              <w:t>及</w:t>
            </w:r>
            <w:r>
              <w:rPr>
                <w:rFonts w:hint="eastAsia" w:ascii="新宋体" w:hAnsi="新宋体" w:eastAsia="新宋体" w:cs="新宋体"/>
                <w:color w:val="auto"/>
                <w:sz w:val="22"/>
                <w:szCs w:val="22"/>
                <w:highlight w:val="none"/>
              </w:rPr>
              <w:t xml:space="preserve">其他 </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要求提供各类货品，保证新鲜度，注意保质期，外包装清洁卫生，完整坚固，且包装上的商品名称、厂址、规格等与内容物相符，标示清晰，批次清楚等；</w:t>
            </w:r>
            <w:r>
              <w:rPr>
                <w:rFonts w:hint="eastAsia" w:ascii="新宋体" w:hAnsi="新宋体" w:eastAsia="新宋体" w:cs="新宋体"/>
                <w:color w:val="auto"/>
                <w:sz w:val="22"/>
                <w:szCs w:val="22"/>
                <w:highlight w:val="none"/>
              </w:rPr>
              <w:t>食用油要求非转基因食用油</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(1)不符合验收标准的、无“</w:t>
            </w:r>
            <w:r>
              <w:rPr>
                <w:rFonts w:hint="eastAsia" w:ascii="新宋体" w:hAnsi="新宋体" w:eastAsia="新宋体" w:cs="新宋体"/>
                <w:color w:val="auto"/>
                <w:sz w:val="22"/>
                <w:szCs w:val="22"/>
                <w:highlight w:val="none"/>
                <w:lang w:eastAsia="zh-CN"/>
              </w:rPr>
              <w:t>SC</w:t>
            </w:r>
            <w:r>
              <w:rPr>
                <w:rFonts w:hint="eastAsia" w:ascii="新宋体" w:hAnsi="新宋体" w:eastAsia="新宋体" w:cs="新宋体"/>
                <w:color w:val="auto"/>
                <w:sz w:val="22"/>
                <w:szCs w:val="22"/>
                <w:highlight w:val="none"/>
              </w:rPr>
              <w:t>”食品质量安全认证的产品。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982" w:type="dxa"/>
            <w:gridSpan w:val="2"/>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面粉</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根据</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 xml:space="preserve">要求提供各类货品，保证新鲜度，注意保质期，外包装清洁卫生，完整坚固，且包装上的商品名称、厂址、规格等与内容物相符，标示清晰，批次清楚等 </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(1)不符合验收标准的、无“</w:t>
            </w:r>
            <w:r>
              <w:rPr>
                <w:rFonts w:hint="eastAsia" w:ascii="新宋体" w:hAnsi="新宋体" w:eastAsia="新宋体" w:cs="新宋体"/>
                <w:color w:val="auto"/>
                <w:sz w:val="22"/>
                <w:szCs w:val="22"/>
                <w:highlight w:val="none"/>
                <w:lang w:eastAsia="zh-CN"/>
              </w:rPr>
              <w:t>SC</w:t>
            </w:r>
            <w:r>
              <w:rPr>
                <w:rFonts w:hint="eastAsia" w:ascii="新宋体" w:hAnsi="新宋体" w:eastAsia="新宋体" w:cs="新宋体"/>
                <w:color w:val="auto"/>
                <w:sz w:val="22"/>
                <w:szCs w:val="22"/>
                <w:highlight w:val="none"/>
              </w:rPr>
              <w:t>”食品质量安全认证的产品。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982" w:type="dxa"/>
            <w:gridSpan w:val="2"/>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冻禽类 </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皮肤有光泽，呈淡黄、淡红、灰白色等，肌肉切面有光泽，指压后凹陷恢复得慢，且不能完全恢复。</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干缩凹陷、表面干燥粘手，新切面湿润粘手，肌肉松弛，指压后凹陷不能恢复，并由明显的痕迹；有腐败味或霉味。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jc w:val="center"/>
        </w:trPr>
        <w:tc>
          <w:tcPr>
            <w:tcW w:w="1982" w:type="dxa"/>
            <w:gridSpan w:val="2"/>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猪肉类 </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后腿净肉：不带碎骨、不带肥肉，肉色鲜艳，无病变、不打水；猪肉：不带碎骨（一斤猪肉，三两肥肉七两瘦肉），肉色鲜艳，不打水；五花肉：要求中肋部分整方形，不带腩肉，带少量排骨，肉色鲜艳，层次分明。</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82" w:type="dxa"/>
            <w:gridSpan w:val="2"/>
            <w:vAlign w:val="center"/>
          </w:tcPr>
          <w:p>
            <w:pPr>
              <w:widowControl w:val="0"/>
              <w:wordWrap/>
              <w:autoSpaceDE w:val="0"/>
              <w:autoSpaceDN w:val="0"/>
              <w:adjustRightInd w:val="0"/>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鱼类 </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502" w:type="dxa"/>
            <w:vMerge w:val="restart"/>
            <w:vAlign w:val="center"/>
          </w:tcPr>
          <w:p>
            <w:pPr>
              <w:pStyle w:val="66"/>
              <w:widowControl w:val="0"/>
              <w:wordWrap/>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蔬</w:t>
            </w:r>
          </w:p>
          <w:p>
            <w:pPr>
              <w:pStyle w:val="66"/>
              <w:widowControl w:val="0"/>
              <w:wordWrap/>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菜</w:t>
            </w:r>
          </w:p>
          <w:p>
            <w:pPr>
              <w:pStyle w:val="66"/>
              <w:widowControl w:val="0"/>
              <w:wordWrap/>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类</w:t>
            </w:r>
          </w:p>
        </w:tc>
        <w:tc>
          <w:tcPr>
            <w:tcW w:w="1480" w:type="dxa"/>
            <w:vAlign w:val="center"/>
          </w:tcPr>
          <w:p>
            <w:pPr>
              <w:pStyle w:val="66"/>
              <w:widowControl w:val="0"/>
              <w:wordWrap/>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叶菜</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味苦，鲜度嫩度明显不佳，含黄叶须根，泥土、虫害严重，萎捏严重，浸水后仍不可恢复；农药残留超标。 </w:t>
            </w:r>
          </w:p>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502" w:type="dxa"/>
            <w:vMerge w:val="continue"/>
            <w:vAlign w:val="center"/>
          </w:tcPr>
          <w:p>
            <w:pPr>
              <w:pStyle w:val="66"/>
              <w:widowControl w:val="0"/>
              <w:wordWrap/>
              <w:spacing w:line="360" w:lineRule="auto"/>
              <w:ind w:right="0"/>
              <w:jc w:val="center"/>
              <w:textAlignment w:val="auto"/>
              <w:rPr>
                <w:rFonts w:hint="eastAsia" w:ascii="新宋体" w:hAnsi="新宋体" w:eastAsia="新宋体" w:cs="新宋体"/>
                <w:color w:val="auto"/>
                <w:sz w:val="22"/>
                <w:szCs w:val="22"/>
                <w:highlight w:val="none"/>
              </w:rPr>
            </w:pPr>
          </w:p>
        </w:tc>
        <w:tc>
          <w:tcPr>
            <w:tcW w:w="1480" w:type="dxa"/>
            <w:vAlign w:val="center"/>
          </w:tcPr>
          <w:p>
            <w:pPr>
              <w:pStyle w:val="66"/>
              <w:widowControl w:val="0"/>
              <w:wordWrap/>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根茎类（如香芋、土豆、莴笋等）</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无虫咬、发芽、发霉现象，新鲜，形态大小与</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 xml:space="preserve">自购标准相当。农药残留不超标。 </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发芽严重、发霉，新鲜度不佳，形态大小与</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 xml:space="preserve">自购标准存在较大负偏差。农药残留超标。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502" w:type="dxa"/>
            <w:vMerge w:val="continue"/>
            <w:vAlign w:val="center"/>
          </w:tcPr>
          <w:p>
            <w:pPr>
              <w:pStyle w:val="66"/>
              <w:widowControl w:val="0"/>
              <w:wordWrap/>
              <w:spacing w:line="360" w:lineRule="auto"/>
              <w:ind w:right="0"/>
              <w:jc w:val="center"/>
              <w:textAlignment w:val="auto"/>
              <w:rPr>
                <w:rFonts w:hint="eastAsia" w:ascii="新宋体" w:hAnsi="新宋体" w:eastAsia="新宋体" w:cs="新宋体"/>
                <w:color w:val="auto"/>
                <w:sz w:val="22"/>
                <w:szCs w:val="22"/>
                <w:highlight w:val="none"/>
              </w:rPr>
            </w:pPr>
          </w:p>
        </w:tc>
        <w:tc>
          <w:tcPr>
            <w:tcW w:w="1480" w:type="dxa"/>
            <w:vAlign w:val="center"/>
          </w:tcPr>
          <w:p>
            <w:pPr>
              <w:pStyle w:val="66"/>
              <w:widowControl w:val="0"/>
              <w:wordWrap/>
              <w:spacing w:line="360" w:lineRule="auto"/>
              <w:ind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花果类，如西兰花、白菜花 </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无虫害，成熟度良好，新鲜固有的色泽鲜明，无发霉发黄。农药残留不超标。</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不新鲜，发霉，虫害过多。农药残留超标。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982" w:type="dxa"/>
            <w:gridSpan w:val="2"/>
            <w:vAlign w:val="center"/>
          </w:tcPr>
          <w:p>
            <w:pPr>
              <w:pStyle w:val="66"/>
              <w:widowControl w:val="0"/>
              <w:wordWrap/>
              <w:spacing w:line="360" w:lineRule="auto"/>
              <w:ind w:right="0"/>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水果（餐后水果）</w:t>
            </w:r>
          </w:p>
        </w:tc>
        <w:tc>
          <w:tcPr>
            <w:tcW w:w="3501"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 xml:space="preserve">具有本品种应有的外形，大小均匀，无黑斑凹陷、无腐烂、无破损、农药残留不超标。 </w:t>
            </w:r>
          </w:p>
        </w:tc>
        <w:tc>
          <w:tcPr>
            <w:tcW w:w="4365" w:type="dxa"/>
            <w:vAlign w:val="center"/>
          </w:tcPr>
          <w:p>
            <w:pPr>
              <w:widowControl w:val="0"/>
              <w:wordWrap/>
              <w:autoSpaceDE w:val="0"/>
              <w:autoSpaceDN w:val="0"/>
              <w:adjustRightInd w:val="0"/>
              <w:spacing w:line="360" w:lineRule="auto"/>
              <w:ind w:right="0"/>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腐烂、黑斑、凹陷、破损。农药残留超标。</w:t>
            </w:r>
          </w:p>
        </w:tc>
      </w:tr>
    </w:tbl>
    <w:p>
      <w:pPr>
        <w:widowControl w:val="0"/>
        <w:numPr>
          <w:ilvl w:val="0"/>
          <w:numId w:val="34"/>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鲜蛋质量要求：鸡蛋等新鲜蛋类必须符合GB 2749-2015标准（如遇标准更新则按最新的标准执行，下同）。</w:t>
      </w:r>
    </w:p>
    <w:p>
      <w:pPr>
        <w:widowControl w:val="0"/>
        <w:numPr>
          <w:ilvl w:val="0"/>
          <w:numId w:val="34"/>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供应商提供的货品不得缺斤少两，提供诚信服务。质量、重量的规格等相关方面未达到要求的，应无条件退回，所产生的一切费用由供应商自理，并按采购方要求及时更换。</w:t>
      </w:r>
    </w:p>
    <w:p>
      <w:pPr>
        <w:widowControl w:val="0"/>
        <w:numPr>
          <w:ilvl w:val="0"/>
          <w:numId w:val="34"/>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供应商须根据市场情况向采购方提供换季原材料的品种及价格，供采购方参考。</w:t>
      </w:r>
    </w:p>
    <w:p>
      <w:pPr>
        <w:widowControl w:val="0"/>
        <w:numPr>
          <w:ilvl w:val="0"/>
          <w:numId w:val="30"/>
        </w:numPr>
        <w:wordWrap/>
        <w:adjustRightInd w:val="0"/>
        <w:snapToGrid w:val="0"/>
        <w:spacing w:line="360" w:lineRule="auto"/>
        <w:ind w:right="0"/>
        <w:textAlignment w:val="auto"/>
        <w:outlineLvl w:val="0"/>
        <w:rPr>
          <w:rFonts w:hint="eastAsia" w:ascii="新宋体" w:hAnsi="新宋体" w:eastAsia="新宋体" w:cs="新宋体"/>
          <w:b/>
          <w:bCs/>
          <w:color w:val="auto"/>
          <w:sz w:val="22"/>
          <w:szCs w:val="22"/>
          <w:highlight w:val="none"/>
          <w:lang w:val="zh-CN" w:eastAsia="zh-CN"/>
        </w:rPr>
      </w:pPr>
      <w:r>
        <w:rPr>
          <w:rFonts w:hint="eastAsia" w:ascii="新宋体" w:hAnsi="新宋体" w:eastAsia="新宋体" w:cs="新宋体"/>
          <w:b/>
          <w:bCs/>
          <w:color w:val="auto"/>
          <w:sz w:val="22"/>
          <w:szCs w:val="22"/>
          <w:highlight w:val="none"/>
          <w:lang w:val="zh-CN" w:eastAsia="zh-CN"/>
        </w:rPr>
        <w:t>定价及货款结算</w:t>
      </w:r>
    </w:p>
    <w:p>
      <w:pPr>
        <w:widowControl w:val="0"/>
        <w:numPr>
          <w:ilvl w:val="0"/>
          <w:numId w:val="35"/>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采购人按照以下渠道获取所需产品参考价格，并以此作为下一周供货商所供货品价格协商重要依据：</w:t>
      </w:r>
    </w:p>
    <w:p>
      <w:pPr>
        <w:widowControl w:val="0"/>
        <w:numPr>
          <w:ilvl w:val="0"/>
          <w:numId w:val="36"/>
        </w:numPr>
        <w:wordWrap/>
        <w:adjustRightInd w:val="0"/>
        <w:snapToGrid w:val="0"/>
        <w:spacing w:line="360" w:lineRule="auto"/>
        <w:ind w:left="425" w:leftChars="0" w:right="0" w:firstLine="415" w:firstLineChars="0"/>
        <w:jc w:val="both"/>
        <w:textAlignment w:val="auto"/>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温州市发展和改革委员会官方网站（http://wzfgw.wenzhou.gov.cn/col/col1216782/index.html）最近之日公布的温州市区农贸市场商品价格监测表中“温州市定点监测点农贸市场价格信息”第一列市场价。</w:t>
      </w:r>
    </w:p>
    <w:p>
      <w:pPr>
        <w:widowControl w:val="0"/>
        <w:numPr>
          <w:ilvl w:val="0"/>
          <w:numId w:val="36"/>
        </w:numPr>
        <w:wordWrap/>
        <w:adjustRightInd w:val="0"/>
        <w:snapToGrid w:val="0"/>
        <w:spacing w:line="360" w:lineRule="auto"/>
        <w:ind w:left="425" w:leftChars="0" w:right="0" w:firstLine="415" w:firstLineChars="0"/>
        <w:jc w:val="both"/>
        <w:textAlignment w:val="auto"/>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无信息价或特殊原材料，将由采购人根据所在地农产品市场或生鲜超市所询得的平均价格（可以价签做依据）。供应商需充分信任、尊重采购人工作人员市场调查结果，如有必要，供应商可委派公司人员随行价格调查。</w:t>
      </w:r>
    </w:p>
    <w:p>
      <w:pPr>
        <w:widowControl w:val="0"/>
        <w:numPr>
          <w:ilvl w:val="0"/>
          <w:numId w:val="35"/>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价格应包含但不限于供应商所有成本、利润、运输、装卸、各类劳保、保险及税费等一切费用。</w:t>
      </w:r>
    </w:p>
    <w:p>
      <w:pPr>
        <w:widowControl w:val="0"/>
        <w:numPr>
          <w:ilvl w:val="0"/>
          <w:numId w:val="35"/>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货款结算：</w:t>
      </w:r>
    </w:p>
    <w:p>
      <w:pPr>
        <w:widowControl w:val="0"/>
        <w:numPr>
          <w:ilvl w:val="0"/>
          <w:numId w:val="37"/>
        </w:numPr>
        <w:wordWrap/>
        <w:adjustRightInd w:val="0"/>
        <w:snapToGrid w:val="0"/>
        <w:spacing w:line="360" w:lineRule="auto"/>
        <w:ind w:left="425" w:leftChars="0" w:right="0" w:firstLine="415" w:firstLineChars="0"/>
        <w:jc w:val="both"/>
        <w:textAlignment w:val="auto"/>
        <w:outlineLvl w:val="0"/>
        <w:rPr>
          <w:rFonts w:hint="eastAsia" w:ascii="新宋体" w:hAnsi="新宋体" w:eastAsia="新宋体" w:cs="新宋体"/>
          <w:b/>
          <w:bCs/>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在财政资金拨付到位的情况下，</w:t>
      </w:r>
      <w:r>
        <w:rPr>
          <w:rFonts w:hint="eastAsia" w:ascii="新宋体" w:hAnsi="新宋体" w:eastAsia="新宋体" w:cs="新宋体"/>
          <w:b/>
          <w:bCs/>
          <w:color w:val="auto"/>
          <w:kern w:val="2"/>
          <w:sz w:val="22"/>
          <w:szCs w:val="22"/>
          <w:highlight w:val="none"/>
          <w:lang w:val="en-US" w:eastAsia="zh-CN" w:bidi="ar-SA"/>
        </w:rPr>
        <w:t>结算周期为一个月结算一次。甲方每月对乙方上一月供货服务进行考核，然后根据考核结果向乙方支付上一月费用。</w:t>
      </w:r>
    </w:p>
    <w:p>
      <w:pPr>
        <w:widowControl w:val="0"/>
        <w:numPr>
          <w:ilvl w:val="0"/>
          <w:numId w:val="37"/>
        </w:numPr>
        <w:wordWrap/>
        <w:adjustRightInd w:val="0"/>
        <w:snapToGrid w:val="0"/>
        <w:spacing w:line="360" w:lineRule="auto"/>
        <w:ind w:left="425" w:leftChars="0" w:right="0" w:firstLine="415" w:firstLineChars="0"/>
        <w:jc w:val="both"/>
        <w:textAlignment w:val="auto"/>
        <w:outlineLvl w:val="0"/>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如考核得分高于90分（含），全额支付该月应付款；如考核得分低于90分且高于80分（含）的，90分以下每扣1分乙方支付3000元违约金，甲方有权直接从该月应付未付款项中扣除；考核得分累计两次低于80分或一次低于60分，甲方人有权无条件终止合同。</w:t>
      </w:r>
    </w:p>
    <w:p>
      <w:pPr>
        <w:widowControl w:val="0"/>
        <w:numPr>
          <w:ilvl w:val="0"/>
          <w:numId w:val="37"/>
        </w:numPr>
        <w:wordWrap/>
        <w:adjustRightInd w:val="0"/>
        <w:snapToGrid w:val="0"/>
        <w:spacing w:line="360" w:lineRule="auto"/>
        <w:ind w:left="425" w:leftChars="0" w:right="0" w:firstLine="415" w:firstLineChars="0"/>
        <w:jc w:val="both"/>
        <w:textAlignment w:val="auto"/>
        <w:outlineLvl w:val="0"/>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乙方凭当月所有的《送货清单》及等额发票，进行结算。《送货清单》里面必须包括（不限于）货物单价、数量、总计价及总金额。</w:t>
      </w:r>
    </w:p>
    <w:p>
      <w:pPr>
        <w:widowControl w:val="0"/>
        <w:numPr>
          <w:ilvl w:val="0"/>
          <w:numId w:val="37"/>
        </w:numPr>
        <w:wordWrap/>
        <w:adjustRightInd w:val="0"/>
        <w:snapToGrid w:val="0"/>
        <w:spacing w:line="360" w:lineRule="auto"/>
        <w:ind w:left="425" w:leftChars="0" w:right="0" w:firstLine="415" w:firstLineChars="0"/>
        <w:jc w:val="both"/>
        <w:textAlignment w:val="auto"/>
        <w:outlineLvl w:val="0"/>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如出现因食材问题发生事故，则直接解约合同并赔付合同总额的10%给甲方。</w:t>
      </w:r>
    </w:p>
    <w:p>
      <w:pPr>
        <w:widowControl w:val="0"/>
        <w:numPr>
          <w:ilvl w:val="0"/>
          <w:numId w:val="30"/>
        </w:numPr>
        <w:wordWrap/>
        <w:adjustRightInd w:val="0"/>
        <w:snapToGrid w:val="0"/>
        <w:spacing w:line="360" w:lineRule="auto"/>
        <w:ind w:right="0"/>
        <w:textAlignment w:val="auto"/>
        <w:outlineLvl w:val="0"/>
        <w:rPr>
          <w:rFonts w:hint="eastAsia" w:ascii="新宋体" w:hAnsi="新宋体" w:eastAsia="新宋体" w:cs="新宋体"/>
          <w:b/>
          <w:bCs/>
          <w:color w:val="auto"/>
          <w:sz w:val="22"/>
          <w:szCs w:val="22"/>
          <w:highlight w:val="none"/>
          <w:lang w:val="zh-CN" w:eastAsia="zh-CN"/>
        </w:rPr>
      </w:pPr>
      <w:r>
        <w:rPr>
          <w:rFonts w:hint="eastAsia" w:ascii="新宋体" w:hAnsi="新宋体" w:eastAsia="新宋体" w:cs="新宋体"/>
          <w:b/>
          <w:bCs/>
          <w:color w:val="auto"/>
          <w:sz w:val="22"/>
          <w:szCs w:val="22"/>
          <w:highlight w:val="none"/>
          <w:lang w:val="zh-CN" w:eastAsia="zh-CN"/>
        </w:rPr>
        <w:t>订货</w:t>
      </w:r>
    </w:p>
    <w:p>
      <w:pPr>
        <w:widowControl w:val="0"/>
        <w:numPr>
          <w:ilvl w:val="0"/>
          <w:numId w:val="38"/>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采购方在前一天下午</w:t>
      </w:r>
      <w:r>
        <w:rPr>
          <w:rFonts w:hint="eastAsia" w:ascii="新宋体" w:hAnsi="新宋体" w:eastAsia="新宋体" w:cs="新宋体"/>
          <w:color w:val="auto"/>
          <w:kern w:val="2"/>
          <w:sz w:val="22"/>
          <w:szCs w:val="22"/>
          <w:highlight w:val="none"/>
          <w:lang w:val="en-US" w:eastAsia="zh-CN" w:bidi="ar-SA"/>
        </w:rPr>
        <w:t>14</w:t>
      </w:r>
      <w:r>
        <w:rPr>
          <w:rFonts w:hint="eastAsia" w:ascii="新宋体" w:hAnsi="新宋体" w:eastAsia="新宋体" w:cs="新宋体"/>
          <w:color w:val="auto"/>
          <w:kern w:val="2"/>
          <w:sz w:val="22"/>
          <w:szCs w:val="22"/>
          <w:highlight w:val="none"/>
          <w:lang w:val="zh-CN" w:eastAsia="zh-CN" w:bidi="ar-SA"/>
        </w:rPr>
        <w:t>时前将</w:t>
      </w:r>
      <w:r>
        <w:rPr>
          <w:rFonts w:hint="eastAsia" w:ascii="新宋体" w:hAnsi="新宋体" w:eastAsia="新宋体" w:cs="新宋体"/>
          <w:color w:val="auto"/>
          <w:kern w:val="2"/>
          <w:sz w:val="22"/>
          <w:szCs w:val="22"/>
          <w:highlight w:val="none"/>
          <w:lang w:val="en-US" w:eastAsia="zh-CN" w:bidi="ar-SA"/>
        </w:rPr>
        <w:t>第二天</w:t>
      </w:r>
      <w:r>
        <w:rPr>
          <w:rFonts w:hint="eastAsia" w:ascii="新宋体" w:hAnsi="新宋体" w:eastAsia="新宋体" w:cs="新宋体"/>
          <w:color w:val="auto"/>
          <w:kern w:val="2"/>
          <w:sz w:val="22"/>
          <w:szCs w:val="22"/>
          <w:highlight w:val="none"/>
          <w:lang w:val="zh-CN" w:eastAsia="zh-CN" w:bidi="ar-SA"/>
        </w:rPr>
        <w:t>的订单交与供应商，如遇紧急情况供货商应接受临时加单（包括周末、法定节假日）多次配送，一般采购方以微信或电话通知供应商。订单内容包括名称、种类、规格、数量、运送时间、送达地点、订单联系人等具体要求。</w:t>
      </w:r>
    </w:p>
    <w:p>
      <w:pPr>
        <w:widowControl w:val="0"/>
        <w:numPr>
          <w:ilvl w:val="0"/>
          <w:numId w:val="38"/>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供应商接到采购方订单后，个别品种因缺货而无法提供的，供应商应在接到供货通知2小时内知会采购方并协商好解决方法。</w:t>
      </w:r>
    </w:p>
    <w:p>
      <w:pPr>
        <w:widowControl w:val="0"/>
        <w:numPr>
          <w:ilvl w:val="0"/>
          <w:numId w:val="38"/>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食材：双方可根据蔬菜生产季节、天气、市场价格情况等协商调整每期采购计划中蔬菜品种和数量。供应商必须能保证提供丰富的品种供招标人选择。</w:t>
      </w:r>
    </w:p>
    <w:p>
      <w:pPr>
        <w:widowControl w:val="0"/>
        <w:numPr>
          <w:ilvl w:val="0"/>
          <w:numId w:val="38"/>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若遇特殊情况，如：采购方用餐人数临时增减，特需物品临时增减等，供应商需无条件配合采购方。</w:t>
      </w:r>
    </w:p>
    <w:p>
      <w:pPr>
        <w:widowControl w:val="0"/>
        <w:numPr>
          <w:ilvl w:val="0"/>
          <w:numId w:val="30"/>
        </w:numPr>
        <w:wordWrap/>
        <w:adjustRightInd w:val="0"/>
        <w:snapToGrid w:val="0"/>
        <w:spacing w:line="360" w:lineRule="auto"/>
        <w:ind w:right="0"/>
        <w:textAlignment w:val="auto"/>
        <w:outlineLvl w:val="0"/>
        <w:rPr>
          <w:rFonts w:hint="eastAsia" w:ascii="新宋体" w:hAnsi="新宋体" w:eastAsia="新宋体" w:cs="新宋体"/>
          <w:b/>
          <w:bCs/>
          <w:color w:val="auto"/>
          <w:sz w:val="22"/>
          <w:szCs w:val="22"/>
          <w:highlight w:val="none"/>
          <w:lang w:val="zh-CN" w:eastAsia="zh-CN"/>
        </w:rPr>
      </w:pPr>
      <w:r>
        <w:rPr>
          <w:rFonts w:hint="eastAsia" w:ascii="新宋体" w:hAnsi="新宋体" w:eastAsia="新宋体" w:cs="新宋体"/>
          <w:b/>
          <w:bCs/>
          <w:color w:val="auto"/>
          <w:sz w:val="22"/>
          <w:szCs w:val="22"/>
          <w:highlight w:val="none"/>
          <w:lang w:val="zh-CN" w:eastAsia="zh-CN"/>
        </w:rPr>
        <w:t>交货</w:t>
      </w:r>
    </w:p>
    <w:p>
      <w:pPr>
        <w:widowControl w:val="0"/>
        <w:numPr>
          <w:ilvl w:val="0"/>
          <w:numId w:val="39"/>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供应商每天（包括法定节假日）早上</w:t>
      </w:r>
      <w:r>
        <w:rPr>
          <w:rFonts w:hint="eastAsia" w:ascii="新宋体" w:hAnsi="新宋体" w:eastAsia="新宋体" w:cs="新宋体"/>
          <w:color w:val="auto"/>
          <w:kern w:val="2"/>
          <w:sz w:val="22"/>
          <w:szCs w:val="22"/>
          <w:highlight w:val="none"/>
          <w:lang w:val="en-US" w:eastAsia="zh-CN" w:bidi="ar-SA"/>
        </w:rPr>
        <w:t>5</w:t>
      </w:r>
      <w:r>
        <w:rPr>
          <w:rFonts w:hint="eastAsia" w:ascii="新宋体" w:hAnsi="新宋体" w:eastAsia="新宋体" w:cs="新宋体"/>
          <w:color w:val="auto"/>
          <w:kern w:val="2"/>
          <w:sz w:val="22"/>
          <w:szCs w:val="22"/>
          <w:highlight w:val="none"/>
          <w:lang w:val="zh-CN" w:eastAsia="zh-CN" w:bidi="ar-SA"/>
        </w:rPr>
        <w:t>：</w:t>
      </w:r>
      <w:r>
        <w:rPr>
          <w:rFonts w:hint="eastAsia" w:ascii="新宋体" w:hAnsi="新宋体" w:eastAsia="新宋体" w:cs="新宋体"/>
          <w:color w:val="auto"/>
          <w:kern w:val="2"/>
          <w:sz w:val="22"/>
          <w:szCs w:val="22"/>
          <w:highlight w:val="none"/>
          <w:lang w:val="en-US" w:eastAsia="zh-CN" w:bidi="ar-SA"/>
        </w:rPr>
        <w:t>3</w:t>
      </w:r>
      <w:r>
        <w:rPr>
          <w:rFonts w:hint="eastAsia" w:ascii="新宋体" w:hAnsi="新宋体" w:eastAsia="新宋体" w:cs="新宋体"/>
          <w:color w:val="auto"/>
          <w:kern w:val="2"/>
          <w:sz w:val="22"/>
          <w:szCs w:val="22"/>
          <w:highlight w:val="none"/>
          <w:lang w:val="zh-CN" w:eastAsia="zh-CN" w:bidi="ar-SA"/>
        </w:rPr>
        <w:t>0</w:t>
      </w:r>
      <w:r>
        <w:rPr>
          <w:rFonts w:hint="eastAsia" w:ascii="新宋体" w:hAnsi="新宋体" w:eastAsia="新宋体" w:cs="新宋体"/>
          <w:color w:val="auto"/>
          <w:kern w:val="2"/>
          <w:sz w:val="22"/>
          <w:szCs w:val="22"/>
          <w:highlight w:val="none"/>
          <w:lang w:val="en-US" w:eastAsia="zh-CN" w:bidi="ar-SA"/>
        </w:rPr>
        <w:t>前将</w:t>
      </w:r>
      <w:r>
        <w:rPr>
          <w:rFonts w:hint="eastAsia" w:ascii="新宋体" w:hAnsi="新宋体" w:eastAsia="新宋体" w:cs="新宋体"/>
          <w:color w:val="auto"/>
          <w:kern w:val="2"/>
          <w:sz w:val="22"/>
          <w:szCs w:val="22"/>
          <w:highlight w:val="none"/>
          <w:lang w:val="zh-CN" w:eastAsia="zh-CN" w:bidi="ar-SA"/>
        </w:rPr>
        <w:t>订单内所有货品送到采购方指定的地点并配送完毕，根据实际情况，如需一天配送多次，供应商必须无条件响应。供应商提供《送货清单》一式三份（其中采购方两份，一份食堂留档，一份财务做账），双方现场过秤并验收签名，作结算凭证。</w:t>
      </w:r>
    </w:p>
    <w:p>
      <w:pPr>
        <w:widowControl w:val="0"/>
        <w:numPr>
          <w:ilvl w:val="0"/>
          <w:numId w:val="39"/>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配送地址：按甲方指定时间及地点进行配送。</w:t>
      </w:r>
    </w:p>
    <w:p>
      <w:pPr>
        <w:widowControl w:val="0"/>
        <w:numPr>
          <w:ilvl w:val="0"/>
          <w:numId w:val="39"/>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供应商送货人员负责将货物从车上搬到称上过磅，按除箱净重过磅，最终交易重量以双方确认的过磅数为准，然后放到指定地点，由食堂人员负责验收并签字确认。</w:t>
      </w:r>
    </w:p>
    <w:p>
      <w:pPr>
        <w:widowControl w:val="0"/>
        <w:numPr>
          <w:ilvl w:val="0"/>
          <w:numId w:val="39"/>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考虑到叶菜类品种的特殊性，要求供应商实际供应的叶菜类品种及数量与采购方订单要求相差不能超过20％，其他品种及数量与采购方订单要求相差不能超过10％。各品种数量超出规定的部分由供应商带回，不纳入结算，短缺的部份由供应商补足。</w:t>
      </w:r>
    </w:p>
    <w:p>
      <w:pPr>
        <w:widowControl w:val="0"/>
        <w:numPr>
          <w:ilvl w:val="0"/>
          <w:numId w:val="39"/>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 xml:space="preserve">肉类货品根据采购人要求加工，肉末、肉丝等原则上由采购人食堂自行加工，在发生急需加工的情况时，可由供应商代为加工，但必须是采购单位的相关人员确定原材料量和价格后，在采购单位的相关人员在场的情况下完成加工。                                                     </w:t>
      </w:r>
    </w:p>
    <w:p>
      <w:pPr>
        <w:widowControl w:val="0"/>
        <w:numPr>
          <w:ilvl w:val="0"/>
          <w:numId w:val="39"/>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质量必须达到本标书配送所列的要求及验收标准，并且品质不低于采购方当天在各大蔬菜批发市场的自购标准。</w:t>
      </w:r>
    </w:p>
    <w:p>
      <w:pPr>
        <w:widowControl w:val="0"/>
        <w:numPr>
          <w:ilvl w:val="0"/>
          <w:numId w:val="30"/>
        </w:numPr>
        <w:wordWrap/>
        <w:adjustRightInd w:val="0"/>
        <w:snapToGrid w:val="0"/>
        <w:spacing w:line="360" w:lineRule="auto"/>
        <w:ind w:right="0"/>
        <w:textAlignment w:val="auto"/>
        <w:outlineLvl w:val="0"/>
        <w:rPr>
          <w:rFonts w:hint="eastAsia" w:ascii="新宋体" w:hAnsi="新宋体" w:eastAsia="新宋体" w:cs="新宋体"/>
          <w:b/>
          <w:bCs/>
          <w:color w:val="auto"/>
          <w:sz w:val="22"/>
          <w:szCs w:val="22"/>
          <w:highlight w:val="none"/>
          <w:lang w:val="zh-CN" w:eastAsia="zh-CN"/>
        </w:rPr>
      </w:pPr>
      <w:r>
        <w:rPr>
          <w:rFonts w:hint="eastAsia" w:ascii="新宋体" w:hAnsi="新宋体" w:eastAsia="新宋体" w:cs="新宋体"/>
          <w:b/>
          <w:bCs/>
          <w:color w:val="auto"/>
          <w:sz w:val="22"/>
          <w:szCs w:val="22"/>
          <w:highlight w:val="none"/>
          <w:lang w:val="zh-CN" w:eastAsia="zh-CN"/>
        </w:rPr>
        <w:t>售后服务</w:t>
      </w:r>
    </w:p>
    <w:p>
      <w:pPr>
        <w:widowControl w:val="0"/>
        <w:numPr>
          <w:ilvl w:val="0"/>
          <w:numId w:val="39"/>
        </w:numPr>
        <w:wordWrap/>
        <w:adjustRightInd w:val="0"/>
        <w:snapToGrid w:val="0"/>
        <w:spacing w:line="360" w:lineRule="auto"/>
        <w:ind w:left="230" w:leftChars="0" w:right="0" w:firstLine="400" w:firstLineChars="0"/>
        <w:jc w:val="both"/>
        <w:textAlignment w:val="auto"/>
        <w:outlineLvl w:val="0"/>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对食品质量问题</w:t>
      </w:r>
      <w:r>
        <w:rPr>
          <w:rFonts w:hint="eastAsia" w:ascii="新宋体" w:hAnsi="新宋体" w:eastAsia="新宋体" w:cs="新宋体"/>
          <w:color w:val="auto"/>
          <w:kern w:val="2"/>
          <w:sz w:val="22"/>
          <w:szCs w:val="22"/>
          <w:highlight w:val="none"/>
          <w:lang w:val="en-US" w:eastAsia="zh-CN" w:bidi="ar-SA"/>
        </w:rPr>
        <w:t>供应商须</w:t>
      </w:r>
      <w:r>
        <w:rPr>
          <w:rFonts w:hint="eastAsia" w:ascii="新宋体" w:hAnsi="新宋体" w:eastAsia="新宋体" w:cs="新宋体"/>
          <w:color w:val="auto"/>
          <w:kern w:val="2"/>
          <w:sz w:val="22"/>
          <w:szCs w:val="22"/>
          <w:highlight w:val="none"/>
          <w:lang w:val="zh-CN" w:eastAsia="zh-CN" w:bidi="ar-SA"/>
        </w:rPr>
        <w:t>在30分钟内响应，2小时以内到现场解决问题；不能当场解决的，必须采取更换等措施，以保证采购单位的正常使用，如因食品质量问题造成食用人的不良反应，供应商</w:t>
      </w:r>
      <w:r>
        <w:rPr>
          <w:rFonts w:hint="eastAsia" w:ascii="新宋体" w:hAnsi="新宋体" w:eastAsia="新宋体" w:cs="新宋体"/>
          <w:color w:val="auto"/>
          <w:kern w:val="2"/>
          <w:sz w:val="22"/>
          <w:szCs w:val="22"/>
          <w:highlight w:val="none"/>
          <w:lang w:val="en-US" w:eastAsia="zh-CN" w:bidi="ar-SA"/>
        </w:rPr>
        <w:t>须</w:t>
      </w:r>
      <w:r>
        <w:rPr>
          <w:rFonts w:hint="eastAsia" w:ascii="新宋体" w:hAnsi="新宋体" w:eastAsia="新宋体" w:cs="新宋体"/>
          <w:color w:val="auto"/>
          <w:kern w:val="2"/>
          <w:sz w:val="22"/>
          <w:szCs w:val="22"/>
          <w:highlight w:val="none"/>
          <w:lang w:val="zh-CN" w:eastAsia="zh-CN" w:bidi="ar-SA"/>
        </w:rPr>
        <w:t>负全部责任。</w:t>
      </w:r>
    </w:p>
    <w:p>
      <w:pPr>
        <w:numPr>
          <w:ilvl w:val="0"/>
          <w:numId w:val="30"/>
        </w:numPr>
        <w:adjustRightInd w:val="0"/>
        <w:snapToGrid w:val="0"/>
        <w:spacing w:line="400" w:lineRule="exact"/>
        <w:outlineLvl w:val="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月度考核评分表</w:t>
      </w:r>
    </w:p>
    <w:p>
      <w:pPr>
        <w:rPr>
          <w:rFonts w:hint="eastAsia" w:ascii="新宋体" w:hAnsi="新宋体" w:eastAsia="新宋体" w:cs="新宋体"/>
          <w:b/>
          <w:bCs/>
          <w:color w:val="auto"/>
          <w:sz w:val="22"/>
          <w:szCs w:val="22"/>
          <w:highlight w:val="none"/>
          <w:lang w:val="en-US" w:eastAsia="zh-CN"/>
        </w:rPr>
      </w:pPr>
    </w:p>
    <w:tbl>
      <w:tblPr>
        <w:tblStyle w:val="45"/>
        <w:tblW w:w="10620" w:type="dxa"/>
        <w:tblInd w:w="-4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0"/>
        <w:gridCol w:w="1120"/>
        <w:gridCol w:w="629"/>
        <w:gridCol w:w="7030"/>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0620" w:type="dxa"/>
            <w:gridSpan w:val="5"/>
            <w:tcBorders>
              <w:top w:val="nil"/>
              <w:left w:val="nil"/>
              <w:bottom w:val="nil"/>
              <w:right w:val="nil"/>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val="0"/>
                <w:color w:val="auto"/>
                <w:kern w:val="0"/>
                <w:sz w:val="24"/>
                <w:szCs w:val="24"/>
                <w:highlight w:val="none"/>
              </w:rPr>
              <w:t>月度考核</w:t>
            </w:r>
            <w:r>
              <w:rPr>
                <w:rFonts w:hint="eastAsia" w:ascii="新宋体" w:hAnsi="新宋体" w:eastAsia="新宋体" w:cs="新宋体"/>
                <w:b/>
                <w:bCs w:val="0"/>
                <w:color w:val="auto"/>
                <w:kern w:val="0"/>
                <w:sz w:val="24"/>
                <w:szCs w:val="24"/>
                <w:highlight w:val="none"/>
                <w:lang w:val="en-US" w:eastAsia="zh-CN"/>
              </w:rPr>
              <w:t>评分</w:t>
            </w:r>
            <w:r>
              <w:rPr>
                <w:rFonts w:hint="eastAsia" w:ascii="新宋体" w:hAnsi="新宋体" w:eastAsia="新宋体" w:cs="新宋体"/>
                <w:b/>
                <w:bCs w:val="0"/>
                <w:color w:val="auto"/>
                <w:kern w:val="0"/>
                <w:sz w:val="24"/>
                <w:szCs w:val="24"/>
                <w:highlight w:val="none"/>
              </w:rPr>
              <w:t>表</w:t>
            </w:r>
            <w:r>
              <w:rPr>
                <w:rFonts w:hint="eastAsia" w:ascii="新宋体" w:hAnsi="新宋体" w:eastAsia="新宋体" w:cs="新宋体"/>
                <w:b/>
                <w:bCs w:val="0"/>
                <w:color w:val="auto"/>
                <w:kern w:val="0"/>
                <w:sz w:val="24"/>
                <w:szCs w:val="24"/>
                <w:highlight w:val="none"/>
              </w:rPr>
              <w:br/>
            </w:r>
            <w:r>
              <w:rPr>
                <w:rFonts w:hint="eastAsia" w:ascii="新宋体" w:hAnsi="新宋体" w:eastAsia="新宋体" w:cs="新宋体"/>
                <w:b/>
                <w:bCs w:val="0"/>
                <w:color w:val="auto"/>
                <w:kern w:val="0"/>
                <w:sz w:val="24"/>
                <w:szCs w:val="24"/>
                <w:highlight w:val="none"/>
              </w:rPr>
              <w:t>（</w:t>
            </w:r>
            <w:r>
              <w:rPr>
                <w:rFonts w:hint="eastAsia" w:ascii="新宋体" w:hAnsi="新宋体" w:eastAsia="新宋体" w:cs="新宋体"/>
                <w:b/>
                <w:bCs w:val="0"/>
                <w:color w:val="auto"/>
                <w:kern w:val="0"/>
                <w:sz w:val="24"/>
                <w:szCs w:val="24"/>
                <w:highlight w:val="none"/>
                <w:u w:val="single"/>
                <w:lang w:val="en-US" w:eastAsia="zh-CN"/>
              </w:rPr>
              <w:t xml:space="preserve">      </w:t>
            </w:r>
            <w:r>
              <w:rPr>
                <w:rFonts w:hint="eastAsia" w:ascii="新宋体" w:hAnsi="新宋体" w:eastAsia="新宋体" w:cs="新宋体"/>
                <w:b/>
                <w:bCs w:val="0"/>
                <w:color w:val="auto"/>
                <w:kern w:val="0"/>
                <w:sz w:val="24"/>
                <w:szCs w:val="24"/>
                <w:highlight w:val="none"/>
              </w:rPr>
              <w:t>年</w:t>
            </w:r>
            <w:r>
              <w:rPr>
                <w:rFonts w:hint="eastAsia" w:ascii="新宋体" w:hAnsi="新宋体" w:eastAsia="新宋体" w:cs="新宋体"/>
                <w:b/>
                <w:bCs w:val="0"/>
                <w:color w:val="auto"/>
                <w:kern w:val="0"/>
                <w:sz w:val="24"/>
                <w:szCs w:val="24"/>
                <w:highlight w:val="none"/>
                <w:u w:val="single"/>
              </w:rPr>
              <w:t xml:space="preserve">  </w:t>
            </w:r>
            <w:r>
              <w:rPr>
                <w:rFonts w:hint="eastAsia" w:ascii="新宋体" w:hAnsi="新宋体" w:eastAsia="新宋体" w:cs="新宋体"/>
                <w:b/>
                <w:bCs w:val="0"/>
                <w:color w:val="auto"/>
                <w:kern w:val="0"/>
                <w:sz w:val="24"/>
                <w:szCs w:val="24"/>
                <w:highlight w:val="none"/>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0620" w:type="dxa"/>
            <w:gridSpan w:val="5"/>
            <w:tcBorders>
              <w:top w:val="nil"/>
              <w:left w:val="nil"/>
              <w:bottom w:val="single" w:color="auto" w:sz="4" w:space="0"/>
              <w:right w:val="nil"/>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食堂原材料配送单位：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24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新宋体" w:hAnsi="新宋体" w:eastAsia="新宋体" w:cs="新宋体"/>
                <w:bCs/>
                <w:color w:val="auto"/>
                <w:kern w:val="0"/>
                <w:sz w:val="22"/>
                <w:szCs w:val="22"/>
                <w:highlight w:val="none"/>
              </w:rPr>
            </w:pPr>
            <w:bookmarkStart w:id="175" w:name="RANGE!A3"/>
            <w:bookmarkEnd w:id="175"/>
            <w:r>
              <w:rPr>
                <w:rFonts w:hint="eastAsia" w:ascii="新宋体" w:hAnsi="新宋体" w:eastAsia="新宋体" w:cs="新宋体"/>
                <w:bCs/>
                <w:color w:val="auto"/>
                <w:kern w:val="0"/>
                <w:sz w:val="22"/>
                <w:szCs w:val="22"/>
                <w:highlight w:val="none"/>
              </w:rPr>
              <w:t>项目</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分值</w:t>
            </w:r>
          </w:p>
        </w:tc>
        <w:tc>
          <w:tcPr>
            <w:tcW w:w="703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考核要素和评估内容及其标准</w:t>
            </w:r>
          </w:p>
        </w:tc>
        <w:tc>
          <w:tcPr>
            <w:tcW w:w="721"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1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质量管理</w:t>
            </w: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准时送货</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10</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送货准时（非不可抗拒情况下延误一次扣2分，以此类推，扣完为止。发现委托其他人或其他车代送不得分）。</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足斤足两</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22</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送货无短斤缺两现象（份量短缺达到该类食材配送总量5%以上，发现一次扣4分，以此类推，扣完为止）。</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食材质量</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16</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配送食材未达到相关的质量要求，但经厨师长审定可经处理后使用的，每项次扣1分；配送食材经厨师长审定无法使用，要求退货的每项次扣2分；未按要求提供食材质检报告的每次扣2分，扣完为止。</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11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服务管理</w:t>
            </w: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服务态度</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6</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工作人员工作认真，服务热情周到，运送搬装文明（运送人员野蛮运装或无正当理由与食堂人员争执，一次扣2分，扣完为止）。</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售后服务</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10</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退换货及时的不扣分，未能在约定时间完成退换货的没项次扣2分，扣完为止。</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及时整改</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8</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对甲方的意见、建议虚心接受，运作过程中出现的新情况新问题及时主动沟通、协调有效果，及时整改见实效（整改效果不明显每次扣2分，扣完为止，未见整改效果不得分）。</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1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科学管理</w:t>
            </w: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工作细致</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10</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配送物品清单和实际配送无差错（误差一次扣2分，以此类推，扣完为止）。</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单据清晰</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送货清单（结算凭证）项目齐全，机器打印清晰，否则不得分</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安全清洁</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6</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操作场所、仓库、运输工具、贮藏筐箱等保持清洁卫生，坚持每日清洁工作，按规定定期消毒并做好记载，仓库内无过期物品（抽查到不符合要求的每次扣2分，以此类推，扣完为止）。</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1120" w:type="dxa"/>
            <w:tcBorders>
              <w:top w:val="nil"/>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食材价格</w:t>
            </w:r>
          </w:p>
        </w:tc>
        <w:tc>
          <w:tcPr>
            <w:tcW w:w="112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符合标准</w:t>
            </w:r>
          </w:p>
        </w:tc>
        <w:tc>
          <w:tcPr>
            <w:tcW w:w="62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10</w:t>
            </w:r>
          </w:p>
        </w:tc>
        <w:tc>
          <w:tcPr>
            <w:tcW w:w="7030"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供应货品价格需符合文件要求标准，货品价格高于标准每项每次扣1分</w:t>
            </w:r>
            <w:r>
              <w:rPr>
                <w:rFonts w:hint="eastAsia" w:ascii="新宋体" w:hAnsi="新宋体" w:eastAsia="新宋体" w:cs="新宋体"/>
                <w:bCs/>
                <w:color w:val="auto"/>
                <w:kern w:val="0"/>
                <w:sz w:val="22"/>
                <w:szCs w:val="22"/>
                <w:highlight w:val="none"/>
              </w:rPr>
              <w:t>。</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9899"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总分</w:t>
            </w:r>
          </w:p>
        </w:tc>
        <w:tc>
          <w:tcPr>
            <w:tcW w:w="721" w:type="dxa"/>
            <w:tcBorders>
              <w:top w:val="nil"/>
              <w:left w:val="nil"/>
              <w:bottom w:val="single" w:color="auto" w:sz="4" w:space="0"/>
              <w:right w:val="single" w:color="auto"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620"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其他意见：</w:t>
            </w:r>
            <w:r>
              <w:rPr>
                <w:rFonts w:hint="eastAsia" w:ascii="新宋体" w:hAnsi="新宋体" w:eastAsia="新宋体" w:cs="新宋体"/>
                <w:bCs/>
                <w:color w:val="auto"/>
                <w:kern w:val="0"/>
                <w:sz w:val="22"/>
                <w:szCs w:val="22"/>
                <w:highlight w:val="none"/>
              </w:rPr>
              <w:br/>
            </w:r>
            <w:r>
              <w:rPr>
                <w:rFonts w:hint="eastAsia" w:ascii="新宋体" w:hAnsi="新宋体" w:eastAsia="新宋体" w:cs="新宋体"/>
                <w:bCs/>
                <w:color w:val="auto"/>
                <w:kern w:val="0"/>
                <w:sz w:val="22"/>
                <w:szCs w:val="22"/>
                <w:highlight w:val="none"/>
              </w:rPr>
              <w:br/>
            </w:r>
            <w:r>
              <w:rPr>
                <w:rFonts w:hint="eastAsia" w:ascii="新宋体" w:hAnsi="新宋体" w:eastAsia="新宋体" w:cs="新宋体"/>
                <w:bCs/>
                <w:color w:val="auto"/>
                <w:kern w:val="0"/>
                <w:sz w:val="22"/>
                <w:szCs w:val="22"/>
                <w:highlight w:val="none"/>
              </w:rPr>
              <w:br/>
            </w:r>
            <w:r>
              <w:rPr>
                <w:rFonts w:hint="eastAsia" w:ascii="新宋体" w:hAnsi="新宋体" w:eastAsia="新宋体" w:cs="新宋体"/>
                <w:bCs/>
                <w:color w:val="auto"/>
                <w:kern w:val="0"/>
                <w:sz w:val="22"/>
                <w:szCs w:val="22"/>
                <w:highlight w:val="none"/>
              </w:rPr>
              <w:t xml:space="preserve">厨师长：                                       主管部门：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10620"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新宋体" w:hAnsi="新宋体" w:eastAsia="新宋体" w:cs="新宋体"/>
                <w:bCs/>
                <w:color w:val="auto"/>
                <w:kern w:val="0"/>
                <w:sz w:val="22"/>
                <w:szCs w:val="22"/>
                <w:highlight w:val="none"/>
                <w:lang w:eastAsia="zh-CN"/>
              </w:rPr>
            </w:pPr>
            <w:bookmarkStart w:id="176" w:name="OLE_LINK5"/>
            <w:bookmarkStart w:id="177" w:name="OLE_LINK6"/>
            <w:r>
              <w:rPr>
                <w:rFonts w:hint="eastAsia" w:ascii="新宋体" w:hAnsi="新宋体" w:eastAsia="新宋体" w:cs="新宋体"/>
                <w:bCs/>
                <w:color w:val="auto"/>
                <w:kern w:val="0"/>
                <w:sz w:val="22"/>
                <w:szCs w:val="22"/>
                <w:highlight w:val="none"/>
              </w:rPr>
              <w:t>注：</w:t>
            </w:r>
            <w:r>
              <w:rPr>
                <w:rFonts w:hint="eastAsia" w:ascii="新宋体" w:hAnsi="新宋体" w:eastAsia="新宋体" w:cs="新宋体"/>
                <w:bCs/>
                <w:color w:val="auto"/>
                <w:kern w:val="0"/>
                <w:sz w:val="22"/>
                <w:szCs w:val="22"/>
                <w:highlight w:val="none"/>
              </w:rPr>
              <w:br/>
            </w:r>
            <w:r>
              <w:rPr>
                <w:rFonts w:hint="eastAsia" w:ascii="新宋体" w:hAnsi="新宋体" w:eastAsia="新宋体" w:cs="新宋体"/>
                <w:bCs/>
                <w:color w:val="auto"/>
                <w:kern w:val="0"/>
                <w:sz w:val="22"/>
                <w:szCs w:val="22"/>
                <w:highlight w:val="none"/>
              </w:rPr>
              <w:t>1、</w:t>
            </w:r>
            <w:bookmarkEnd w:id="176"/>
            <w:bookmarkEnd w:id="177"/>
            <w:r>
              <w:rPr>
                <w:rFonts w:hint="eastAsia" w:ascii="新宋体" w:hAnsi="新宋体" w:eastAsia="新宋体" w:cs="新宋体"/>
                <w:bCs/>
                <w:color w:val="auto"/>
                <w:kern w:val="0"/>
                <w:sz w:val="22"/>
                <w:szCs w:val="22"/>
                <w:highlight w:val="none"/>
              </w:rPr>
              <w:t>如考核得分高于90分（含），全额支付当月应付款</w:t>
            </w:r>
            <w:r>
              <w:rPr>
                <w:rFonts w:hint="eastAsia" w:ascii="新宋体" w:hAnsi="新宋体" w:eastAsia="新宋体" w:cs="新宋体"/>
                <w:bCs/>
                <w:color w:val="auto"/>
                <w:kern w:val="0"/>
                <w:sz w:val="22"/>
                <w:szCs w:val="22"/>
                <w:highlight w:val="none"/>
                <w:lang w:eastAsia="zh-CN"/>
              </w:rPr>
              <w:t>。</w:t>
            </w:r>
          </w:p>
          <w:p>
            <w:pPr>
              <w:widowControl/>
              <w:numPr>
                <w:ilvl w:val="0"/>
                <w:numId w:val="40"/>
              </w:numPr>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考核得分低于90分且高于80分（含）的，</w:t>
            </w:r>
            <w:r>
              <w:rPr>
                <w:rFonts w:hint="eastAsia" w:ascii="新宋体" w:hAnsi="新宋体" w:eastAsia="新宋体" w:cs="新宋体"/>
                <w:bCs/>
                <w:color w:val="auto"/>
                <w:kern w:val="0"/>
                <w:sz w:val="22"/>
                <w:szCs w:val="22"/>
                <w:highlight w:val="none"/>
                <w:lang w:eastAsia="zh-CN"/>
              </w:rPr>
              <w:t>90分以下每扣</w:t>
            </w:r>
            <w:r>
              <w:rPr>
                <w:rFonts w:hint="eastAsia" w:ascii="新宋体" w:hAnsi="新宋体" w:eastAsia="新宋体" w:cs="新宋体"/>
                <w:bCs/>
                <w:color w:val="auto"/>
                <w:kern w:val="0"/>
                <w:sz w:val="22"/>
                <w:szCs w:val="22"/>
                <w:highlight w:val="none"/>
                <w:lang w:val="en-US" w:eastAsia="zh-CN"/>
              </w:rPr>
              <w:t>1</w:t>
            </w:r>
            <w:r>
              <w:rPr>
                <w:rFonts w:hint="eastAsia" w:ascii="新宋体" w:hAnsi="新宋体" w:eastAsia="新宋体" w:cs="新宋体"/>
                <w:bCs/>
                <w:color w:val="auto"/>
                <w:kern w:val="0"/>
                <w:sz w:val="22"/>
                <w:szCs w:val="22"/>
                <w:highlight w:val="none"/>
                <w:lang w:eastAsia="zh-CN"/>
              </w:rPr>
              <w:t>分供应商支付3000元违约金</w:t>
            </w:r>
            <w:r>
              <w:rPr>
                <w:rFonts w:hint="eastAsia" w:ascii="新宋体" w:hAnsi="新宋体" w:eastAsia="新宋体" w:cs="新宋体"/>
                <w:bCs/>
                <w:color w:val="auto"/>
                <w:kern w:val="0"/>
                <w:sz w:val="22"/>
                <w:szCs w:val="22"/>
                <w:highlight w:val="none"/>
              </w:rPr>
              <w:t>，采购人有权直接从当月应付未付款项中扣除</w:t>
            </w:r>
            <w:r>
              <w:rPr>
                <w:rFonts w:hint="eastAsia" w:ascii="新宋体" w:hAnsi="新宋体" w:eastAsia="新宋体" w:cs="新宋体"/>
                <w:bCs/>
                <w:color w:val="auto"/>
                <w:kern w:val="0"/>
                <w:sz w:val="22"/>
                <w:szCs w:val="22"/>
                <w:highlight w:val="none"/>
                <w:lang w:eastAsia="zh-CN"/>
              </w:rPr>
              <w:t>。</w:t>
            </w:r>
          </w:p>
          <w:p>
            <w:pPr>
              <w:widowControl/>
              <w:numPr>
                <w:ilvl w:val="0"/>
                <w:numId w:val="40"/>
              </w:numPr>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考核得分累计两次低于80分或一次低于60分，采购人有权无条件终止合同。</w:t>
            </w:r>
          </w:p>
          <w:p>
            <w:pPr>
              <w:autoSpaceDE w:val="0"/>
              <w:autoSpaceDN w:val="0"/>
              <w:adjustRightInd w:val="0"/>
              <w:spacing w:after="12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rPr>
              <w:t>4、如出现因食材问题发生事故，采购人有权无条件终止合同</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并保留追究赔偿的权力</w:t>
            </w:r>
            <w:r>
              <w:rPr>
                <w:rFonts w:hint="eastAsia" w:ascii="新宋体" w:hAnsi="新宋体" w:eastAsia="新宋体" w:cs="新宋体"/>
                <w:bCs/>
                <w:color w:val="auto"/>
                <w:kern w:val="0"/>
                <w:sz w:val="22"/>
                <w:szCs w:val="22"/>
                <w:highlight w:val="none"/>
              </w:rPr>
              <w:t>。</w:t>
            </w:r>
          </w:p>
        </w:tc>
      </w:tr>
    </w:tbl>
    <w:p>
      <w:pPr>
        <w:pStyle w:val="2"/>
        <w:spacing w:line="400" w:lineRule="exact"/>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第三部分   磋商原则及方法</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beforeLines="20" w:afterLines="20" w:line="440" w:lineRule="exact"/>
        <w:ind w:firstLine="325" w:firstLineChars="147"/>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根据《中华人民共和国政府采购法》、《政府采购竞争性磋商采购方式管理暂行办法》等相关法规特制定以下磋商评审办法。</w:t>
      </w:r>
    </w:p>
    <w:p>
      <w:pPr>
        <w:spacing w:line="420" w:lineRule="exact"/>
        <w:outlineLvl w:val="0"/>
        <w:rPr>
          <w:rFonts w:hint="eastAsia" w:ascii="新宋体" w:hAnsi="新宋体" w:eastAsia="新宋体" w:cs="新宋体"/>
          <w:color w:val="auto"/>
          <w:sz w:val="22"/>
          <w:szCs w:val="22"/>
          <w:highlight w:val="none"/>
        </w:rPr>
      </w:pPr>
      <w:bookmarkStart w:id="178" w:name="_Toc5821"/>
      <w:bookmarkStart w:id="179" w:name="_Toc15523"/>
      <w:bookmarkStart w:id="180" w:name="_Toc527717319"/>
      <w:bookmarkStart w:id="181" w:name="_Toc507146686"/>
      <w:bookmarkStart w:id="182" w:name="_Toc23884074"/>
      <w:bookmarkStart w:id="183" w:name="_Toc445832502"/>
      <w:bookmarkStart w:id="184" w:name="_Toc467175864"/>
      <w:bookmarkStart w:id="185" w:name="_Toc23884114"/>
      <w:bookmarkStart w:id="186" w:name="_Toc458516434"/>
      <w:r>
        <w:rPr>
          <w:rFonts w:hint="eastAsia" w:ascii="新宋体" w:hAnsi="新宋体" w:eastAsia="新宋体" w:cs="新宋体"/>
          <w:color w:val="auto"/>
          <w:sz w:val="22"/>
          <w:szCs w:val="22"/>
          <w:highlight w:val="none"/>
        </w:rPr>
        <w:t>一. 总则</w:t>
      </w:r>
      <w:bookmarkEnd w:id="178"/>
      <w:bookmarkEnd w:id="179"/>
      <w:bookmarkEnd w:id="180"/>
      <w:bookmarkEnd w:id="181"/>
      <w:bookmarkEnd w:id="182"/>
      <w:bookmarkEnd w:id="183"/>
      <w:bookmarkEnd w:id="184"/>
      <w:bookmarkEnd w:id="185"/>
      <w:bookmarkEnd w:id="186"/>
    </w:p>
    <w:p>
      <w:pPr>
        <w:spacing w:line="420" w:lineRule="exact"/>
        <w:ind w:left="439" w:leftChars="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pPr>
        <w:spacing w:line="45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二. 磋商程序</w:t>
      </w:r>
    </w:p>
    <w:p>
      <w:pPr>
        <w:spacing w:line="400" w:lineRule="exact"/>
        <w:ind w:left="420" w:left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磋商和评审程序：本次磋商分三个阶段进行，具体详见本磋商文件《第一部分 供应商须知》“六 磋商和评审”</w:t>
      </w:r>
      <w:r>
        <w:rPr>
          <w:rFonts w:hint="eastAsia" w:ascii="新宋体" w:hAnsi="新宋体" w:eastAsia="新宋体" w:cs="新宋体"/>
          <w:color w:val="auto"/>
          <w:sz w:val="22"/>
          <w:szCs w:val="22"/>
          <w:highlight w:val="none"/>
        </w:rPr>
        <w:t>。</w:t>
      </w:r>
    </w:p>
    <w:p>
      <w:pPr>
        <w:numPr>
          <w:ilvl w:val="0"/>
          <w:numId w:val="41"/>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磋商办法</w:t>
      </w:r>
    </w:p>
    <w:p>
      <w:pPr>
        <w:pStyle w:val="20"/>
        <w:numPr>
          <w:ilvl w:val="0"/>
          <w:numId w:val="42"/>
        </w:numPr>
        <w:spacing w:line="440" w:lineRule="exact"/>
        <w:ind w:left="431" w:leftChars="104" w:hanging="213" w:hangingChars="97"/>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本项目磋商办法采取百分制综合评分法，其中商务技术</w:t>
      </w:r>
      <w:r>
        <w:rPr>
          <w:rFonts w:hint="eastAsia" w:ascii="新宋体" w:hAnsi="新宋体" w:eastAsia="新宋体" w:cs="新宋体"/>
          <w:bCs/>
          <w:color w:val="auto"/>
          <w:sz w:val="22"/>
          <w:highlight w:val="none"/>
          <w:lang w:val="en-US" w:eastAsia="zh-CN"/>
        </w:rPr>
        <w:t>80</w:t>
      </w:r>
      <w:r>
        <w:rPr>
          <w:rFonts w:hint="eastAsia" w:ascii="新宋体" w:hAnsi="新宋体" w:eastAsia="新宋体" w:cs="新宋体"/>
          <w:bCs/>
          <w:color w:val="auto"/>
          <w:sz w:val="22"/>
          <w:highlight w:val="none"/>
        </w:rPr>
        <w:t>分（商务技术权值为</w:t>
      </w:r>
      <w:r>
        <w:rPr>
          <w:rFonts w:hint="eastAsia" w:ascii="新宋体" w:hAnsi="新宋体" w:eastAsia="新宋体" w:cs="新宋体"/>
          <w:bCs/>
          <w:color w:val="auto"/>
          <w:sz w:val="22"/>
          <w:highlight w:val="none"/>
          <w:lang w:val="en-US" w:eastAsia="zh-CN"/>
        </w:rPr>
        <w:t>80</w:t>
      </w:r>
      <w:r>
        <w:rPr>
          <w:rFonts w:hint="eastAsia" w:ascii="新宋体" w:hAnsi="新宋体" w:eastAsia="新宋体" w:cs="新宋体"/>
          <w:bCs/>
          <w:color w:val="auto"/>
          <w:sz w:val="22"/>
          <w:highlight w:val="none"/>
        </w:rPr>
        <w:t>%），投标报价</w:t>
      </w:r>
      <w:r>
        <w:rPr>
          <w:rFonts w:hint="eastAsia" w:ascii="新宋体" w:hAnsi="新宋体" w:eastAsia="新宋体" w:cs="新宋体"/>
          <w:bCs/>
          <w:color w:val="auto"/>
          <w:sz w:val="22"/>
          <w:highlight w:val="none"/>
          <w:lang w:val="en-US" w:eastAsia="zh-CN"/>
        </w:rPr>
        <w:t>20</w:t>
      </w:r>
      <w:r>
        <w:rPr>
          <w:rFonts w:hint="eastAsia" w:ascii="新宋体" w:hAnsi="新宋体" w:eastAsia="新宋体" w:cs="新宋体"/>
          <w:bCs/>
          <w:color w:val="auto"/>
          <w:sz w:val="22"/>
          <w:highlight w:val="none"/>
        </w:rPr>
        <w:t>分（价格权值为</w:t>
      </w:r>
      <w:r>
        <w:rPr>
          <w:rFonts w:hint="eastAsia" w:ascii="新宋体" w:hAnsi="新宋体" w:eastAsia="新宋体" w:cs="新宋体"/>
          <w:bCs/>
          <w:color w:val="auto"/>
          <w:sz w:val="22"/>
          <w:highlight w:val="none"/>
          <w:lang w:val="en-US" w:eastAsia="zh-CN"/>
        </w:rPr>
        <w:t>2</w:t>
      </w:r>
      <w:r>
        <w:rPr>
          <w:rFonts w:hint="eastAsia" w:ascii="新宋体" w:hAnsi="新宋体" w:eastAsia="新宋体" w:cs="新宋体"/>
          <w:bCs/>
          <w:color w:val="auto"/>
          <w:sz w:val="22"/>
          <w:highlight w:val="none"/>
        </w:rPr>
        <w:t>0%）。即最大限度地满足磋商文件实质性要求前提下，按照磋商文件中规定的各项评分内容进行综合评审。</w:t>
      </w:r>
    </w:p>
    <w:p>
      <w:pPr>
        <w:pStyle w:val="20"/>
        <w:numPr>
          <w:ilvl w:val="0"/>
          <w:numId w:val="42"/>
        </w:numPr>
        <w:spacing w:line="440" w:lineRule="exact"/>
        <w:ind w:left="431" w:leftChars="104" w:hanging="213" w:hangingChars="97"/>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评标过程中遇到特殊情况，由磋商小组遵循公平、公正原则，采取记名投票方式按照少数服从多数原则决定。</w:t>
      </w:r>
    </w:p>
    <w:p>
      <w:pPr>
        <w:pStyle w:val="20"/>
        <w:numPr>
          <w:ilvl w:val="0"/>
          <w:numId w:val="42"/>
        </w:numPr>
        <w:spacing w:line="440" w:lineRule="exact"/>
        <w:ind w:left="431" w:leftChars="104" w:hanging="213" w:hangingChars="97"/>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磋商小组根据综合评分情况，按照</w:t>
      </w:r>
      <w:r>
        <w:rPr>
          <w:rFonts w:hint="eastAsia" w:ascii="新宋体" w:hAnsi="新宋体" w:eastAsia="新宋体" w:cs="新宋体"/>
          <w:bCs/>
          <w:color w:val="auto"/>
          <w:sz w:val="22"/>
          <w:highlight w:val="none"/>
          <w:lang w:val="en-US" w:eastAsia="zh-CN"/>
        </w:rPr>
        <w:t>综合</w:t>
      </w:r>
      <w:r>
        <w:rPr>
          <w:rFonts w:hint="eastAsia" w:ascii="新宋体" w:hAnsi="新宋体" w:eastAsia="新宋体" w:cs="新宋体"/>
          <w:bCs/>
          <w:color w:val="auto"/>
          <w:sz w:val="22"/>
          <w:highlight w:val="none"/>
        </w:rPr>
        <w:t>得分由高到低顺序推荐3名成交候选供应商，并提交评审报告。综合得分相同的，综以报价分得分高的优先；综合得分相同且报价分得分相同的，由磋商小组抽签决定。</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w:t>
      </w:r>
      <w:r>
        <w:rPr>
          <w:rFonts w:hint="eastAsia" w:ascii="新宋体" w:hAnsi="新宋体" w:eastAsia="新宋体" w:cs="新宋体"/>
          <w:b w:val="0"/>
          <w:bCs/>
          <w:color w:val="auto"/>
          <w:sz w:val="22"/>
          <w:szCs w:val="22"/>
          <w:highlight w:val="none"/>
          <w:lang w:val="en-US" w:eastAsia="zh-CN"/>
        </w:rPr>
        <w:t>评分</w:t>
      </w:r>
      <w:r>
        <w:rPr>
          <w:rFonts w:hint="eastAsia" w:ascii="新宋体" w:hAnsi="新宋体" w:eastAsia="新宋体" w:cs="新宋体"/>
          <w:b w:val="0"/>
          <w:bCs/>
          <w:color w:val="auto"/>
          <w:sz w:val="22"/>
          <w:szCs w:val="22"/>
          <w:highlight w:val="none"/>
        </w:rPr>
        <w:t>细则</w:t>
      </w:r>
    </w:p>
    <w:p>
      <w:pPr>
        <w:spacing w:line="45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1、商务技术评分</w:t>
      </w:r>
      <w:r>
        <w:rPr>
          <w:rFonts w:hint="eastAsia" w:ascii="新宋体" w:hAnsi="新宋体" w:eastAsia="新宋体" w:cs="新宋体"/>
          <w:b/>
          <w:bCs/>
          <w:color w:val="auto"/>
          <w:sz w:val="22"/>
          <w:szCs w:val="22"/>
          <w:highlight w:val="none"/>
          <w:lang w:val="en-US" w:eastAsia="zh-CN"/>
        </w:rPr>
        <w:t>80</w:t>
      </w:r>
      <w:r>
        <w:rPr>
          <w:rFonts w:hint="eastAsia" w:ascii="新宋体" w:hAnsi="新宋体" w:eastAsia="新宋体" w:cs="新宋体"/>
          <w:color w:val="auto"/>
          <w:sz w:val="22"/>
          <w:szCs w:val="22"/>
          <w:highlight w:val="none"/>
        </w:rPr>
        <w:t>分</w:t>
      </w:r>
    </w:p>
    <w:p>
      <w:pPr>
        <w:spacing w:line="45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磋商小组成员按下列评分项目进行评定，每人一张评分计算表，由磋商小组成员各自评定打分并记实名。磋商小组成员对各供应商的各项评分内容评分的合计分的算术平均值为该磋商供应商商务技术分的最终得分（四舍五入，保留小数点后二位）。</w:t>
      </w:r>
    </w:p>
    <w:tbl>
      <w:tblPr>
        <w:tblStyle w:val="45"/>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424"/>
        <w:gridCol w:w="675"/>
        <w:gridCol w:w="6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562"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424"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评分项目</w:t>
            </w:r>
          </w:p>
        </w:tc>
        <w:tc>
          <w:tcPr>
            <w:tcW w:w="675"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分值</w:t>
            </w:r>
            <w:r>
              <w:rPr>
                <w:rFonts w:hint="eastAsia" w:ascii="新宋体" w:hAnsi="新宋体" w:eastAsia="新宋体" w:cs="新宋体"/>
                <w:b/>
                <w:bCs/>
                <w:color w:val="auto"/>
                <w:sz w:val="22"/>
                <w:szCs w:val="22"/>
                <w:highlight w:val="none"/>
                <w:lang w:val="en-US" w:eastAsia="zh-CN"/>
              </w:rPr>
              <w:t>(分)</w:t>
            </w:r>
          </w:p>
        </w:tc>
        <w:tc>
          <w:tcPr>
            <w:tcW w:w="6156"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评分标准（电子磋商响应文件中提供的证明材料应清晰可辨，如无法辨识，将不予给分。）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4" w:hRule="atLeast"/>
          <w:jc w:val="center"/>
        </w:trPr>
        <w:tc>
          <w:tcPr>
            <w:tcW w:w="562" w:type="dxa"/>
            <w:vMerge w:val="restart"/>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24" w:type="dxa"/>
            <w:vMerge w:val="restart"/>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lang w:val="en-US" w:eastAsia="zh-CN"/>
              </w:rPr>
              <w:t>综合</w:t>
            </w:r>
            <w:r>
              <w:rPr>
                <w:rFonts w:hint="eastAsia" w:ascii="新宋体" w:hAnsi="新宋体" w:eastAsia="新宋体" w:cs="新宋体"/>
                <w:color w:val="auto"/>
                <w:sz w:val="22"/>
                <w:szCs w:val="22"/>
                <w:highlight w:val="none"/>
              </w:rPr>
              <w:t>情况</w:t>
            </w:r>
            <w:r>
              <w:rPr>
                <w:rFonts w:hint="eastAsia" w:ascii="新宋体" w:hAnsi="新宋体" w:eastAsia="新宋体" w:cs="新宋体"/>
                <w:color w:val="auto"/>
                <w:sz w:val="22"/>
                <w:szCs w:val="22"/>
                <w:highlight w:val="none"/>
                <w:lang w:val="en-US" w:eastAsia="zh-CN"/>
              </w:rPr>
              <w:t>评价</w:t>
            </w:r>
          </w:p>
          <w:p>
            <w:pPr>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（9分）</w:t>
            </w:r>
          </w:p>
        </w:tc>
        <w:tc>
          <w:tcPr>
            <w:tcW w:w="67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c>
          <w:tcPr>
            <w:tcW w:w="6156" w:type="dxa"/>
            <w:vAlign w:val="center"/>
          </w:tcPr>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[客观分]</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color w:val="auto"/>
                <w:sz w:val="22"/>
                <w:szCs w:val="22"/>
                <w:highlight w:val="none"/>
                <w:lang w:val="en-US" w:eastAsia="zh-CN"/>
              </w:rPr>
              <w:t>企业注册地经营场所功能区(分拣中心、仓储等)情况：</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（1）具有低温冷库得1分；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（2）具有蔬菜恒温库得1分；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（3）具有猪肉恒温库得1分；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（4）具有分拣车间得1分；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（5）具有办公室区域得1分。</w:t>
            </w:r>
          </w:p>
          <w:p>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注：提供详细的描述和场所图片、房产证明（或租赁合同）复印件</w:t>
            </w:r>
            <w:r>
              <w:rPr>
                <w:rFonts w:hint="eastAsia" w:ascii="新宋体" w:hAnsi="新宋体" w:eastAsia="新宋体" w:cs="新宋体"/>
                <w:b w:val="0"/>
                <w:bCs w:val="0"/>
                <w:color w:val="auto"/>
                <w:sz w:val="22"/>
                <w:szCs w:val="22"/>
                <w:highlight w:val="none"/>
                <w:lang w:val="en-US" w:eastAsia="zh-CN"/>
              </w:rPr>
              <w:t>，</w:t>
            </w:r>
            <w:r>
              <w:rPr>
                <w:rFonts w:hint="eastAsia" w:ascii="新宋体" w:hAnsi="新宋体" w:eastAsia="新宋体" w:cs="新宋体"/>
                <w:b/>
                <w:bCs/>
                <w:color w:val="auto"/>
                <w:sz w:val="22"/>
                <w:szCs w:val="22"/>
                <w:highlight w:val="none"/>
                <w:lang w:val="en-US"/>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562" w:type="dxa"/>
            <w:vMerge w:val="continue"/>
            <w:vAlign w:val="center"/>
          </w:tcPr>
          <w:p>
            <w:pPr>
              <w:ind w:firstLine="220" w:firstLineChars="100"/>
              <w:jc w:val="center"/>
              <w:rPr>
                <w:rFonts w:hint="eastAsia" w:ascii="新宋体" w:hAnsi="新宋体" w:eastAsia="新宋体" w:cs="新宋体"/>
                <w:color w:val="auto"/>
                <w:sz w:val="22"/>
                <w:szCs w:val="22"/>
                <w:highlight w:val="none"/>
              </w:rPr>
            </w:pPr>
          </w:p>
        </w:tc>
        <w:tc>
          <w:tcPr>
            <w:tcW w:w="2424" w:type="dxa"/>
            <w:vMerge w:val="continue"/>
            <w:vAlign w:val="center"/>
          </w:tcPr>
          <w:p>
            <w:pPr>
              <w:jc w:val="center"/>
              <w:rPr>
                <w:rFonts w:hint="eastAsia" w:ascii="新宋体" w:hAnsi="新宋体" w:eastAsia="新宋体" w:cs="新宋体"/>
                <w:color w:val="auto"/>
                <w:sz w:val="22"/>
                <w:szCs w:val="22"/>
                <w:highlight w:val="none"/>
                <w:lang w:val="en-US"/>
              </w:rPr>
            </w:pPr>
          </w:p>
        </w:tc>
        <w:tc>
          <w:tcPr>
            <w:tcW w:w="67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c>
          <w:tcPr>
            <w:tcW w:w="6156" w:type="dxa"/>
            <w:vAlign w:val="center"/>
          </w:tcPr>
          <w:p>
            <w:pPr>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[客观分]</w:t>
            </w: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color w:val="auto"/>
                <w:sz w:val="22"/>
                <w:szCs w:val="22"/>
                <w:highlight w:val="none"/>
                <w:lang w:val="en-US" w:eastAsia="zh-CN"/>
              </w:rPr>
              <w:t>认证证书情况：</w:t>
            </w:r>
          </w:p>
          <w:p>
            <w:pPr>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具备</w:t>
            </w:r>
            <w:r>
              <w:rPr>
                <w:rFonts w:hint="eastAsia" w:ascii="新宋体" w:hAnsi="新宋体" w:eastAsia="新宋体" w:cs="新宋体"/>
                <w:color w:val="auto"/>
                <w:sz w:val="22"/>
                <w:szCs w:val="22"/>
                <w:highlight w:val="none"/>
                <w:lang w:val="en-US" w:eastAsia="zh-CN"/>
              </w:rPr>
              <w:t>有效的</w:t>
            </w:r>
            <w:r>
              <w:rPr>
                <w:rFonts w:hint="eastAsia" w:ascii="新宋体" w:hAnsi="新宋体" w:eastAsia="新宋体" w:cs="新宋体"/>
                <w:color w:val="auto"/>
                <w:sz w:val="22"/>
                <w:szCs w:val="22"/>
                <w:highlight w:val="none"/>
              </w:rPr>
              <w:t>质量管理体系认证证书得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w:t>
            </w:r>
          </w:p>
          <w:p>
            <w:pPr>
              <w:jc w:val="lef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具有</w:t>
            </w:r>
            <w:r>
              <w:rPr>
                <w:rFonts w:hint="eastAsia" w:ascii="新宋体" w:hAnsi="新宋体" w:eastAsia="新宋体" w:cs="新宋体"/>
                <w:color w:val="auto"/>
                <w:sz w:val="22"/>
                <w:szCs w:val="22"/>
                <w:highlight w:val="none"/>
                <w:lang w:val="en-US" w:eastAsia="zh-CN"/>
              </w:rPr>
              <w:t>有效的</w:t>
            </w:r>
            <w:r>
              <w:rPr>
                <w:rFonts w:hint="eastAsia" w:ascii="新宋体" w:hAnsi="新宋体" w:eastAsia="新宋体" w:cs="新宋体"/>
                <w:color w:val="auto"/>
                <w:sz w:val="22"/>
                <w:szCs w:val="22"/>
                <w:highlight w:val="none"/>
              </w:rPr>
              <w:t>环境管理体系认证证书得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val="en-US"/>
              </w:rPr>
              <w:t>分</w:t>
            </w:r>
            <w:r>
              <w:rPr>
                <w:rFonts w:hint="eastAsia" w:ascii="新宋体" w:hAnsi="新宋体" w:eastAsia="新宋体" w:cs="新宋体"/>
                <w:color w:val="auto"/>
                <w:sz w:val="22"/>
                <w:szCs w:val="22"/>
                <w:highlight w:val="none"/>
                <w:lang w:val="en-US" w:eastAsia="zh-CN"/>
              </w:rPr>
              <w:t>；</w:t>
            </w:r>
          </w:p>
          <w:p>
            <w:pPr>
              <w:jc w:val="lef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en-US"/>
              </w:rPr>
              <w:t>具备</w:t>
            </w:r>
            <w:r>
              <w:rPr>
                <w:rFonts w:hint="eastAsia" w:ascii="新宋体" w:hAnsi="新宋体" w:eastAsia="新宋体" w:cs="新宋体"/>
                <w:color w:val="auto"/>
                <w:sz w:val="22"/>
                <w:szCs w:val="22"/>
                <w:highlight w:val="none"/>
                <w:lang w:val="en-US" w:eastAsia="zh-CN"/>
              </w:rPr>
              <w:t>有效的</w:t>
            </w:r>
            <w:r>
              <w:rPr>
                <w:rFonts w:hint="eastAsia" w:ascii="新宋体" w:hAnsi="新宋体" w:eastAsia="新宋体" w:cs="新宋体"/>
                <w:color w:val="auto"/>
                <w:sz w:val="22"/>
                <w:szCs w:val="22"/>
                <w:highlight w:val="none"/>
                <w:lang w:val="en-US"/>
              </w:rPr>
              <w:t>职业健康安全管理体系认证证书得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val="en-US"/>
              </w:rPr>
              <w:t>分</w:t>
            </w:r>
            <w:r>
              <w:rPr>
                <w:rFonts w:hint="eastAsia" w:ascii="新宋体" w:hAnsi="新宋体" w:eastAsia="新宋体" w:cs="新宋体"/>
                <w:color w:val="auto"/>
                <w:sz w:val="22"/>
                <w:szCs w:val="22"/>
                <w:highlight w:val="none"/>
                <w:lang w:val="en-US" w:eastAsia="zh-CN"/>
              </w:rPr>
              <w:t>；</w:t>
            </w:r>
          </w:p>
          <w:p>
            <w:pPr>
              <w:jc w:val="lef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val="en-US"/>
              </w:rPr>
              <w:t>具备</w:t>
            </w:r>
            <w:r>
              <w:rPr>
                <w:rFonts w:hint="eastAsia" w:ascii="新宋体" w:hAnsi="新宋体" w:eastAsia="新宋体" w:cs="新宋体"/>
                <w:color w:val="auto"/>
                <w:sz w:val="22"/>
                <w:szCs w:val="22"/>
                <w:highlight w:val="none"/>
                <w:lang w:val="en-US" w:eastAsia="zh-CN"/>
              </w:rPr>
              <w:t>有效的</w:t>
            </w:r>
            <w:r>
              <w:rPr>
                <w:rFonts w:hint="eastAsia" w:ascii="新宋体" w:hAnsi="新宋体" w:eastAsia="新宋体" w:cs="新宋体"/>
                <w:color w:val="auto"/>
                <w:sz w:val="22"/>
                <w:szCs w:val="22"/>
                <w:highlight w:val="none"/>
                <w:lang w:val="en-US"/>
              </w:rPr>
              <w:t>食品安全管理体系认证证书的得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val="en-US"/>
              </w:rPr>
              <w:t>分</w:t>
            </w:r>
            <w:r>
              <w:rPr>
                <w:rFonts w:hint="eastAsia" w:ascii="新宋体" w:hAnsi="新宋体" w:eastAsia="新宋体" w:cs="新宋体"/>
                <w:color w:val="auto"/>
                <w:sz w:val="22"/>
                <w:szCs w:val="22"/>
                <w:highlight w:val="none"/>
                <w:lang w:val="en-US" w:eastAsia="zh-CN"/>
              </w:rPr>
              <w:t>。</w:t>
            </w:r>
          </w:p>
          <w:p>
            <w:pPr>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注：以上认证范围需包含食品类，并</w:t>
            </w:r>
            <w:r>
              <w:rPr>
                <w:rFonts w:hint="eastAsia" w:ascii="新宋体" w:hAnsi="新宋体" w:eastAsia="新宋体" w:cs="新宋体"/>
                <w:b/>
                <w:bCs/>
                <w:color w:val="auto"/>
                <w:sz w:val="22"/>
                <w:szCs w:val="22"/>
                <w:highlight w:val="none"/>
              </w:rPr>
              <w:t>提供全国认证认可信息公共服务平台查询截图及认证证书</w:t>
            </w:r>
            <w:r>
              <w:rPr>
                <w:rFonts w:hint="eastAsia" w:ascii="新宋体" w:hAnsi="新宋体" w:eastAsia="新宋体" w:cs="新宋体"/>
                <w:b/>
                <w:bCs/>
                <w:color w:val="auto"/>
                <w:sz w:val="22"/>
                <w:szCs w:val="22"/>
                <w:highlight w:val="none"/>
                <w:lang w:val="en-US" w:eastAsia="zh-CN"/>
              </w:rPr>
              <w:t>复印</w:t>
            </w:r>
            <w:r>
              <w:rPr>
                <w:rFonts w:hint="eastAsia" w:ascii="新宋体" w:hAnsi="新宋体" w:eastAsia="新宋体" w:cs="新宋体"/>
                <w:b/>
                <w:bCs/>
                <w:color w:val="auto"/>
                <w:sz w:val="22"/>
                <w:szCs w:val="22"/>
                <w:highlight w:val="none"/>
                <w:lang w:val="en-US"/>
              </w:rPr>
              <w:t>件</w:t>
            </w:r>
            <w:r>
              <w:rPr>
                <w:rFonts w:hint="eastAsia" w:ascii="新宋体" w:hAnsi="新宋体" w:eastAsia="新宋体" w:cs="新宋体"/>
                <w:b/>
                <w:bCs/>
                <w:color w:val="auto"/>
                <w:sz w:val="22"/>
                <w:szCs w:val="22"/>
                <w:highlight w:val="none"/>
              </w:rPr>
              <w:t>，否则</w:t>
            </w:r>
            <w:r>
              <w:rPr>
                <w:rFonts w:hint="eastAsia" w:ascii="新宋体" w:hAnsi="新宋体" w:eastAsia="新宋体" w:cs="新宋体"/>
                <w:b/>
                <w:bCs/>
                <w:color w:val="auto"/>
                <w:sz w:val="22"/>
                <w:szCs w:val="22"/>
                <w:highlight w:val="none"/>
                <w:lang w:val="en-US" w:eastAsia="zh-CN"/>
              </w:rPr>
              <w:t>该项证书</w:t>
            </w:r>
            <w:r>
              <w:rPr>
                <w:rFonts w:hint="eastAsia" w:ascii="新宋体" w:hAnsi="新宋体" w:eastAsia="新宋体" w:cs="新宋体"/>
                <w:b/>
                <w:bCs/>
                <w:color w:val="auto"/>
                <w:sz w:val="22"/>
                <w:szCs w:val="22"/>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4" w:hRule="atLeast"/>
          <w:jc w:val="center"/>
        </w:trPr>
        <w:tc>
          <w:tcPr>
            <w:tcW w:w="562" w:type="dxa"/>
            <w:vAlign w:val="center"/>
          </w:tcPr>
          <w:p>
            <w:pPr>
              <w:ind w:firstLine="220" w:firstLineChars="10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24"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项目案例业绩</w:t>
            </w:r>
            <w:r>
              <w:rPr>
                <w:rFonts w:hint="eastAsia" w:ascii="新宋体" w:hAnsi="新宋体" w:eastAsia="新宋体" w:cs="新宋体"/>
                <w:color w:val="auto"/>
                <w:sz w:val="22"/>
                <w:szCs w:val="22"/>
                <w:highlight w:val="none"/>
                <w:lang w:val="en-US" w:eastAsia="zh-CN"/>
              </w:rPr>
              <w:t>（2分）</w:t>
            </w:r>
          </w:p>
        </w:tc>
        <w:tc>
          <w:tcPr>
            <w:tcW w:w="67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p>
        </w:tc>
        <w:tc>
          <w:tcPr>
            <w:tcW w:w="6156"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[客观分]</w:t>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年1月1日至今（</w:t>
            </w:r>
            <w:r>
              <w:rPr>
                <w:rFonts w:hint="eastAsia" w:ascii="新宋体" w:hAnsi="新宋体" w:eastAsia="新宋体" w:cs="新宋体"/>
                <w:color w:val="auto"/>
                <w:sz w:val="22"/>
                <w:szCs w:val="22"/>
                <w:highlight w:val="none"/>
                <w:lang w:val="en-US" w:eastAsia="zh-CN"/>
              </w:rPr>
              <w:t>提供合同文本的，</w:t>
            </w:r>
            <w:r>
              <w:rPr>
                <w:rFonts w:hint="eastAsia" w:ascii="新宋体" w:hAnsi="新宋体" w:eastAsia="新宋体" w:cs="新宋体"/>
                <w:color w:val="auto"/>
                <w:sz w:val="22"/>
                <w:szCs w:val="22"/>
                <w:highlight w:val="none"/>
              </w:rPr>
              <w:t>以合同签订时间为准</w:t>
            </w:r>
            <w:r>
              <w:rPr>
                <w:rFonts w:hint="eastAsia" w:ascii="新宋体" w:hAnsi="新宋体" w:eastAsia="新宋体" w:cs="新宋体"/>
                <w:color w:val="auto"/>
                <w:sz w:val="22"/>
                <w:szCs w:val="22"/>
                <w:highlight w:val="none"/>
                <w:lang w:val="en-US" w:eastAsia="zh-CN"/>
              </w:rPr>
              <w:t>；提供中标通知书的，以中标通知书落款日期为准</w:t>
            </w:r>
            <w:r>
              <w:rPr>
                <w:rFonts w:hint="eastAsia" w:ascii="新宋体" w:hAnsi="新宋体" w:eastAsia="新宋体" w:cs="新宋体"/>
                <w:color w:val="auto"/>
                <w:sz w:val="22"/>
                <w:szCs w:val="22"/>
                <w:highlight w:val="none"/>
              </w:rPr>
              <w:t>）承担过类似食堂食材采购及配送服务业绩，每提供1个</w:t>
            </w:r>
            <w:r>
              <w:rPr>
                <w:rFonts w:hint="eastAsia" w:ascii="新宋体" w:hAnsi="新宋体" w:eastAsia="新宋体" w:cs="新宋体"/>
                <w:color w:val="auto"/>
                <w:sz w:val="22"/>
                <w:szCs w:val="22"/>
                <w:highlight w:val="none"/>
                <w:lang w:val="en-US" w:eastAsia="zh-CN"/>
              </w:rPr>
              <w:t>有效</w:t>
            </w:r>
            <w:r>
              <w:rPr>
                <w:rFonts w:hint="eastAsia" w:ascii="新宋体" w:hAnsi="新宋体" w:eastAsia="新宋体" w:cs="新宋体"/>
                <w:color w:val="auto"/>
                <w:sz w:val="22"/>
                <w:szCs w:val="22"/>
                <w:highlight w:val="none"/>
              </w:rPr>
              <w:t>业绩的</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分，最高得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p>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注：须提供合同</w:t>
            </w:r>
            <w:r>
              <w:rPr>
                <w:rFonts w:hint="eastAsia" w:ascii="新宋体" w:hAnsi="新宋体" w:eastAsia="新宋体" w:cs="新宋体"/>
                <w:b/>
                <w:bCs/>
                <w:color w:val="auto"/>
                <w:sz w:val="22"/>
                <w:szCs w:val="22"/>
                <w:highlight w:val="none"/>
                <w:lang w:val="en-US" w:eastAsia="zh-CN"/>
              </w:rPr>
              <w:t>文本</w:t>
            </w:r>
            <w:r>
              <w:rPr>
                <w:rFonts w:hint="eastAsia" w:ascii="新宋体" w:hAnsi="新宋体" w:eastAsia="新宋体" w:cs="新宋体"/>
                <w:b/>
                <w:bCs/>
                <w:color w:val="auto"/>
                <w:sz w:val="22"/>
                <w:szCs w:val="22"/>
                <w:highlight w:val="none"/>
              </w:rPr>
              <w:t>或中标通知书</w:t>
            </w:r>
            <w:r>
              <w:rPr>
                <w:rFonts w:hint="eastAsia" w:ascii="新宋体" w:hAnsi="新宋体" w:eastAsia="新宋体" w:cs="新宋体"/>
                <w:b/>
                <w:bCs/>
                <w:color w:val="auto"/>
                <w:sz w:val="22"/>
                <w:szCs w:val="22"/>
                <w:highlight w:val="none"/>
                <w:lang w:val="en-US" w:eastAsia="zh-CN"/>
              </w:rPr>
              <w:t>复印</w:t>
            </w:r>
            <w:r>
              <w:rPr>
                <w:rFonts w:hint="eastAsia" w:ascii="新宋体" w:hAnsi="新宋体" w:eastAsia="新宋体" w:cs="新宋体"/>
                <w:b/>
                <w:bCs/>
                <w:color w:val="auto"/>
                <w:sz w:val="22"/>
                <w:szCs w:val="22"/>
                <w:highlight w:val="none"/>
              </w:rPr>
              <w:t>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atLeast"/>
          <w:jc w:val="center"/>
        </w:trPr>
        <w:tc>
          <w:tcPr>
            <w:tcW w:w="562" w:type="dxa"/>
            <w:vMerge w:val="restart"/>
            <w:vAlign w:val="center"/>
          </w:tcPr>
          <w:p>
            <w:pPr>
              <w:ind w:firstLine="220" w:firstLineChars="10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2424" w:type="dxa"/>
            <w:vMerge w:val="restart"/>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整体配送实施方案</w:t>
            </w:r>
          </w:p>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（12分）</w:t>
            </w:r>
          </w:p>
        </w:tc>
        <w:tc>
          <w:tcPr>
            <w:tcW w:w="675" w:type="dxa"/>
            <w:vMerge w:val="restart"/>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6156" w:type="dxa"/>
            <w:vAlign w:val="center"/>
          </w:tcPr>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color w:val="auto"/>
                <w:sz w:val="22"/>
                <w:szCs w:val="22"/>
                <w:highlight w:val="none"/>
                <w:lang w:val="en-US" w:eastAsia="zh-CN"/>
              </w:rPr>
              <w:t>整体配送实施方案包括针对本项目制定</w:t>
            </w:r>
            <w:r>
              <w:rPr>
                <w:rFonts w:hint="eastAsia" w:ascii="新宋体" w:hAnsi="新宋体" w:eastAsia="新宋体" w:cs="新宋体"/>
                <w:color w:val="auto"/>
                <w:sz w:val="22"/>
                <w:szCs w:val="22"/>
                <w:highlight w:val="none"/>
              </w:rPr>
              <w:t>配送实施方案</w:t>
            </w:r>
            <w:r>
              <w:rPr>
                <w:rFonts w:hint="eastAsia" w:ascii="新宋体" w:hAnsi="新宋体" w:eastAsia="新宋体" w:cs="新宋体"/>
                <w:color w:val="auto"/>
                <w:sz w:val="22"/>
                <w:szCs w:val="22"/>
                <w:highlight w:val="none"/>
                <w:lang w:val="en-US" w:eastAsia="zh-CN"/>
              </w:rPr>
              <w:t>和临时采购任务处理措施等进行评价打分：（8</w:t>
            </w:r>
            <w:r>
              <w:rPr>
                <w:rFonts w:hint="eastAsia" w:ascii="新宋体" w:hAnsi="新宋体" w:eastAsia="新宋体" w:cs="新宋体"/>
                <w:color w:val="auto"/>
                <w:sz w:val="20"/>
                <w:szCs w:val="20"/>
                <w:highlight w:val="none"/>
                <w:lang w:val="en-US" w:eastAsia="zh-CN"/>
              </w:rPr>
              <w:t>分</w:t>
            </w:r>
            <w:r>
              <w:rPr>
                <w:rFonts w:hint="eastAsia" w:ascii="新宋体" w:hAnsi="新宋体" w:eastAsia="新宋体" w:cs="新宋体"/>
                <w:color w:val="auto"/>
                <w:sz w:val="22"/>
                <w:szCs w:val="22"/>
                <w:highlight w:val="none"/>
                <w:lang w:val="en-US" w:eastAsia="zh-CN"/>
              </w:rPr>
              <w:t>）</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1).方案合理、贴合项目实际的得8分；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2).方案基本合理、贴合项目实际的得6分；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3).方案不合理、不贴合项目实际的得3分;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4).未提供方案相关表述的得0分。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9" w:hRule="atLeast"/>
          <w:jc w:val="center"/>
        </w:trPr>
        <w:tc>
          <w:tcPr>
            <w:tcW w:w="562" w:type="dxa"/>
            <w:vMerge w:val="continue"/>
            <w:vAlign w:val="center"/>
          </w:tcPr>
          <w:p>
            <w:pPr>
              <w:ind w:firstLine="220" w:firstLineChars="100"/>
              <w:jc w:val="center"/>
              <w:rPr>
                <w:rFonts w:hint="eastAsia" w:ascii="新宋体" w:hAnsi="新宋体" w:eastAsia="新宋体" w:cs="新宋体"/>
                <w:color w:val="auto"/>
                <w:sz w:val="22"/>
                <w:szCs w:val="22"/>
                <w:highlight w:val="none"/>
                <w:lang w:val="en-US" w:eastAsia="zh-CN"/>
              </w:rPr>
            </w:pPr>
          </w:p>
        </w:tc>
        <w:tc>
          <w:tcPr>
            <w:tcW w:w="2424" w:type="dxa"/>
            <w:vMerge w:val="continue"/>
            <w:vAlign w:val="center"/>
          </w:tcPr>
          <w:p>
            <w:pPr>
              <w:jc w:val="center"/>
              <w:rPr>
                <w:rFonts w:hint="eastAsia" w:ascii="新宋体" w:hAnsi="新宋体" w:eastAsia="新宋体" w:cs="新宋体"/>
                <w:color w:val="auto"/>
                <w:sz w:val="22"/>
                <w:szCs w:val="22"/>
                <w:highlight w:val="none"/>
                <w:lang w:val="en-US" w:eastAsia="zh-CN"/>
              </w:rPr>
            </w:pPr>
          </w:p>
        </w:tc>
        <w:tc>
          <w:tcPr>
            <w:tcW w:w="675" w:type="dxa"/>
            <w:vMerge w:val="continue"/>
            <w:vAlign w:val="center"/>
          </w:tcPr>
          <w:p>
            <w:pPr>
              <w:jc w:val="center"/>
              <w:rPr>
                <w:rFonts w:hint="eastAsia" w:ascii="新宋体" w:hAnsi="新宋体" w:eastAsia="新宋体" w:cs="新宋体"/>
                <w:color w:val="auto"/>
                <w:sz w:val="22"/>
                <w:szCs w:val="22"/>
                <w:highlight w:val="none"/>
              </w:rPr>
            </w:pPr>
          </w:p>
        </w:tc>
        <w:tc>
          <w:tcPr>
            <w:tcW w:w="6156" w:type="dxa"/>
            <w:vAlign w:val="center"/>
          </w:tcPr>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根据自身情况对本项目</w:t>
            </w:r>
            <w:r>
              <w:rPr>
                <w:rFonts w:hint="eastAsia" w:ascii="新宋体" w:hAnsi="新宋体" w:eastAsia="新宋体" w:cs="新宋体"/>
                <w:color w:val="auto"/>
                <w:sz w:val="22"/>
                <w:szCs w:val="22"/>
                <w:highlight w:val="none"/>
                <w:lang w:val="en-US" w:eastAsia="zh-CN"/>
              </w:rPr>
              <w:t>的重难点分析及解决措施进行评价打分：（4分）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1).分析符合项目需求，解决措施切实可行的得4分；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2).分析基本符合项目需求，解决措施基本可行的得3分；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3).分析不符合项目需求，解决措施存在较大缺陷1分;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4).未提供相关分析及解决措施表述的得0分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 w:hRule="atLeast"/>
          <w:jc w:val="center"/>
        </w:trPr>
        <w:tc>
          <w:tcPr>
            <w:tcW w:w="562" w:type="dxa"/>
            <w:vMerge w:val="restart"/>
            <w:tcBorders>
              <w:top w:val="single" w:color="auto" w:sz="4" w:space="0"/>
              <w:left w:val="single" w:color="auto" w:sz="4" w:space="0"/>
              <w:right w:val="single" w:color="auto" w:sz="4" w:space="0"/>
            </w:tcBorders>
            <w:vAlign w:val="center"/>
          </w:tcPr>
          <w:p>
            <w:pPr>
              <w:ind w:firstLine="220" w:firstLineChars="10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w:t>
            </w:r>
          </w:p>
          <w:p>
            <w:pPr>
              <w:ind w:firstLine="220" w:firstLineChars="100"/>
              <w:rPr>
                <w:rFonts w:hint="eastAsia" w:ascii="新宋体" w:hAnsi="新宋体" w:eastAsia="新宋体" w:cs="新宋体"/>
                <w:color w:val="auto"/>
                <w:sz w:val="22"/>
                <w:szCs w:val="22"/>
                <w:highlight w:val="none"/>
                <w:lang w:eastAsia="zh-CN"/>
              </w:rPr>
            </w:pPr>
          </w:p>
        </w:tc>
        <w:tc>
          <w:tcPr>
            <w:tcW w:w="2424" w:type="dxa"/>
            <w:vMerge w:val="restart"/>
            <w:tcBorders>
              <w:top w:val="single" w:color="auto" w:sz="4" w:space="0"/>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 w:val="22"/>
                <w:szCs w:val="22"/>
                <w:highlight w:val="none"/>
              </w:rPr>
              <w:t>配送能力</w:t>
            </w:r>
            <w:r>
              <w:rPr>
                <w:rFonts w:hint="eastAsia" w:ascii="新宋体" w:hAnsi="新宋体" w:eastAsia="新宋体" w:cs="新宋体"/>
                <w:color w:val="auto"/>
                <w:sz w:val="22"/>
                <w:szCs w:val="22"/>
                <w:highlight w:val="none"/>
                <w:lang w:val="en-US" w:eastAsia="zh-CN"/>
              </w:rPr>
              <w:t>评价（18分）</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6156" w:type="dxa"/>
            <w:tcBorders>
              <w:top w:val="single" w:color="auto" w:sz="4" w:space="0"/>
              <w:left w:val="single" w:color="auto" w:sz="4" w:space="0"/>
              <w:bottom w:val="single" w:color="auto" w:sz="4" w:space="0"/>
              <w:right w:val="single" w:color="auto" w:sz="4" w:space="0"/>
            </w:tcBorders>
            <w:vAlign w:val="center"/>
          </w:tcPr>
          <w:p>
            <w:pPr>
              <w:jc w:val="left"/>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客</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b w:val="0"/>
                <w:bCs w:val="0"/>
                <w:color w:val="auto"/>
                <w:sz w:val="22"/>
                <w:szCs w:val="22"/>
                <w:highlight w:val="none"/>
                <w:lang w:val="en-US" w:eastAsia="zh-CN"/>
              </w:rPr>
              <w:t>1.配送车辆评价：</w:t>
            </w:r>
          </w:p>
          <w:p>
            <w:pPr>
              <w:jc w:val="left"/>
              <w:rPr>
                <w:rFonts w:hint="eastAsia" w:ascii="新宋体" w:hAnsi="新宋体" w:eastAsia="新宋体" w:cs="新宋体"/>
                <w:b w:val="0"/>
                <w:bCs w:val="0"/>
                <w:color w:val="auto"/>
                <w:sz w:val="22"/>
                <w:szCs w:val="22"/>
                <w:highlight w:val="none"/>
                <w:lang w:val="en-US"/>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b w:val="0"/>
                <w:bCs w:val="0"/>
                <w:color w:val="auto"/>
                <w:sz w:val="22"/>
                <w:szCs w:val="22"/>
                <w:highlight w:val="none"/>
                <w:lang w:val="en-US"/>
              </w:rPr>
              <w:t>投标单位自有</w:t>
            </w:r>
            <w:r>
              <w:rPr>
                <w:rFonts w:hint="eastAsia" w:ascii="新宋体" w:hAnsi="新宋体" w:eastAsia="新宋体" w:cs="新宋体"/>
                <w:b w:val="0"/>
                <w:bCs w:val="0"/>
                <w:color w:val="auto"/>
                <w:sz w:val="22"/>
                <w:szCs w:val="22"/>
                <w:highlight w:val="none"/>
                <w:lang w:val="en-US" w:eastAsia="zh-CN"/>
              </w:rPr>
              <w:t>1.49T及以上</w:t>
            </w:r>
            <w:r>
              <w:rPr>
                <w:rFonts w:hint="eastAsia" w:ascii="新宋体" w:hAnsi="新宋体" w:eastAsia="新宋体" w:cs="新宋体"/>
                <w:b w:val="0"/>
                <w:bCs w:val="0"/>
                <w:color w:val="auto"/>
                <w:sz w:val="22"/>
                <w:szCs w:val="22"/>
                <w:highlight w:val="none"/>
                <w:lang w:val="en-US"/>
              </w:rPr>
              <w:t xml:space="preserve">冷藏车每辆得1 分，最高得8分； </w:t>
            </w:r>
          </w:p>
          <w:p>
            <w:pPr>
              <w:jc w:val="left"/>
              <w:rPr>
                <w:rFonts w:hint="eastAsia" w:ascii="新宋体" w:hAnsi="新宋体" w:eastAsia="新宋体" w:cs="新宋体"/>
                <w:b w:val="0"/>
                <w:bCs w:val="0"/>
                <w:color w:val="auto"/>
                <w:sz w:val="22"/>
                <w:szCs w:val="22"/>
                <w:highlight w:val="none"/>
                <w:lang w:val="en-US"/>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b w:val="0"/>
                <w:bCs w:val="0"/>
                <w:color w:val="auto"/>
                <w:sz w:val="22"/>
                <w:szCs w:val="22"/>
                <w:highlight w:val="none"/>
                <w:lang w:val="en-US"/>
              </w:rPr>
              <w:t>投标单位自有箱式货车(含新能源运输车）每辆得1分，最高得3分；</w:t>
            </w:r>
          </w:p>
          <w:p>
            <w:pPr>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rPr>
              <w:t>注：</w:t>
            </w:r>
            <w:r>
              <w:rPr>
                <w:rFonts w:hint="eastAsia" w:ascii="新宋体" w:hAnsi="新宋体" w:eastAsia="新宋体" w:cs="新宋体"/>
                <w:b/>
                <w:bCs/>
                <w:color w:val="auto"/>
                <w:sz w:val="22"/>
                <w:szCs w:val="22"/>
                <w:highlight w:val="none"/>
                <w:lang w:val="en-US" w:eastAsia="zh-CN"/>
              </w:rPr>
              <w:t>以上车辆均</w:t>
            </w:r>
            <w:r>
              <w:rPr>
                <w:rFonts w:hint="eastAsia" w:ascii="新宋体" w:hAnsi="新宋体" w:eastAsia="新宋体" w:cs="新宋体"/>
                <w:b/>
                <w:bCs/>
                <w:color w:val="auto"/>
                <w:sz w:val="22"/>
                <w:szCs w:val="22"/>
                <w:highlight w:val="none"/>
                <w:lang w:val="en-US"/>
              </w:rPr>
              <w:t>须提供行驶证</w:t>
            </w:r>
            <w:r>
              <w:rPr>
                <w:rFonts w:hint="eastAsia" w:ascii="新宋体" w:hAnsi="新宋体" w:eastAsia="新宋体" w:cs="新宋体"/>
                <w:b/>
                <w:bCs/>
                <w:color w:val="auto"/>
                <w:sz w:val="22"/>
                <w:szCs w:val="22"/>
                <w:highlight w:val="none"/>
                <w:lang w:val="en-US" w:eastAsia="zh-CN"/>
              </w:rPr>
              <w:t>复印</w:t>
            </w:r>
            <w:r>
              <w:rPr>
                <w:rFonts w:hint="eastAsia" w:ascii="新宋体" w:hAnsi="新宋体" w:eastAsia="新宋体" w:cs="新宋体"/>
                <w:b/>
                <w:bCs/>
                <w:color w:val="auto"/>
                <w:sz w:val="22"/>
                <w:szCs w:val="22"/>
                <w:highlight w:val="none"/>
                <w:lang w:val="en-US"/>
              </w:rPr>
              <w:t>件</w:t>
            </w:r>
            <w:r>
              <w:rPr>
                <w:rFonts w:hint="eastAsia" w:ascii="新宋体" w:hAnsi="新宋体" w:eastAsia="新宋体" w:cs="新宋体"/>
                <w:b/>
                <w:bCs/>
                <w:color w:val="auto"/>
                <w:sz w:val="22"/>
                <w:szCs w:val="22"/>
                <w:highlight w:val="none"/>
                <w:lang w:val="en-US" w:eastAsia="zh-CN"/>
              </w:rPr>
              <w:t>、</w:t>
            </w:r>
            <w:r>
              <w:rPr>
                <w:rFonts w:hint="eastAsia" w:ascii="新宋体" w:hAnsi="新宋体" w:eastAsia="新宋体" w:cs="新宋体"/>
                <w:b/>
                <w:bCs/>
                <w:color w:val="auto"/>
                <w:sz w:val="22"/>
                <w:szCs w:val="22"/>
                <w:highlight w:val="none"/>
                <w:lang w:val="en-US"/>
              </w:rPr>
              <w:t>车辆照片，</w:t>
            </w:r>
            <w:r>
              <w:rPr>
                <w:rFonts w:hint="eastAsia" w:ascii="新宋体" w:hAnsi="新宋体" w:eastAsia="新宋体" w:cs="新宋体"/>
                <w:b/>
                <w:bCs/>
                <w:color w:val="auto"/>
                <w:sz w:val="22"/>
                <w:szCs w:val="22"/>
                <w:highlight w:val="none"/>
                <w:lang w:val="en-US" w:eastAsia="zh-CN"/>
              </w:rPr>
              <w:t>冷藏车另提供制冷机组照片，</w:t>
            </w:r>
            <w:r>
              <w:rPr>
                <w:rFonts w:hint="eastAsia" w:ascii="新宋体" w:hAnsi="新宋体" w:eastAsia="新宋体" w:cs="新宋体"/>
                <w:b/>
                <w:bCs/>
                <w:color w:val="auto"/>
                <w:sz w:val="22"/>
                <w:szCs w:val="22"/>
                <w:highlight w:val="none"/>
                <w:lang w:val="en-US"/>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562" w:type="dxa"/>
            <w:vMerge w:val="continue"/>
            <w:tcBorders>
              <w:left w:val="single" w:color="auto" w:sz="4" w:space="0"/>
              <w:right w:val="single" w:color="auto" w:sz="4" w:space="0"/>
            </w:tcBorders>
            <w:vAlign w:val="center"/>
          </w:tcPr>
          <w:p>
            <w:pPr>
              <w:ind w:firstLine="220" w:firstLineChars="100"/>
              <w:rPr>
                <w:rFonts w:hint="eastAsia" w:ascii="新宋体" w:hAnsi="新宋体" w:eastAsia="新宋体" w:cs="新宋体"/>
                <w:color w:val="auto"/>
                <w:sz w:val="22"/>
                <w:szCs w:val="22"/>
                <w:highlight w:val="none"/>
              </w:rPr>
            </w:pPr>
          </w:p>
        </w:tc>
        <w:tc>
          <w:tcPr>
            <w:tcW w:w="2424" w:type="dxa"/>
            <w:vMerge w:val="continue"/>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6156"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color w:val="auto"/>
                <w:sz w:val="22"/>
                <w:szCs w:val="22"/>
                <w:highlight w:val="none"/>
                <w:lang w:val="en-US" w:eastAsia="zh-CN"/>
              </w:rPr>
              <w:t>根据供应商提供的车辆完好、整洁良好等情况进行评价打分：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1).车辆情况现状良好，完全满足采购需求的得4分；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2).车辆情况现状一般，基本满足采购需求的得3分；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3).车辆情况现状破损严重、不能满足采购需求的得1分；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4).未提供车辆信息的得0分。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1" w:hRule="atLeast"/>
          <w:jc w:val="center"/>
        </w:trPr>
        <w:tc>
          <w:tcPr>
            <w:tcW w:w="562" w:type="dxa"/>
            <w:vMerge w:val="continue"/>
            <w:tcBorders>
              <w:left w:val="single" w:color="auto" w:sz="4" w:space="0"/>
              <w:right w:val="single" w:color="auto" w:sz="4" w:space="0"/>
            </w:tcBorders>
            <w:vAlign w:val="center"/>
          </w:tcPr>
          <w:p>
            <w:pPr>
              <w:ind w:firstLine="220" w:firstLineChars="100"/>
              <w:rPr>
                <w:rFonts w:hint="eastAsia" w:ascii="新宋体" w:hAnsi="新宋体" w:eastAsia="新宋体" w:cs="新宋体"/>
                <w:color w:val="auto"/>
                <w:sz w:val="22"/>
                <w:szCs w:val="22"/>
                <w:highlight w:val="none"/>
              </w:rPr>
            </w:pPr>
          </w:p>
        </w:tc>
        <w:tc>
          <w:tcPr>
            <w:tcW w:w="2424" w:type="dxa"/>
            <w:vMerge w:val="continue"/>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6156"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客</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color w:val="auto"/>
                <w:sz w:val="22"/>
                <w:szCs w:val="22"/>
                <w:highlight w:val="none"/>
                <w:lang w:val="en-US" w:eastAsia="zh-CN"/>
              </w:rPr>
              <w:t>供应商固定驾驶员情况：驾驶员人数8人及以上得3分；人数5人及以上得2分，人数3人及以上得1分，3人以下不得分。</w:t>
            </w:r>
          </w:p>
          <w:p>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lang w:val="en-US"/>
              </w:rPr>
              <w:t>注：须</w:t>
            </w:r>
            <w:r>
              <w:rPr>
                <w:rFonts w:hint="eastAsia" w:ascii="新宋体" w:hAnsi="新宋体" w:eastAsia="新宋体" w:cs="新宋体"/>
                <w:b/>
                <w:bCs/>
                <w:color w:val="auto"/>
                <w:sz w:val="22"/>
                <w:szCs w:val="22"/>
                <w:highlight w:val="none"/>
                <w:lang w:val="en-US" w:eastAsia="zh-CN"/>
              </w:rPr>
              <w:t>提供驾驶证、投标单位为其缴纳的近3个月内任一月社保证明复印件，</w:t>
            </w:r>
            <w:r>
              <w:rPr>
                <w:rFonts w:hint="eastAsia" w:ascii="新宋体" w:hAnsi="新宋体" w:eastAsia="新宋体" w:cs="新宋体"/>
                <w:b/>
                <w:bCs/>
                <w:color w:val="auto"/>
                <w:sz w:val="22"/>
                <w:szCs w:val="22"/>
                <w:highlight w:val="none"/>
                <w:lang w:val="en-US"/>
              </w:rPr>
              <w:t>否则不得分</w:t>
            </w:r>
            <w:r>
              <w:rPr>
                <w:rFonts w:hint="eastAsia" w:ascii="新宋体" w:hAnsi="新宋体" w:eastAsia="新宋体" w:cs="新宋体"/>
                <w:b w:val="0"/>
                <w:bCs w:val="0"/>
                <w:color w:val="auto"/>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562" w:type="dxa"/>
            <w:vMerge w:val="restart"/>
            <w:tcBorders>
              <w:left w:val="single" w:color="auto" w:sz="4" w:space="0"/>
              <w:right w:val="single" w:color="auto" w:sz="4" w:space="0"/>
            </w:tcBorders>
            <w:vAlign w:val="center"/>
          </w:tcPr>
          <w:p>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p>
        </w:tc>
        <w:tc>
          <w:tcPr>
            <w:tcW w:w="2424" w:type="dxa"/>
            <w:vMerge w:val="restart"/>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 w:val="22"/>
                <w:szCs w:val="22"/>
                <w:highlight w:val="none"/>
              </w:rPr>
              <w:t>质量保证及售后服务</w:t>
            </w:r>
            <w:r>
              <w:rPr>
                <w:rFonts w:hint="eastAsia" w:ascii="新宋体" w:hAnsi="新宋体" w:eastAsia="新宋体" w:cs="新宋体"/>
                <w:color w:val="auto"/>
                <w:sz w:val="22"/>
                <w:szCs w:val="22"/>
                <w:highlight w:val="none"/>
                <w:lang w:val="en-US" w:eastAsia="zh-CN"/>
              </w:rPr>
              <w:t>评价（14分）</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6</w:t>
            </w:r>
          </w:p>
        </w:tc>
        <w:tc>
          <w:tcPr>
            <w:tcW w:w="6156"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color w:val="auto"/>
                <w:sz w:val="22"/>
                <w:szCs w:val="22"/>
                <w:highlight w:val="none"/>
                <w:lang w:val="en-US" w:eastAsia="zh-CN"/>
              </w:rPr>
              <w:t>根据供应商物流是否及时、食品是否新鲜等情况，进行评价打分：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1).质量保证措施合理、全面，完全满足采购需求的得6分；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2).质量保证措施基本合理、全面，基本满足采购需求的得4分；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3).质量保证措施无实质性内容、不能满足采购需求的得2分；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4).未提供质量保证措施的得0分。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562" w:type="dxa"/>
            <w:vMerge w:val="continue"/>
            <w:tcBorders>
              <w:left w:val="single" w:color="auto" w:sz="4" w:space="0"/>
              <w:right w:val="single" w:color="auto" w:sz="4" w:space="0"/>
            </w:tcBorders>
            <w:vAlign w:val="center"/>
          </w:tcPr>
          <w:p>
            <w:pPr>
              <w:ind w:firstLine="220" w:firstLineChars="100"/>
              <w:rPr>
                <w:rFonts w:hint="eastAsia" w:ascii="新宋体" w:hAnsi="新宋体" w:eastAsia="新宋体" w:cs="新宋体"/>
                <w:color w:val="auto"/>
                <w:sz w:val="22"/>
                <w:szCs w:val="22"/>
                <w:highlight w:val="none"/>
              </w:rPr>
            </w:pPr>
          </w:p>
        </w:tc>
        <w:tc>
          <w:tcPr>
            <w:tcW w:w="2424" w:type="dxa"/>
            <w:vMerge w:val="continue"/>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p>
        </w:tc>
        <w:tc>
          <w:tcPr>
            <w:tcW w:w="6156"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客</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color w:val="auto"/>
                <w:sz w:val="22"/>
                <w:szCs w:val="22"/>
                <w:highlight w:val="none"/>
                <w:lang w:val="en-US" w:eastAsia="zh-CN"/>
              </w:rPr>
              <w:t>有承诺承担所供商品质量、安全等所致事件为供应商的完全责任，得3分。</w:t>
            </w:r>
          </w:p>
          <w:p>
            <w:pPr>
              <w:rPr>
                <w:rFonts w:hint="eastAsia" w:ascii="新宋体" w:hAnsi="新宋体" w:eastAsia="新宋体" w:cs="新宋体"/>
                <w:color w:val="auto"/>
                <w:highlight w:val="none"/>
                <w:lang w:val="en-US" w:eastAsia="zh-CN"/>
              </w:rPr>
            </w:pPr>
            <w:r>
              <w:rPr>
                <w:rFonts w:hint="eastAsia" w:ascii="新宋体" w:hAnsi="新宋体" w:eastAsia="新宋体" w:cs="新宋体"/>
                <w:b/>
                <w:bCs/>
                <w:color w:val="auto"/>
                <w:sz w:val="22"/>
                <w:szCs w:val="22"/>
                <w:highlight w:val="none"/>
                <w:lang w:val="en-US" w:eastAsia="zh-CN"/>
              </w:rPr>
              <w:t>注：本项未提供的不得分。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562" w:type="dxa"/>
            <w:vMerge w:val="continue"/>
            <w:tcBorders>
              <w:left w:val="single" w:color="auto" w:sz="4" w:space="0"/>
              <w:right w:val="single" w:color="auto" w:sz="4" w:space="0"/>
            </w:tcBorders>
            <w:vAlign w:val="center"/>
          </w:tcPr>
          <w:p>
            <w:pPr>
              <w:ind w:firstLine="220" w:firstLineChars="100"/>
              <w:rPr>
                <w:rFonts w:hint="eastAsia" w:ascii="新宋体" w:hAnsi="新宋体" w:eastAsia="新宋体" w:cs="新宋体"/>
                <w:color w:val="auto"/>
                <w:sz w:val="22"/>
                <w:szCs w:val="22"/>
                <w:highlight w:val="none"/>
              </w:rPr>
            </w:pPr>
          </w:p>
        </w:tc>
        <w:tc>
          <w:tcPr>
            <w:tcW w:w="2424" w:type="dxa"/>
            <w:vMerge w:val="continue"/>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  5</w:t>
            </w:r>
          </w:p>
        </w:tc>
        <w:tc>
          <w:tcPr>
            <w:tcW w:w="6156"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szCs w:val="21"/>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客</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color w:val="auto"/>
                <w:szCs w:val="21"/>
                <w:highlight w:val="none"/>
                <w:lang w:val="en-US" w:eastAsia="zh-CN"/>
              </w:rPr>
              <w:t>供应商已投保食品安全责任保险的情况：</w:t>
            </w:r>
          </w:p>
          <w:p>
            <w:pP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1).4500万元（含）以上的得5分；</w:t>
            </w:r>
          </w:p>
          <w:p>
            <w:pP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2).2500万（含）到4500万（不含）的得3分；</w:t>
            </w:r>
          </w:p>
          <w:p>
            <w:pP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3).1000万（含）到2500万（不含）的得1分；</w:t>
            </w:r>
          </w:p>
          <w:p>
            <w:pP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4).1000万以下不得分。</w:t>
            </w:r>
          </w:p>
          <w:p>
            <w:pPr>
              <w:rPr>
                <w:rFonts w:hint="eastAsia" w:ascii="新宋体" w:hAnsi="新宋体" w:eastAsia="新宋体" w:cs="新宋体"/>
                <w:color w:val="auto"/>
                <w:szCs w:val="21"/>
                <w:highlight w:val="none"/>
                <w:lang w:val="en-US" w:eastAsia="zh-CN"/>
              </w:rPr>
            </w:pPr>
            <w:r>
              <w:rPr>
                <w:rFonts w:hint="eastAsia" w:ascii="新宋体" w:hAnsi="新宋体" w:eastAsia="新宋体" w:cs="新宋体"/>
                <w:b/>
                <w:bCs/>
                <w:color w:val="auto"/>
                <w:szCs w:val="21"/>
                <w:highlight w:val="none"/>
                <w:lang w:val="en-US" w:eastAsia="zh-CN"/>
              </w:rPr>
              <w:t>注：</w:t>
            </w:r>
            <w:r>
              <w:rPr>
                <w:rFonts w:hint="eastAsia" w:ascii="新宋体" w:hAnsi="新宋体" w:eastAsia="新宋体" w:cs="新宋体"/>
                <w:b/>
                <w:bCs/>
                <w:color w:val="auto"/>
                <w:sz w:val="22"/>
                <w:szCs w:val="22"/>
                <w:highlight w:val="none"/>
                <w:lang w:val="en-US" w:eastAsia="zh-CN"/>
              </w:rPr>
              <w:t>提供</w:t>
            </w:r>
            <w:r>
              <w:rPr>
                <w:rFonts w:hint="eastAsia" w:ascii="新宋体" w:hAnsi="新宋体" w:eastAsia="新宋体" w:cs="新宋体"/>
                <w:b/>
                <w:bCs/>
                <w:color w:val="auto"/>
                <w:sz w:val="22"/>
                <w:szCs w:val="22"/>
                <w:highlight w:val="none"/>
              </w:rPr>
              <w:t>有效期内的保单复</w:t>
            </w:r>
            <w:r>
              <w:rPr>
                <w:rFonts w:hint="eastAsia" w:ascii="新宋体" w:hAnsi="新宋体" w:eastAsia="新宋体" w:cs="新宋体"/>
                <w:b/>
                <w:bCs/>
                <w:color w:val="auto"/>
                <w:sz w:val="22"/>
                <w:szCs w:val="22"/>
                <w:highlight w:val="none"/>
                <w:lang w:val="en-US" w:eastAsia="zh-CN"/>
              </w:rPr>
              <w:t>印</w:t>
            </w:r>
            <w:r>
              <w:rPr>
                <w:rFonts w:hint="eastAsia" w:ascii="新宋体" w:hAnsi="新宋体" w:eastAsia="新宋体" w:cs="新宋体"/>
                <w:b/>
                <w:bCs/>
                <w:color w:val="auto"/>
                <w:sz w:val="22"/>
                <w:szCs w:val="22"/>
                <w:highlight w:val="none"/>
              </w:rPr>
              <w:t>件</w:t>
            </w:r>
            <w:r>
              <w:rPr>
                <w:rFonts w:hint="eastAsia" w:ascii="新宋体" w:hAnsi="新宋体" w:eastAsia="新宋体" w:cs="新宋体"/>
                <w:b/>
                <w:bCs/>
                <w:color w:val="auto"/>
                <w:sz w:val="22"/>
                <w:szCs w:val="22"/>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562" w:type="dxa"/>
            <w:tcBorders>
              <w:left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2424" w:type="dxa"/>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项目组成员</w:t>
            </w:r>
            <w:r>
              <w:rPr>
                <w:rFonts w:hint="eastAsia" w:ascii="新宋体" w:hAnsi="新宋体" w:eastAsia="新宋体" w:cs="新宋体"/>
                <w:color w:val="auto"/>
                <w:sz w:val="22"/>
                <w:szCs w:val="22"/>
                <w:highlight w:val="none"/>
                <w:lang w:val="en-US" w:eastAsia="zh-CN"/>
              </w:rPr>
              <w:t>（3分）</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6156" w:type="dxa"/>
            <w:tcBorders>
              <w:top w:val="single" w:color="auto" w:sz="4" w:space="0"/>
              <w:left w:val="single" w:color="auto" w:sz="4" w:space="0"/>
              <w:bottom w:val="single" w:color="auto" w:sz="4" w:space="0"/>
              <w:right w:val="single" w:color="auto" w:sz="4" w:space="0"/>
            </w:tcBorders>
            <w:vAlign w:val="center"/>
          </w:tcPr>
          <w:p>
            <w:pPr>
              <w:widowControl/>
              <w:numPr>
                <w:numId w:val="0"/>
              </w:numPr>
              <w:wordWrap w:val="0"/>
              <w:spacing w:line="240" w:lineRule="auto"/>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color w:val="auto"/>
                <w:sz w:val="22"/>
                <w:szCs w:val="22"/>
                <w:highlight w:val="none"/>
              </w:rPr>
              <w:t>根据</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的拟投入员工数量、岗位配备、</w:t>
            </w:r>
            <w:r>
              <w:rPr>
                <w:rFonts w:hint="eastAsia" w:ascii="新宋体" w:hAnsi="新宋体" w:eastAsia="新宋体" w:cs="新宋体"/>
                <w:color w:val="auto"/>
                <w:sz w:val="22"/>
                <w:szCs w:val="22"/>
                <w:highlight w:val="none"/>
                <w:lang w:val="en-US" w:eastAsia="zh-CN"/>
              </w:rPr>
              <w:t>综合素质情况</w:t>
            </w:r>
            <w:r>
              <w:rPr>
                <w:rFonts w:hint="eastAsia" w:ascii="新宋体" w:hAnsi="新宋体" w:eastAsia="新宋体" w:cs="新宋体"/>
                <w:color w:val="auto"/>
                <w:sz w:val="22"/>
                <w:szCs w:val="22"/>
                <w:highlight w:val="none"/>
              </w:rPr>
              <w:t>等情况进行</w:t>
            </w:r>
            <w:r>
              <w:rPr>
                <w:rFonts w:hint="eastAsia" w:ascii="新宋体" w:hAnsi="新宋体" w:eastAsia="新宋体" w:cs="新宋体"/>
                <w:color w:val="auto"/>
                <w:sz w:val="22"/>
                <w:szCs w:val="22"/>
                <w:highlight w:val="none"/>
                <w:lang w:val="en-US" w:eastAsia="zh-CN"/>
              </w:rPr>
              <w:t>评价打分</w:t>
            </w:r>
            <w:r>
              <w:rPr>
                <w:rFonts w:hint="eastAsia" w:ascii="新宋体" w:hAnsi="新宋体" w:eastAsia="新宋体" w:cs="新宋体"/>
                <w:color w:val="auto"/>
                <w:sz w:val="22"/>
                <w:szCs w:val="22"/>
                <w:highlight w:val="none"/>
                <w:lang w:eastAsia="zh-CN"/>
              </w:rPr>
              <w:t>：</w:t>
            </w:r>
          </w:p>
          <w:p>
            <w:pPr>
              <w:widowControl/>
              <w:numPr>
                <w:numId w:val="0"/>
              </w:numPr>
              <w:wordWrap w:val="0"/>
              <w:spacing w:line="240" w:lineRule="auto"/>
              <w:jc w:val="left"/>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val="0"/>
                <w:bCs w:val="0"/>
                <w:color w:val="auto"/>
                <w:kern w:val="2"/>
                <w:sz w:val="21"/>
                <w:szCs w:val="21"/>
                <w:highlight w:val="none"/>
                <w:lang w:val="en-US" w:eastAsia="zh-CN" w:bidi="ar-SA"/>
              </w:rPr>
              <w:t>1).</w:t>
            </w:r>
            <w:r>
              <w:rPr>
                <w:rFonts w:hint="eastAsia" w:ascii="新宋体" w:hAnsi="新宋体" w:eastAsia="新宋体" w:cs="新宋体"/>
                <w:color w:val="auto"/>
                <w:szCs w:val="21"/>
                <w:highlight w:val="none"/>
                <w:lang w:val="en-US" w:eastAsia="zh-CN"/>
              </w:rPr>
              <w:t>项目组成员</w:t>
            </w:r>
            <w:r>
              <w:rPr>
                <w:rFonts w:hint="eastAsia" w:ascii="新宋体" w:hAnsi="新宋体" w:eastAsia="新宋体" w:cs="新宋体"/>
                <w:b w:val="0"/>
                <w:bCs w:val="0"/>
                <w:color w:val="auto"/>
                <w:kern w:val="2"/>
                <w:sz w:val="21"/>
                <w:szCs w:val="21"/>
                <w:highlight w:val="none"/>
                <w:lang w:val="en-US" w:eastAsia="zh-CN" w:bidi="ar-SA"/>
              </w:rPr>
              <w:t>配置完善合理，业务能力扎实、熟练的3分；</w:t>
            </w:r>
          </w:p>
          <w:p>
            <w:pPr>
              <w:widowControl/>
              <w:numPr>
                <w:numId w:val="0"/>
              </w:numPr>
              <w:wordWrap w:val="0"/>
              <w:spacing w:line="240" w:lineRule="auto"/>
              <w:jc w:val="left"/>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val="0"/>
                <w:bCs w:val="0"/>
                <w:color w:val="auto"/>
                <w:kern w:val="2"/>
                <w:sz w:val="21"/>
                <w:szCs w:val="21"/>
                <w:highlight w:val="none"/>
                <w:lang w:val="en-US" w:eastAsia="zh-CN" w:bidi="ar-SA"/>
              </w:rPr>
              <w:t>2).</w:t>
            </w:r>
            <w:r>
              <w:rPr>
                <w:rFonts w:hint="eastAsia" w:ascii="新宋体" w:hAnsi="新宋体" w:eastAsia="新宋体" w:cs="新宋体"/>
                <w:color w:val="auto"/>
                <w:szCs w:val="21"/>
                <w:highlight w:val="none"/>
                <w:lang w:val="en-US" w:eastAsia="zh-CN"/>
              </w:rPr>
              <w:t>项目组成员</w:t>
            </w:r>
            <w:r>
              <w:rPr>
                <w:rFonts w:hint="eastAsia" w:ascii="新宋体" w:hAnsi="新宋体" w:eastAsia="新宋体" w:cs="新宋体"/>
                <w:b w:val="0"/>
                <w:bCs w:val="0"/>
                <w:color w:val="auto"/>
                <w:kern w:val="2"/>
                <w:sz w:val="21"/>
                <w:szCs w:val="21"/>
                <w:highlight w:val="none"/>
                <w:lang w:val="en-US" w:eastAsia="zh-CN" w:bidi="ar-SA"/>
              </w:rPr>
              <w:t>配置基本合理，业务能力符合本项目需求的2分；</w:t>
            </w:r>
          </w:p>
          <w:p>
            <w:pPr>
              <w:widowControl/>
              <w:numPr>
                <w:numId w:val="0"/>
              </w:numPr>
              <w:wordWrap w:val="0"/>
              <w:spacing w:line="240" w:lineRule="auto"/>
              <w:jc w:val="left"/>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val="0"/>
                <w:bCs w:val="0"/>
                <w:color w:val="auto"/>
                <w:kern w:val="2"/>
                <w:sz w:val="21"/>
                <w:szCs w:val="21"/>
                <w:highlight w:val="none"/>
                <w:lang w:val="en-US" w:eastAsia="zh-CN" w:bidi="ar-SA"/>
              </w:rPr>
              <w:t>3).</w:t>
            </w:r>
            <w:r>
              <w:rPr>
                <w:rFonts w:hint="eastAsia" w:ascii="新宋体" w:hAnsi="新宋体" w:eastAsia="新宋体" w:cs="新宋体"/>
                <w:color w:val="auto"/>
                <w:szCs w:val="21"/>
                <w:highlight w:val="none"/>
                <w:lang w:val="en-US" w:eastAsia="zh-CN"/>
              </w:rPr>
              <w:t>项目组成员</w:t>
            </w:r>
            <w:r>
              <w:rPr>
                <w:rFonts w:hint="eastAsia" w:ascii="新宋体" w:hAnsi="新宋体" w:eastAsia="新宋体" w:cs="新宋体"/>
                <w:b w:val="0"/>
                <w:bCs w:val="0"/>
                <w:color w:val="auto"/>
                <w:kern w:val="2"/>
                <w:sz w:val="21"/>
                <w:szCs w:val="21"/>
                <w:highlight w:val="none"/>
                <w:lang w:val="en-US" w:eastAsia="zh-CN" w:bidi="ar-SA"/>
              </w:rPr>
              <w:t>配置能力有所欠缺，业务能力薄弱的1分;</w:t>
            </w:r>
          </w:p>
          <w:p>
            <w:pPr>
              <w:widowControl/>
              <w:numPr>
                <w:numId w:val="0"/>
              </w:numPr>
              <w:wordWrap w:val="0"/>
              <w:spacing w:line="240" w:lineRule="auto"/>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val="0"/>
                <w:bCs w:val="0"/>
                <w:color w:val="auto"/>
                <w:kern w:val="2"/>
                <w:sz w:val="21"/>
                <w:szCs w:val="21"/>
                <w:highlight w:val="none"/>
                <w:lang w:val="en-US" w:eastAsia="zh-CN" w:bidi="ar-SA"/>
              </w:rPr>
              <w:t>4).未提供人员信息的得0分。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562" w:type="dxa"/>
            <w:tcBorders>
              <w:left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24" w:type="dxa"/>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管理</w:t>
            </w:r>
            <w:r>
              <w:rPr>
                <w:rFonts w:hint="eastAsia" w:ascii="新宋体" w:hAnsi="新宋体" w:eastAsia="新宋体" w:cs="新宋体"/>
                <w:color w:val="auto"/>
                <w:kern w:val="0"/>
                <w:sz w:val="22"/>
                <w:szCs w:val="22"/>
                <w:highlight w:val="none"/>
              </w:rPr>
              <w:t>规章</w:t>
            </w:r>
            <w:r>
              <w:rPr>
                <w:rFonts w:hint="eastAsia" w:ascii="新宋体" w:hAnsi="新宋体" w:eastAsia="新宋体" w:cs="新宋体"/>
                <w:color w:val="auto"/>
                <w:szCs w:val="21"/>
                <w:highlight w:val="none"/>
                <w:lang w:val="en-US" w:eastAsia="zh-CN"/>
              </w:rPr>
              <w:t>制度</w:t>
            </w:r>
            <w:r>
              <w:rPr>
                <w:rFonts w:hint="eastAsia" w:ascii="新宋体" w:hAnsi="新宋体" w:eastAsia="新宋体" w:cs="新宋体"/>
                <w:color w:val="auto"/>
                <w:sz w:val="22"/>
                <w:szCs w:val="22"/>
                <w:highlight w:val="none"/>
                <w:lang w:val="en-US" w:eastAsia="zh-CN"/>
              </w:rPr>
              <w:t>（5分）</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6156" w:type="dxa"/>
            <w:tcBorders>
              <w:top w:val="single" w:color="auto" w:sz="4" w:space="0"/>
              <w:left w:val="single" w:color="auto" w:sz="4" w:space="0"/>
              <w:bottom w:val="single" w:color="auto" w:sz="4" w:space="0"/>
              <w:right w:val="single" w:color="auto" w:sz="4" w:space="0"/>
            </w:tcBorders>
            <w:vAlign w:val="center"/>
          </w:tcPr>
          <w:p>
            <w:pPr>
              <w:widowControl/>
              <w:ind w:left="-5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color w:val="auto"/>
                <w:szCs w:val="21"/>
                <w:highlight w:val="none"/>
                <w:lang w:val="en-US" w:eastAsia="zh-CN"/>
              </w:rPr>
              <w:t>根据供应商的</w:t>
            </w:r>
            <w:r>
              <w:rPr>
                <w:rFonts w:hint="eastAsia" w:ascii="新宋体" w:hAnsi="新宋体" w:eastAsia="新宋体" w:cs="新宋体"/>
                <w:color w:val="auto"/>
                <w:szCs w:val="21"/>
                <w:highlight w:val="none"/>
              </w:rPr>
              <w:t>食材检验检测制度、食品安全管理制度、产品召回制度、培训管理制度、卫生管理制度、从业人员健康管理制度等</w:t>
            </w:r>
            <w:r>
              <w:rPr>
                <w:rFonts w:hint="eastAsia" w:ascii="新宋体" w:hAnsi="新宋体" w:eastAsia="新宋体" w:cs="新宋体"/>
                <w:color w:val="auto"/>
                <w:szCs w:val="21"/>
                <w:highlight w:val="none"/>
                <w:lang w:val="en-US" w:eastAsia="zh-CN"/>
              </w:rPr>
              <w:t>内容</w:t>
            </w:r>
            <w:r>
              <w:rPr>
                <w:rFonts w:hint="eastAsia" w:ascii="新宋体" w:hAnsi="新宋体" w:eastAsia="新宋体" w:cs="新宋体"/>
                <w:color w:val="auto"/>
                <w:sz w:val="22"/>
                <w:szCs w:val="22"/>
                <w:highlight w:val="none"/>
                <w:lang w:val="en-US" w:eastAsia="zh-CN"/>
              </w:rPr>
              <w:t>进行评价打分：</w:t>
            </w:r>
          </w:p>
          <w:p>
            <w:pPr>
              <w:widowControl/>
              <w:ind w:left="-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kern w:val="0"/>
                <w:sz w:val="22"/>
                <w:szCs w:val="22"/>
                <w:highlight w:val="none"/>
              </w:rPr>
              <w:t>管理规章制度全面、合理可行</w:t>
            </w:r>
            <w:r>
              <w:rPr>
                <w:rFonts w:hint="eastAsia" w:ascii="新宋体" w:hAnsi="新宋体" w:eastAsia="新宋体" w:cs="新宋体"/>
                <w:color w:val="auto"/>
                <w:kern w:val="0"/>
                <w:sz w:val="22"/>
                <w:highlight w:val="none"/>
                <w:lang w:val="en-US" w:eastAsia="zh-CN"/>
              </w:rPr>
              <w:t>的</w:t>
            </w:r>
            <w:r>
              <w:rPr>
                <w:rFonts w:hint="eastAsia" w:ascii="新宋体" w:hAnsi="新宋体" w:eastAsia="新宋体" w:cs="新宋体"/>
                <w:color w:val="auto"/>
                <w:kern w:val="0"/>
                <w:sz w:val="22"/>
                <w:szCs w:val="22"/>
                <w:highlight w:val="none"/>
              </w:rPr>
              <w:t>得</w:t>
            </w:r>
            <w:r>
              <w:rPr>
                <w:rFonts w:hint="eastAsia" w:ascii="新宋体" w:hAnsi="新宋体" w:eastAsia="新宋体" w:cs="新宋体"/>
                <w:color w:val="auto"/>
                <w:kern w:val="0"/>
                <w:sz w:val="22"/>
                <w:highlight w:val="none"/>
                <w:lang w:val="en-US" w:eastAsia="zh-CN"/>
              </w:rPr>
              <w:t>5分；</w:t>
            </w:r>
          </w:p>
          <w:p>
            <w:pPr>
              <w:widowControl/>
              <w:ind w:left="-50"/>
              <w:jc w:val="left"/>
              <w:rPr>
                <w:rFonts w:hint="eastAsia" w:ascii="新宋体" w:hAnsi="新宋体" w:eastAsia="新宋体" w:cs="新宋体"/>
                <w:color w:val="auto"/>
                <w:kern w:val="0"/>
                <w:sz w:val="22"/>
                <w:highlight w:val="none"/>
                <w:lang w:val="en-US" w:eastAsia="zh-CN"/>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管理规章制度较为全面、合理</w:t>
            </w:r>
            <w:r>
              <w:rPr>
                <w:rFonts w:hint="eastAsia" w:ascii="新宋体" w:hAnsi="新宋体" w:eastAsia="新宋体" w:cs="新宋体"/>
                <w:color w:val="auto"/>
                <w:kern w:val="0"/>
                <w:sz w:val="22"/>
                <w:szCs w:val="22"/>
                <w:highlight w:val="none"/>
                <w:lang w:val="en-US" w:eastAsia="zh-CN"/>
              </w:rPr>
              <w:t>可行</w:t>
            </w:r>
            <w:r>
              <w:rPr>
                <w:rFonts w:hint="eastAsia" w:ascii="新宋体" w:hAnsi="新宋体" w:eastAsia="新宋体" w:cs="新宋体"/>
                <w:color w:val="auto"/>
                <w:kern w:val="0"/>
                <w:sz w:val="22"/>
                <w:highlight w:val="none"/>
                <w:lang w:val="en-US" w:eastAsia="zh-CN"/>
              </w:rPr>
              <w:t>的</w:t>
            </w:r>
            <w:r>
              <w:rPr>
                <w:rFonts w:hint="eastAsia" w:ascii="新宋体" w:hAnsi="新宋体" w:eastAsia="新宋体" w:cs="新宋体"/>
                <w:color w:val="auto"/>
                <w:kern w:val="0"/>
                <w:sz w:val="22"/>
                <w:szCs w:val="22"/>
                <w:highlight w:val="none"/>
              </w:rPr>
              <w:t>得</w:t>
            </w:r>
            <w:r>
              <w:rPr>
                <w:rFonts w:hint="eastAsia" w:ascii="新宋体" w:hAnsi="新宋体" w:eastAsia="新宋体" w:cs="新宋体"/>
                <w:color w:val="auto"/>
                <w:kern w:val="0"/>
                <w:sz w:val="22"/>
                <w:highlight w:val="none"/>
                <w:lang w:val="en-US" w:eastAsia="zh-CN"/>
              </w:rPr>
              <w:t>3分；</w:t>
            </w:r>
          </w:p>
          <w:p>
            <w:pPr>
              <w:widowControl/>
              <w:ind w:left="-50"/>
              <w:jc w:val="left"/>
              <w:rPr>
                <w:rFonts w:hint="eastAsia" w:ascii="新宋体" w:hAnsi="新宋体" w:eastAsia="新宋体" w:cs="新宋体"/>
                <w:color w:val="auto"/>
                <w:kern w:val="0"/>
                <w:sz w:val="22"/>
                <w:highlight w:val="none"/>
                <w:lang w:val="en-US" w:eastAsia="zh-CN"/>
              </w:rPr>
            </w:pPr>
            <w:r>
              <w:rPr>
                <w:rFonts w:hint="eastAsia" w:ascii="新宋体" w:hAnsi="新宋体" w:eastAsia="新宋体" w:cs="新宋体"/>
                <w:color w:val="auto"/>
                <w:kern w:val="0"/>
                <w:sz w:val="22"/>
                <w:highlight w:val="none"/>
                <w:lang w:val="en-US" w:eastAsia="zh-CN"/>
              </w:rPr>
              <w:t>3</w:t>
            </w:r>
            <w:r>
              <w:rPr>
                <w:rFonts w:hint="eastAsia" w:ascii="新宋体" w:hAnsi="新宋体" w:eastAsia="新宋体" w:cs="新宋体"/>
                <w:color w:val="auto"/>
                <w:kern w:val="0"/>
                <w:sz w:val="22"/>
                <w:szCs w:val="22"/>
                <w:highlight w:val="none"/>
                <w:lang w:val="en-US" w:eastAsia="zh-CN"/>
              </w:rPr>
              <w:t>).</w:t>
            </w:r>
            <w:r>
              <w:rPr>
                <w:rFonts w:hint="eastAsia" w:ascii="新宋体" w:hAnsi="新宋体" w:eastAsia="新宋体" w:cs="新宋体"/>
                <w:color w:val="auto"/>
                <w:kern w:val="0"/>
                <w:sz w:val="22"/>
                <w:szCs w:val="22"/>
                <w:highlight w:val="none"/>
              </w:rPr>
              <w:t>管理规章制度不全面</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Cs/>
                <w:color w:val="auto"/>
                <w:sz w:val="22"/>
                <w:szCs w:val="22"/>
                <w:highlight w:val="none"/>
              </w:rPr>
              <w:t>不完善</w:t>
            </w:r>
            <w:r>
              <w:rPr>
                <w:rFonts w:hint="eastAsia" w:ascii="新宋体" w:hAnsi="新宋体" w:eastAsia="新宋体" w:cs="新宋体"/>
                <w:color w:val="auto"/>
                <w:kern w:val="0"/>
                <w:sz w:val="22"/>
                <w:highlight w:val="none"/>
                <w:lang w:val="en-US" w:eastAsia="zh-CN"/>
              </w:rPr>
              <w:t>的</w:t>
            </w:r>
            <w:r>
              <w:rPr>
                <w:rFonts w:hint="eastAsia" w:ascii="新宋体" w:hAnsi="新宋体" w:eastAsia="新宋体" w:cs="新宋体"/>
                <w:color w:val="auto"/>
                <w:kern w:val="0"/>
                <w:sz w:val="22"/>
                <w:szCs w:val="22"/>
                <w:highlight w:val="none"/>
              </w:rPr>
              <w:t>得</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分</w:t>
            </w:r>
            <w:r>
              <w:rPr>
                <w:rFonts w:hint="eastAsia" w:ascii="新宋体" w:hAnsi="新宋体" w:eastAsia="新宋体" w:cs="新宋体"/>
                <w:color w:val="auto"/>
                <w:kern w:val="0"/>
                <w:sz w:val="22"/>
                <w:highlight w:val="none"/>
                <w:lang w:val="en-US" w:eastAsia="zh-CN"/>
              </w:rPr>
              <w:t>；</w:t>
            </w:r>
          </w:p>
          <w:p>
            <w:pPr>
              <w:widowControl/>
              <w:ind w:left="-50"/>
              <w:jc w:val="left"/>
              <w:rPr>
                <w:rFonts w:hint="eastAsia" w:ascii="新宋体" w:hAnsi="新宋体" w:eastAsia="新宋体" w:cs="新宋体"/>
                <w:color w:val="auto"/>
                <w:kern w:val="0"/>
                <w:sz w:val="22"/>
                <w:highlight w:val="none"/>
                <w:lang w:val="en-US" w:eastAsia="zh-CN"/>
              </w:rPr>
            </w:pPr>
            <w:r>
              <w:rPr>
                <w:rFonts w:hint="eastAsia" w:ascii="新宋体" w:hAnsi="新宋体" w:eastAsia="新宋体" w:cs="新宋体"/>
                <w:color w:val="auto"/>
                <w:kern w:val="0"/>
                <w:sz w:val="22"/>
                <w:highlight w:val="none"/>
                <w:lang w:val="en-US" w:eastAsia="zh-CN"/>
              </w:rPr>
              <w:t>4).</w:t>
            </w:r>
            <w:r>
              <w:rPr>
                <w:rFonts w:hint="eastAsia" w:ascii="新宋体" w:hAnsi="新宋体" w:eastAsia="新宋体" w:cs="新宋体"/>
                <w:b w:val="0"/>
                <w:bCs w:val="0"/>
                <w:color w:val="auto"/>
                <w:kern w:val="2"/>
                <w:sz w:val="21"/>
                <w:szCs w:val="21"/>
                <w:highlight w:val="none"/>
                <w:lang w:val="en-US" w:eastAsia="zh-CN" w:bidi="ar-SA"/>
              </w:rPr>
              <w:t>未提供管理规章制度的得0分。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562" w:type="dxa"/>
            <w:tcBorders>
              <w:left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24" w:type="dxa"/>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突发事件应急预案</w:t>
            </w:r>
          </w:p>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 w:val="22"/>
                <w:szCs w:val="22"/>
                <w:highlight w:val="none"/>
                <w:lang w:val="en-US" w:eastAsia="zh-CN"/>
              </w:rPr>
              <w:t>（5分）</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6156"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color w:val="auto"/>
                <w:sz w:val="22"/>
                <w:szCs w:val="22"/>
                <w:highlight w:val="none"/>
                <w:lang w:val="en-US" w:eastAsia="zh-CN"/>
              </w:rPr>
              <w:t>根据供应商针对突发事件应急预案进行评价打分：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1).应急预案措施合理、全面、贴合项目实际的</w:t>
            </w:r>
            <w:r>
              <w:rPr>
                <w:rFonts w:hint="eastAsia" w:ascii="新宋体" w:hAnsi="新宋体" w:eastAsia="新宋体" w:cs="新宋体"/>
                <w:b w:val="0"/>
                <w:bCs w:val="0"/>
                <w:color w:val="auto"/>
                <w:kern w:val="2"/>
                <w:sz w:val="21"/>
                <w:szCs w:val="21"/>
                <w:highlight w:val="none"/>
                <w:lang w:val="en-US" w:eastAsia="zh-CN" w:bidi="ar-SA"/>
              </w:rPr>
              <w:t>得</w:t>
            </w:r>
            <w:r>
              <w:rPr>
                <w:rFonts w:hint="eastAsia" w:ascii="新宋体" w:hAnsi="新宋体" w:eastAsia="新宋体" w:cs="新宋体"/>
                <w:color w:val="auto"/>
                <w:sz w:val="22"/>
                <w:szCs w:val="22"/>
                <w:highlight w:val="none"/>
                <w:lang w:val="en-US" w:eastAsia="zh-CN"/>
              </w:rPr>
              <w:t>5分；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2).应急预案措施基本合理、全面、贴合项目实际的</w:t>
            </w:r>
            <w:r>
              <w:rPr>
                <w:rFonts w:hint="eastAsia" w:ascii="新宋体" w:hAnsi="新宋体" w:eastAsia="新宋体" w:cs="新宋体"/>
                <w:b w:val="0"/>
                <w:bCs w:val="0"/>
                <w:color w:val="auto"/>
                <w:kern w:val="2"/>
                <w:sz w:val="21"/>
                <w:szCs w:val="21"/>
                <w:highlight w:val="none"/>
                <w:lang w:val="en-US" w:eastAsia="zh-CN" w:bidi="ar-SA"/>
              </w:rPr>
              <w:t>得</w:t>
            </w:r>
            <w:r>
              <w:rPr>
                <w:rFonts w:hint="eastAsia" w:ascii="新宋体" w:hAnsi="新宋体" w:eastAsia="新宋体" w:cs="新宋体"/>
                <w:color w:val="auto"/>
                <w:sz w:val="22"/>
                <w:szCs w:val="22"/>
                <w:highlight w:val="none"/>
                <w:lang w:val="en-US" w:eastAsia="zh-CN"/>
              </w:rPr>
              <w:t>3分；</w:t>
            </w:r>
          </w:p>
          <w:p>
            <w:pP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3).应急预案措施无实质性内容、不贴合项目实际的</w:t>
            </w:r>
            <w:r>
              <w:rPr>
                <w:rFonts w:hint="eastAsia" w:ascii="新宋体" w:hAnsi="新宋体" w:eastAsia="新宋体" w:cs="新宋体"/>
                <w:b w:val="0"/>
                <w:bCs w:val="0"/>
                <w:color w:val="auto"/>
                <w:kern w:val="2"/>
                <w:sz w:val="21"/>
                <w:szCs w:val="21"/>
                <w:highlight w:val="none"/>
                <w:lang w:val="en-US" w:eastAsia="zh-CN" w:bidi="ar-SA"/>
              </w:rPr>
              <w:t>得</w:t>
            </w:r>
            <w:r>
              <w:rPr>
                <w:rFonts w:hint="eastAsia" w:ascii="新宋体" w:hAnsi="新宋体" w:eastAsia="新宋体" w:cs="新宋体"/>
                <w:color w:val="auto"/>
                <w:sz w:val="22"/>
                <w:szCs w:val="22"/>
                <w:highlight w:val="none"/>
                <w:lang w:val="en-US" w:eastAsia="zh-CN"/>
              </w:rPr>
              <w:t>1分。</w:t>
            </w:r>
          </w:p>
          <w:p>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4).未提供突发事件应急预案的不得分。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5" w:hRule="atLeast"/>
          <w:jc w:val="center"/>
        </w:trPr>
        <w:tc>
          <w:tcPr>
            <w:tcW w:w="562" w:type="dxa"/>
            <w:vMerge w:val="restart"/>
            <w:tcBorders>
              <w:left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24" w:type="dxa"/>
            <w:vMerge w:val="restart"/>
            <w:tcBorders>
              <w:left w:val="single" w:color="auto" w:sz="4" w:space="0"/>
              <w:right w:val="single" w:color="auto" w:sz="4" w:space="0"/>
            </w:tcBorders>
            <w:vAlign w:val="center"/>
          </w:tcPr>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食品检测能力评价</w:t>
            </w:r>
          </w:p>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 w:val="22"/>
                <w:szCs w:val="22"/>
                <w:highlight w:val="none"/>
                <w:lang w:val="en-US" w:eastAsia="zh-CN"/>
              </w:rPr>
              <w:t>（12分）</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615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b w:val="0"/>
                <w:bCs w:val="0"/>
                <w:color w:val="auto"/>
                <w:kern w:val="2"/>
                <w:sz w:val="21"/>
                <w:szCs w:val="21"/>
                <w:highlight w:val="none"/>
                <w:lang w:val="en-US" w:eastAsia="zh-CN" w:bidi="ar-SA"/>
              </w:rPr>
              <w:t>供应商提供检测室检测人员对食品检测的方案（包括但不限于：蔬菜、肉类、水产、水果等食品安全检测方案）</w:t>
            </w:r>
            <w:r>
              <w:rPr>
                <w:rFonts w:hint="eastAsia" w:ascii="新宋体" w:hAnsi="新宋体" w:eastAsia="新宋体" w:cs="新宋体"/>
                <w:color w:val="auto"/>
                <w:sz w:val="22"/>
                <w:szCs w:val="22"/>
                <w:highlight w:val="none"/>
                <w:lang w:val="en-US" w:eastAsia="zh-CN"/>
              </w:rPr>
              <w:t>进行打分：</w:t>
            </w:r>
          </w:p>
          <w:p>
            <w:pPr>
              <w:widowControl/>
              <w:ind w:left="-5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1).方案符合项目需求，切实可行的</w:t>
            </w:r>
            <w:r>
              <w:rPr>
                <w:rFonts w:hint="eastAsia" w:ascii="新宋体" w:hAnsi="新宋体" w:eastAsia="新宋体" w:cs="新宋体"/>
                <w:b w:val="0"/>
                <w:bCs w:val="0"/>
                <w:color w:val="auto"/>
                <w:kern w:val="2"/>
                <w:sz w:val="21"/>
                <w:szCs w:val="21"/>
                <w:highlight w:val="none"/>
                <w:lang w:val="en-US" w:eastAsia="zh-CN" w:bidi="ar-SA"/>
              </w:rPr>
              <w:t>得</w:t>
            </w:r>
            <w:r>
              <w:rPr>
                <w:rFonts w:hint="eastAsia" w:ascii="新宋体" w:hAnsi="新宋体" w:eastAsia="新宋体" w:cs="新宋体"/>
                <w:color w:val="auto"/>
                <w:kern w:val="0"/>
                <w:sz w:val="22"/>
                <w:szCs w:val="22"/>
                <w:highlight w:val="none"/>
                <w:lang w:val="en-US" w:eastAsia="zh-CN"/>
              </w:rPr>
              <w:t>6分；</w:t>
            </w:r>
          </w:p>
          <w:p>
            <w:pPr>
              <w:widowControl/>
              <w:ind w:left="-5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2).方案基本符合项目需求，基本可行的</w:t>
            </w:r>
            <w:r>
              <w:rPr>
                <w:rFonts w:hint="eastAsia" w:ascii="新宋体" w:hAnsi="新宋体" w:eastAsia="新宋体" w:cs="新宋体"/>
                <w:b w:val="0"/>
                <w:bCs w:val="0"/>
                <w:color w:val="auto"/>
                <w:kern w:val="2"/>
                <w:sz w:val="21"/>
                <w:szCs w:val="21"/>
                <w:highlight w:val="none"/>
                <w:lang w:val="en-US" w:eastAsia="zh-CN" w:bidi="ar-SA"/>
              </w:rPr>
              <w:t>得</w:t>
            </w:r>
            <w:r>
              <w:rPr>
                <w:rFonts w:hint="eastAsia" w:ascii="新宋体" w:hAnsi="新宋体" w:eastAsia="新宋体" w:cs="新宋体"/>
                <w:color w:val="auto"/>
                <w:kern w:val="0"/>
                <w:sz w:val="22"/>
                <w:szCs w:val="22"/>
                <w:highlight w:val="none"/>
                <w:lang w:val="en-US" w:eastAsia="zh-CN"/>
              </w:rPr>
              <w:t>4分；</w:t>
            </w:r>
          </w:p>
          <w:p>
            <w:pPr>
              <w:widowControl/>
              <w:ind w:left="-5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3).方案不符合项目需求，存在较大缺陷的</w:t>
            </w:r>
            <w:r>
              <w:rPr>
                <w:rFonts w:hint="eastAsia" w:ascii="新宋体" w:hAnsi="新宋体" w:eastAsia="新宋体" w:cs="新宋体"/>
                <w:b w:val="0"/>
                <w:bCs w:val="0"/>
                <w:color w:val="auto"/>
                <w:kern w:val="2"/>
                <w:sz w:val="21"/>
                <w:szCs w:val="21"/>
                <w:highlight w:val="none"/>
                <w:lang w:val="en-US" w:eastAsia="zh-CN" w:bidi="ar-SA"/>
              </w:rPr>
              <w:t>得</w:t>
            </w:r>
            <w:r>
              <w:rPr>
                <w:rFonts w:hint="eastAsia" w:ascii="新宋体" w:hAnsi="新宋体" w:eastAsia="新宋体" w:cs="新宋体"/>
                <w:color w:val="auto"/>
                <w:kern w:val="0"/>
                <w:sz w:val="22"/>
                <w:szCs w:val="22"/>
                <w:highlight w:val="none"/>
                <w:lang w:val="en-US" w:eastAsia="zh-CN"/>
              </w:rPr>
              <w:t>2分；</w:t>
            </w:r>
          </w:p>
          <w:p>
            <w:pPr>
              <w:widowControl/>
              <w:ind w:left="-5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sz w:val="22"/>
                <w:szCs w:val="22"/>
                <w:highlight w:val="none"/>
                <w:lang w:val="en-US" w:eastAsia="zh-CN"/>
              </w:rPr>
              <w:t>未提供检测方案的不得分。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1" w:hRule="atLeast"/>
          <w:jc w:val="center"/>
        </w:trPr>
        <w:tc>
          <w:tcPr>
            <w:tcW w:w="562" w:type="dxa"/>
            <w:vMerge w:val="continue"/>
            <w:tcBorders>
              <w:left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val="en-US" w:eastAsia="zh-CN"/>
              </w:rPr>
            </w:pPr>
          </w:p>
        </w:tc>
        <w:tc>
          <w:tcPr>
            <w:tcW w:w="2424" w:type="dxa"/>
            <w:vMerge w:val="continue"/>
            <w:tcBorders>
              <w:left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lang w:val="en-US" w:eastAsia="zh-CN"/>
              </w:rPr>
            </w:pPr>
          </w:p>
        </w:tc>
        <w:tc>
          <w:tcPr>
            <w:tcW w:w="675" w:type="dxa"/>
            <w:tcBorders>
              <w:top w:val="single" w:color="auto" w:sz="4" w:space="0"/>
              <w:left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p>
        </w:tc>
        <w:tc>
          <w:tcPr>
            <w:tcW w:w="615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主</w:t>
            </w:r>
            <w:r>
              <w:rPr>
                <w:rFonts w:hint="eastAsia" w:ascii="新宋体" w:hAnsi="新宋体" w:eastAsia="新宋体" w:cs="新宋体"/>
                <w:b/>
                <w:bCs/>
                <w:color w:val="auto"/>
                <w:sz w:val="22"/>
                <w:szCs w:val="22"/>
                <w:highlight w:val="none"/>
              </w:rPr>
              <w:t>观分]</w:t>
            </w:r>
            <w:r>
              <w:rPr>
                <w:rFonts w:hint="eastAsia" w:ascii="新宋体" w:hAnsi="新宋体" w:eastAsia="新宋体" w:cs="新宋体"/>
                <w:b w:val="0"/>
                <w:bCs w:val="0"/>
                <w:color w:val="auto"/>
                <w:kern w:val="2"/>
                <w:sz w:val="21"/>
                <w:szCs w:val="21"/>
                <w:highlight w:val="none"/>
                <w:lang w:val="en-US" w:eastAsia="zh-CN" w:bidi="ar-SA"/>
              </w:rPr>
              <w:t>供应商自有设备（如：手持式食品检测仪、农药残留速测仪，磷酸盐测定仪，微生物检测仪，兽药残留检测仪，食品甲醛快速测定仪，重金属检测仪等设备），进行评价打分：</w:t>
            </w:r>
          </w:p>
          <w:p>
            <w:pPr>
              <w:spacing w:line="276" w:lineRule="auto"/>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val="0"/>
                <w:bCs w:val="0"/>
                <w:color w:val="auto"/>
                <w:kern w:val="2"/>
                <w:sz w:val="21"/>
                <w:szCs w:val="21"/>
                <w:highlight w:val="none"/>
                <w:lang w:val="en-US" w:eastAsia="zh-CN" w:bidi="ar-SA"/>
              </w:rPr>
              <w:t>1.设备符合项目需求，切实可行的得6分；</w:t>
            </w:r>
          </w:p>
          <w:p>
            <w:pPr>
              <w:spacing w:line="276" w:lineRule="auto"/>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val="0"/>
                <w:bCs w:val="0"/>
                <w:color w:val="auto"/>
                <w:kern w:val="2"/>
                <w:sz w:val="21"/>
                <w:szCs w:val="21"/>
                <w:highlight w:val="none"/>
                <w:lang w:val="en-US" w:eastAsia="zh-CN" w:bidi="ar-SA"/>
              </w:rPr>
              <w:t>2.设备基本符合项目需求，基本可行的得4分；</w:t>
            </w:r>
          </w:p>
          <w:p>
            <w:pPr>
              <w:spacing w:line="276" w:lineRule="auto"/>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val="0"/>
                <w:bCs w:val="0"/>
                <w:color w:val="auto"/>
                <w:kern w:val="2"/>
                <w:sz w:val="21"/>
                <w:szCs w:val="21"/>
                <w:highlight w:val="none"/>
                <w:lang w:val="en-US" w:eastAsia="zh-CN" w:bidi="ar-SA"/>
              </w:rPr>
              <w:t>3.设备不符合项目需求，存在较大缺陷的得2分。</w:t>
            </w:r>
          </w:p>
          <w:p>
            <w:pPr>
              <w:spacing w:line="276" w:lineRule="auto"/>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val="0"/>
                <w:bCs w:val="0"/>
                <w:color w:val="auto"/>
                <w:kern w:val="2"/>
                <w:sz w:val="21"/>
                <w:szCs w:val="21"/>
                <w:highlight w:val="none"/>
                <w:lang w:val="en-US" w:eastAsia="zh-CN" w:bidi="ar-SA"/>
              </w:rPr>
              <w:t>4.未提供检测设备相关信息的得0分。</w:t>
            </w:r>
          </w:p>
          <w:p>
            <w:pPr>
              <w:spacing w:line="276" w:lineRule="auto"/>
              <w:rPr>
                <w:rFonts w:hint="eastAsia" w:ascii="新宋体" w:hAnsi="新宋体" w:eastAsia="新宋体" w:cs="新宋体"/>
                <w:b w:val="0"/>
                <w:bCs w:val="0"/>
                <w:color w:val="auto"/>
                <w:kern w:val="2"/>
                <w:sz w:val="21"/>
                <w:szCs w:val="21"/>
                <w:highlight w:val="none"/>
                <w:lang w:val="en-US" w:eastAsia="zh-CN" w:bidi="ar-SA"/>
              </w:rPr>
            </w:pPr>
            <w:r>
              <w:rPr>
                <w:rFonts w:hint="eastAsia" w:ascii="新宋体" w:hAnsi="新宋体" w:eastAsia="新宋体" w:cs="新宋体"/>
                <w:b/>
                <w:bCs/>
                <w:color w:val="auto"/>
                <w:kern w:val="2"/>
                <w:sz w:val="21"/>
                <w:szCs w:val="21"/>
                <w:highlight w:val="none"/>
                <w:lang w:val="en-US" w:eastAsia="zh-CN" w:bidi="ar-SA"/>
              </w:rPr>
              <w:t>注：需提供设备购置发票复印件和设备照片。</w:t>
            </w:r>
          </w:p>
        </w:tc>
      </w:tr>
    </w:tbl>
    <w:p>
      <w:pPr>
        <w:rPr>
          <w:rFonts w:hint="eastAsia" w:ascii="新宋体" w:hAnsi="新宋体" w:eastAsia="新宋体" w:cs="新宋体"/>
          <w:color w:val="auto"/>
          <w:highlight w:val="none"/>
        </w:rPr>
      </w:pPr>
    </w:p>
    <w:p>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2、磋商报价得分</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分</w:t>
      </w:r>
    </w:p>
    <w:p>
      <w:pPr>
        <w:spacing w:line="440" w:lineRule="exact"/>
        <w:ind w:left="327" w:leftChars="156"/>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满足磋商文件要求且价格最低的最后磋商报价为磋商基准价。</w:t>
      </w:r>
    </w:p>
    <w:p>
      <w:pPr>
        <w:spacing w:line="440" w:lineRule="exact"/>
        <w:ind w:firstLine="330" w:firstLineChars="1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1）有效供应商的最后磋商报价等于磋商基准价时其商务分为满分</w:t>
      </w:r>
      <w:r>
        <w:rPr>
          <w:rFonts w:hint="eastAsia" w:ascii="新宋体" w:hAnsi="新宋体" w:eastAsia="新宋体" w:cs="新宋体"/>
          <w:color w:val="auto"/>
          <w:sz w:val="22"/>
          <w:highlight w:val="none"/>
          <w:lang w:val="en-US" w:eastAsia="zh-CN"/>
        </w:rPr>
        <w:t>20</w:t>
      </w:r>
      <w:r>
        <w:rPr>
          <w:rFonts w:hint="eastAsia" w:ascii="新宋体" w:hAnsi="新宋体" w:eastAsia="新宋体" w:cs="新宋体"/>
          <w:color w:val="auto"/>
          <w:sz w:val="22"/>
          <w:highlight w:val="none"/>
        </w:rPr>
        <w:t>分；</w:t>
      </w:r>
    </w:p>
    <w:p>
      <w:pPr>
        <w:spacing w:line="440" w:lineRule="exact"/>
        <w:ind w:firstLine="330" w:firstLineChars="1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2）其他供应商的价格分按以下公式计算：</w:t>
      </w:r>
    </w:p>
    <w:p>
      <w:pPr>
        <w:spacing w:line="440" w:lineRule="exact"/>
        <w:ind w:left="657" w:leftChars="313"/>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商务分得分=（磋商基准价/供应商最后磋商报价）×</w:t>
      </w:r>
      <w:r>
        <w:rPr>
          <w:rFonts w:hint="eastAsia" w:ascii="新宋体" w:hAnsi="新宋体" w:eastAsia="新宋体" w:cs="新宋体"/>
          <w:color w:val="auto"/>
          <w:sz w:val="22"/>
          <w:highlight w:val="none"/>
          <w:lang w:val="en-US" w:eastAsia="zh-CN"/>
        </w:rPr>
        <w:t>20</w:t>
      </w:r>
      <w:r>
        <w:rPr>
          <w:rFonts w:hint="eastAsia" w:ascii="新宋体" w:hAnsi="新宋体" w:eastAsia="新宋体" w:cs="新宋体"/>
          <w:color w:val="auto"/>
          <w:sz w:val="22"/>
          <w:highlight w:val="none"/>
        </w:rPr>
        <w:t>% ×100（四舍五入后保留小数2位）</w:t>
      </w:r>
    </w:p>
    <w:p>
      <w:pPr>
        <w:spacing w:line="400" w:lineRule="exact"/>
        <w:ind w:firstLine="221" w:firstLineChars="1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3）本项目为对应的中小企业划分标准所属行业：</w:t>
      </w:r>
      <w:r>
        <w:rPr>
          <w:rFonts w:hint="eastAsia" w:ascii="新宋体" w:hAnsi="新宋体" w:eastAsia="新宋体" w:cs="新宋体"/>
          <w:b/>
          <w:color w:val="auto"/>
          <w:sz w:val="22"/>
          <w:szCs w:val="22"/>
          <w:highlight w:val="none"/>
          <w:u w:val="single"/>
          <w:lang w:val="en-US" w:eastAsia="zh-CN"/>
        </w:rPr>
        <w:t>批发</w:t>
      </w:r>
      <w:r>
        <w:rPr>
          <w:rFonts w:hint="eastAsia" w:ascii="新宋体" w:hAnsi="新宋体" w:eastAsia="新宋体" w:cs="新宋体"/>
          <w:b/>
          <w:color w:val="auto"/>
          <w:sz w:val="22"/>
          <w:szCs w:val="22"/>
          <w:highlight w:val="none"/>
          <w:u w:val="single"/>
        </w:rPr>
        <w:t>业</w:t>
      </w:r>
      <w:r>
        <w:rPr>
          <w:rFonts w:hint="eastAsia" w:ascii="新宋体" w:hAnsi="新宋体" w:eastAsia="新宋体" w:cs="新宋体"/>
          <w:b/>
          <w:color w:val="auto"/>
          <w:sz w:val="22"/>
          <w:szCs w:val="22"/>
          <w:highlight w:val="none"/>
        </w:rPr>
        <w:t>。</w:t>
      </w:r>
    </w:p>
    <w:p>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b/>
          <w:bCs/>
          <w:color w:val="auto"/>
          <w:sz w:val="22"/>
          <w:szCs w:val="22"/>
          <w:highlight w:val="none"/>
        </w:rPr>
        <w:t>政府采购政策说明:本项目专门面向中小企业采购，不再进行价格扣除。</w:t>
      </w:r>
    </w:p>
    <w:p>
      <w:pPr>
        <w:spacing w:line="44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有效供应商的综合得分为商务技术得分和最后磋商报价得分的总和。</w:t>
      </w:r>
    </w:p>
    <w:p>
      <w:pPr>
        <w:rPr>
          <w:rFonts w:hint="eastAsia" w:ascii="新宋体" w:hAnsi="新宋体" w:eastAsia="新宋体" w:cs="新宋体"/>
          <w:color w:val="auto"/>
          <w:sz w:val="36"/>
          <w:szCs w:val="36"/>
          <w:highlight w:val="none"/>
        </w:rPr>
      </w:pPr>
      <w:bookmarkStart w:id="187" w:name="_Toc245191320"/>
      <w:bookmarkStart w:id="188" w:name="_Toc221374632"/>
      <w:bookmarkStart w:id="189" w:name="_Toc245722287"/>
      <w:bookmarkStart w:id="190" w:name="_Toc221423625"/>
      <w:bookmarkStart w:id="191" w:name="_Toc246261271"/>
      <w:bookmarkStart w:id="192" w:name="_Toc221356894"/>
      <w:bookmarkStart w:id="193" w:name="_Toc241404208"/>
      <w:bookmarkStart w:id="194" w:name="_Toc221356957"/>
      <w:bookmarkStart w:id="195" w:name="_Toc249758721"/>
      <w:bookmarkStart w:id="196" w:name="_Toc262049425"/>
      <w:bookmarkStart w:id="197" w:name="_Toc222114885"/>
      <w:bookmarkStart w:id="198" w:name="_Toc239145360"/>
      <w:bookmarkStart w:id="199" w:name="_Toc262105510"/>
      <w:bookmarkStart w:id="200" w:name="_Toc249758871"/>
      <w:bookmarkStart w:id="201" w:name="_Toc223716004"/>
      <w:r>
        <w:rPr>
          <w:rFonts w:hint="eastAsia" w:ascii="新宋体" w:hAnsi="新宋体" w:eastAsia="新宋体" w:cs="新宋体"/>
          <w:color w:val="auto"/>
          <w:sz w:val="36"/>
          <w:szCs w:val="36"/>
          <w:highlight w:val="none"/>
        </w:rPr>
        <w:br w:type="page"/>
      </w:r>
    </w:p>
    <w:p>
      <w:pPr>
        <w:pStyle w:val="2"/>
        <w:spacing w:line="440" w:lineRule="exact"/>
        <w:rPr>
          <w:rFonts w:hint="eastAsia" w:ascii="新宋体" w:hAnsi="新宋体" w:eastAsia="新宋体" w:cs="新宋体"/>
          <w:color w:val="auto"/>
          <w:sz w:val="36"/>
          <w:szCs w:val="36"/>
          <w:highlight w:val="none"/>
        </w:rPr>
      </w:pPr>
      <w:bookmarkStart w:id="202" w:name="_Toc4830"/>
      <w:r>
        <w:rPr>
          <w:rFonts w:hint="eastAsia" w:ascii="新宋体" w:hAnsi="新宋体" w:eastAsia="新宋体" w:cs="新宋体"/>
          <w:color w:val="auto"/>
          <w:sz w:val="36"/>
          <w:szCs w:val="36"/>
          <w:highlight w:val="none"/>
        </w:rPr>
        <w:t xml:space="preserve">第四部分   </w:t>
      </w:r>
      <w:bookmarkStart w:id="203" w:name="_Toc221356897"/>
      <w:bookmarkStart w:id="204" w:name="_Toc239145361"/>
      <w:bookmarkStart w:id="205" w:name="_Toc246261272"/>
      <w:bookmarkStart w:id="206" w:name="_Toc249758872"/>
      <w:bookmarkStart w:id="207" w:name="_Toc222114886"/>
      <w:bookmarkStart w:id="208" w:name="_Toc245722288"/>
      <w:bookmarkStart w:id="209" w:name="_Toc241404209"/>
      <w:bookmarkStart w:id="210" w:name="_Toc221356960"/>
      <w:bookmarkStart w:id="211" w:name="_Toc221374633"/>
      <w:bookmarkStart w:id="212" w:name="_Toc223716005"/>
      <w:bookmarkStart w:id="213" w:name="_Toc221423626"/>
      <w:bookmarkStart w:id="214" w:name="_Toc245191321"/>
      <w:bookmarkStart w:id="215" w:name="_Toc262105511"/>
      <w:bookmarkStart w:id="216" w:name="_Toc249758722"/>
      <w:bookmarkStart w:id="217" w:name="_Toc26204942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新宋体" w:hAnsi="新宋体" w:eastAsia="新宋体" w:cs="新宋体"/>
          <w:color w:val="auto"/>
          <w:sz w:val="36"/>
          <w:szCs w:val="36"/>
          <w:highlight w:val="none"/>
        </w:rPr>
        <w:t>合同格式</w:t>
      </w:r>
      <w:bookmarkEnd w:id="202"/>
    </w:p>
    <w:p>
      <w:pPr>
        <w:spacing w:line="440" w:lineRule="exact"/>
        <w:ind w:firstLine="440" w:firstLineChars="200"/>
        <w:rPr>
          <w:rFonts w:hint="eastAsia" w:ascii="新宋体" w:hAnsi="新宋体" w:eastAsia="新宋体" w:cs="新宋体"/>
          <w:color w:val="auto"/>
          <w:sz w:val="22"/>
          <w:szCs w:val="22"/>
          <w:highlight w:val="none"/>
        </w:rPr>
      </w:pPr>
      <w:bookmarkStart w:id="218" w:name="_Toc525719521"/>
      <w:r>
        <w:rPr>
          <w:rFonts w:hint="eastAsia" w:ascii="新宋体" w:hAnsi="新宋体" w:eastAsia="新宋体" w:cs="新宋体"/>
          <w:color w:val="auto"/>
          <w:sz w:val="22"/>
          <w:szCs w:val="22"/>
          <w:highlight w:val="none"/>
        </w:rPr>
        <w:t>说明：如甲、乙双方同意，合同格式也可以按照其他形式。但合同条款的基本内容应与本合同要求的内容相一致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不得作实质性修改</w:t>
      </w:r>
      <w:r>
        <w:rPr>
          <w:rFonts w:hint="eastAsia" w:ascii="新宋体" w:hAnsi="新宋体" w:eastAsia="新宋体" w:cs="新宋体"/>
          <w:color w:val="auto"/>
          <w:sz w:val="22"/>
          <w:szCs w:val="22"/>
          <w:highlight w:val="none"/>
        </w:rPr>
        <w:t>。</w:t>
      </w:r>
    </w:p>
    <w:p>
      <w:pPr>
        <w:widowControl w:val="0"/>
        <w:wordWrap/>
        <w:spacing w:line="400" w:lineRule="exact"/>
        <w:ind w:firstLine="440" w:firstLineChars="200"/>
        <w:rPr>
          <w:rFonts w:hint="eastAsia" w:ascii="新宋体" w:hAnsi="新宋体" w:eastAsia="新宋体" w:cs="新宋体"/>
          <w:color w:val="auto"/>
          <w:sz w:val="22"/>
          <w:szCs w:val="22"/>
          <w:highlight w:val="none"/>
        </w:rPr>
      </w:pPr>
      <w:bookmarkStart w:id="219" w:name="_Toc221356955"/>
      <w:bookmarkStart w:id="220" w:name="_Toc262049422"/>
      <w:bookmarkStart w:id="221" w:name="_Toc246261269"/>
      <w:bookmarkStart w:id="222" w:name="_Toc249758716"/>
      <w:bookmarkStart w:id="223" w:name="_Toc241404206"/>
      <w:bookmarkStart w:id="224" w:name="_Toc239145358"/>
      <w:bookmarkStart w:id="225" w:name="_Toc221423623"/>
      <w:bookmarkStart w:id="226" w:name="_Toc221356891"/>
      <w:bookmarkStart w:id="227" w:name="_Toc223716002"/>
      <w:bookmarkStart w:id="228" w:name="_Toc245722285"/>
      <w:bookmarkStart w:id="229" w:name="_Toc245191318"/>
      <w:bookmarkStart w:id="230" w:name="_Toc221374630"/>
      <w:bookmarkStart w:id="231" w:name="_Toc262105507"/>
      <w:bookmarkStart w:id="232" w:name="_Toc222114883"/>
      <w:bookmarkStart w:id="233" w:name="_Toc249758868"/>
    </w:p>
    <w:p>
      <w:pPr>
        <w:widowControl w:val="0"/>
        <w:wordWrap/>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p>
    <w:p>
      <w:pPr>
        <w:widowControl w:val="0"/>
        <w:wordWrap/>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w:t>
      </w:r>
    </w:p>
    <w:p>
      <w:pPr>
        <w:widowControl w:val="0"/>
        <w:wordWrap/>
        <w:spacing w:line="400" w:lineRule="exact"/>
        <w:ind w:firstLine="525" w:firstLineChars="250"/>
        <w:rPr>
          <w:rFonts w:hint="eastAsia" w:ascii="新宋体" w:hAnsi="新宋体" w:eastAsia="新宋体" w:cs="新宋体"/>
          <w:bCs/>
          <w:color w:val="auto"/>
          <w:szCs w:val="21"/>
          <w:highlight w:val="none"/>
        </w:rPr>
      </w:pPr>
      <w:r>
        <w:rPr>
          <w:rFonts w:hint="eastAsia" w:ascii="新宋体" w:hAnsi="新宋体" w:eastAsia="新宋体" w:cs="新宋体"/>
          <w:bCs/>
          <w:color w:val="auto"/>
          <w:kern w:val="0"/>
          <w:szCs w:val="21"/>
          <w:highlight w:val="none"/>
          <w:u w:val="single"/>
          <w:lang w:val="en-US" w:eastAsia="zh-CN"/>
        </w:rPr>
        <w:t xml:space="preserve">                            </w:t>
      </w:r>
      <w:r>
        <w:rPr>
          <w:rFonts w:hint="eastAsia" w:ascii="新宋体" w:hAnsi="新宋体" w:eastAsia="新宋体" w:cs="新宋体"/>
          <w:bCs/>
          <w:color w:val="auto"/>
          <w:kern w:val="0"/>
          <w:szCs w:val="21"/>
          <w:highlight w:val="none"/>
        </w:rPr>
        <w:t>项目</w:t>
      </w:r>
      <w:r>
        <w:rPr>
          <w:rFonts w:hint="eastAsia" w:ascii="新宋体" w:hAnsi="新宋体" w:eastAsia="新宋体" w:cs="新宋体"/>
          <w:bCs/>
          <w:color w:val="auto"/>
          <w:szCs w:val="21"/>
          <w:highlight w:val="none"/>
        </w:rPr>
        <w:t>（项目编号：</w:t>
      </w:r>
      <w:r>
        <w:rPr>
          <w:rFonts w:hint="eastAsia" w:ascii="新宋体" w:hAnsi="新宋体" w:eastAsia="新宋体" w:cs="新宋体"/>
          <w:bCs/>
          <w:color w:val="auto"/>
          <w:szCs w:val="21"/>
          <w:highlight w:val="none"/>
          <w:u w:val="single"/>
        </w:rPr>
        <w:t xml:space="preserve">          </w:t>
      </w:r>
      <w:r>
        <w:rPr>
          <w:rFonts w:hint="eastAsia" w:ascii="新宋体" w:hAnsi="新宋体" w:eastAsia="新宋体" w:cs="新宋体"/>
          <w:bCs/>
          <w:color w:val="auto"/>
          <w:szCs w:val="21"/>
          <w:highlight w:val="none"/>
        </w:rPr>
        <w:t>）经过评审，确定</w:t>
      </w:r>
      <w:r>
        <w:rPr>
          <w:rFonts w:hint="eastAsia" w:ascii="新宋体" w:hAnsi="新宋体" w:eastAsia="新宋体" w:cs="新宋体"/>
          <w:bCs/>
          <w:color w:val="auto"/>
          <w:szCs w:val="21"/>
          <w:highlight w:val="none"/>
          <w:u w:val="single"/>
        </w:rPr>
        <w:t xml:space="preserve">           </w:t>
      </w:r>
      <w:r>
        <w:rPr>
          <w:rFonts w:hint="eastAsia" w:ascii="新宋体" w:hAnsi="新宋体" w:eastAsia="新宋体" w:cs="新宋体"/>
          <w:bCs/>
          <w:color w:val="auto"/>
          <w:szCs w:val="21"/>
          <w:highlight w:val="none"/>
        </w:rPr>
        <w:t>为本项目的</w:t>
      </w:r>
      <w:r>
        <w:rPr>
          <w:rFonts w:hint="eastAsia" w:ascii="新宋体" w:hAnsi="新宋体" w:eastAsia="新宋体" w:cs="新宋体"/>
          <w:bCs/>
          <w:color w:val="auto"/>
          <w:szCs w:val="21"/>
          <w:highlight w:val="none"/>
          <w:lang w:eastAsia="zh-CN"/>
        </w:rPr>
        <w:t>乙方</w:t>
      </w:r>
      <w:r>
        <w:rPr>
          <w:rFonts w:hint="eastAsia" w:ascii="新宋体" w:hAnsi="新宋体" w:eastAsia="新宋体" w:cs="新宋体"/>
          <w:bCs/>
          <w:color w:val="auto"/>
          <w:szCs w:val="21"/>
          <w:highlight w:val="none"/>
        </w:rPr>
        <w:t>，双方经协商，达成以下条款：</w:t>
      </w:r>
    </w:p>
    <w:p>
      <w:pPr>
        <w:widowControl w:val="0"/>
        <w:wordWrap/>
        <w:spacing w:before="120" w:beforeLines="50" w:after="120" w:afterLines="50" w:line="400" w:lineRule="exact"/>
        <w:rPr>
          <w:rFonts w:hint="eastAsia" w:ascii="新宋体" w:hAnsi="新宋体" w:eastAsia="新宋体" w:cs="新宋体"/>
          <w:bCs/>
          <w:color w:val="auto"/>
          <w:kern w:val="0"/>
          <w:szCs w:val="21"/>
          <w:highlight w:val="none"/>
        </w:rPr>
      </w:pPr>
      <w:r>
        <w:rPr>
          <w:rFonts w:hint="eastAsia" w:ascii="新宋体" w:hAnsi="新宋体" w:eastAsia="新宋体" w:cs="新宋体"/>
          <w:bCs/>
          <w:color w:val="auto"/>
          <w:szCs w:val="21"/>
          <w:highlight w:val="none"/>
        </w:rPr>
        <w:t>一、</w:t>
      </w:r>
      <w:r>
        <w:rPr>
          <w:rFonts w:hint="eastAsia" w:ascii="新宋体" w:hAnsi="新宋体" w:eastAsia="新宋体" w:cs="新宋体"/>
          <w:bCs/>
          <w:color w:val="auto"/>
          <w:szCs w:val="21"/>
          <w:highlight w:val="none"/>
          <w:lang w:val="en-US" w:eastAsia="zh-CN"/>
        </w:rPr>
        <w:t>服务（</w:t>
      </w:r>
      <w:r>
        <w:rPr>
          <w:rFonts w:hint="eastAsia" w:ascii="新宋体" w:hAnsi="新宋体" w:eastAsia="新宋体" w:cs="新宋体"/>
          <w:bCs/>
          <w:color w:val="auto"/>
          <w:szCs w:val="21"/>
          <w:highlight w:val="none"/>
        </w:rPr>
        <w:t>配送</w:t>
      </w:r>
      <w:r>
        <w:rPr>
          <w:rFonts w:hint="eastAsia" w:ascii="新宋体" w:hAnsi="新宋体" w:eastAsia="新宋体" w:cs="新宋体"/>
          <w:bCs/>
          <w:color w:val="auto"/>
          <w:szCs w:val="21"/>
          <w:highlight w:val="none"/>
          <w:lang w:eastAsia="zh-CN"/>
        </w:rPr>
        <w:t>）</w:t>
      </w:r>
      <w:r>
        <w:rPr>
          <w:rFonts w:hint="eastAsia" w:ascii="新宋体" w:hAnsi="新宋体" w:eastAsia="新宋体" w:cs="新宋体"/>
          <w:bCs/>
          <w:color w:val="auto"/>
          <w:szCs w:val="21"/>
          <w:highlight w:val="none"/>
        </w:rPr>
        <w:t>期限：</w:t>
      </w:r>
      <w:r>
        <w:rPr>
          <w:rFonts w:hint="eastAsia" w:ascii="新宋体" w:hAnsi="新宋体" w:eastAsia="新宋体" w:cs="新宋体"/>
          <w:bCs/>
          <w:szCs w:val="21"/>
        </w:rPr>
        <w:t>合同签订之日起一年</w:t>
      </w:r>
      <w:r>
        <w:rPr>
          <w:rFonts w:hint="eastAsia" w:ascii="新宋体" w:hAnsi="新宋体" w:eastAsia="新宋体" w:cs="新宋体"/>
          <w:bCs/>
          <w:color w:val="auto"/>
          <w:szCs w:val="21"/>
          <w:highlight w:val="none"/>
          <w:lang w:val="en-US" w:eastAsia="zh-CN"/>
        </w:rPr>
        <w:t>（</w:t>
      </w:r>
      <w:r>
        <w:rPr>
          <w:rFonts w:hint="eastAsia" w:ascii="新宋体" w:hAnsi="新宋体" w:eastAsia="新宋体" w:cs="新宋体"/>
          <w:bCs/>
          <w:color w:val="auto"/>
          <w:kern w:val="0"/>
          <w:szCs w:val="21"/>
          <w:highlight w:val="none"/>
        </w:rPr>
        <w:t>20   年  月  日至20 年 月 日</w:t>
      </w:r>
      <w:r>
        <w:rPr>
          <w:rFonts w:hint="eastAsia" w:ascii="新宋体" w:hAnsi="新宋体" w:eastAsia="新宋体" w:cs="新宋体"/>
          <w:bCs/>
          <w:color w:val="auto"/>
          <w:kern w:val="0"/>
          <w:szCs w:val="21"/>
          <w:highlight w:val="none"/>
          <w:lang w:eastAsia="zh-CN"/>
        </w:rPr>
        <w:t>）</w:t>
      </w:r>
      <w:r>
        <w:rPr>
          <w:rFonts w:hint="eastAsia" w:ascii="新宋体" w:hAnsi="新宋体" w:eastAsia="新宋体" w:cs="新宋体"/>
          <w:bCs/>
          <w:color w:val="auto"/>
          <w:kern w:val="0"/>
          <w:szCs w:val="21"/>
          <w:highlight w:val="none"/>
        </w:rPr>
        <w:t>。</w:t>
      </w:r>
    </w:p>
    <w:p>
      <w:pPr>
        <w:widowControl w:val="0"/>
        <w:wordWrap/>
        <w:spacing w:before="120" w:beforeLines="50" w:after="120" w:afterLines="50" w:line="400" w:lineRule="exact"/>
        <w:rPr>
          <w:rFonts w:hint="eastAsia" w:ascii="新宋体" w:hAnsi="新宋体" w:eastAsia="新宋体" w:cs="新宋体"/>
          <w:bCs/>
          <w:color w:val="auto"/>
          <w:szCs w:val="21"/>
          <w:highlight w:val="none"/>
        </w:rPr>
      </w:pPr>
      <w:bookmarkStart w:id="234" w:name="_Toc389144042"/>
      <w:r>
        <w:rPr>
          <w:rFonts w:hint="eastAsia" w:ascii="新宋体" w:hAnsi="新宋体" w:eastAsia="新宋体" w:cs="新宋体"/>
          <w:bCs/>
          <w:color w:val="auto"/>
          <w:szCs w:val="21"/>
          <w:highlight w:val="none"/>
        </w:rPr>
        <w:t>二、</w:t>
      </w:r>
      <w:bookmarkEnd w:id="234"/>
      <w:r>
        <w:rPr>
          <w:rFonts w:hint="eastAsia" w:ascii="新宋体" w:hAnsi="新宋体" w:eastAsia="新宋体" w:cs="新宋体"/>
          <w:bCs/>
          <w:color w:val="auto"/>
          <w:szCs w:val="21"/>
          <w:highlight w:val="none"/>
        </w:rPr>
        <w:t>价款及结算方式</w:t>
      </w:r>
    </w:p>
    <w:p>
      <w:pPr>
        <w:widowControl w:val="0"/>
        <w:wordWrap/>
        <w:spacing w:line="400" w:lineRule="exact"/>
        <w:ind w:firstLine="405" w:firstLineChars="193"/>
        <w:rPr>
          <w:rFonts w:hint="eastAsia" w:ascii="新宋体" w:hAnsi="新宋体" w:eastAsia="新宋体" w:cs="新宋体"/>
          <w:bCs/>
          <w:color w:val="auto"/>
          <w:szCs w:val="21"/>
          <w:highlight w:val="none"/>
        </w:rPr>
      </w:pPr>
      <w:bookmarkStart w:id="235" w:name="_Toc389144043"/>
      <w:r>
        <w:rPr>
          <w:rFonts w:hint="eastAsia" w:ascii="新宋体" w:hAnsi="新宋体" w:eastAsia="新宋体" w:cs="新宋体"/>
          <w:bCs/>
          <w:color w:val="auto"/>
          <w:szCs w:val="21"/>
          <w:highlight w:val="none"/>
        </w:rPr>
        <w:t>1、合同价</w:t>
      </w:r>
    </w:p>
    <w:tbl>
      <w:tblPr>
        <w:tblStyle w:val="45"/>
        <w:tblW w:w="9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6"/>
        <w:gridCol w:w="3085"/>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6" w:type="dxa"/>
            <w:vAlign w:val="top"/>
          </w:tcPr>
          <w:p>
            <w:pPr>
              <w:widowControl w:val="0"/>
              <w:wordWrap/>
              <w:autoSpaceDE w:val="0"/>
              <w:autoSpaceDN w:val="0"/>
              <w:adjustRightInd w:val="0"/>
              <w:spacing w:line="400" w:lineRule="exact"/>
              <w:ind w:firstLine="420" w:firstLineChars="200"/>
              <w:jc w:val="center"/>
              <w:textAlignment w:val="bottom"/>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rPr>
              <w:t>内容</w:t>
            </w:r>
          </w:p>
        </w:tc>
        <w:tc>
          <w:tcPr>
            <w:tcW w:w="3085" w:type="dxa"/>
            <w:vAlign w:val="top"/>
          </w:tcPr>
          <w:p>
            <w:pPr>
              <w:widowControl w:val="0"/>
              <w:wordWrap/>
              <w:autoSpaceDE w:val="0"/>
              <w:autoSpaceDN w:val="0"/>
              <w:adjustRightInd w:val="0"/>
              <w:spacing w:line="400" w:lineRule="exact"/>
              <w:ind w:firstLine="420" w:firstLineChars="200"/>
              <w:jc w:val="center"/>
              <w:textAlignment w:val="bottom"/>
              <w:rPr>
                <w:rFonts w:hint="eastAsia" w:ascii="新宋体" w:hAnsi="新宋体" w:eastAsia="新宋体" w:cs="新宋体"/>
                <w:b w:val="0"/>
                <w:bCs/>
                <w:color w:val="auto"/>
                <w:sz w:val="21"/>
                <w:szCs w:val="21"/>
                <w:highlight w:val="none"/>
                <w:lang w:eastAsia="zh-CN"/>
              </w:rPr>
            </w:pPr>
            <w:r>
              <w:rPr>
                <w:rFonts w:hint="eastAsia" w:ascii="新宋体" w:hAnsi="新宋体" w:eastAsia="新宋体" w:cs="新宋体"/>
                <w:b w:val="0"/>
                <w:bCs/>
                <w:color w:val="auto"/>
                <w:sz w:val="21"/>
                <w:szCs w:val="21"/>
                <w:highlight w:val="none"/>
              </w:rPr>
              <w:t>投标折扣率</w:t>
            </w:r>
          </w:p>
        </w:tc>
        <w:tc>
          <w:tcPr>
            <w:tcW w:w="3079" w:type="dxa"/>
            <w:vAlign w:val="top"/>
          </w:tcPr>
          <w:p>
            <w:pPr>
              <w:widowControl w:val="0"/>
              <w:wordWrap/>
              <w:autoSpaceDE w:val="0"/>
              <w:autoSpaceDN w:val="0"/>
              <w:adjustRightInd w:val="0"/>
              <w:spacing w:line="400" w:lineRule="exact"/>
              <w:ind w:firstLine="420" w:firstLineChars="200"/>
              <w:jc w:val="center"/>
              <w:textAlignment w:val="bottom"/>
              <w:rPr>
                <w:rFonts w:hint="eastAsia" w:ascii="新宋体" w:hAnsi="新宋体" w:eastAsia="新宋体" w:cs="新宋体"/>
                <w:b w:val="0"/>
                <w:bCs/>
                <w:color w:val="auto"/>
                <w:sz w:val="21"/>
                <w:szCs w:val="21"/>
                <w:highlight w:val="none"/>
                <w:lang w:val="en-US" w:eastAsia="zh-CN"/>
              </w:rPr>
            </w:pPr>
            <w:r>
              <w:rPr>
                <w:rFonts w:hint="eastAsia" w:ascii="新宋体" w:hAnsi="新宋体" w:eastAsia="新宋体" w:cs="新宋体"/>
                <w:b w:val="0"/>
                <w:bCs/>
                <w:color w:val="auto"/>
                <w:sz w:val="21"/>
                <w:szCs w:val="21"/>
                <w:highlight w:val="none"/>
                <w:lang w:val="en-US" w:eastAsia="zh-CN"/>
              </w:rPr>
              <w:t>合同总价（元）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6" w:type="dxa"/>
            <w:vAlign w:val="top"/>
          </w:tcPr>
          <w:p>
            <w:pPr>
              <w:widowControl w:val="0"/>
              <w:wordWrap/>
              <w:autoSpaceDE w:val="0"/>
              <w:autoSpaceDN w:val="0"/>
              <w:adjustRightInd w:val="0"/>
              <w:spacing w:line="400" w:lineRule="exact"/>
              <w:ind w:firstLine="420" w:firstLineChars="200"/>
              <w:jc w:val="center"/>
              <w:textAlignment w:val="bottom"/>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eastAsia="zh-CN"/>
              </w:rPr>
              <w:t>南郊街道办事处食堂菜品配送采购项目</w:t>
            </w:r>
          </w:p>
        </w:tc>
        <w:tc>
          <w:tcPr>
            <w:tcW w:w="3085" w:type="dxa"/>
            <w:vAlign w:val="top"/>
          </w:tcPr>
          <w:p>
            <w:pPr>
              <w:widowControl w:val="0"/>
              <w:wordWrap/>
              <w:autoSpaceDE w:val="0"/>
              <w:autoSpaceDN w:val="0"/>
              <w:adjustRightInd w:val="0"/>
              <w:spacing w:line="400" w:lineRule="exact"/>
              <w:ind w:firstLine="420" w:firstLineChars="200"/>
              <w:jc w:val="center"/>
              <w:textAlignment w:val="bottom"/>
              <w:rPr>
                <w:rFonts w:hint="eastAsia" w:ascii="新宋体" w:hAnsi="新宋体" w:eastAsia="新宋体" w:cs="新宋体"/>
                <w:b w:val="0"/>
                <w:bCs/>
                <w:color w:val="auto"/>
                <w:sz w:val="21"/>
                <w:szCs w:val="21"/>
                <w:highlight w:val="none"/>
              </w:rPr>
            </w:pPr>
          </w:p>
        </w:tc>
        <w:tc>
          <w:tcPr>
            <w:tcW w:w="3079" w:type="dxa"/>
            <w:vAlign w:val="top"/>
          </w:tcPr>
          <w:p>
            <w:pPr>
              <w:widowControl w:val="0"/>
              <w:wordWrap/>
              <w:autoSpaceDE w:val="0"/>
              <w:autoSpaceDN w:val="0"/>
              <w:adjustRightInd w:val="0"/>
              <w:spacing w:line="400" w:lineRule="exact"/>
              <w:ind w:firstLine="420" w:firstLineChars="200"/>
              <w:jc w:val="center"/>
              <w:textAlignment w:val="bottom"/>
              <w:rPr>
                <w:rFonts w:hint="eastAsia" w:ascii="新宋体" w:hAnsi="新宋体" w:eastAsia="新宋体" w:cs="新宋体"/>
                <w:b w:val="0"/>
                <w:bCs/>
                <w:color w:val="auto"/>
                <w:sz w:val="21"/>
                <w:szCs w:val="21"/>
                <w:highlight w:val="none"/>
              </w:rPr>
            </w:pPr>
          </w:p>
        </w:tc>
      </w:tr>
    </w:tbl>
    <w:p>
      <w:pPr>
        <w:widowControl w:val="0"/>
        <w:wordWrap/>
        <w:autoSpaceDE w:val="0"/>
        <w:autoSpaceDN w:val="0"/>
        <w:adjustRightInd w:val="0"/>
        <w:snapToGrid w:val="0"/>
        <w:spacing w:line="400" w:lineRule="exact"/>
        <w:ind w:firstLine="405" w:firstLineChars="193"/>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2、</w:t>
      </w:r>
      <w:r>
        <w:rPr>
          <w:rFonts w:hint="eastAsia" w:ascii="新宋体" w:hAnsi="新宋体" w:eastAsia="新宋体" w:cs="新宋体"/>
          <w:bCs/>
          <w:color w:val="auto"/>
          <w:szCs w:val="21"/>
          <w:highlight w:val="none"/>
          <w:lang w:val="en-US" w:eastAsia="zh-CN"/>
        </w:rPr>
        <w:t>合同</w:t>
      </w:r>
      <w:r>
        <w:rPr>
          <w:rFonts w:hint="eastAsia" w:ascii="新宋体" w:hAnsi="新宋体" w:eastAsia="新宋体" w:cs="新宋体"/>
          <w:bCs/>
          <w:color w:val="auto"/>
          <w:szCs w:val="21"/>
          <w:highlight w:val="none"/>
        </w:rPr>
        <w:t>款结算</w:t>
      </w:r>
    </w:p>
    <w:p>
      <w:pPr>
        <w:widowControl w:val="0"/>
        <w:numPr>
          <w:ilvl w:val="0"/>
          <w:numId w:val="43"/>
        </w:numPr>
        <w:wordWrap/>
        <w:adjustRightInd w:val="0"/>
        <w:snapToGrid w:val="0"/>
        <w:spacing w:line="400" w:lineRule="exact"/>
        <w:ind w:left="425" w:leftChars="0" w:firstLine="415" w:firstLineChars="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在财政资金拨付到位的情况下，</w:t>
      </w:r>
      <w:r>
        <w:rPr>
          <w:rFonts w:hint="eastAsia" w:ascii="新宋体" w:hAnsi="新宋体" w:eastAsia="新宋体" w:cs="新宋体"/>
          <w:color w:val="auto"/>
          <w:kern w:val="2"/>
          <w:sz w:val="22"/>
          <w:szCs w:val="22"/>
          <w:highlight w:val="none"/>
          <w:lang w:val="en-US" w:eastAsia="zh-CN" w:bidi="ar-SA"/>
        </w:rPr>
        <w:t>结算周期为一个月结算一次。甲方每月对乙方上一月供货服务进行考核，然后根据考核结果向乙方支付上一月费用。</w:t>
      </w:r>
    </w:p>
    <w:p>
      <w:pPr>
        <w:widowControl w:val="0"/>
        <w:numPr>
          <w:ilvl w:val="0"/>
          <w:numId w:val="43"/>
        </w:numPr>
        <w:wordWrap/>
        <w:adjustRightInd w:val="0"/>
        <w:snapToGrid w:val="0"/>
        <w:spacing w:line="400" w:lineRule="exact"/>
        <w:ind w:left="425" w:leftChars="0" w:firstLine="415" w:firstLineChars="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如考核得分高于90分（含），全额支付该月应付款；如考核得分低于90分且高于80分（含）的，</w:t>
      </w:r>
      <w:r>
        <w:rPr>
          <w:rFonts w:hint="eastAsia" w:ascii="新宋体" w:hAnsi="新宋体" w:eastAsia="新宋体" w:cs="新宋体"/>
          <w:bCs/>
          <w:color w:val="auto"/>
          <w:kern w:val="0"/>
          <w:sz w:val="22"/>
          <w:szCs w:val="22"/>
          <w:highlight w:val="none"/>
          <w:lang w:eastAsia="zh-CN"/>
        </w:rPr>
        <w:t>90分以下每扣</w:t>
      </w:r>
      <w:r>
        <w:rPr>
          <w:rFonts w:hint="eastAsia" w:ascii="新宋体" w:hAnsi="新宋体" w:eastAsia="新宋体" w:cs="新宋体"/>
          <w:bCs/>
          <w:color w:val="auto"/>
          <w:kern w:val="0"/>
          <w:sz w:val="22"/>
          <w:szCs w:val="22"/>
          <w:highlight w:val="none"/>
          <w:lang w:val="en-US" w:eastAsia="zh-CN"/>
        </w:rPr>
        <w:t>1</w:t>
      </w:r>
      <w:r>
        <w:rPr>
          <w:rFonts w:hint="eastAsia" w:ascii="新宋体" w:hAnsi="新宋体" w:eastAsia="新宋体" w:cs="新宋体"/>
          <w:bCs/>
          <w:color w:val="auto"/>
          <w:kern w:val="0"/>
          <w:sz w:val="22"/>
          <w:szCs w:val="22"/>
          <w:highlight w:val="none"/>
          <w:lang w:eastAsia="zh-CN"/>
        </w:rPr>
        <w:t>分供应商支付3000元违约金</w:t>
      </w:r>
      <w:r>
        <w:rPr>
          <w:rFonts w:hint="eastAsia" w:ascii="新宋体" w:hAnsi="新宋体" w:eastAsia="新宋体" w:cs="新宋体"/>
          <w:color w:val="auto"/>
          <w:kern w:val="2"/>
          <w:sz w:val="22"/>
          <w:szCs w:val="22"/>
          <w:highlight w:val="none"/>
          <w:lang w:val="en-US" w:eastAsia="zh-CN" w:bidi="ar-SA"/>
        </w:rPr>
        <w:t>，甲方有权直接从该月应付未付款项中扣除；考核得分累计两次低于80分或一次低于60分，甲方人有权无条件终止合同。</w:t>
      </w:r>
    </w:p>
    <w:p>
      <w:pPr>
        <w:widowControl w:val="0"/>
        <w:numPr>
          <w:ilvl w:val="0"/>
          <w:numId w:val="43"/>
        </w:numPr>
        <w:wordWrap/>
        <w:adjustRightInd w:val="0"/>
        <w:snapToGrid w:val="0"/>
        <w:spacing w:line="400" w:lineRule="exact"/>
        <w:ind w:left="425" w:leftChars="0" w:firstLine="415" w:firstLineChars="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乙方凭当月所有的《送货清单》</w:t>
      </w:r>
      <w:r>
        <w:rPr>
          <w:rFonts w:hint="eastAsia" w:ascii="新宋体" w:hAnsi="新宋体" w:eastAsia="新宋体" w:cs="新宋体"/>
          <w:b w:val="0"/>
          <w:bCs w:val="0"/>
          <w:color w:val="auto"/>
          <w:kern w:val="2"/>
          <w:sz w:val="22"/>
          <w:szCs w:val="22"/>
          <w:highlight w:val="none"/>
          <w:lang w:val="en-US" w:eastAsia="zh-CN" w:bidi="ar-SA"/>
        </w:rPr>
        <w:t>及等额发票</w:t>
      </w:r>
      <w:r>
        <w:rPr>
          <w:rFonts w:hint="eastAsia" w:ascii="新宋体" w:hAnsi="新宋体" w:eastAsia="新宋体" w:cs="新宋体"/>
          <w:color w:val="auto"/>
          <w:kern w:val="2"/>
          <w:sz w:val="22"/>
          <w:szCs w:val="22"/>
          <w:highlight w:val="none"/>
          <w:lang w:val="en-US" w:eastAsia="zh-CN" w:bidi="ar-SA"/>
        </w:rPr>
        <w:t>，进行结算。《送货清单》里面必须包括（不限于）货物单价、数量、总计价及总金额。</w:t>
      </w:r>
    </w:p>
    <w:p>
      <w:pPr>
        <w:widowControl w:val="0"/>
        <w:numPr>
          <w:ilvl w:val="0"/>
          <w:numId w:val="43"/>
        </w:numPr>
        <w:wordWrap/>
        <w:adjustRightInd w:val="0"/>
        <w:snapToGrid w:val="0"/>
        <w:spacing w:line="400" w:lineRule="exact"/>
        <w:ind w:left="425" w:leftChars="0" w:firstLine="415" w:firstLineChars="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如出现因食材问题发生事故，则直接解约合同并赔付合同总额的10%给甲方。</w:t>
      </w:r>
    </w:p>
    <w:p>
      <w:pPr>
        <w:widowControl w:val="0"/>
        <w:numPr>
          <w:ilvl w:val="0"/>
          <w:numId w:val="43"/>
        </w:numPr>
        <w:wordWrap/>
        <w:adjustRightInd w:val="0"/>
        <w:snapToGrid w:val="0"/>
        <w:spacing w:line="400" w:lineRule="exact"/>
        <w:ind w:left="425" w:leftChars="0" w:firstLine="415" w:firstLineChars="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合同款介入乙方指定银行账户，银行账户信息为：</w:t>
      </w:r>
    </w:p>
    <w:p>
      <w:pPr>
        <w:pStyle w:val="89"/>
        <w:widowControl w:val="0"/>
        <w:wordWrap/>
        <w:spacing w:line="400" w:lineRule="exact"/>
        <w:ind w:left="0" w:leftChars="0" w:firstLine="1478" w:firstLineChars="672"/>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账户名称：</w:t>
      </w:r>
    </w:p>
    <w:p>
      <w:pPr>
        <w:pStyle w:val="89"/>
        <w:widowControl w:val="0"/>
        <w:wordWrap/>
        <w:spacing w:line="400" w:lineRule="exact"/>
        <w:ind w:left="0" w:leftChars="0" w:firstLine="1478" w:firstLineChars="672"/>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w:t>
      </w:r>
    </w:p>
    <w:p>
      <w:pPr>
        <w:pStyle w:val="89"/>
        <w:widowControl w:val="0"/>
        <w:wordWrap/>
        <w:spacing w:line="400" w:lineRule="exact"/>
        <w:ind w:left="0" w:leftChars="0" w:firstLine="1478" w:firstLineChars="672"/>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2"/>
          <w:highlight w:val="none"/>
        </w:rPr>
        <w:t>银行账号：</w:t>
      </w:r>
    </w:p>
    <w:p>
      <w:pPr>
        <w:widowControl w:val="0"/>
        <w:wordWrap/>
        <w:spacing w:before="120" w:beforeLines="50" w:after="120" w:afterLines="50" w:line="400" w:lineRule="exact"/>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三、技术资料</w:t>
      </w:r>
      <w:bookmarkEnd w:id="235"/>
    </w:p>
    <w:p>
      <w:pPr>
        <w:widowControl w:val="0"/>
        <w:wordWrap/>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1、没有</w:t>
      </w:r>
      <w:r>
        <w:rPr>
          <w:rFonts w:hint="eastAsia" w:ascii="新宋体" w:hAnsi="新宋体" w:eastAsia="新宋体" w:cs="新宋体"/>
          <w:bCs/>
          <w:color w:val="auto"/>
          <w:szCs w:val="21"/>
          <w:highlight w:val="none"/>
          <w:lang w:eastAsia="zh-CN"/>
        </w:rPr>
        <w:t>甲方</w:t>
      </w:r>
      <w:r>
        <w:rPr>
          <w:rFonts w:hint="eastAsia" w:ascii="新宋体" w:hAnsi="新宋体" w:eastAsia="新宋体" w:cs="新宋体"/>
          <w:bCs/>
          <w:color w:val="auto"/>
          <w:szCs w:val="21"/>
          <w:highlight w:val="none"/>
        </w:rPr>
        <w:t>事先书面同意，</w:t>
      </w:r>
      <w:r>
        <w:rPr>
          <w:rFonts w:hint="eastAsia" w:ascii="新宋体" w:hAnsi="新宋体" w:eastAsia="新宋体" w:cs="新宋体"/>
          <w:bCs/>
          <w:color w:val="auto"/>
          <w:szCs w:val="21"/>
          <w:highlight w:val="none"/>
          <w:lang w:eastAsia="zh-CN"/>
        </w:rPr>
        <w:t>乙方</w:t>
      </w:r>
      <w:r>
        <w:rPr>
          <w:rFonts w:hint="eastAsia" w:ascii="新宋体" w:hAnsi="新宋体" w:eastAsia="新宋体" w:cs="新宋体"/>
          <w:bCs/>
          <w:color w:val="auto"/>
          <w:szCs w:val="21"/>
          <w:highlight w:val="none"/>
        </w:rPr>
        <w:t>不得将由</w:t>
      </w:r>
      <w:r>
        <w:rPr>
          <w:rFonts w:hint="eastAsia" w:ascii="新宋体" w:hAnsi="新宋体" w:eastAsia="新宋体" w:cs="新宋体"/>
          <w:bCs/>
          <w:color w:val="auto"/>
          <w:szCs w:val="21"/>
          <w:highlight w:val="none"/>
          <w:lang w:eastAsia="zh-CN"/>
        </w:rPr>
        <w:t>甲方</w:t>
      </w:r>
      <w:r>
        <w:rPr>
          <w:rFonts w:hint="eastAsia" w:ascii="新宋体" w:hAnsi="新宋体" w:eastAsia="新宋体" w:cs="新宋体"/>
          <w:bCs/>
          <w:color w:val="auto"/>
          <w:szCs w:val="21"/>
          <w:highlight w:val="none"/>
        </w:rPr>
        <w:t>提供的有关合同或任何合同条文、规格、计划或资料提供给与履行本合同无关的任何其他人。即使向履行本合同有关的人员提供，也应注意保密并限于履行合同的必需范围。</w:t>
      </w:r>
    </w:p>
    <w:p>
      <w:pPr>
        <w:widowControl w:val="0"/>
        <w:wordWrap/>
        <w:spacing w:before="120" w:beforeLines="50" w:after="120" w:afterLines="50" w:line="400" w:lineRule="exact"/>
        <w:rPr>
          <w:rFonts w:hint="eastAsia" w:ascii="新宋体" w:hAnsi="新宋体" w:eastAsia="新宋体" w:cs="新宋体"/>
          <w:bCs/>
          <w:color w:val="auto"/>
          <w:szCs w:val="21"/>
          <w:highlight w:val="none"/>
        </w:rPr>
      </w:pPr>
      <w:bookmarkStart w:id="236" w:name="_Toc389144044"/>
      <w:r>
        <w:rPr>
          <w:rFonts w:hint="eastAsia" w:ascii="新宋体" w:hAnsi="新宋体" w:eastAsia="新宋体" w:cs="新宋体"/>
          <w:bCs/>
          <w:color w:val="auto"/>
          <w:szCs w:val="21"/>
          <w:highlight w:val="none"/>
        </w:rPr>
        <w:t>四、转包或分包</w:t>
      </w:r>
      <w:bookmarkEnd w:id="236"/>
    </w:p>
    <w:p>
      <w:pPr>
        <w:widowControl w:val="0"/>
        <w:wordWrap/>
        <w:spacing w:line="400" w:lineRule="exact"/>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 xml:space="preserve">    本合同范围的经营权，应由</w:t>
      </w:r>
      <w:r>
        <w:rPr>
          <w:rFonts w:hint="eastAsia" w:ascii="新宋体" w:hAnsi="新宋体" w:eastAsia="新宋体" w:cs="新宋体"/>
          <w:bCs/>
          <w:color w:val="auto"/>
          <w:szCs w:val="21"/>
          <w:highlight w:val="none"/>
          <w:lang w:val="en-US" w:eastAsia="zh-CN"/>
        </w:rPr>
        <w:t>乙方</w:t>
      </w:r>
      <w:r>
        <w:rPr>
          <w:rFonts w:hint="eastAsia" w:ascii="新宋体" w:hAnsi="新宋体" w:eastAsia="新宋体" w:cs="新宋体"/>
          <w:bCs/>
          <w:color w:val="auto"/>
          <w:szCs w:val="21"/>
          <w:highlight w:val="none"/>
        </w:rPr>
        <w:t>直接经营，不得转让他人，否则</w:t>
      </w:r>
      <w:r>
        <w:rPr>
          <w:rFonts w:hint="eastAsia" w:ascii="新宋体" w:hAnsi="新宋体" w:eastAsia="新宋体" w:cs="新宋体"/>
          <w:bCs/>
          <w:color w:val="auto"/>
          <w:szCs w:val="21"/>
          <w:highlight w:val="none"/>
          <w:lang w:val="en-US" w:eastAsia="zh-CN"/>
        </w:rPr>
        <w:t>甲方</w:t>
      </w:r>
      <w:r>
        <w:rPr>
          <w:rFonts w:hint="eastAsia" w:ascii="新宋体" w:hAnsi="新宋体" w:eastAsia="新宋体" w:cs="新宋体"/>
          <w:bCs/>
          <w:color w:val="auto"/>
          <w:szCs w:val="21"/>
          <w:highlight w:val="none"/>
        </w:rPr>
        <w:t>有权解除合同，并追究</w:t>
      </w:r>
      <w:r>
        <w:rPr>
          <w:rFonts w:hint="eastAsia" w:ascii="新宋体" w:hAnsi="新宋体" w:eastAsia="新宋体" w:cs="新宋体"/>
          <w:bCs/>
          <w:color w:val="auto"/>
          <w:szCs w:val="21"/>
          <w:highlight w:val="none"/>
          <w:lang w:val="en-US" w:eastAsia="zh-CN"/>
        </w:rPr>
        <w:t>乙方</w:t>
      </w:r>
      <w:r>
        <w:rPr>
          <w:rFonts w:hint="eastAsia" w:ascii="新宋体" w:hAnsi="新宋体" w:eastAsia="新宋体" w:cs="新宋体"/>
          <w:bCs/>
          <w:color w:val="auto"/>
          <w:szCs w:val="21"/>
          <w:highlight w:val="none"/>
        </w:rPr>
        <w:t>的违约责任。</w:t>
      </w:r>
    </w:p>
    <w:p>
      <w:pPr>
        <w:widowControl w:val="0"/>
        <w:wordWrap/>
        <w:spacing w:before="120" w:beforeLines="50" w:after="120" w:afterLines="50" w:line="400" w:lineRule="exact"/>
        <w:rPr>
          <w:rFonts w:hint="eastAsia" w:ascii="新宋体" w:hAnsi="新宋体" w:eastAsia="新宋体" w:cs="新宋体"/>
          <w:bCs/>
          <w:color w:val="auto"/>
          <w:szCs w:val="21"/>
          <w:highlight w:val="none"/>
        </w:rPr>
      </w:pPr>
      <w:bookmarkStart w:id="237" w:name="_Toc389144045"/>
      <w:r>
        <w:rPr>
          <w:rFonts w:hint="eastAsia" w:ascii="新宋体" w:hAnsi="新宋体" w:eastAsia="新宋体" w:cs="新宋体"/>
          <w:bCs/>
          <w:color w:val="auto"/>
          <w:szCs w:val="21"/>
          <w:highlight w:val="none"/>
        </w:rPr>
        <w:t>五、</w:t>
      </w:r>
      <w:bookmarkStart w:id="238" w:name="_Toc389144046"/>
      <w:bookmarkEnd w:id="237"/>
      <w:r>
        <w:rPr>
          <w:rFonts w:hint="eastAsia" w:ascii="新宋体" w:hAnsi="新宋体" w:eastAsia="新宋体" w:cs="新宋体"/>
          <w:bCs/>
          <w:color w:val="auto"/>
          <w:szCs w:val="21"/>
          <w:highlight w:val="none"/>
        </w:rPr>
        <w:t>税费</w:t>
      </w:r>
      <w:bookmarkEnd w:id="238"/>
    </w:p>
    <w:p>
      <w:pPr>
        <w:widowControl w:val="0"/>
        <w:wordWrap/>
        <w:spacing w:line="400" w:lineRule="exact"/>
        <w:ind w:firstLine="424" w:firstLineChars="202"/>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本合同执行中相关的一切税费均由</w:t>
      </w:r>
      <w:r>
        <w:rPr>
          <w:rFonts w:hint="eastAsia" w:ascii="新宋体" w:hAnsi="新宋体" w:eastAsia="新宋体" w:cs="新宋体"/>
          <w:bCs/>
          <w:color w:val="auto"/>
          <w:szCs w:val="21"/>
          <w:highlight w:val="none"/>
          <w:lang w:val="en-US" w:eastAsia="zh-CN"/>
        </w:rPr>
        <w:t>乙</w:t>
      </w:r>
      <w:r>
        <w:rPr>
          <w:rFonts w:hint="eastAsia" w:ascii="新宋体" w:hAnsi="新宋体" w:eastAsia="新宋体" w:cs="新宋体"/>
          <w:bCs/>
          <w:color w:val="auto"/>
          <w:szCs w:val="21"/>
          <w:highlight w:val="none"/>
        </w:rPr>
        <w:t>方负担。</w:t>
      </w:r>
    </w:p>
    <w:p>
      <w:pPr>
        <w:widowControl w:val="0"/>
        <w:wordWrap/>
        <w:spacing w:before="120" w:beforeLines="50" w:after="120" w:afterLines="50" w:line="400" w:lineRule="exact"/>
        <w:rPr>
          <w:rFonts w:hint="eastAsia" w:ascii="新宋体" w:hAnsi="新宋体" w:eastAsia="新宋体" w:cs="新宋体"/>
          <w:bCs/>
          <w:color w:val="auto"/>
          <w:szCs w:val="21"/>
          <w:highlight w:val="none"/>
        </w:rPr>
      </w:pPr>
      <w:bookmarkStart w:id="239" w:name="_Toc389144047"/>
      <w:r>
        <w:rPr>
          <w:rFonts w:hint="eastAsia" w:ascii="新宋体" w:hAnsi="新宋体" w:eastAsia="新宋体" w:cs="新宋体"/>
          <w:bCs/>
          <w:color w:val="auto"/>
          <w:szCs w:val="21"/>
          <w:highlight w:val="none"/>
          <w:lang w:val="en-US" w:eastAsia="zh-CN"/>
        </w:rPr>
        <w:t>六</w:t>
      </w:r>
      <w:r>
        <w:rPr>
          <w:rFonts w:hint="eastAsia" w:ascii="新宋体" w:hAnsi="新宋体" w:eastAsia="新宋体" w:cs="新宋体"/>
          <w:bCs/>
          <w:color w:val="auto"/>
          <w:szCs w:val="21"/>
          <w:highlight w:val="none"/>
        </w:rPr>
        <w:t>、质量保证及经营服务</w:t>
      </w:r>
      <w:bookmarkEnd w:id="239"/>
    </w:p>
    <w:p>
      <w:pPr>
        <w:widowControl w:val="0"/>
        <w:wordWrap/>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1、</w:t>
      </w:r>
      <w:r>
        <w:rPr>
          <w:rFonts w:hint="eastAsia" w:ascii="新宋体" w:hAnsi="新宋体" w:eastAsia="新宋体" w:cs="新宋体"/>
          <w:bCs/>
          <w:color w:val="auto"/>
          <w:szCs w:val="21"/>
          <w:highlight w:val="none"/>
          <w:lang w:eastAsia="zh-CN"/>
        </w:rPr>
        <w:t>乙方</w:t>
      </w:r>
      <w:r>
        <w:rPr>
          <w:rFonts w:hint="eastAsia" w:ascii="新宋体" w:hAnsi="新宋体" w:eastAsia="新宋体" w:cs="新宋体"/>
          <w:bCs/>
          <w:color w:val="auto"/>
          <w:szCs w:val="21"/>
          <w:highlight w:val="none"/>
        </w:rPr>
        <w:t>保证本合同中所供应的商品符合国家技术规格和质量标准的合格商品。如发生所供商品与合同不符，由此产生的一切责任和后果由</w:t>
      </w:r>
      <w:r>
        <w:rPr>
          <w:rFonts w:hint="eastAsia" w:ascii="新宋体" w:hAnsi="新宋体" w:eastAsia="新宋体" w:cs="新宋体"/>
          <w:bCs/>
          <w:color w:val="auto"/>
          <w:szCs w:val="21"/>
          <w:highlight w:val="none"/>
          <w:lang w:eastAsia="zh-CN"/>
        </w:rPr>
        <w:t>乙方</w:t>
      </w:r>
      <w:r>
        <w:rPr>
          <w:rFonts w:hint="eastAsia" w:ascii="新宋体" w:hAnsi="新宋体" w:eastAsia="新宋体" w:cs="新宋体"/>
          <w:bCs/>
          <w:color w:val="auto"/>
          <w:szCs w:val="21"/>
          <w:highlight w:val="none"/>
        </w:rPr>
        <w:t>承担。</w:t>
      </w:r>
    </w:p>
    <w:p>
      <w:pPr>
        <w:widowControl w:val="0"/>
        <w:wordWrap/>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2、</w:t>
      </w:r>
      <w:r>
        <w:rPr>
          <w:rFonts w:hint="eastAsia" w:ascii="新宋体" w:hAnsi="新宋体" w:eastAsia="新宋体" w:cs="新宋体"/>
          <w:bCs/>
          <w:color w:val="auto"/>
          <w:szCs w:val="21"/>
          <w:highlight w:val="none"/>
          <w:lang w:eastAsia="zh-CN"/>
        </w:rPr>
        <w:t>乙方</w:t>
      </w:r>
      <w:r>
        <w:rPr>
          <w:rFonts w:hint="eastAsia" w:ascii="新宋体" w:hAnsi="新宋体" w:eastAsia="新宋体" w:cs="新宋体"/>
          <w:bCs/>
          <w:color w:val="auto"/>
          <w:szCs w:val="21"/>
          <w:highlight w:val="none"/>
        </w:rPr>
        <w:t>必须保证合同履行过程中所提供的产品符合国家相关卫生质量标准，保证原材料的新鲜、卫生。如因原材料所致的相关卫生事件及食品安全事件，一切后果及责任均由</w:t>
      </w:r>
      <w:r>
        <w:rPr>
          <w:rFonts w:hint="eastAsia" w:ascii="新宋体" w:hAnsi="新宋体" w:eastAsia="新宋体" w:cs="新宋体"/>
          <w:bCs/>
          <w:color w:val="auto"/>
          <w:szCs w:val="21"/>
          <w:highlight w:val="none"/>
          <w:lang w:eastAsia="zh-CN"/>
        </w:rPr>
        <w:t>乙方</w:t>
      </w:r>
      <w:r>
        <w:rPr>
          <w:rFonts w:hint="eastAsia" w:ascii="新宋体" w:hAnsi="新宋体" w:eastAsia="新宋体" w:cs="新宋体"/>
          <w:bCs/>
          <w:color w:val="auto"/>
          <w:szCs w:val="21"/>
          <w:highlight w:val="none"/>
        </w:rPr>
        <w:t>承担，并赔偿</w:t>
      </w:r>
      <w:r>
        <w:rPr>
          <w:rFonts w:hint="eastAsia" w:ascii="新宋体" w:hAnsi="新宋体" w:eastAsia="新宋体" w:cs="新宋体"/>
          <w:bCs/>
          <w:color w:val="auto"/>
          <w:szCs w:val="21"/>
          <w:highlight w:val="none"/>
          <w:lang w:eastAsia="zh-CN"/>
        </w:rPr>
        <w:t>甲方</w:t>
      </w:r>
      <w:r>
        <w:rPr>
          <w:rFonts w:hint="eastAsia" w:ascii="新宋体" w:hAnsi="新宋体" w:eastAsia="新宋体" w:cs="新宋体"/>
          <w:bCs/>
          <w:color w:val="auto"/>
          <w:szCs w:val="21"/>
          <w:highlight w:val="none"/>
        </w:rPr>
        <w:t>的全部损失。</w:t>
      </w:r>
    </w:p>
    <w:p>
      <w:pPr>
        <w:widowControl w:val="0"/>
        <w:wordWrap/>
        <w:spacing w:before="120" w:beforeLines="50" w:after="120" w:afterLines="50" w:line="400" w:lineRule="exact"/>
        <w:rPr>
          <w:rFonts w:hint="eastAsia" w:ascii="新宋体" w:hAnsi="新宋体" w:eastAsia="新宋体" w:cs="新宋体"/>
          <w:bCs/>
          <w:color w:val="auto"/>
          <w:szCs w:val="21"/>
          <w:highlight w:val="none"/>
        </w:rPr>
      </w:pPr>
      <w:bookmarkStart w:id="240" w:name="_Toc389144048"/>
      <w:r>
        <w:rPr>
          <w:rFonts w:hint="eastAsia" w:ascii="新宋体" w:hAnsi="新宋体" w:eastAsia="新宋体" w:cs="新宋体"/>
          <w:bCs/>
          <w:color w:val="auto"/>
          <w:szCs w:val="21"/>
          <w:highlight w:val="none"/>
          <w:lang w:val="en-US" w:eastAsia="zh-CN"/>
        </w:rPr>
        <w:t>七</w:t>
      </w:r>
      <w:r>
        <w:rPr>
          <w:rFonts w:hint="eastAsia" w:ascii="新宋体" w:hAnsi="新宋体" w:eastAsia="新宋体" w:cs="新宋体"/>
          <w:bCs/>
          <w:color w:val="auto"/>
          <w:szCs w:val="21"/>
          <w:highlight w:val="none"/>
        </w:rPr>
        <w:t>、</w:t>
      </w:r>
      <w:bookmarkStart w:id="241" w:name="_Toc389144049"/>
      <w:bookmarkEnd w:id="240"/>
      <w:r>
        <w:rPr>
          <w:rFonts w:hint="eastAsia" w:ascii="新宋体" w:hAnsi="新宋体" w:eastAsia="新宋体" w:cs="新宋体"/>
          <w:bCs/>
          <w:color w:val="auto"/>
          <w:szCs w:val="21"/>
          <w:highlight w:val="none"/>
        </w:rPr>
        <w:t>不可抗力事件处理</w:t>
      </w:r>
      <w:bookmarkEnd w:id="241"/>
    </w:p>
    <w:p>
      <w:pPr>
        <w:widowControl w:val="0"/>
        <w:wordWrap/>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1、不可抗力事件发生后，应立即通知对方，并寄送有关权威机构出具的证明。</w:t>
      </w:r>
    </w:p>
    <w:p>
      <w:pPr>
        <w:widowControl w:val="0"/>
        <w:wordWrap/>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2、在合同有效期内，任何一方因不可抗力事件导致不能履行合同的，在不可抗力事件延续30天以上，双方应通过友好协商，确定是否继续履行合同。</w:t>
      </w:r>
    </w:p>
    <w:p>
      <w:pPr>
        <w:widowControl w:val="0"/>
        <w:wordWrap/>
        <w:autoSpaceDE w:val="0"/>
        <w:autoSpaceDN w:val="0"/>
        <w:adjustRightInd w:val="0"/>
        <w:spacing w:line="400" w:lineRule="exact"/>
        <w:ind w:firstLine="414"/>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3、本协议未尽事宜，依照有关法律、法规执行，法律、法规未作规定的，双方经协商可以达成书面补充协议。</w:t>
      </w:r>
      <w:bookmarkStart w:id="242" w:name="_Toc389144050"/>
    </w:p>
    <w:p>
      <w:pPr>
        <w:widowControl w:val="0"/>
        <w:wordWrap/>
        <w:autoSpaceDE w:val="0"/>
        <w:autoSpaceDN w:val="0"/>
        <w:adjustRightInd w:val="0"/>
        <w:spacing w:line="400" w:lineRule="exact"/>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szCs w:val="21"/>
          <w:highlight w:val="none"/>
          <w:lang w:val="en-US" w:eastAsia="zh-CN"/>
        </w:rPr>
        <w:t>八</w:t>
      </w:r>
      <w:r>
        <w:rPr>
          <w:rFonts w:hint="eastAsia" w:ascii="新宋体" w:hAnsi="新宋体" w:eastAsia="新宋体" w:cs="新宋体"/>
          <w:bCs/>
          <w:color w:val="auto"/>
          <w:szCs w:val="21"/>
          <w:highlight w:val="none"/>
        </w:rPr>
        <w:t>、诉讼</w:t>
      </w:r>
      <w:bookmarkEnd w:id="242"/>
    </w:p>
    <w:p>
      <w:pPr>
        <w:widowControl w:val="0"/>
        <w:wordWrap/>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双方在执行合同中所发生的一切争议，应通过协商解决。如协商不成，可向</w:t>
      </w:r>
      <w:r>
        <w:rPr>
          <w:rFonts w:hint="eastAsia" w:ascii="新宋体" w:hAnsi="新宋体" w:eastAsia="新宋体" w:cs="新宋体"/>
          <w:bCs/>
          <w:color w:val="auto"/>
          <w:szCs w:val="21"/>
          <w:highlight w:val="none"/>
          <w:lang w:eastAsia="zh-CN"/>
        </w:rPr>
        <w:t>甲方</w:t>
      </w:r>
      <w:r>
        <w:rPr>
          <w:rFonts w:hint="eastAsia" w:ascii="新宋体" w:hAnsi="新宋体" w:eastAsia="新宋体" w:cs="新宋体"/>
          <w:bCs/>
          <w:color w:val="auto"/>
          <w:szCs w:val="21"/>
          <w:highlight w:val="none"/>
        </w:rPr>
        <w:t>所在地法院起诉。</w:t>
      </w:r>
    </w:p>
    <w:p>
      <w:pPr>
        <w:widowControl w:val="0"/>
        <w:wordWrap/>
        <w:autoSpaceDE w:val="0"/>
        <w:autoSpaceDN w:val="0"/>
        <w:adjustRightInd w:val="0"/>
        <w:spacing w:line="400" w:lineRule="exact"/>
        <w:jc w:val="left"/>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en-US" w:eastAsia="zh-CN"/>
        </w:rPr>
        <w:t>九</w:t>
      </w:r>
      <w:r>
        <w:rPr>
          <w:rFonts w:hint="eastAsia" w:ascii="新宋体" w:hAnsi="新宋体" w:eastAsia="新宋体" w:cs="新宋体"/>
          <w:bCs/>
          <w:color w:val="auto"/>
          <w:kern w:val="0"/>
          <w:szCs w:val="21"/>
          <w:highlight w:val="none"/>
          <w:lang w:val="zh-CN"/>
        </w:rPr>
        <w:t>、双方的权利和义务</w:t>
      </w:r>
    </w:p>
    <w:p>
      <w:pPr>
        <w:widowControl w:val="0"/>
        <w:wordWrap/>
        <w:autoSpaceDE w:val="0"/>
        <w:autoSpaceDN w:val="0"/>
        <w:adjustRightInd w:val="0"/>
        <w:spacing w:line="400" w:lineRule="exact"/>
        <w:ind w:firstLine="420" w:firstLineChars="20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1、乙方提供的产品要求（包括但不限于）</w:t>
      </w:r>
    </w:p>
    <w:p>
      <w:pPr>
        <w:widowControl w:val="0"/>
        <w:wordWrap/>
        <w:adjustRightInd w:val="0"/>
        <w:snapToGrid w:val="0"/>
        <w:spacing w:line="400" w:lineRule="exact"/>
        <w:ind w:firstLine="411" w:firstLineChars="196"/>
        <w:rPr>
          <w:rFonts w:hint="eastAsia" w:ascii="新宋体" w:hAnsi="新宋体" w:eastAsia="新宋体" w:cs="新宋体"/>
          <w:bCs/>
          <w:color w:val="auto"/>
          <w:szCs w:val="21"/>
          <w:highlight w:val="none"/>
        </w:rPr>
      </w:pPr>
      <w:r>
        <w:rPr>
          <w:rFonts w:hint="eastAsia" w:ascii="新宋体" w:hAnsi="新宋体" w:eastAsia="新宋体" w:cs="新宋体"/>
          <w:bCs/>
          <w:color w:val="auto"/>
          <w:kern w:val="0"/>
          <w:szCs w:val="21"/>
          <w:highlight w:val="none"/>
          <w:lang w:val="zh-CN"/>
        </w:rPr>
        <w:t>（1）</w:t>
      </w:r>
      <w:r>
        <w:rPr>
          <w:rFonts w:hint="eastAsia" w:ascii="新宋体" w:hAnsi="新宋体" w:eastAsia="新宋体" w:cs="新宋体"/>
          <w:bCs/>
          <w:color w:val="auto"/>
          <w:szCs w:val="21"/>
          <w:highlight w:val="none"/>
        </w:rPr>
        <w:t>食用肉类：有卫生防疫检测印章，无注水；肉新鲜、无异味、无腐烂、无防腐剂保鲜，品质合格无毒无害；家禽类新鲜、无病、无注水。</w:t>
      </w:r>
    </w:p>
    <w:p>
      <w:pPr>
        <w:widowControl w:val="0"/>
        <w:wordWrap/>
        <w:adjustRightInd w:val="0"/>
        <w:snapToGrid w:val="0"/>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（2）蔬菜类：蔬菜新鲜光滑、清脆鲜嫩、无变质腐烂、无黄叶、不带泥沙、无杂草、检验无农药残留等。</w:t>
      </w:r>
    </w:p>
    <w:p>
      <w:pPr>
        <w:widowControl w:val="0"/>
        <w:wordWrap/>
        <w:adjustRightInd w:val="0"/>
        <w:snapToGrid w:val="0"/>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（3）海鲜类：鲜鱼外表鲜艳、鱼体完整，无损伤、鳞片整齐、眼球清晰、鳃无异味，肌肉坚实、有弹性；冻鱼除了具有鲜鱼的质量要求外，包装要完好，鱼体表层无干缩、油烧现象。</w:t>
      </w:r>
    </w:p>
    <w:p>
      <w:pPr>
        <w:widowControl w:val="0"/>
        <w:wordWrap/>
        <w:autoSpaceDE w:val="0"/>
        <w:autoSpaceDN w:val="0"/>
        <w:adjustRightInd w:val="0"/>
        <w:spacing w:line="400" w:lineRule="exact"/>
        <w:ind w:firstLine="405" w:firstLineChars="193"/>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（4）肉、禽、蛋、水产等必须具有动物检验检疫合格证明或化验单；</w:t>
      </w:r>
    </w:p>
    <w:p>
      <w:pPr>
        <w:widowControl w:val="0"/>
        <w:wordWrap/>
        <w:autoSpaceDE w:val="0"/>
        <w:autoSpaceDN w:val="0"/>
        <w:adjustRightInd w:val="0"/>
        <w:spacing w:line="400" w:lineRule="exact"/>
        <w:ind w:firstLine="405" w:firstLineChars="193"/>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（5）豆制品、辅料、半成品必须具有“</w:t>
      </w:r>
      <w:r>
        <w:rPr>
          <w:rFonts w:hint="eastAsia" w:ascii="新宋体" w:hAnsi="新宋体" w:eastAsia="新宋体" w:cs="新宋体"/>
          <w:bCs/>
          <w:color w:val="auto"/>
          <w:kern w:val="0"/>
          <w:szCs w:val="21"/>
          <w:highlight w:val="none"/>
          <w:lang w:val="en-US" w:eastAsia="zh-CN"/>
        </w:rPr>
        <w:t>sc</w:t>
      </w:r>
      <w:r>
        <w:rPr>
          <w:rFonts w:hint="eastAsia" w:ascii="新宋体" w:hAnsi="新宋体" w:eastAsia="新宋体" w:cs="新宋体"/>
          <w:bCs/>
          <w:color w:val="auto"/>
          <w:kern w:val="0"/>
          <w:szCs w:val="21"/>
          <w:highlight w:val="none"/>
          <w:lang w:val="zh-CN"/>
        </w:rPr>
        <w:t>”食品质量安全认证；</w:t>
      </w:r>
    </w:p>
    <w:p>
      <w:pPr>
        <w:widowControl w:val="0"/>
        <w:wordWrap/>
        <w:autoSpaceDE w:val="0"/>
        <w:autoSpaceDN w:val="0"/>
        <w:adjustRightInd w:val="0"/>
        <w:spacing w:line="400" w:lineRule="exact"/>
        <w:ind w:firstLine="405" w:firstLineChars="193"/>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w:t>
      </w:r>
      <w:r>
        <w:rPr>
          <w:rFonts w:hint="eastAsia" w:ascii="新宋体" w:hAnsi="新宋体" w:eastAsia="新宋体" w:cs="新宋体"/>
          <w:bCs/>
          <w:color w:val="auto"/>
          <w:kern w:val="0"/>
          <w:szCs w:val="21"/>
          <w:highlight w:val="none"/>
          <w:lang w:val="en-US" w:eastAsia="zh-CN"/>
        </w:rPr>
        <w:t>6</w:t>
      </w:r>
      <w:r>
        <w:rPr>
          <w:rFonts w:hint="eastAsia" w:ascii="新宋体" w:hAnsi="新宋体" w:eastAsia="新宋体" w:cs="新宋体"/>
          <w:bCs/>
          <w:color w:val="auto"/>
          <w:kern w:val="0"/>
          <w:szCs w:val="21"/>
          <w:highlight w:val="none"/>
          <w:lang w:val="zh-CN"/>
        </w:rPr>
        <w:t>）大米：保证新鲜度，注意保质期，外包装清洁卫生，完整坚固，且包装上的商品名称、厂址、规格等与内容物相符，标示清晰，批次清楚等；</w:t>
      </w:r>
    </w:p>
    <w:p>
      <w:pPr>
        <w:widowControl w:val="0"/>
        <w:wordWrap/>
        <w:autoSpaceDE w:val="0"/>
        <w:autoSpaceDN w:val="0"/>
        <w:adjustRightInd w:val="0"/>
        <w:spacing w:line="400" w:lineRule="exact"/>
        <w:ind w:firstLine="405" w:firstLineChars="193"/>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w:t>
      </w:r>
      <w:r>
        <w:rPr>
          <w:rFonts w:hint="eastAsia" w:ascii="新宋体" w:hAnsi="新宋体" w:eastAsia="新宋体" w:cs="新宋体"/>
          <w:bCs/>
          <w:color w:val="auto"/>
          <w:kern w:val="0"/>
          <w:szCs w:val="21"/>
          <w:highlight w:val="none"/>
          <w:lang w:val="en-US" w:eastAsia="zh-CN"/>
        </w:rPr>
        <w:t>7</w:t>
      </w:r>
      <w:r>
        <w:rPr>
          <w:rFonts w:hint="eastAsia" w:ascii="新宋体" w:hAnsi="新宋体" w:eastAsia="新宋体" w:cs="新宋体"/>
          <w:bCs/>
          <w:color w:val="auto"/>
          <w:kern w:val="0"/>
          <w:szCs w:val="21"/>
          <w:highlight w:val="none"/>
          <w:lang w:val="zh-CN"/>
        </w:rPr>
        <w:t>）食用油、调味品、面粉：保证新鲜度，注意保质期，外包装清洁卫生，完整坚固，且包装上的商品名称、厂址、规格等与内容物相符，标示清晰，批次清楚等；食用油要求非转基因食用油；</w:t>
      </w:r>
    </w:p>
    <w:p>
      <w:pPr>
        <w:widowControl w:val="0"/>
        <w:wordWrap/>
        <w:autoSpaceDE w:val="0"/>
        <w:autoSpaceDN w:val="0"/>
        <w:adjustRightInd w:val="0"/>
        <w:spacing w:line="400" w:lineRule="exact"/>
        <w:ind w:firstLine="405" w:firstLineChars="193"/>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w:t>
      </w:r>
      <w:r>
        <w:rPr>
          <w:rFonts w:hint="eastAsia" w:ascii="新宋体" w:hAnsi="新宋体" w:eastAsia="新宋体" w:cs="新宋体"/>
          <w:bCs/>
          <w:color w:val="auto"/>
          <w:kern w:val="0"/>
          <w:szCs w:val="21"/>
          <w:highlight w:val="none"/>
          <w:lang w:val="en-US" w:eastAsia="zh-CN"/>
        </w:rPr>
        <w:t>8</w:t>
      </w:r>
      <w:r>
        <w:rPr>
          <w:rFonts w:hint="eastAsia" w:ascii="新宋体" w:hAnsi="新宋体" w:eastAsia="新宋体" w:cs="新宋体"/>
          <w:bCs/>
          <w:color w:val="auto"/>
          <w:kern w:val="0"/>
          <w:szCs w:val="21"/>
          <w:highlight w:val="none"/>
          <w:lang w:val="zh-CN"/>
        </w:rPr>
        <w:t>）蔬菜必须保证新鲜，按供货批次提供农贸市场蔬菜农药检测结果，且符合食品卫生安全法要求；</w:t>
      </w:r>
    </w:p>
    <w:p>
      <w:pPr>
        <w:widowControl w:val="0"/>
        <w:wordWrap/>
        <w:autoSpaceDE w:val="0"/>
        <w:autoSpaceDN w:val="0"/>
        <w:adjustRightInd w:val="0"/>
        <w:spacing w:line="400" w:lineRule="exact"/>
        <w:ind w:firstLine="405" w:firstLineChars="193"/>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w:t>
      </w:r>
      <w:r>
        <w:rPr>
          <w:rFonts w:hint="eastAsia" w:ascii="新宋体" w:hAnsi="新宋体" w:eastAsia="新宋体" w:cs="新宋体"/>
          <w:bCs/>
          <w:color w:val="auto"/>
          <w:kern w:val="0"/>
          <w:szCs w:val="21"/>
          <w:highlight w:val="none"/>
          <w:lang w:val="en-US" w:eastAsia="zh-CN"/>
        </w:rPr>
        <w:t>9</w:t>
      </w:r>
      <w:r>
        <w:rPr>
          <w:rFonts w:hint="eastAsia" w:ascii="新宋体" w:hAnsi="新宋体" w:eastAsia="新宋体" w:cs="新宋体"/>
          <w:bCs/>
          <w:color w:val="auto"/>
          <w:kern w:val="0"/>
          <w:szCs w:val="21"/>
          <w:highlight w:val="none"/>
          <w:lang w:val="zh-CN"/>
        </w:rPr>
        <w:t>）采购货源必须持有与销售内容相对应的有效营业执照，食品生产许可证或食品销售许可证；</w:t>
      </w:r>
    </w:p>
    <w:p>
      <w:pPr>
        <w:widowControl w:val="0"/>
        <w:wordWrap/>
        <w:autoSpaceDE w:val="0"/>
        <w:autoSpaceDN w:val="0"/>
        <w:adjustRightInd w:val="0"/>
        <w:spacing w:line="400" w:lineRule="exact"/>
        <w:ind w:firstLine="405" w:firstLineChars="193"/>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w:t>
      </w:r>
      <w:r>
        <w:rPr>
          <w:rFonts w:hint="eastAsia" w:ascii="新宋体" w:hAnsi="新宋体" w:eastAsia="新宋体" w:cs="新宋体"/>
          <w:bCs/>
          <w:color w:val="auto"/>
          <w:kern w:val="0"/>
          <w:szCs w:val="21"/>
          <w:highlight w:val="none"/>
          <w:lang w:val="en-US" w:eastAsia="zh-CN"/>
        </w:rPr>
        <w:t>10</w:t>
      </w:r>
      <w:r>
        <w:rPr>
          <w:rFonts w:hint="eastAsia" w:ascii="新宋体" w:hAnsi="新宋体" w:eastAsia="新宋体" w:cs="新宋体"/>
          <w:bCs/>
          <w:color w:val="auto"/>
          <w:kern w:val="0"/>
          <w:szCs w:val="21"/>
          <w:highlight w:val="none"/>
          <w:lang w:val="zh-CN"/>
        </w:rPr>
        <w:t>）乙方负责供货产品的食品安全，须做到来源可溯；</w:t>
      </w:r>
    </w:p>
    <w:p>
      <w:pPr>
        <w:widowControl w:val="0"/>
        <w:wordWrap/>
        <w:autoSpaceDE w:val="0"/>
        <w:autoSpaceDN w:val="0"/>
        <w:adjustRightInd w:val="0"/>
        <w:spacing w:line="400" w:lineRule="exact"/>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十、 乙方应提供以下服务</w:t>
      </w:r>
    </w:p>
    <w:p>
      <w:pPr>
        <w:widowControl w:val="0"/>
        <w:wordWrap/>
        <w:autoSpaceDE w:val="0"/>
        <w:autoSpaceDN w:val="0"/>
        <w:adjustRightInd w:val="0"/>
        <w:spacing w:line="400" w:lineRule="exact"/>
        <w:ind w:firstLine="420" w:firstLineChars="20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1、产品的现场搬运或入库；</w:t>
      </w:r>
    </w:p>
    <w:p>
      <w:pPr>
        <w:widowControl w:val="0"/>
        <w:wordWrap/>
        <w:autoSpaceDE w:val="0"/>
        <w:autoSpaceDN w:val="0"/>
        <w:adjustRightInd w:val="0"/>
        <w:spacing w:line="400" w:lineRule="exact"/>
        <w:ind w:firstLine="420" w:firstLineChars="20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2、提供产品开箱或分装的用具；</w:t>
      </w:r>
    </w:p>
    <w:p>
      <w:pPr>
        <w:widowControl w:val="0"/>
        <w:wordWrap/>
        <w:autoSpaceDE w:val="0"/>
        <w:autoSpaceDN w:val="0"/>
        <w:adjustRightInd w:val="0"/>
        <w:spacing w:line="400" w:lineRule="exact"/>
        <w:ind w:firstLine="420" w:firstLineChars="20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3、对开箱时发现的破损、近效期产品或其他不合格包装产品无条件及时更换；</w:t>
      </w:r>
    </w:p>
    <w:p>
      <w:pPr>
        <w:widowControl w:val="0"/>
        <w:wordWrap/>
        <w:autoSpaceDE w:val="0"/>
        <w:autoSpaceDN w:val="0"/>
        <w:adjustRightInd w:val="0"/>
        <w:spacing w:line="400" w:lineRule="exact"/>
        <w:ind w:left="1" w:firstLine="420" w:firstLineChars="20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4、乙方提供的商品经甲方验收合格签字确认后，有权要求在协议约定的时间内按实结账；</w:t>
      </w:r>
    </w:p>
    <w:p>
      <w:pPr>
        <w:widowControl w:val="0"/>
        <w:wordWrap/>
        <w:autoSpaceDE w:val="0"/>
        <w:autoSpaceDN w:val="0"/>
        <w:adjustRightInd w:val="0"/>
        <w:spacing w:line="400" w:lineRule="exact"/>
        <w:ind w:left="1" w:firstLine="420" w:firstLineChars="20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5、若乙方提供的产品出现缺斤少两或质量等问题，甲方可以无条件要求乙方在当天予以退换；</w:t>
      </w:r>
    </w:p>
    <w:p>
      <w:pPr>
        <w:widowControl w:val="0"/>
        <w:wordWrap/>
        <w:autoSpaceDE w:val="0"/>
        <w:autoSpaceDN w:val="0"/>
        <w:adjustRightInd w:val="0"/>
        <w:spacing w:line="400" w:lineRule="exact"/>
        <w:ind w:left="1" w:firstLine="420" w:firstLineChars="20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6、其他乙方应提供的相关服务项目。</w:t>
      </w:r>
    </w:p>
    <w:p>
      <w:pPr>
        <w:widowControl w:val="0"/>
        <w:wordWrap/>
        <w:autoSpaceDE w:val="0"/>
        <w:autoSpaceDN w:val="0"/>
        <w:adjustRightInd w:val="0"/>
        <w:spacing w:line="400" w:lineRule="exact"/>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十</w:t>
      </w:r>
      <w:r>
        <w:rPr>
          <w:rFonts w:hint="eastAsia" w:ascii="新宋体" w:hAnsi="新宋体" w:eastAsia="新宋体" w:cs="新宋体"/>
          <w:bCs/>
          <w:color w:val="auto"/>
          <w:kern w:val="0"/>
          <w:szCs w:val="21"/>
          <w:highlight w:val="none"/>
          <w:lang w:val="en-US" w:eastAsia="zh-CN"/>
        </w:rPr>
        <w:t>一</w:t>
      </w:r>
      <w:r>
        <w:rPr>
          <w:rFonts w:hint="eastAsia" w:ascii="新宋体" w:hAnsi="新宋体" w:eastAsia="新宋体" w:cs="新宋体"/>
          <w:bCs/>
          <w:color w:val="auto"/>
          <w:kern w:val="0"/>
          <w:szCs w:val="21"/>
          <w:highlight w:val="none"/>
          <w:lang w:val="zh-CN"/>
        </w:rPr>
        <w:t>、商品的交付与验收</w:t>
      </w:r>
    </w:p>
    <w:p>
      <w:pPr>
        <w:widowControl w:val="0"/>
        <w:wordWrap/>
        <w:autoSpaceDE w:val="0"/>
        <w:autoSpaceDN w:val="0"/>
        <w:adjustRightInd w:val="0"/>
        <w:spacing w:line="400" w:lineRule="exact"/>
        <w:ind w:firstLine="414"/>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 xml:space="preserve">1、乙方及时、准确、免费送货至甲方内指定地点，由甲方根据产品的规格要求和质量标准，对产品进行检查验收，并完善相关验收手续。 </w:t>
      </w:r>
    </w:p>
    <w:p>
      <w:pPr>
        <w:widowControl w:val="0"/>
        <w:wordWrap/>
        <w:autoSpaceDE w:val="0"/>
        <w:autoSpaceDN w:val="0"/>
        <w:adjustRightInd w:val="0"/>
        <w:spacing w:line="400" w:lineRule="exact"/>
        <w:ind w:firstLine="414"/>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2、产品的数量不足或表面瑕疵，甲方应在验收时当面提出；对食品类质量问题有异议的应在3天内由甲方向乙方提出，对其他质量问题有异议的应在7天内由甲方向乙方提出。</w:t>
      </w:r>
    </w:p>
    <w:p>
      <w:pPr>
        <w:widowControl w:val="0"/>
        <w:wordWrap/>
        <w:autoSpaceDE w:val="0"/>
        <w:autoSpaceDN w:val="0"/>
        <w:adjustRightInd w:val="0"/>
        <w:spacing w:line="400" w:lineRule="exact"/>
        <w:ind w:firstLine="414"/>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3、在验收过程中发现数量或有质量、技术等问题，乙方应按照甲方的要求采取补足、更换或退货等处理措施，并承担由此发生的一切费用和损失。</w:t>
      </w:r>
    </w:p>
    <w:p>
      <w:pPr>
        <w:widowControl w:val="0"/>
        <w:wordWrap/>
        <w:autoSpaceDE w:val="0"/>
        <w:autoSpaceDN w:val="0"/>
        <w:adjustRightInd w:val="0"/>
        <w:spacing w:line="400" w:lineRule="exact"/>
        <w:ind w:firstLine="414"/>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4、甲方在乙方按协议规定交货后，无正当理由拖延接收、验收或拒绝接收、验收的，应承担由此而给乙方造成的直接经济损失。</w:t>
      </w:r>
    </w:p>
    <w:p>
      <w:pPr>
        <w:widowControl w:val="0"/>
        <w:wordWrap/>
        <w:autoSpaceDE w:val="0"/>
        <w:autoSpaceDN w:val="0"/>
        <w:adjustRightInd w:val="0"/>
        <w:spacing w:line="400" w:lineRule="exact"/>
        <w:ind w:firstLine="414"/>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5、甲方未在收货</w:t>
      </w:r>
      <w:r>
        <w:rPr>
          <w:rFonts w:hint="eastAsia" w:ascii="新宋体" w:hAnsi="新宋体" w:eastAsia="新宋体" w:cs="新宋体"/>
          <w:bCs/>
          <w:color w:val="auto"/>
          <w:kern w:val="0"/>
          <w:szCs w:val="21"/>
          <w:highlight w:val="none"/>
          <w:u w:val="single"/>
          <w:lang w:val="en-US" w:eastAsia="zh-CN"/>
        </w:rPr>
        <w:t>72小时内</w:t>
      </w:r>
      <w:r>
        <w:rPr>
          <w:rFonts w:hint="eastAsia" w:ascii="新宋体" w:hAnsi="新宋体" w:eastAsia="新宋体" w:cs="新宋体"/>
          <w:bCs/>
          <w:color w:val="auto"/>
          <w:kern w:val="0"/>
          <w:szCs w:val="21"/>
          <w:highlight w:val="none"/>
          <w:lang w:val="zh-CN"/>
        </w:rPr>
        <w:t>提出异议的，视为供方交付产品符合协议规定，但乙方依然应当履行国家有关三包法的规定。</w:t>
      </w:r>
    </w:p>
    <w:p>
      <w:pPr>
        <w:widowControl w:val="0"/>
        <w:wordWrap/>
        <w:autoSpaceDE w:val="0"/>
        <w:autoSpaceDN w:val="0"/>
        <w:adjustRightInd w:val="0"/>
        <w:spacing w:line="400" w:lineRule="exact"/>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十</w:t>
      </w:r>
      <w:r>
        <w:rPr>
          <w:rFonts w:hint="eastAsia" w:ascii="新宋体" w:hAnsi="新宋体" w:eastAsia="新宋体" w:cs="新宋体"/>
          <w:bCs/>
          <w:color w:val="auto"/>
          <w:kern w:val="0"/>
          <w:szCs w:val="21"/>
          <w:highlight w:val="none"/>
          <w:lang w:val="en-US" w:eastAsia="zh-CN"/>
        </w:rPr>
        <w:t>二</w:t>
      </w:r>
      <w:r>
        <w:rPr>
          <w:rFonts w:hint="eastAsia" w:ascii="新宋体" w:hAnsi="新宋体" w:eastAsia="新宋体" w:cs="新宋体"/>
          <w:bCs/>
          <w:color w:val="auto"/>
          <w:kern w:val="0"/>
          <w:szCs w:val="21"/>
          <w:highlight w:val="none"/>
          <w:lang w:val="zh-CN"/>
        </w:rPr>
        <w:t>、违约责任</w:t>
      </w:r>
    </w:p>
    <w:p>
      <w:pPr>
        <w:widowControl w:val="0"/>
        <w:wordWrap/>
        <w:autoSpaceDE w:val="0"/>
        <w:autoSpaceDN w:val="0"/>
        <w:adjustRightInd w:val="0"/>
        <w:spacing w:line="400" w:lineRule="exact"/>
        <w:ind w:firstLine="42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1、因乙方所提供产品的数量、质量等不符合甲方采购要求的，甲方可拒收，其损失由乙方承担；</w:t>
      </w:r>
    </w:p>
    <w:p>
      <w:pPr>
        <w:widowControl w:val="0"/>
        <w:wordWrap/>
        <w:autoSpaceDE w:val="0"/>
        <w:autoSpaceDN w:val="0"/>
        <w:adjustRightInd w:val="0"/>
        <w:spacing w:line="400" w:lineRule="exact"/>
        <w:ind w:firstLine="42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en-US" w:eastAsia="zh-CN"/>
        </w:rPr>
        <w:t>2</w:t>
      </w:r>
      <w:r>
        <w:rPr>
          <w:rFonts w:hint="eastAsia" w:ascii="新宋体" w:hAnsi="新宋体" w:eastAsia="新宋体" w:cs="新宋体"/>
          <w:bCs/>
          <w:color w:val="auto"/>
          <w:kern w:val="0"/>
          <w:szCs w:val="21"/>
          <w:highlight w:val="none"/>
          <w:lang w:val="zh-CN"/>
        </w:rPr>
        <w:t>、乙方如有以下行为的，甲方有权单方面解除合同，且由乙方负全部责任，并承担由此而引起的全部经济损失：</w:t>
      </w:r>
    </w:p>
    <w:p>
      <w:pPr>
        <w:widowControl w:val="0"/>
        <w:wordWrap/>
        <w:autoSpaceDE w:val="0"/>
        <w:autoSpaceDN w:val="0"/>
        <w:adjustRightInd w:val="0"/>
        <w:spacing w:line="400" w:lineRule="exact"/>
        <w:ind w:firstLine="42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（1）因违反国家法律、法规的有关规定，导致丧失经营资格的（包括但不限于吊销营业执照、被责令关闭或撤销、被宣告破产等情形）；</w:t>
      </w:r>
    </w:p>
    <w:p>
      <w:pPr>
        <w:widowControl w:val="0"/>
        <w:wordWrap/>
        <w:autoSpaceDE w:val="0"/>
        <w:autoSpaceDN w:val="0"/>
        <w:adjustRightInd w:val="0"/>
        <w:spacing w:line="400" w:lineRule="exact"/>
        <w:ind w:firstLine="420" w:firstLineChars="20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（2）因乙方所供应原材料的质量问题引起食物中毒等食源性疾病的发生或其他事故的；</w:t>
      </w:r>
    </w:p>
    <w:p>
      <w:pPr>
        <w:widowControl w:val="0"/>
        <w:wordWrap/>
        <w:autoSpaceDE w:val="0"/>
        <w:autoSpaceDN w:val="0"/>
        <w:adjustRightInd w:val="0"/>
        <w:spacing w:line="400" w:lineRule="exact"/>
        <w:ind w:firstLine="42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（3）在定点供货期间，发现有弄虚作假、多计费用、以次充好等违规行为的；　</w:t>
      </w:r>
    </w:p>
    <w:p>
      <w:pPr>
        <w:widowControl w:val="0"/>
        <w:wordWrap/>
        <w:autoSpaceDE w:val="0"/>
        <w:autoSpaceDN w:val="0"/>
        <w:adjustRightInd w:val="0"/>
        <w:spacing w:line="400" w:lineRule="exact"/>
        <w:ind w:firstLine="42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（4）因自身原因拒绝承接供货业务或将承接的供货业务转包的；　</w:t>
      </w:r>
    </w:p>
    <w:p>
      <w:pPr>
        <w:widowControl w:val="0"/>
        <w:wordWrap/>
        <w:autoSpaceDE w:val="0"/>
        <w:autoSpaceDN w:val="0"/>
        <w:adjustRightInd w:val="0"/>
        <w:spacing w:line="400" w:lineRule="exact"/>
        <w:ind w:firstLine="420"/>
        <w:rPr>
          <w:rFonts w:hint="eastAsia" w:ascii="新宋体" w:hAnsi="新宋体" w:eastAsia="新宋体" w:cs="新宋体"/>
          <w:bCs/>
          <w:color w:val="auto"/>
          <w:kern w:val="0"/>
          <w:szCs w:val="21"/>
          <w:highlight w:val="none"/>
          <w:lang w:val="zh-CN"/>
        </w:rPr>
      </w:pPr>
      <w:r>
        <w:rPr>
          <w:rFonts w:hint="eastAsia" w:ascii="新宋体" w:hAnsi="新宋体" w:eastAsia="新宋体" w:cs="新宋体"/>
          <w:bCs/>
          <w:color w:val="auto"/>
          <w:kern w:val="0"/>
          <w:szCs w:val="21"/>
          <w:highlight w:val="none"/>
          <w:lang w:val="zh-CN"/>
        </w:rPr>
        <w:t>（5）未履行本协议相关约定而受到甲方有效投诉的；　</w:t>
      </w:r>
    </w:p>
    <w:p>
      <w:pPr>
        <w:widowControl w:val="0"/>
        <w:wordWrap/>
        <w:spacing w:before="120" w:beforeLines="50" w:after="120" w:afterLines="50" w:line="400" w:lineRule="exact"/>
        <w:rPr>
          <w:rFonts w:hint="eastAsia" w:ascii="新宋体" w:hAnsi="新宋体" w:eastAsia="新宋体" w:cs="新宋体"/>
          <w:bCs/>
          <w:color w:val="auto"/>
          <w:szCs w:val="21"/>
          <w:highlight w:val="none"/>
        </w:rPr>
      </w:pPr>
      <w:bookmarkStart w:id="243" w:name="_Toc389144051"/>
      <w:r>
        <w:rPr>
          <w:rFonts w:hint="eastAsia" w:ascii="新宋体" w:hAnsi="新宋体" w:eastAsia="新宋体" w:cs="新宋体"/>
          <w:bCs/>
          <w:color w:val="auto"/>
          <w:szCs w:val="21"/>
          <w:highlight w:val="none"/>
        </w:rPr>
        <w:t>十</w:t>
      </w:r>
      <w:r>
        <w:rPr>
          <w:rFonts w:hint="eastAsia" w:ascii="新宋体" w:hAnsi="新宋体" w:eastAsia="新宋体" w:cs="新宋体"/>
          <w:bCs/>
          <w:color w:val="auto"/>
          <w:szCs w:val="21"/>
          <w:highlight w:val="none"/>
          <w:lang w:val="en-US" w:eastAsia="zh-CN"/>
        </w:rPr>
        <w:t>三</w:t>
      </w:r>
      <w:r>
        <w:rPr>
          <w:rFonts w:hint="eastAsia" w:ascii="新宋体" w:hAnsi="新宋体" w:eastAsia="新宋体" w:cs="新宋体"/>
          <w:bCs/>
          <w:color w:val="auto"/>
          <w:szCs w:val="21"/>
          <w:highlight w:val="none"/>
        </w:rPr>
        <w:t>、合同生效及其它</w:t>
      </w:r>
      <w:bookmarkEnd w:id="243"/>
    </w:p>
    <w:p>
      <w:pPr>
        <w:widowControl w:val="0"/>
        <w:wordWrap/>
        <w:spacing w:line="400" w:lineRule="exact"/>
        <w:ind w:firstLine="424" w:firstLineChars="202"/>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1.合同经甲、乙双方签字并加盖单位公章后生效。</w:t>
      </w:r>
    </w:p>
    <w:p>
      <w:pPr>
        <w:widowControl w:val="0"/>
        <w:wordWrap/>
        <w:spacing w:line="400" w:lineRule="exact"/>
        <w:ind w:firstLine="424" w:firstLineChars="202"/>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2.比选文件、投标文件与本合同具有同等法律效力。</w:t>
      </w:r>
    </w:p>
    <w:p>
      <w:pPr>
        <w:widowControl w:val="0"/>
        <w:wordWrap/>
        <w:spacing w:line="400" w:lineRule="exact"/>
        <w:ind w:firstLine="424" w:firstLineChars="202"/>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3.本合同未尽事宜，遵照《</w:t>
      </w:r>
      <w:r>
        <w:rPr>
          <w:rFonts w:hint="eastAsia" w:ascii="新宋体" w:hAnsi="新宋体" w:eastAsia="新宋体" w:cs="新宋体"/>
          <w:bCs/>
          <w:color w:val="auto"/>
          <w:szCs w:val="21"/>
          <w:highlight w:val="none"/>
          <w:lang w:eastAsia="zh-CN"/>
        </w:rPr>
        <w:t>民法典</w:t>
      </w:r>
      <w:r>
        <w:rPr>
          <w:rFonts w:hint="eastAsia" w:ascii="新宋体" w:hAnsi="新宋体" w:eastAsia="新宋体" w:cs="新宋体"/>
          <w:bCs/>
          <w:color w:val="auto"/>
          <w:szCs w:val="21"/>
          <w:highlight w:val="none"/>
        </w:rPr>
        <w:t>》有关条文执行。</w:t>
      </w:r>
    </w:p>
    <w:p>
      <w:pPr>
        <w:widowControl w:val="0"/>
        <w:wordWrap/>
        <w:autoSpaceDE w:val="0"/>
        <w:autoSpaceDN w:val="0"/>
        <w:adjustRightInd w:val="0"/>
        <w:spacing w:line="400" w:lineRule="exact"/>
        <w:ind w:firstLine="424" w:firstLineChars="202"/>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4. 合同正本贰份，副本肆份，其中正本甲、乙双方各执壹份，副本甲方执叁份，乙方执壹份，均具有同等法律效力。本合同经双方法定代表人或授权代表签字并加盖公章后生效。</w:t>
      </w:r>
    </w:p>
    <w:p>
      <w:pPr>
        <w:pStyle w:val="14"/>
        <w:widowControl w:val="0"/>
        <w:wordWrap/>
        <w:spacing w:line="400" w:lineRule="exact"/>
        <w:ind w:firstLine="210"/>
        <w:rPr>
          <w:rFonts w:hint="eastAsia" w:ascii="新宋体" w:hAnsi="新宋体" w:eastAsia="新宋体" w:cs="新宋体"/>
          <w:color w:val="auto"/>
          <w:highlight w:val="none"/>
        </w:rPr>
      </w:pPr>
    </w:p>
    <w:p>
      <w:pPr>
        <w:pStyle w:val="16"/>
        <w:rPr>
          <w:rFonts w:hint="eastAsia" w:ascii="新宋体" w:hAnsi="新宋体" w:eastAsia="新宋体" w:cs="新宋体"/>
          <w:color w:val="auto"/>
          <w:highlight w:val="none"/>
        </w:rPr>
      </w:pPr>
    </w:p>
    <w:p>
      <w:pPr>
        <w:spacing w:line="400" w:lineRule="exact"/>
        <w:ind w:left="54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下列文件构成本合同的组成部分：</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（1）本合同                       （2）磋商文件</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（3）响应文件                     （4）合同补充条款或说明（如有）</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(5) 承诺书（如有）                    </w:t>
      </w:r>
    </w:p>
    <w:p>
      <w:pPr>
        <w:pStyle w:val="24"/>
        <w:tabs>
          <w:tab w:val="left" w:pos="7935"/>
        </w:tabs>
        <w:snapToGrid w:val="0"/>
        <w:spacing w:line="400" w:lineRule="exact"/>
        <w:rPr>
          <w:rFonts w:hint="eastAsia" w:ascii="新宋体" w:hAnsi="新宋体" w:eastAsia="新宋体" w:cs="新宋体"/>
          <w:color w:val="auto"/>
          <w:sz w:val="22"/>
          <w:szCs w:val="22"/>
          <w:highlight w:val="none"/>
        </w:rPr>
      </w:pPr>
    </w:p>
    <w:p>
      <w:pPr>
        <w:spacing w:line="400" w:lineRule="exact"/>
        <w:ind w:firstLine="440" w:firstLineChars="200"/>
        <w:rPr>
          <w:rFonts w:hint="eastAsia" w:ascii="新宋体" w:hAnsi="新宋体" w:eastAsia="新宋体" w:cs="新宋体"/>
          <w:color w:val="auto"/>
          <w:sz w:val="22"/>
          <w:szCs w:val="22"/>
          <w:highlight w:val="none"/>
        </w:rPr>
      </w:pP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甲方名称：（盖章）                  乙方名称：（盖章）</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代表人（签字）：                    代表人（签字）：</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                         联系电话：</w:t>
      </w:r>
    </w:p>
    <w:p>
      <w:pPr>
        <w:spacing w:line="40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日期：    年    月   日            日期</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hint="eastAsia" w:ascii="新宋体" w:hAnsi="新宋体" w:eastAsia="新宋体" w:cs="新宋体"/>
          <w:color w:val="auto"/>
          <w:sz w:val="22"/>
          <w:szCs w:val="22"/>
          <w:highlight w:val="none"/>
        </w:rPr>
        <w:t>：    年    月   日</w:t>
      </w:r>
    </w:p>
    <w:p>
      <w:pPr>
        <w:spacing w:line="440" w:lineRule="exact"/>
        <w:ind w:left="110"/>
        <w:rPr>
          <w:rFonts w:hint="eastAsia" w:ascii="新宋体" w:hAnsi="新宋体" w:eastAsia="新宋体" w:cs="新宋体"/>
          <w:color w:val="auto"/>
          <w:sz w:val="22"/>
          <w:szCs w:val="22"/>
          <w:highlight w:val="none"/>
        </w:rPr>
      </w:pPr>
    </w:p>
    <w:bookmarkEnd w:id="218"/>
    <w:p>
      <w:pPr>
        <w:pStyle w:val="2"/>
        <w:rPr>
          <w:rFonts w:hint="eastAsia" w:ascii="新宋体" w:hAnsi="新宋体" w:eastAsia="新宋体" w:cs="新宋体"/>
          <w:color w:val="auto"/>
          <w:sz w:val="36"/>
          <w:szCs w:val="36"/>
          <w:highlight w:val="none"/>
        </w:rPr>
      </w:pPr>
      <w:bookmarkStart w:id="244" w:name="_Toc522173454"/>
      <w:bookmarkEnd w:id="244"/>
      <w:bookmarkStart w:id="245" w:name="_Toc522173453"/>
      <w:bookmarkEnd w:id="245"/>
      <w:bookmarkStart w:id="246" w:name="_Toc522173455"/>
      <w:bookmarkEnd w:id="246"/>
      <w:bookmarkStart w:id="247" w:name="_Toc522173452"/>
      <w:bookmarkEnd w:id="247"/>
      <w:bookmarkStart w:id="248" w:name="_Toc522173456"/>
      <w:bookmarkEnd w:id="248"/>
      <w:r>
        <w:rPr>
          <w:rFonts w:hint="eastAsia" w:ascii="新宋体" w:hAnsi="新宋体" w:eastAsia="新宋体" w:cs="新宋体"/>
          <w:color w:val="auto"/>
          <w:sz w:val="36"/>
          <w:szCs w:val="36"/>
          <w:highlight w:val="none"/>
        </w:rPr>
        <w:br w:type="page"/>
      </w:r>
      <w:bookmarkStart w:id="249" w:name="_Toc27250"/>
      <w:r>
        <w:rPr>
          <w:rFonts w:hint="eastAsia" w:ascii="新宋体" w:hAnsi="新宋体" w:eastAsia="新宋体" w:cs="新宋体"/>
          <w:color w:val="auto"/>
          <w:sz w:val="36"/>
          <w:szCs w:val="36"/>
          <w:highlight w:val="none"/>
        </w:rPr>
        <w:t>第五部分   附件</w:t>
      </w:r>
      <w:bookmarkEnd w:id="249"/>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附件一</w:t>
      </w: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资格审查料</w:t>
      </w:r>
    </w:p>
    <w:p>
      <w:pPr>
        <w:numPr>
          <w:ilvl w:val="0"/>
          <w:numId w:val="44"/>
        </w:numPr>
        <w:spacing w:line="460" w:lineRule="exact"/>
        <w:jc w:val="both"/>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营业执照复印件加盖公章；</w:t>
      </w:r>
    </w:p>
    <w:p>
      <w:pPr>
        <w:numPr>
          <w:ilvl w:val="0"/>
          <w:numId w:val="44"/>
        </w:numPr>
        <w:spacing w:line="460" w:lineRule="exact"/>
        <w:jc w:val="both"/>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法定代表人声明书或法定代表人授权书</w:t>
      </w:r>
    </w:p>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-1）法定代表人声明书</w:t>
      </w:r>
    </w:p>
    <w:p>
      <w:pPr>
        <w:spacing w:line="400" w:lineRule="exact"/>
        <w:rPr>
          <w:rFonts w:hint="eastAsia" w:ascii="新宋体" w:hAnsi="新宋体" w:eastAsia="新宋体" w:cs="新宋体"/>
          <w:color w:val="auto"/>
          <w:highlight w:val="none"/>
        </w:rPr>
      </w:pP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温州市鹿城区人民政府南郊街道办事处</w:t>
      </w:r>
      <w:r>
        <w:rPr>
          <w:rFonts w:hint="eastAsia" w:ascii="新宋体" w:hAnsi="新宋体" w:eastAsia="新宋体" w:cs="新宋体"/>
          <w:color w:val="auto"/>
          <w:sz w:val="22"/>
          <w:szCs w:val="22"/>
          <w:highlight w:val="none"/>
        </w:rPr>
        <w:t>：</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u w:val="single"/>
        </w:rPr>
      </w:pP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本人</w:t>
      </w:r>
      <w:r>
        <w:rPr>
          <w:rFonts w:hint="eastAsia" w:ascii="新宋体" w:hAnsi="新宋体" w:eastAsia="新宋体" w:cs="新宋体"/>
          <w:color w:val="auto"/>
          <w:sz w:val="22"/>
          <w:szCs w:val="22"/>
          <w:highlight w:val="none"/>
          <w:u w:val="single"/>
        </w:rPr>
        <w:t>（法定代表人姓名）</w:t>
      </w:r>
      <w:r>
        <w:rPr>
          <w:rFonts w:hint="eastAsia" w:ascii="新宋体" w:hAnsi="新宋体" w:eastAsia="新宋体" w:cs="新宋体"/>
          <w:color w:val="auto"/>
          <w:sz w:val="22"/>
          <w:szCs w:val="22"/>
          <w:highlight w:val="none"/>
        </w:rPr>
        <w:t>为</w:t>
      </w:r>
      <w:r>
        <w:rPr>
          <w:rFonts w:hint="eastAsia" w:ascii="新宋体" w:hAnsi="新宋体" w:eastAsia="新宋体" w:cs="新宋体"/>
          <w:color w:val="auto"/>
          <w:sz w:val="22"/>
          <w:szCs w:val="22"/>
          <w:highlight w:val="none"/>
          <w:u w:val="single"/>
        </w:rPr>
        <w:t>（供应商全称）</w:t>
      </w:r>
      <w:r>
        <w:rPr>
          <w:rFonts w:hint="eastAsia" w:ascii="新宋体" w:hAnsi="新宋体" w:eastAsia="新宋体" w:cs="新宋体"/>
          <w:color w:val="auto"/>
          <w:sz w:val="22"/>
          <w:szCs w:val="22"/>
          <w:highlight w:val="none"/>
        </w:rPr>
        <w:t>的法定代表人。我公司参加贵处组织的</w:t>
      </w:r>
      <w:r>
        <w:rPr>
          <w:rFonts w:hint="eastAsia" w:ascii="新宋体" w:hAnsi="新宋体" w:eastAsia="新宋体" w:cs="新宋体"/>
          <w:color w:val="auto"/>
          <w:sz w:val="22"/>
          <w:szCs w:val="22"/>
          <w:highlight w:val="none"/>
          <w:u w:val="single"/>
        </w:rPr>
        <w:t>（项目名称、采购编号）</w:t>
      </w:r>
      <w:r>
        <w:rPr>
          <w:rFonts w:hint="eastAsia" w:ascii="新宋体" w:hAnsi="新宋体" w:eastAsia="新宋体" w:cs="新宋体"/>
          <w:color w:val="auto"/>
          <w:sz w:val="22"/>
          <w:szCs w:val="22"/>
          <w:highlight w:val="none"/>
        </w:rPr>
        <w:t>的采购活动，由我本人全权代表我方处理采购活动中的一切事宜。联系方式如下：</w:t>
      </w:r>
      <w:r>
        <w:rPr>
          <w:rFonts w:hint="eastAsia" w:ascii="新宋体" w:hAnsi="新宋体" w:eastAsia="新宋体" w:cs="新宋体"/>
          <w:color w:val="auto"/>
          <w:sz w:val="22"/>
          <w:szCs w:val="22"/>
          <w:highlight w:val="none"/>
          <w:u w:val="single"/>
        </w:rPr>
        <w:t xml:space="preserve">手机号码：       联系邮箱:         详细通讯地址：             </w:t>
      </w:r>
      <w:r>
        <w:rPr>
          <w:rFonts w:hint="eastAsia" w:ascii="新宋体" w:hAnsi="新宋体" w:eastAsia="新宋体" w:cs="新宋体"/>
          <w:color w:val="auto"/>
          <w:sz w:val="22"/>
          <w:szCs w:val="22"/>
          <w:highlight w:val="none"/>
        </w:rPr>
        <w:t xml:space="preserve"> 。  </w:t>
      </w:r>
    </w:p>
    <w:p>
      <w:pPr>
        <w:spacing w:line="400" w:lineRule="exact"/>
        <w:rPr>
          <w:rFonts w:hint="eastAsia" w:ascii="新宋体" w:hAnsi="新宋体" w:eastAsia="新宋体" w:cs="新宋体"/>
          <w:color w:val="auto"/>
          <w:highlight w:val="none"/>
        </w:rPr>
      </w:pPr>
    </w:p>
    <w:p>
      <w:pPr>
        <w:spacing w:line="400" w:lineRule="exact"/>
        <w:rPr>
          <w:rFonts w:hint="eastAsia" w:ascii="新宋体" w:hAnsi="新宋体" w:eastAsia="新宋体" w:cs="新宋体"/>
          <w:color w:val="auto"/>
          <w:highlight w:val="none"/>
        </w:rPr>
      </w:pPr>
    </w:p>
    <w:p>
      <w:pPr>
        <w:spacing w:line="400" w:lineRule="exact"/>
        <w:rPr>
          <w:rFonts w:hint="eastAsia" w:ascii="新宋体" w:hAnsi="新宋体" w:eastAsia="新宋体" w:cs="新宋体"/>
          <w:color w:val="auto"/>
          <w:highlight w:val="none"/>
        </w:rPr>
      </w:pPr>
    </w:p>
    <w:p>
      <w:pPr>
        <w:spacing w:line="460" w:lineRule="exact"/>
        <w:ind w:firstLine="3971" w:firstLineChars="180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供应商全称（公章）：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pPr>
        <w:spacing w:line="460" w:lineRule="exact"/>
        <w:rPr>
          <w:rFonts w:hint="eastAsia" w:ascii="新宋体" w:hAnsi="新宋体" w:eastAsia="新宋体" w:cs="新宋体"/>
          <w:color w:val="auto"/>
          <w:sz w:val="22"/>
          <w:szCs w:val="22"/>
          <w:highlight w:val="none"/>
        </w:rPr>
      </w:pPr>
    </w:p>
    <w:p>
      <w:pPr>
        <w:widowControl/>
        <w:jc w:val="left"/>
        <w:rPr>
          <w:rFonts w:hint="eastAsia" w:ascii="新宋体" w:hAnsi="新宋体" w:eastAsia="新宋体" w:cs="新宋体"/>
          <w:color w:val="auto"/>
          <w:szCs w:val="21"/>
          <w:highlight w:val="none"/>
        </w:rPr>
      </w:pPr>
    </w:p>
    <w:p>
      <w:pPr>
        <w:widowControl/>
        <w:jc w:val="left"/>
        <w:rPr>
          <w:rFonts w:hint="eastAsia" w:ascii="新宋体" w:hAnsi="新宋体" w:eastAsia="新宋体" w:cs="新宋体"/>
          <w:color w:val="auto"/>
          <w:szCs w:val="21"/>
          <w:highlight w:val="none"/>
        </w:rPr>
      </w:pPr>
    </w:p>
    <w:p>
      <w:pPr>
        <w:widowControl/>
        <w:jc w:val="left"/>
        <w:rPr>
          <w:rFonts w:hint="eastAsia" w:ascii="新宋体" w:hAnsi="新宋体" w:eastAsia="新宋体" w:cs="新宋体"/>
          <w:color w:val="auto"/>
          <w:szCs w:val="21"/>
          <w:highlight w:val="none"/>
        </w:rPr>
      </w:pPr>
      <w:r>
        <w:rPr>
          <w:rFonts w:hint="eastAsia" w:ascii="新宋体" w:hAnsi="新宋体" w:eastAsia="新宋体" w:cs="新宋体"/>
          <w:b/>
          <w:color w:val="auto"/>
          <w:sz w:val="22"/>
          <w:szCs w:val="22"/>
          <w:highlight w:val="none"/>
        </w:rPr>
        <w:t>附：法定代表人身份证正反面复印件</w:t>
      </w:r>
      <w:r>
        <w:rPr>
          <w:rFonts w:hint="eastAsia" w:ascii="新宋体" w:hAnsi="新宋体" w:eastAsia="新宋体" w:cs="新宋体"/>
          <w:color w:val="auto"/>
          <w:szCs w:val="21"/>
          <w:highlight w:val="none"/>
        </w:rPr>
        <w:br w:type="page"/>
      </w:r>
    </w:p>
    <w:p>
      <w:pPr>
        <w:spacing w:line="360" w:lineRule="exact"/>
        <w:rPr>
          <w:rFonts w:hint="eastAsia" w:ascii="新宋体" w:hAnsi="新宋体" w:eastAsia="新宋体" w:cs="新宋体"/>
          <w:color w:val="auto"/>
          <w:szCs w:val="21"/>
          <w:highlight w:val="none"/>
        </w:rPr>
      </w:pPr>
    </w:p>
    <w:p>
      <w:pPr>
        <w:spacing w:line="380" w:lineRule="exact"/>
        <w:jc w:val="center"/>
        <w:rPr>
          <w:rFonts w:hint="eastAsia" w:ascii="新宋体" w:hAnsi="新宋体" w:eastAsia="新宋体" w:cs="新宋体"/>
          <w:b/>
          <w:color w:val="auto"/>
          <w:sz w:val="22"/>
          <w:szCs w:val="22"/>
          <w:highlight w:val="none"/>
        </w:rPr>
      </w:pPr>
    </w:p>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-2）法定代表人授权书</w:t>
      </w:r>
    </w:p>
    <w:p>
      <w:pPr>
        <w:spacing w:line="400" w:lineRule="exact"/>
        <w:jc w:val="center"/>
        <w:rPr>
          <w:rFonts w:hint="eastAsia" w:ascii="新宋体" w:hAnsi="新宋体" w:eastAsia="新宋体" w:cs="新宋体"/>
          <w:b/>
          <w:bCs/>
          <w:color w:val="auto"/>
          <w:sz w:val="28"/>
          <w:szCs w:val="28"/>
          <w:highlight w:val="none"/>
        </w:rPr>
      </w:pP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温州市鹿城区人民政府南郊街道办事处</w:t>
      </w:r>
      <w:r>
        <w:rPr>
          <w:rFonts w:hint="eastAsia" w:ascii="新宋体" w:hAnsi="新宋体" w:eastAsia="新宋体" w:cs="新宋体"/>
          <w:color w:val="auto"/>
          <w:sz w:val="22"/>
          <w:szCs w:val="22"/>
          <w:highlight w:val="none"/>
        </w:rPr>
        <w:t>：</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u w:val="single"/>
        </w:rPr>
      </w:pP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（供应商全称）</w:t>
      </w:r>
      <w:r>
        <w:rPr>
          <w:rFonts w:hint="eastAsia" w:ascii="新宋体" w:hAnsi="新宋体" w:eastAsia="新宋体" w:cs="新宋体"/>
          <w:color w:val="auto"/>
          <w:sz w:val="22"/>
          <w:szCs w:val="22"/>
          <w:highlight w:val="none"/>
        </w:rPr>
        <w:t xml:space="preserve">法定代表人 </w:t>
      </w:r>
      <w:r>
        <w:rPr>
          <w:rFonts w:hint="eastAsia" w:ascii="新宋体" w:hAnsi="新宋体" w:eastAsia="新宋体" w:cs="新宋体"/>
          <w:color w:val="auto"/>
          <w:sz w:val="22"/>
          <w:szCs w:val="22"/>
          <w:highlight w:val="none"/>
          <w:u w:val="single"/>
        </w:rPr>
        <w:t>（法定代表人姓名）</w:t>
      </w:r>
      <w:r>
        <w:rPr>
          <w:rFonts w:hint="eastAsia" w:ascii="新宋体" w:hAnsi="新宋体" w:eastAsia="新宋体" w:cs="新宋体"/>
          <w:color w:val="auto"/>
          <w:sz w:val="22"/>
          <w:szCs w:val="22"/>
          <w:highlight w:val="none"/>
        </w:rPr>
        <w:t xml:space="preserve"> 授权</w:t>
      </w:r>
      <w:r>
        <w:rPr>
          <w:rFonts w:hint="eastAsia" w:ascii="新宋体" w:hAnsi="新宋体" w:eastAsia="新宋体" w:cs="新宋体"/>
          <w:color w:val="auto"/>
          <w:sz w:val="22"/>
          <w:szCs w:val="22"/>
          <w:highlight w:val="none"/>
          <w:u w:val="single"/>
        </w:rPr>
        <w:t>（全权代表姓名）</w:t>
      </w:r>
      <w:r>
        <w:rPr>
          <w:rFonts w:hint="eastAsia" w:ascii="新宋体" w:hAnsi="新宋体" w:eastAsia="新宋体" w:cs="新宋体"/>
          <w:color w:val="auto"/>
          <w:sz w:val="22"/>
          <w:szCs w:val="22"/>
          <w:highlight w:val="none"/>
        </w:rPr>
        <w:t>为本项目全权代表，参加贵处组织的</w:t>
      </w:r>
      <w:r>
        <w:rPr>
          <w:rFonts w:hint="eastAsia" w:ascii="新宋体" w:hAnsi="新宋体" w:eastAsia="新宋体" w:cs="新宋体"/>
          <w:color w:val="auto"/>
          <w:sz w:val="22"/>
          <w:szCs w:val="22"/>
          <w:highlight w:val="none"/>
          <w:u w:val="single"/>
        </w:rPr>
        <w:t>（项目名称、采购编号）</w:t>
      </w:r>
      <w:r>
        <w:rPr>
          <w:rFonts w:hint="eastAsia" w:ascii="新宋体" w:hAnsi="新宋体" w:eastAsia="新宋体" w:cs="新宋体"/>
          <w:color w:val="auto"/>
          <w:sz w:val="22"/>
          <w:szCs w:val="22"/>
          <w:highlight w:val="none"/>
        </w:rPr>
        <w:t>的采购活动，全权代表我方处理采购活动中的一切事宜。联系方式如下：</w:t>
      </w:r>
      <w:r>
        <w:rPr>
          <w:rFonts w:hint="eastAsia" w:ascii="新宋体" w:hAnsi="新宋体" w:eastAsia="新宋体" w:cs="新宋体"/>
          <w:color w:val="auto"/>
          <w:sz w:val="22"/>
          <w:szCs w:val="22"/>
          <w:highlight w:val="none"/>
          <w:u w:val="single"/>
        </w:rPr>
        <w:t xml:space="preserve">手机号码：       联系邮箱:         详细通讯地址：             </w:t>
      </w:r>
      <w:r>
        <w:rPr>
          <w:rFonts w:hint="eastAsia" w:ascii="新宋体" w:hAnsi="新宋体" w:eastAsia="新宋体" w:cs="新宋体"/>
          <w:color w:val="auto"/>
          <w:sz w:val="22"/>
          <w:szCs w:val="22"/>
          <w:highlight w:val="none"/>
        </w:rPr>
        <w:t xml:space="preserve"> 。  </w:t>
      </w:r>
    </w:p>
    <w:p>
      <w:pPr>
        <w:spacing w:line="460" w:lineRule="exact"/>
        <w:ind w:firstLine="220" w:firstLineChars="100"/>
        <w:rPr>
          <w:rFonts w:hint="eastAsia" w:ascii="新宋体" w:hAnsi="新宋体" w:eastAsia="新宋体" w:cs="新宋体"/>
          <w:color w:val="auto"/>
          <w:sz w:val="22"/>
          <w:szCs w:val="22"/>
          <w:highlight w:val="none"/>
        </w:rPr>
      </w:pPr>
    </w:p>
    <w:p>
      <w:pPr>
        <w:spacing w:line="460" w:lineRule="exact"/>
        <w:ind w:firstLine="550" w:firstLineChars="250"/>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3971" w:firstLineChars="180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供应商全称（公章）：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pPr>
        <w:spacing w:line="460" w:lineRule="exact"/>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附：法定代表人及授权代表的身份证正反面复印件</w:t>
      </w:r>
    </w:p>
    <w:p>
      <w:pPr>
        <w:widowControl/>
        <w:jc w:val="left"/>
        <w:rPr>
          <w:rFonts w:hint="eastAsia" w:ascii="新宋体" w:hAnsi="新宋体" w:eastAsia="新宋体" w:cs="新宋体"/>
          <w:b/>
          <w:bCs/>
          <w:color w:val="auto"/>
          <w:highlight w:val="none"/>
        </w:rPr>
      </w:pPr>
    </w:p>
    <w:p>
      <w:pPr>
        <w:widowControl/>
        <w:jc w:val="left"/>
        <w:rPr>
          <w:rFonts w:hint="eastAsia" w:ascii="新宋体" w:hAnsi="新宋体" w:eastAsia="新宋体" w:cs="新宋体"/>
          <w:b/>
          <w:bCs/>
          <w:color w:val="auto"/>
          <w:highlight w:val="none"/>
        </w:rPr>
      </w:pPr>
    </w:p>
    <w:p>
      <w:pPr>
        <w:widowControl/>
        <w:jc w:val="left"/>
        <w:rPr>
          <w:rFonts w:hint="eastAsia" w:ascii="新宋体" w:hAnsi="新宋体" w:eastAsia="新宋体" w:cs="新宋体"/>
          <w:b/>
          <w:bCs/>
          <w:color w:val="auto"/>
          <w:highlight w:val="none"/>
        </w:rPr>
      </w:pPr>
    </w:p>
    <w:p>
      <w:pPr>
        <w:widowControl/>
        <w:jc w:val="left"/>
        <w:rPr>
          <w:rFonts w:hint="eastAsia" w:ascii="新宋体" w:hAnsi="新宋体" w:eastAsia="新宋体" w:cs="新宋体"/>
          <w:b/>
          <w:bCs/>
          <w:color w:val="auto"/>
          <w:highlight w:val="none"/>
        </w:rPr>
      </w:pPr>
    </w:p>
    <w:p>
      <w:pPr>
        <w:widowControl/>
        <w:jc w:val="left"/>
        <w:rPr>
          <w:rFonts w:hint="eastAsia" w:ascii="新宋体" w:hAnsi="新宋体" w:eastAsia="新宋体" w:cs="新宋体"/>
          <w:b/>
          <w:bCs/>
          <w:color w:val="auto"/>
          <w:highlight w:val="none"/>
        </w:rPr>
      </w:pPr>
    </w:p>
    <w:p>
      <w:pPr>
        <w:widowControl/>
        <w:jc w:val="left"/>
        <w:rPr>
          <w:rFonts w:hint="eastAsia" w:ascii="新宋体" w:hAnsi="新宋体" w:eastAsia="新宋体" w:cs="新宋体"/>
          <w:b/>
          <w:bCs/>
          <w:color w:val="auto"/>
          <w:highlight w:val="none"/>
        </w:rPr>
      </w:pPr>
    </w:p>
    <w:p>
      <w:pPr>
        <w:widowControl/>
        <w:jc w:val="left"/>
        <w:rPr>
          <w:rFonts w:hint="eastAsia" w:ascii="新宋体" w:hAnsi="新宋体" w:eastAsia="新宋体" w:cs="新宋体"/>
          <w:b/>
          <w:bCs/>
          <w:color w:val="auto"/>
          <w:highlight w:val="none"/>
        </w:rPr>
      </w:pPr>
    </w:p>
    <w:p>
      <w:pPr>
        <w:widowControl/>
        <w:jc w:val="left"/>
        <w:rPr>
          <w:rFonts w:hint="eastAsia" w:ascii="新宋体" w:hAnsi="新宋体" w:eastAsia="新宋体" w:cs="新宋体"/>
          <w:b/>
          <w:bCs/>
          <w:color w:val="auto"/>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1、若供应商代表为法定代表人，应提供声明书（</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-1）并提交法定代表人身份证正反面复印件；</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2、若供应商代表为法定代表人授权的委托代理人，应提供授权书（</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-2），并附法定代表人及授权代表的身份证正反面复印件。</w:t>
      </w:r>
    </w:p>
    <w:p>
      <w:pPr>
        <w:spacing w:line="460" w:lineRule="exact"/>
        <w:rPr>
          <w:rFonts w:hint="eastAsia" w:ascii="新宋体" w:hAnsi="新宋体" w:eastAsia="新宋体" w:cs="新宋体"/>
          <w:color w:val="auto"/>
          <w:sz w:val="22"/>
          <w:szCs w:val="22"/>
          <w:highlight w:val="none"/>
        </w:rPr>
      </w:pPr>
    </w:p>
    <w:p>
      <w:pPr>
        <w:spacing w:line="380" w:lineRule="exact"/>
        <w:jc w:val="center"/>
        <w:rPr>
          <w:rFonts w:hint="eastAsia" w:ascii="新宋体" w:hAnsi="新宋体" w:eastAsia="新宋体" w:cs="新宋体"/>
          <w:b/>
          <w:bCs/>
          <w:color w:val="auto"/>
          <w:sz w:val="32"/>
          <w:highlight w:val="none"/>
        </w:rPr>
      </w:pPr>
      <w:r>
        <w:rPr>
          <w:rFonts w:hint="eastAsia" w:ascii="新宋体" w:hAnsi="新宋体" w:eastAsia="新宋体" w:cs="新宋体"/>
          <w:b/>
          <w:bCs/>
          <w:color w:val="auto"/>
          <w:sz w:val="32"/>
          <w:highlight w:val="none"/>
        </w:rPr>
        <w:br w:type="page"/>
      </w:r>
    </w:p>
    <w:p>
      <w:pPr>
        <w:spacing w:line="380" w:lineRule="exact"/>
        <w:jc w:val="center"/>
        <w:rPr>
          <w:rFonts w:hint="eastAsia" w:ascii="新宋体" w:hAnsi="新宋体" w:eastAsia="新宋体" w:cs="新宋体"/>
          <w:b/>
          <w:bCs/>
          <w:color w:val="auto"/>
          <w:sz w:val="32"/>
          <w:highlight w:val="none"/>
        </w:rPr>
      </w:pPr>
    </w:p>
    <w:p>
      <w:pPr>
        <w:widowControl/>
        <w:adjustRightInd w:val="0"/>
        <w:snapToGrid w:val="0"/>
        <w:spacing w:line="360" w:lineRule="auto"/>
        <w:jc w:val="both"/>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 xml:space="preserve">                   3</w:t>
      </w:r>
      <w:r>
        <w:rPr>
          <w:rFonts w:hint="eastAsia" w:ascii="新宋体" w:hAnsi="新宋体" w:eastAsia="新宋体" w:cs="新宋体"/>
          <w:b/>
          <w:color w:val="auto"/>
          <w:sz w:val="22"/>
          <w:szCs w:val="22"/>
          <w:highlight w:val="none"/>
        </w:rPr>
        <w:t>）投标供应商参与采购活动投标资格声明函</w:t>
      </w:r>
    </w:p>
    <w:p>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eastAsia="zh-CN"/>
        </w:rPr>
        <w:t>温州市鹿城区人民政府南郊街道办事处</w:t>
      </w:r>
      <w:r>
        <w:rPr>
          <w:rFonts w:hint="eastAsia" w:ascii="新宋体" w:hAnsi="新宋体" w:eastAsia="新宋体" w:cs="新宋体"/>
          <w:color w:val="auto"/>
          <w:kern w:val="0"/>
          <w:sz w:val="22"/>
          <w:szCs w:val="22"/>
          <w:highlight w:val="none"/>
        </w:rPr>
        <w:t>：</w:t>
      </w:r>
    </w:p>
    <w:p>
      <w:pPr>
        <w:widowControl/>
        <w:adjustRightInd w:val="0"/>
        <w:snapToGrid w:val="0"/>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温州品立项目管理有限公司</w:t>
      </w:r>
      <w:r>
        <w:rPr>
          <w:rFonts w:hint="eastAsia" w:ascii="新宋体" w:hAnsi="新宋体" w:eastAsia="新宋体" w:cs="新宋体"/>
          <w:color w:val="auto"/>
          <w:kern w:val="0"/>
          <w:sz w:val="22"/>
          <w:szCs w:val="22"/>
          <w:highlight w:val="none"/>
        </w:rPr>
        <w:t>：</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我单位参与</w:t>
      </w:r>
      <w:r>
        <w:rPr>
          <w:rFonts w:hint="eastAsia" w:ascii="新宋体" w:hAnsi="新宋体" w:eastAsia="新宋体" w:cs="新宋体"/>
          <w:color w:val="auto"/>
          <w:sz w:val="22"/>
          <w:szCs w:val="22"/>
          <w:highlight w:val="none"/>
          <w:u w:val="single"/>
        </w:rPr>
        <w:t xml:space="preserve"> （项目名称） </w:t>
      </w:r>
      <w:r>
        <w:rPr>
          <w:rFonts w:hint="eastAsia" w:ascii="新宋体" w:hAnsi="新宋体" w:eastAsia="新宋体" w:cs="新宋体"/>
          <w:color w:val="auto"/>
          <w:kern w:val="0"/>
          <w:sz w:val="22"/>
          <w:szCs w:val="22"/>
          <w:highlight w:val="none"/>
        </w:rPr>
        <w:t>项目的采购活动，现声明如下：</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1、我单位具有独立承担民事责任的能力。</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2、我单位具有良好的商业信誉和健全的财务会计制度。</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3、我单位具有依法缴纳税收和社会保障资金的良好记录。</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4、我单位具有履行本项目采购合同所必需的设备和专业技术能力。</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单位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6、我单位符合本项目特定资格条件的要求，并在磋商响应文件中提供了相应的证明材料（磋商文件没有要求特定资格条件的，本条款空格处可以空白）</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不存在以下情况：</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单位负责人为同一人或者存在直接控股、管理关系的不同供应商参加同一合同项下的政府采购活动的；（2）为本项目提供整体设计、规范编制或者项目管理、监理、检测等服务后再参加本项目的其他采购活动的。</w:t>
      </w:r>
    </w:p>
    <w:p>
      <w:pPr>
        <w:widowControl/>
        <w:adjustRightInd w:val="0"/>
        <w:snapToGrid w:val="0"/>
        <w:spacing w:line="360" w:lineRule="auto"/>
        <w:ind w:left="216" w:leftChars="103" w:firstLine="200" w:firstLineChars="91"/>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以上承诺如有虚假，愿接受取消我方任何资格（投标/中标/签订合同）及其他任何形式的处理，我方对此无任何异议。</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pStyle w:val="15"/>
        <w:rPr>
          <w:rFonts w:hint="eastAsia" w:ascii="新宋体" w:hAnsi="新宋体" w:eastAsia="新宋体" w:cs="新宋体"/>
          <w:color w:val="auto"/>
          <w:highlight w:val="none"/>
        </w:rPr>
      </w:pPr>
    </w:p>
    <w:p>
      <w:pPr>
        <w:widowControl/>
        <w:adjustRightInd w:val="0"/>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adjustRightInd w:val="0"/>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15"/>
        <w:rPr>
          <w:rFonts w:hint="eastAsia" w:ascii="新宋体" w:hAnsi="新宋体" w:eastAsia="新宋体" w:cs="新宋体"/>
          <w:color w:val="auto"/>
          <w:highlight w:val="none"/>
        </w:rPr>
      </w:pPr>
    </w:p>
    <w:p>
      <w:pPr>
        <w:widowControl/>
        <w:adjustRightInd w:val="0"/>
        <w:snapToGrid w:val="0"/>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br w:type="page"/>
      </w:r>
    </w:p>
    <w:p>
      <w:pPr>
        <w:pStyle w:val="24"/>
        <w:snapToGrid w:val="0"/>
        <w:spacing w:line="324"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）诚信投标承诺书</w:t>
      </w:r>
    </w:p>
    <w:p>
      <w:pPr>
        <w:ind w:right="-153" w:rightChars="-73"/>
        <w:jc w:val="center"/>
        <w:rPr>
          <w:rFonts w:hint="eastAsia" w:ascii="新宋体" w:hAnsi="新宋体" w:eastAsia="新宋体" w:cs="新宋体"/>
          <w:color w:val="auto"/>
          <w:sz w:val="22"/>
          <w:szCs w:val="22"/>
          <w:highlight w:val="none"/>
        </w:rPr>
      </w:pPr>
    </w:p>
    <w:p>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rPr>
        <w:t xml:space="preserve"> （项目名称） </w:t>
      </w:r>
      <w:r>
        <w:rPr>
          <w:rFonts w:hint="eastAsia" w:ascii="新宋体" w:hAnsi="新宋体" w:eastAsia="新宋体" w:cs="新宋体"/>
          <w:color w:val="auto"/>
          <w:sz w:val="22"/>
          <w:szCs w:val="22"/>
          <w:highlight w:val="none"/>
        </w:rPr>
        <w:t>采购工作，有效遏制不公平竞争和违规违纪问题的发生，确保采购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不使用不正当手段妨碍、排挤其它供应商或串通投标。</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按照本磋商文件规定的方式进行投标，不隐瞒本单位投标资质的真实情况，投标资质符合规定。</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不向采购人涉及采购的人员的配偶、子女分包此次采购项目。</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一旦发现相关人员在采购过程中的索要财物等不廉洁行为，坚决予以抵制，并及时向有关纪检监察部门举报。</w:t>
      </w:r>
    </w:p>
    <w:p>
      <w:pPr>
        <w:numPr>
          <w:ilvl w:val="0"/>
          <w:numId w:val="45"/>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我们若违反上述承诺，愿接受取消供应商资格及其他任何形式的处理。</w:t>
      </w:r>
    </w:p>
    <w:p>
      <w:pPr>
        <w:snapToGrid w:val="0"/>
        <w:spacing w:line="500" w:lineRule="exact"/>
        <w:ind w:firstLine="385" w:firstLineChars="175"/>
        <w:rPr>
          <w:rFonts w:hint="eastAsia" w:ascii="新宋体" w:hAnsi="新宋体" w:eastAsia="新宋体" w:cs="新宋体"/>
          <w:color w:val="auto"/>
          <w:sz w:val="22"/>
          <w:szCs w:val="22"/>
          <w:highlight w:val="none"/>
        </w:rPr>
      </w:pPr>
    </w:p>
    <w:p>
      <w:pPr>
        <w:widowControl/>
        <w:adjustRightInd w:val="0"/>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adjustRightInd w:val="0"/>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rPr>
          <w:rFonts w:hint="eastAsia" w:ascii="新宋体" w:hAnsi="新宋体" w:eastAsia="新宋体" w:cs="新宋体"/>
          <w:b/>
          <w:bCs/>
          <w:color w:val="auto"/>
          <w:sz w:val="22"/>
          <w:szCs w:val="22"/>
          <w:highlight w:val="none"/>
        </w:rPr>
      </w:pPr>
    </w:p>
    <w:p>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pPr>
        <w:spacing w:line="440" w:lineRule="atLeas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5</w:t>
      </w:r>
      <w:r>
        <w:rPr>
          <w:rFonts w:hint="eastAsia" w:ascii="新宋体" w:hAnsi="新宋体" w:eastAsia="新宋体" w:cs="新宋体"/>
          <w:b/>
          <w:color w:val="auto"/>
          <w:sz w:val="22"/>
          <w:szCs w:val="22"/>
          <w:highlight w:val="none"/>
        </w:rPr>
        <w:t>）中小企业声明函</w:t>
      </w:r>
    </w:p>
    <w:p>
      <w:pPr>
        <w:spacing w:after="120" w:line="44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5-1</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中小企业声明函（工程、服务）</w:t>
      </w:r>
    </w:p>
    <w:p>
      <w:pPr>
        <w:spacing w:before="5" w:after="120" w:line="440" w:lineRule="exact"/>
        <w:rPr>
          <w:rFonts w:hint="eastAsia" w:ascii="新宋体" w:hAnsi="新宋体" w:eastAsia="新宋体" w:cs="新宋体"/>
          <w:b/>
          <w:color w:val="auto"/>
          <w:sz w:val="22"/>
          <w:szCs w:val="22"/>
          <w:highlight w:val="none"/>
        </w:rPr>
      </w:pPr>
    </w:p>
    <w:p>
      <w:pPr>
        <w:spacing w:after="120" w:line="48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本公司（联合体）郑重声明，根据《政府采购促进中小企业发展管理办法》（财库﹝2020﹞46号）的规定，本公司（联合体）参加</w:t>
      </w:r>
      <w:r>
        <w:rPr>
          <w:rFonts w:hint="eastAsia" w:ascii="新宋体" w:hAnsi="新宋体" w:eastAsia="新宋体" w:cs="新宋体"/>
          <w:i/>
          <w:iCs/>
          <w:color w:val="auto"/>
          <w:sz w:val="22"/>
          <w:szCs w:val="22"/>
          <w:highlight w:val="none"/>
          <w:u w:val="single"/>
        </w:rPr>
        <w:t>（单位名称）</w:t>
      </w:r>
      <w:r>
        <w:rPr>
          <w:rFonts w:hint="eastAsia" w:ascii="新宋体" w:hAnsi="新宋体" w:eastAsia="新宋体" w:cs="新宋体"/>
          <w:color w:val="auto"/>
          <w:sz w:val="22"/>
          <w:szCs w:val="22"/>
          <w:highlight w:val="none"/>
        </w:rPr>
        <w:t>的</w:t>
      </w:r>
      <w:r>
        <w:rPr>
          <w:rFonts w:hint="eastAsia" w:ascii="新宋体" w:hAnsi="新宋体" w:eastAsia="新宋体" w:cs="新宋体"/>
          <w:i/>
          <w:iCs/>
          <w:color w:val="auto"/>
          <w:sz w:val="22"/>
          <w:szCs w:val="22"/>
          <w:highlight w:val="none"/>
          <w:u w:val="single"/>
        </w:rPr>
        <w:t>（项目名称）</w:t>
      </w:r>
      <w:r>
        <w:rPr>
          <w:rFonts w:hint="eastAsia" w:ascii="新宋体" w:hAnsi="新宋体" w:eastAsia="新宋体" w:cs="新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99"/>
        <w:tabs>
          <w:tab w:val="left" w:pos="1025"/>
        </w:tabs>
        <w:spacing w:line="480" w:lineRule="exact"/>
        <w:ind w:firstLine="44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i/>
          <w:iCs/>
          <w:color w:val="auto"/>
          <w:sz w:val="22"/>
          <w:szCs w:val="22"/>
          <w:highlight w:val="none"/>
          <w:u w:val="single"/>
        </w:rPr>
        <w:t>（南郊街道办事处食堂菜品配送采购）</w:t>
      </w:r>
      <w:r>
        <w:rPr>
          <w:rFonts w:hint="eastAsia" w:ascii="新宋体" w:hAnsi="新宋体" w:eastAsia="新宋体" w:cs="新宋体"/>
          <w:color w:val="auto"/>
          <w:sz w:val="22"/>
          <w:szCs w:val="22"/>
          <w:highlight w:val="none"/>
        </w:rPr>
        <w:t>，属于</w:t>
      </w:r>
      <w:r>
        <w:rPr>
          <w:rFonts w:hint="eastAsia" w:ascii="新宋体" w:hAnsi="新宋体" w:eastAsia="新宋体" w:cs="新宋体"/>
          <w:i/>
          <w:iCs/>
          <w:color w:val="auto"/>
          <w:sz w:val="22"/>
          <w:szCs w:val="22"/>
          <w:highlight w:val="none"/>
          <w:u w:val="single"/>
        </w:rPr>
        <w:t>（批发业）</w:t>
      </w:r>
      <w:r>
        <w:rPr>
          <w:rFonts w:hint="eastAsia" w:ascii="新宋体" w:hAnsi="新宋体" w:eastAsia="新宋体" w:cs="新宋体"/>
          <w:color w:val="auto"/>
          <w:sz w:val="22"/>
          <w:szCs w:val="22"/>
          <w:highlight w:val="none"/>
        </w:rPr>
        <w:t>；承建（承接）企业为</w:t>
      </w:r>
      <w:r>
        <w:rPr>
          <w:rFonts w:hint="eastAsia" w:ascii="新宋体" w:hAnsi="新宋体" w:eastAsia="新宋体" w:cs="新宋体"/>
          <w:i/>
          <w:iCs/>
          <w:color w:val="auto"/>
          <w:sz w:val="22"/>
          <w:szCs w:val="22"/>
          <w:highlight w:val="none"/>
          <w:u w:val="single"/>
        </w:rPr>
        <w:t>（企业名称）</w:t>
      </w:r>
      <w:r>
        <w:rPr>
          <w:rFonts w:hint="eastAsia" w:ascii="新宋体" w:hAnsi="新宋体" w:eastAsia="新宋体" w:cs="新宋体"/>
          <w:color w:val="auto"/>
          <w:sz w:val="22"/>
          <w:szCs w:val="22"/>
          <w:highlight w:val="none"/>
        </w:rPr>
        <w:t>，从业人员人，营业收入为万元，资产总额为万元，属于</w:t>
      </w:r>
      <w:r>
        <w:rPr>
          <w:rFonts w:hint="eastAsia" w:ascii="新宋体" w:hAnsi="新宋体" w:eastAsia="新宋体" w:cs="新宋体"/>
          <w:i/>
          <w:iCs/>
          <w:color w:val="auto"/>
          <w:sz w:val="22"/>
          <w:szCs w:val="22"/>
          <w:highlight w:val="none"/>
          <w:u w:val="single"/>
        </w:rPr>
        <w:t>（中型企业、小型企业、微型企业）</w:t>
      </w:r>
      <w:r>
        <w:rPr>
          <w:rFonts w:hint="eastAsia" w:ascii="新宋体" w:hAnsi="新宋体" w:eastAsia="新宋体" w:cs="新宋体"/>
          <w:color w:val="auto"/>
          <w:sz w:val="22"/>
          <w:szCs w:val="22"/>
          <w:highlight w:val="none"/>
        </w:rPr>
        <w:t>；</w:t>
      </w:r>
    </w:p>
    <w:p>
      <w:pPr>
        <w:pStyle w:val="99"/>
        <w:tabs>
          <w:tab w:val="left" w:pos="1243"/>
          <w:tab w:val="left" w:pos="1806"/>
          <w:tab w:val="left" w:pos="5005"/>
          <w:tab w:val="left" w:pos="7213"/>
        </w:tabs>
        <w:spacing w:line="480" w:lineRule="exact"/>
        <w:ind w:firstLine="44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i/>
          <w:iCs/>
          <w:color w:val="auto"/>
          <w:sz w:val="22"/>
          <w:szCs w:val="22"/>
          <w:highlight w:val="none"/>
          <w:u w:val="single"/>
        </w:rPr>
        <w:t>（标的名称）</w:t>
      </w:r>
      <w:r>
        <w:rPr>
          <w:rFonts w:hint="eastAsia" w:ascii="新宋体" w:hAnsi="新宋体" w:eastAsia="新宋体" w:cs="新宋体"/>
          <w:color w:val="auto"/>
          <w:sz w:val="22"/>
          <w:szCs w:val="22"/>
          <w:highlight w:val="none"/>
        </w:rPr>
        <w:t>，属于</w:t>
      </w:r>
      <w:r>
        <w:rPr>
          <w:rFonts w:hint="eastAsia" w:ascii="新宋体" w:hAnsi="新宋体" w:eastAsia="新宋体" w:cs="新宋体"/>
          <w:i/>
          <w:iCs/>
          <w:color w:val="auto"/>
          <w:sz w:val="22"/>
          <w:szCs w:val="22"/>
          <w:highlight w:val="none"/>
          <w:u w:val="single"/>
        </w:rPr>
        <w:t>（</w:t>
      </w:r>
      <w:r>
        <w:rPr>
          <w:rFonts w:hint="eastAsia" w:ascii="新宋体" w:hAnsi="新宋体" w:eastAsia="新宋体" w:cs="新宋体"/>
          <w:i/>
          <w:iCs/>
          <w:color w:val="auto"/>
          <w:sz w:val="22"/>
          <w:szCs w:val="22"/>
          <w:highlight w:val="none"/>
          <w:u w:val="single"/>
          <w:lang w:eastAsia="zh-CN"/>
        </w:rPr>
        <w:t>磋商文件</w:t>
      </w:r>
      <w:r>
        <w:rPr>
          <w:rFonts w:hint="eastAsia" w:ascii="新宋体" w:hAnsi="新宋体" w:eastAsia="新宋体" w:cs="新宋体"/>
          <w:i/>
          <w:iCs/>
          <w:color w:val="auto"/>
          <w:sz w:val="22"/>
          <w:szCs w:val="22"/>
          <w:highlight w:val="none"/>
          <w:u w:val="single"/>
        </w:rPr>
        <w:t>中明确的所属行业）</w:t>
      </w:r>
      <w:r>
        <w:rPr>
          <w:rFonts w:hint="eastAsia" w:ascii="新宋体" w:hAnsi="新宋体" w:eastAsia="新宋体" w:cs="新宋体"/>
          <w:color w:val="auto"/>
          <w:sz w:val="22"/>
          <w:szCs w:val="22"/>
          <w:highlight w:val="none"/>
        </w:rPr>
        <w:t>；承建（承接）企业为</w:t>
      </w:r>
      <w:r>
        <w:rPr>
          <w:rFonts w:hint="eastAsia" w:ascii="新宋体" w:hAnsi="新宋体" w:eastAsia="新宋体" w:cs="新宋体"/>
          <w:i/>
          <w:iCs/>
          <w:color w:val="auto"/>
          <w:sz w:val="22"/>
          <w:szCs w:val="22"/>
          <w:highlight w:val="none"/>
          <w:u w:val="single"/>
        </w:rPr>
        <w:t>（企业名称）</w:t>
      </w:r>
      <w:r>
        <w:rPr>
          <w:rFonts w:hint="eastAsia" w:ascii="新宋体" w:hAnsi="新宋体" w:eastAsia="新宋体" w:cs="新宋体"/>
          <w:color w:val="auto"/>
          <w:sz w:val="22"/>
          <w:szCs w:val="22"/>
          <w:highlight w:val="none"/>
        </w:rPr>
        <w:t>，从业人员人，营业收入为万元，资产总额为万元，属于</w:t>
      </w:r>
      <w:r>
        <w:rPr>
          <w:rFonts w:hint="eastAsia" w:ascii="新宋体" w:hAnsi="新宋体" w:eastAsia="新宋体" w:cs="新宋体"/>
          <w:i/>
          <w:iCs/>
          <w:color w:val="auto"/>
          <w:sz w:val="22"/>
          <w:szCs w:val="22"/>
          <w:highlight w:val="none"/>
          <w:u w:val="single"/>
        </w:rPr>
        <w:t>（中型企业、小型企业、微型企业）</w:t>
      </w:r>
      <w:r>
        <w:rPr>
          <w:rFonts w:hint="eastAsia" w:ascii="新宋体" w:hAnsi="新宋体" w:eastAsia="新宋体" w:cs="新宋体"/>
          <w:color w:val="auto"/>
          <w:sz w:val="22"/>
          <w:szCs w:val="22"/>
          <w:highlight w:val="none"/>
        </w:rPr>
        <w:t>；</w:t>
      </w:r>
    </w:p>
    <w:p>
      <w:pPr>
        <w:spacing w:before="11" w:after="120" w:line="480" w:lineRule="exact"/>
        <w:ind w:left="8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pPr>
        <w:spacing w:before="108" w:after="120" w:line="480" w:lineRule="exact"/>
        <w:ind w:right="417" w:firstLine="645"/>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以上企业，不属于大企业的分支机构，不存在控股股东为大企业的情形，也不存在与大企业的负责人为同一人的情形。</w:t>
      </w:r>
    </w:p>
    <w:p>
      <w:pPr>
        <w:spacing w:after="120" w:line="480" w:lineRule="exact"/>
        <w:ind w:right="375" w:firstLine="8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本企业对上述声明内容的真实性负责。如有虚假，将依法承担相应责任。</w:t>
      </w:r>
    </w:p>
    <w:p>
      <w:pPr>
        <w:spacing w:before="29" w:after="120" w:line="480" w:lineRule="exact"/>
        <w:ind w:left="4060" w:right="2166"/>
        <w:jc w:val="left"/>
        <w:rPr>
          <w:rFonts w:hint="eastAsia" w:ascii="新宋体" w:hAnsi="新宋体" w:eastAsia="新宋体" w:cs="新宋体"/>
          <w:color w:val="auto"/>
          <w:sz w:val="22"/>
          <w:szCs w:val="22"/>
          <w:highlight w:val="none"/>
        </w:rPr>
      </w:pPr>
    </w:p>
    <w:p>
      <w:pPr>
        <w:widowControl/>
        <w:adjustRightInd w:val="0"/>
        <w:snapToGrid w:val="0"/>
        <w:spacing w:line="400" w:lineRule="exact"/>
        <w:ind w:firstLine="3300" w:firstLineChars="1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供应商名称（盖章）：</w:t>
      </w:r>
    </w:p>
    <w:p>
      <w:pPr>
        <w:widowControl/>
        <w:adjustRightInd w:val="0"/>
        <w:snapToGrid w:val="0"/>
        <w:spacing w:line="400" w:lineRule="exact"/>
        <w:ind w:firstLine="3300" w:firstLineChars="1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pStyle w:val="135"/>
        <w:spacing w:before="60" w:after="60"/>
        <w:ind w:firstLine="46"/>
        <w:rPr>
          <w:rFonts w:hint="eastAsia" w:ascii="新宋体" w:hAnsi="新宋体" w:eastAsia="新宋体" w:cs="新宋体"/>
          <w:color w:val="auto"/>
          <w:sz w:val="22"/>
          <w:szCs w:val="22"/>
          <w:highlight w:val="none"/>
        </w:rPr>
      </w:pPr>
    </w:p>
    <w:p>
      <w:pPr>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2.磋商供应商应实事求是填写并提供本表，不符合的可不提供；如有虚假，按照《政府采购促进中小企业发展管理办法》的通知（财库〔2020〕46号）第二十条处理。</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3.如中标，将在中标公示中将此函予以公示，接受社会监督。</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4.可采用工业和信息化部网站（https://www.miit.gov.cn/）中小企业规模类型自测小程序进行</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自测后填写。</w:t>
      </w:r>
    </w:p>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spacing w:beforeLines="100" w:line="440" w:lineRule="atLeast"/>
        <w:ind w:firstLine="440" w:firstLineChars="2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p>
      <w:pPr>
        <w:spacing w:line="440" w:lineRule="atLeast"/>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z w:val="22"/>
          <w:szCs w:val="22"/>
          <w:highlight w:val="none"/>
        </w:rPr>
        <w:t>（5</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pacing w:val="6"/>
          <w:sz w:val="22"/>
          <w:szCs w:val="22"/>
          <w:highlight w:val="none"/>
        </w:rPr>
        <w:t>残疾人福利性单位声明函</w:t>
      </w:r>
    </w:p>
    <w:p>
      <w:pPr>
        <w:widowControl/>
        <w:adjustRightInd w:val="0"/>
        <w:snapToGrid w:val="0"/>
        <w:spacing w:line="324" w:lineRule="auto"/>
        <w:ind w:firstLine="440" w:firstLineChars="20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pPr>
        <w:snapToGrid w:val="0"/>
        <w:spacing w:line="300" w:lineRule="auto"/>
        <w:jc w:val="center"/>
        <w:rPr>
          <w:rFonts w:hint="eastAsia" w:ascii="新宋体" w:hAnsi="新宋体" w:eastAsia="新宋体" w:cs="新宋体"/>
          <w:b/>
          <w:bCs/>
          <w:color w:val="auto"/>
          <w:sz w:val="22"/>
          <w:szCs w:val="22"/>
          <w:highlight w:val="none"/>
        </w:rPr>
      </w:pP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（采购人名称）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p>
    <w:p>
      <w:pPr>
        <w:snapToGrid w:val="0"/>
        <w:spacing w:line="300" w:lineRule="auto"/>
        <w:ind w:firstLine="464" w:firstLineChars="200"/>
        <w:rPr>
          <w:rFonts w:hint="eastAsia" w:ascii="新宋体" w:hAnsi="新宋体" w:eastAsia="新宋体" w:cs="新宋体"/>
          <w:color w:val="auto"/>
          <w:spacing w:val="6"/>
          <w:sz w:val="22"/>
          <w:szCs w:val="22"/>
          <w:highlight w:val="none"/>
        </w:rPr>
      </w:pPr>
    </w:p>
    <w:p>
      <w:pPr>
        <w:widowControl/>
        <w:adjustRightInd w:val="0"/>
        <w:snapToGrid w:val="0"/>
        <w:spacing w:line="400" w:lineRule="exact"/>
        <w:ind w:firstLine="3300" w:firstLineChars="1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供应商名称（盖章）：</w:t>
      </w:r>
    </w:p>
    <w:p>
      <w:pPr>
        <w:widowControl/>
        <w:adjustRightInd w:val="0"/>
        <w:snapToGrid w:val="0"/>
        <w:spacing w:line="400" w:lineRule="exact"/>
        <w:ind w:firstLine="3300" w:firstLineChars="1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adjustRightInd w:val="0"/>
        <w:snapToGrid w:val="0"/>
        <w:spacing w:line="300" w:lineRule="auto"/>
        <w:ind w:firstLine="440" w:firstLineChars="200"/>
        <w:rPr>
          <w:rFonts w:hint="eastAsia" w:ascii="新宋体" w:hAnsi="新宋体" w:eastAsia="新宋体" w:cs="新宋体"/>
          <w:color w:val="auto"/>
          <w:kern w:val="0"/>
          <w:sz w:val="22"/>
          <w:szCs w:val="22"/>
          <w:highlight w:val="none"/>
        </w:rPr>
      </w:pPr>
    </w:p>
    <w:p>
      <w:pPr>
        <w:pStyle w:val="28"/>
        <w:rPr>
          <w:rFonts w:hint="eastAsia" w:ascii="新宋体" w:hAnsi="新宋体" w:eastAsia="新宋体" w:cs="新宋体"/>
          <w:color w:val="auto"/>
          <w:highlight w:val="none"/>
        </w:rPr>
      </w:pPr>
    </w:p>
    <w:p>
      <w:pPr>
        <w:adjustRightInd w:val="0"/>
        <w:snapToGrid w:val="0"/>
        <w:spacing w:line="300" w:lineRule="auto"/>
        <w:ind w:firstLine="440" w:firstLineChars="200"/>
        <w:rPr>
          <w:rFonts w:hint="eastAsia" w:ascii="新宋体" w:hAnsi="新宋体" w:eastAsia="新宋体" w:cs="新宋体"/>
          <w:color w:val="auto"/>
          <w:kern w:val="0"/>
          <w:sz w:val="22"/>
          <w:szCs w:val="22"/>
          <w:highlight w:val="none"/>
        </w:rPr>
      </w:pPr>
    </w:p>
    <w:p>
      <w:pPr>
        <w:spacing w:line="440" w:lineRule="atLeast"/>
        <w:rPr>
          <w:rFonts w:hint="eastAsia" w:ascii="新宋体" w:hAnsi="新宋体" w:eastAsia="新宋体" w:cs="新宋体"/>
          <w:color w:val="auto"/>
          <w:sz w:val="22"/>
          <w:szCs w:val="22"/>
          <w:highlight w:val="none"/>
        </w:rPr>
      </w:pPr>
    </w:p>
    <w:p>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5-3</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pacing w:val="6"/>
          <w:sz w:val="22"/>
          <w:szCs w:val="22"/>
          <w:highlight w:val="none"/>
        </w:rPr>
        <w:t>监狱企业声明函</w:t>
      </w:r>
    </w:p>
    <w:p>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根据上述标准，我企业属于监狱企业的理由为：。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pPr>
        <w:widowControl/>
        <w:adjustRightInd w:val="0"/>
        <w:snapToGrid w:val="0"/>
        <w:spacing w:line="400" w:lineRule="exact"/>
        <w:ind w:firstLine="3300" w:firstLineChars="1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供应商名称（盖章）：</w:t>
      </w:r>
    </w:p>
    <w:p>
      <w:pPr>
        <w:widowControl/>
        <w:adjustRightInd w:val="0"/>
        <w:snapToGrid w:val="0"/>
        <w:spacing w:line="400" w:lineRule="exact"/>
        <w:ind w:firstLine="3300" w:firstLineChars="1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widowControl/>
        <w:adjustRightInd w:val="0"/>
        <w:snapToGrid w:val="0"/>
        <w:spacing w:line="400" w:lineRule="exact"/>
        <w:ind w:firstLine="3300" w:firstLineChars="1500"/>
        <w:jc w:val="left"/>
        <w:rPr>
          <w:rFonts w:hint="eastAsia" w:ascii="新宋体" w:hAnsi="新宋体" w:eastAsia="新宋体" w:cs="新宋体"/>
          <w:color w:val="auto"/>
          <w:sz w:val="22"/>
          <w:szCs w:val="22"/>
          <w:highlight w:val="none"/>
        </w:rPr>
      </w:pPr>
    </w:p>
    <w:p>
      <w:pPr>
        <w:widowControl/>
        <w:adjustRightInd w:val="0"/>
        <w:snapToGrid w:val="0"/>
        <w:spacing w:line="400" w:lineRule="exact"/>
        <w:ind w:firstLine="3300" w:firstLineChars="1500"/>
        <w:jc w:val="left"/>
        <w:rPr>
          <w:rFonts w:hint="eastAsia" w:ascii="新宋体" w:hAnsi="新宋体" w:eastAsia="新宋体" w:cs="新宋体"/>
          <w:color w:val="auto"/>
          <w:sz w:val="22"/>
          <w:szCs w:val="22"/>
          <w:highlight w:val="none"/>
        </w:rPr>
      </w:pPr>
    </w:p>
    <w:p>
      <w:pPr>
        <w:widowControl/>
        <w:adjustRightInd w:val="0"/>
        <w:snapToGrid w:val="0"/>
        <w:spacing w:line="40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有效的食品经营许可证复印件</w:t>
      </w:r>
      <w:r>
        <w:rPr>
          <w:rFonts w:hint="eastAsia" w:ascii="新宋体" w:hAnsi="新宋体" w:eastAsia="新宋体" w:cs="新宋体"/>
          <w:b/>
          <w:bCs/>
          <w:color w:val="auto"/>
          <w:sz w:val="22"/>
          <w:szCs w:val="22"/>
          <w:highlight w:val="none"/>
          <w:lang w:val="en-US" w:eastAsia="zh-CN"/>
        </w:rPr>
        <w:t>加盖公章。</w:t>
      </w:r>
    </w:p>
    <w:p>
      <w:pPr>
        <w:pStyle w:val="50"/>
        <w:rPr>
          <w:rFonts w:hint="eastAsia" w:ascii="新宋体" w:hAnsi="新宋体" w:eastAsia="新宋体" w:cs="新宋体"/>
          <w:color w:val="auto"/>
          <w:sz w:val="22"/>
          <w:szCs w:val="22"/>
          <w:highlight w:val="none"/>
        </w:rPr>
      </w:pPr>
    </w:p>
    <w:p>
      <w:pPr>
        <w:pStyle w:val="5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rPr>
          <w:rFonts w:hint="eastAsia" w:ascii="新宋体" w:hAnsi="新宋体" w:eastAsia="新宋体" w:cs="新宋体"/>
          <w:color w:val="auto"/>
          <w:spacing w:val="6"/>
          <w:sz w:val="22"/>
          <w:szCs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附件二 </w:t>
      </w: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color w:val="auto"/>
          <w:sz w:val="22"/>
          <w:szCs w:val="22"/>
          <w:highlight w:val="none"/>
        </w:rPr>
        <w:t>（1）</w:t>
      </w:r>
      <w:r>
        <w:rPr>
          <w:rFonts w:hint="eastAsia" w:ascii="新宋体" w:hAnsi="新宋体" w:eastAsia="新宋体" w:cs="新宋体"/>
          <w:b/>
          <w:bCs/>
          <w:color w:val="auto"/>
          <w:sz w:val="28"/>
          <w:szCs w:val="28"/>
          <w:highlight w:val="none"/>
        </w:rPr>
        <w:t>报价一览表</w:t>
      </w:r>
    </w:p>
    <w:p>
      <w:pPr>
        <w:spacing w:line="380" w:lineRule="exact"/>
        <w:jc w:val="center"/>
        <w:rPr>
          <w:rFonts w:hint="eastAsia" w:ascii="新宋体" w:hAnsi="新宋体" w:eastAsia="新宋体" w:cs="新宋体"/>
          <w:b/>
          <w:bCs/>
          <w:color w:val="auto"/>
          <w:sz w:val="28"/>
          <w:highlight w:val="none"/>
        </w:rPr>
      </w:pPr>
    </w:p>
    <w:p>
      <w:pPr>
        <w:spacing w:line="380" w:lineRule="exact"/>
        <w:ind w:right="349" w:rightChars="166"/>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单位：人民币元</w:t>
      </w:r>
    </w:p>
    <w:tbl>
      <w:tblPr>
        <w:tblStyle w:val="45"/>
        <w:tblW w:w="94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8" w:hRule="exact"/>
        </w:trPr>
        <w:tc>
          <w:tcPr>
            <w:tcW w:w="710" w:type="dxa"/>
            <w:vAlign w:val="center"/>
          </w:tcPr>
          <w:p>
            <w:pPr>
              <w:spacing w:line="460" w:lineRule="exact"/>
              <w:jc w:val="center"/>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序号</w:t>
            </w:r>
          </w:p>
        </w:tc>
        <w:tc>
          <w:tcPr>
            <w:tcW w:w="4315" w:type="dxa"/>
            <w:gridSpan w:val="2"/>
            <w:vAlign w:val="center"/>
          </w:tcPr>
          <w:p>
            <w:pPr>
              <w:spacing w:line="460" w:lineRule="exact"/>
              <w:jc w:val="center"/>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项目名称</w:t>
            </w:r>
          </w:p>
        </w:tc>
        <w:tc>
          <w:tcPr>
            <w:tcW w:w="4443" w:type="dxa"/>
            <w:vAlign w:val="center"/>
          </w:tcPr>
          <w:p>
            <w:pPr>
              <w:spacing w:line="460" w:lineRule="exact"/>
              <w:jc w:val="center"/>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10" w:type="dxa"/>
            <w:vAlign w:val="center"/>
          </w:tcPr>
          <w:p>
            <w:pPr>
              <w:spacing w:line="460" w:lineRule="exact"/>
              <w:jc w:val="center"/>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1</w:t>
            </w:r>
          </w:p>
        </w:tc>
        <w:tc>
          <w:tcPr>
            <w:tcW w:w="4315" w:type="dxa"/>
            <w:gridSpan w:val="2"/>
            <w:vAlign w:val="center"/>
          </w:tcPr>
          <w:p>
            <w:pPr>
              <w:spacing w:line="460" w:lineRule="exact"/>
              <w:jc w:val="center"/>
              <w:rPr>
                <w:rFonts w:hint="eastAsia" w:ascii="新宋体" w:hAnsi="新宋体" w:eastAsia="新宋体" w:cs="新宋体"/>
                <w:snapToGrid w:val="0"/>
                <w:color w:val="auto"/>
                <w:kern w:val="0"/>
                <w:sz w:val="22"/>
                <w:szCs w:val="22"/>
                <w:highlight w:val="none"/>
              </w:rPr>
            </w:pPr>
          </w:p>
        </w:tc>
        <w:tc>
          <w:tcPr>
            <w:tcW w:w="4443" w:type="dxa"/>
            <w:vAlign w:val="center"/>
          </w:tcPr>
          <w:p>
            <w:pPr>
              <w:spacing w:line="460" w:lineRule="exact"/>
              <w:jc w:val="center"/>
              <w:rPr>
                <w:rFonts w:hint="eastAsia" w:ascii="新宋体" w:hAnsi="新宋体" w:eastAsia="新宋体" w:cs="新宋体"/>
                <w:b/>
                <w:snapToGrid w:val="0"/>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3008" w:type="dxa"/>
            <w:gridSpan w:val="2"/>
            <w:vAlign w:val="center"/>
          </w:tcPr>
          <w:p>
            <w:pPr>
              <w:spacing w:line="460" w:lineRule="exact"/>
              <w:jc w:val="center"/>
              <w:rPr>
                <w:rFonts w:hint="eastAsia" w:ascii="新宋体" w:hAnsi="新宋体" w:eastAsia="新宋体" w:cs="新宋体"/>
                <w:b/>
                <w:snapToGrid w:val="0"/>
                <w:color w:val="auto"/>
                <w:kern w:val="0"/>
                <w:sz w:val="22"/>
                <w:szCs w:val="22"/>
                <w:highlight w:val="none"/>
                <w:lang w:val="en-US" w:eastAsia="zh-CN"/>
              </w:rPr>
            </w:pPr>
            <w:r>
              <w:rPr>
                <w:rFonts w:hint="eastAsia" w:ascii="新宋体" w:hAnsi="新宋体" w:eastAsia="新宋体" w:cs="新宋体"/>
                <w:b/>
                <w:snapToGrid w:val="0"/>
                <w:color w:val="auto"/>
                <w:kern w:val="0"/>
                <w:sz w:val="22"/>
                <w:szCs w:val="22"/>
                <w:highlight w:val="none"/>
                <w:lang w:val="en-US" w:eastAsia="zh-CN"/>
              </w:rPr>
              <w:t>报价折扣率</w:t>
            </w:r>
          </w:p>
        </w:tc>
        <w:tc>
          <w:tcPr>
            <w:tcW w:w="6460" w:type="dxa"/>
            <w:gridSpan w:val="2"/>
            <w:vAlign w:val="center"/>
          </w:tcPr>
          <w:p>
            <w:pPr>
              <w:spacing w:line="460" w:lineRule="exact"/>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 xml:space="preserve">大写： </w:t>
            </w:r>
            <w:r>
              <w:rPr>
                <w:rFonts w:hint="eastAsia" w:ascii="新宋体" w:hAnsi="新宋体" w:eastAsia="新宋体" w:cs="新宋体"/>
                <w:b/>
                <w:snapToGrid w:val="0"/>
                <w:color w:val="auto"/>
                <w:kern w:val="0"/>
                <w:sz w:val="22"/>
                <w:szCs w:val="22"/>
                <w:highlight w:val="none"/>
                <w:lang w:val="en-US" w:eastAsia="zh-CN"/>
              </w:rPr>
              <w:t>佰分之</w:t>
            </w:r>
            <w:r>
              <w:rPr>
                <w:rFonts w:hint="eastAsia" w:ascii="新宋体" w:hAnsi="新宋体" w:eastAsia="新宋体" w:cs="新宋体"/>
                <w:b/>
                <w:snapToGrid w:val="0"/>
                <w:color w:val="auto"/>
                <w:kern w:val="0"/>
                <w:sz w:val="22"/>
                <w:szCs w:val="22"/>
                <w:highlight w:val="none"/>
                <w:u w:val="single"/>
                <w:lang w:val="en-US" w:eastAsia="zh-CN"/>
              </w:rPr>
              <w:t xml:space="preserve">    </w:t>
            </w:r>
            <w:r>
              <w:rPr>
                <w:rFonts w:hint="eastAsia" w:ascii="新宋体" w:hAnsi="新宋体" w:eastAsia="新宋体" w:cs="新宋体"/>
                <w:b/>
                <w:snapToGrid w:val="0"/>
                <w:color w:val="auto"/>
                <w:kern w:val="0"/>
                <w:sz w:val="22"/>
                <w:szCs w:val="22"/>
                <w:highlight w:val="none"/>
                <w:u w:val="single"/>
              </w:rPr>
              <w:t xml:space="preserve"> </w:t>
            </w:r>
            <w:r>
              <w:rPr>
                <w:rFonts w:hint="eastAsia" w:ascii="新宋体" w:hAnsi="新宋体" w:eastAsia="新宋体" w:cs="新宋体"/>
                <w:b/>
                <w:snapToGrid w:val="0"/>
                <w:color w:val="auto"/>
                <w:kern w:val="0"/>
                <w:sz w:val="22"/>
                <w:szCs w:val="22"/>
                <w:highlight w:val="none"/>
              </w:rPr>
              <w:t xml:space="preserve">  </w:t>
            </w:r>
          </w:p>
          <w:p>
            <w:pPr>
              <w:spacing w:line="460" w:lineRule="exact"/>
              <w:rPr>
                <w:rFonts w:hint="eastAsia" w:ascii="新宋体" w:hAnsi="新宋体" w:eastAsia="新宋体" w:cs="新宋体"/>
                <w:b/>
                <w:snapToGrid w:val="0"/>
                <w:color w:val="auto"/>
                <w:kern w:val="0"/>
                <w:sz w:val="22"/>
                <w:szCs w:val="22"/>
                <w:highlight w:val="none"/>
                <w:lang w:val="en-US" w:eastAsia="zh-CN"/>
              </w:rPr>
            </w:pPr>
            <w:r>
              <w:rPr>
                <w:rFonts w:hint="eastAsia" w:ascii="新宋体" w:hAnsi="新宋体" w:eastAsia="新宋体" w:cs="新宋体"/>
                <w:b/>
                <w:snapToGrid w:val="0"/>
                <w:color w:val="auto"/>
                <w:kern w:val="0"/>
                <w:sz w:val="22"/>
                <w:szCs w:val="22"/>
                <w:highlight w:val="none"/>
              </w:rPr>
              <w:t xml:space="preserve">小写： </w:t>
            </w:r>
            <w:r>
              <w:rPr>
                <w:rFonts w:hint="eastAsia" w:ascii="新宋体" w:hAnsi="新宋体" w:eastAsia="新宋体" w:cs="新宋体"/>
                <w:b/>
                <w:snapToGrid w:val="0"/>
                <w:color w:val="auto"/>
                <w:kern w:val="0"/>
                <w:sz w:val="22"/>
                <w:szCs w:val="22"/>
                <w:highlight w:val="none"/>
                <w:u w:val="single"/>
              </w:rPr>
              <w:t xml:space="preserve">    </w:t>
            </w:r>
            <w:r>
              <w:rPr>
                <w:rFonts w:hint="eastAsia" w:ascii="新宋体" w:hAnsi="新宋体" w:eastAsia="新宋体" w:cs="新宋体"/>
                <w:b/>
                <w:snapToGrid w:val="0"/>
                <w:color w:val="auto"/>
                <w:kern w:val="0"/>
                <w:sz w:val="22"/>
                <w:szCs w:val="22"/>
                <w:highlight w:val="none"/>
              </w:rPr>
              <w:t xml:space="preserve"> </w:t>
            </w:r>
            <w:r>
              <w:rPr>
                <w:rFonts w:hint="eastAsia" w:ascii="新宋体" w:hAnsi="新宋体" w:eastAsia="新宋体" w:cs="新宋体"/>
                <w:b/>
                <w:snapToGrid w:val="0"/>
                <w:color w:val="auto"/>
                <w:kern w:val="0"/>
                <w:sz w:val="22"/>
                <w:szCs w:val="22"/>
                <w:highlight w:val="none"/>
                <w:lang w:val="en-US" w:eastAsia="zh-CN"/>
              </w:rPr>
              <w:t>%</w:t>
            </w:r>
          </w:p>
        </w:tc>
      </w:tr>
    </w:tbl>
    <w:p>
      <w:pPr>
        <w:spacing w:line="460" w:lineRule="exact"/>
        <w:rPr>
          <w:rFonts w:hint="eastAsia" w:ascii="新宋体" w:hAnsi="新宋体" w:eastAsia="新宋体" w:cs="新宋体"/>
          <w:color w:val="auto"/>
          <w:sz w:val="22"/>
          <w:szCs w:val="22"/>
          <w:highlight w:val="none"/>
        </w:rPr>
      </w:pPr>
    </w:p>
    <w:p>
      <w:pPr>
        <w:spacing w:line="380" w:lineRule="exact"/>
        <w:ind w:right="349" w:rightChars="166" w:firstLine="331" w:firstLineChars="150"/>
        <w:rPr>
          <w:rFonts w:hint="eastAsia" w:ascii="新宋体" w:hAnsi="新宋体" w:eastAsia="新宋体" w:cs="新宋体"/>
          <w:b/>
          <w:color w:val="auto"/>
          <w:sz w:val="22"/>
          <w:highlight w:val="none"/>
        </w:rPr>
      </w:pPr>
    </w:p>
    <w:p>
      <w:pPr>
        <w:spacing w:line="380" w:lineRule="exact"/>
        <w:ind w:left="532" w:leftChars="-66" w:hanging="671" w:hangingChars="304"/>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p>
      <w:pPr>
        <w:spacing w:line="380" w:lineRule="exact"/>
        <w:rPr>
          <w:rFonts w:hint="eastAsia" w:ascii="新宋体" w:hAnsi="新宋体" w:eastAsia="新宋体" w:cs="新宋体"/>
          <w:b/>
          <w:color w:val="auto"/>
          <w:sz w:val="22"/>
          <w:highlight w:val="none"/>
          <w:u w:val="singl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color="auto"/>
        </w:rPr>
        <w:t>▲</w:t>
      </w:r>
      <w:r>
        <w:rPr>
          <w:rFonts w:hint="eastAsia" w:ascii="新宋体" w:hAnsi="新宋体" w:eastAsia="新宋体" w:cs="新宋体"/>
          <w:b/>
          <w:color w:val="auto"/>
          <w:sz w:val="22"/>
          <w:szCs w:val="22"/>
          <w:highlight w:val="none"/>
          <w:u w:val="single"/>
        </w:rPr>
        <w:t>不按要求提供报价一览表的响应文件将被视为未实质性响应采购文件</w:t>
      </w:r>
      <w:r>
        <w:rPr>
          <w:rFonts w:hint="eastAsia" w:ascii="新宋体" w:hAnsi="新宋体" w:eastAsia="新宋体" w:cs="新宋体"/>
          <w:b/>
          <w:color w:val="auto"/>
          <w:sz w:val="22"/>
          <w:highlight w:val="none"/>
          <w:u w:val="single"/>
        </w:rPr>
        <w:t>。</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本项目</w:t>
      </w:r>
      <w:r>
        <w:rPr>
          <w:rFonts w:hint="eastAsia" w:ascii="新宋体" w:hAnsi="新宋体" w:eastAsia="新宋体" w:cs="新宋体"/>
          <w:b/>
          <w:bCs/>
          <w:color w:val="auto"/>
          <w:sz w:val="22"/>
          <w:szCs w:val="22"/>
          <w:highlight w:val="none"/>
        </w:rPr>
        <w:t>以折扣率方式进行报价，</w:t>
      </w:r>
      <w:r>
        <w:rPr>
          <w:rFonts w:hint="eastAsia" w:ascii="新宋体" w:hAnsi="新宋体" w:eastAsia="新宋体" w:cs="新宋体"/>
          <w:b/>
          <w:bCs/>
          <w:color w:val="auto"/>
          <w:sz w:val="22"/>
          <w:szCs w:val="22"/>
          <w:highlight w:val="none"/>
          <w:lang w:val="en-US" w:eastAsia="zh-CN"/>
        </w:rPr>
        <w:t>供应商</w:t>
      </w:r>
      <w:r>
        <w:rPr>
          <w:rFonts w:hint="eastAsia" w:ascii="新宋体" w:hAnsi="新宋体" w:eastAsia="新宋体" w:cs="新宋体"/>
          <w:b/>
          <w:bCs/>
          <w:color w:val="auto"/>
          <w:sz w:val="22"/>
          <w:szCs w:val="22"/>
          <w:highlight w:val="none"/>
        </w:rPr>
        <w:t>应自行考虑食材的供货、税金、包装、运输、装卸、验收及其所有税费等全部费用后计算价格折扣率。</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供应商</w:t>
      </w:r>
      <w:r>
        <w:rPr>
          <w:rFonts w:hint="eastAsia" w:ascii="新宋体" w:hAnsi="新宋体" w:eastAsia="新宋体" w:cs="新宋体"/>
          <w:b/>
          <w:bCs/>
          <w:color w:val="auto"/>
          <w:sz w:val="22"/>
          <w:szCs w:val="22"/>
          <w:highlight w:val="none"/>
        </w:rPr>
        <w:t>所报的折扣率在合同执行过程中作为最高限价（当期所供产品市场价格*投标所报折扣率），合同执行过程中</w:t>
      </w:r>
      <w:r>
        <w:rPr>
          <w:rFonts w:hint="eastAsia" w:ascii="新宋体" w:hAnsi="新宋体" w:eastAsia="新宋体" w:cs="新宋体"/>
          <w:b/>
          <w:bCs/>
          <w:color w:val="auto"/>
          <w:sz w:val="22"/>
          <w:szCs w:val="22"/>
          <w:highlight w:val="none"/>
          <w:lang w:val="en-US" w:eastAsia="zh-CN"/>
        </w:rPr>
        <w:t>供应商</w:t>
      </w:r>
      <w:r>
        <w:rPr>
          <w:rFonts w:hint="eastAsia" w:ascii="新宋体" w:hAnsi="新宋体" w:eastAsia="新宋体" w:cs="新宋体"/>
          <w:b/>
          <w:bCs/>
          <w:color w:val="auto"/>
          <w:sz w:val="22"/>
          <w:szCs w:val="22"/>
          <w:highlight w:val="none"/>
        </w:rPr>
        <w:t>不得以任何理由要求调整折扣率。</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4、例如：投标报价按</w:t>
      </w:r>
      <w:r>
        <w:rPr>
          <w:rFonts w:hint="eastAsia" w:ascii="新宋体" w:hAnsi="新宋体" w:eastAsia="新宋体" w:cs="新宋体"/>
          <w:b/>
          <w:bCs/>
          <w:color w:val="auto"/>
          <w:sz w:val="22"/>
          <w:szCs w:val="22"/>
          <w:highlight w:val="none"/>
        </w:rPr>
        <w:t>当期所供产品市场价格下浮20%，则本表中折扣率填写80%（保留小数点后两位，否则按四舍五入计算）。</w:t>
      </w:r>
    </w:p>
    <w:p>
      <w:pPr>
        <w:spacing w:line="38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u w:val="single" w:color="auto"/>
        </w:rPr>
        <w:t>▲报价折扣率最高限价为折扣率100%</w:t>
      </w:r>
      <w:r>
        <w:rPr>
          <w:rFonts w:hint="eastAsia" w:ascii="新宋体" w:hAnsi="新宋体" w:eastAsia="新宋体" w:cs="新宋体"/>
          <w:b/>
          <w:bCs/>
          <w:color w:val="auto"/>
          <w:sz w:val="22"/>
          <w:szCs w:val="22"/>
          <w:highlight w:val="none"/>
        </w:rPr>
        <w:t>。</w:t>
      </w:r>
    </w:p>
    <w:p>
      <w:pPr>
        <w:pStyle w:val="50"/>
        <w:rPr>
          <w:rFonts w:hint="eastAsia" w:ascii="新宋体" w:hAnsi="新宋体" w:eastAsia="新宋体" w:cs="新宋体"/>
          <w:color w:val="auto"/>
          <w:highlight w:val="none"/>
        </w:rPr>
      </w:pPr>
    </w:p>
    <w:p>
      <w:pPr>
        <w:spacing w:line="380" w:lineRule="exact"/>
        <w:ind w:firstLine="660" w:firstLineChars="300"/>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法定代表人（负责人）或其授权代表</w:t>
      </w:r>
      <w:r>
        <w:rPr>
          <w:rFonts w:hint="eastAsia" w:ascii="新宋体" w:hAnsi="新宋体" w:eastAsia="新宋体" w:cs="新宋体"/>
          <w:color w:val="auto"/>
          <w:sz w:val="22"/>
          <w:szCs w:val="22"/>
          <w:highlight w:val="none"/>
        </w:rPr>
        <w:t>（签字或盖章）：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附件三</w:t>
      </w:r>
    </w:p>
    <w:p>
      <w:pPr>
        <w:spacing w:line="460" w:lineRule="exact"/>
        <w:rPr>
          <w:rFonts w:hint="eastAsia" w:ascii="新宋体" w:hAnsi="新宋体" w:eastAsia="新宋体" w:cs="新宋体"/>
          <w:b/>
          <w:bCs/>
          <w:color w:val="auto"/>
          <w:highlight w:val="none"/>
        </w:rPr>
      </w:pP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磋商函</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温州市鹿城区人民政府南郊街道办事处</w:t>
      </w:r>
      <w:r>
        <w:rPr>
          <w:rFonts w:hint="eastAsia" w:ascii="新宋体" w:hAnsi="新宋体" w:eastAsia="新宋体" w:cs="新宋体"/>
          <w:color w:val="auto"/>
          <w:sz w:val="22"/>
          <w:szCs w:val="22"/>
          <w:highlight w:val="none"/>
        </w:rPr>
        <w:t>：</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w:t>
      </w:r>
    </w:p>
    <w:p>
      <w:pPr>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根据贵方为项目（采购编号：）的磋商邀请，我方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（供应商名称）作为供应商正式授权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（授权代表全名，职务）代表我方处理有关本磋商的一切事宜。</w:t>
      </w:r>
    </w:p>
    <w:p>
      <w:pPr>
        <w:pStyle w:val="8"/>
        <w:spacing w:line="3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在此提交的磋商响应文件中，包括如下内</w:t>
      </w:r>
      <w:r>
        <w:rPr>
          <w:rFonts w:hint="eastAsia" w:ascii="新宋体" w:hAnsi="新宋体" w:eastAsia="新宋体" w:cs="新宋体"/>
          <w:color w:val="auto"/>
          <w:sz w:val="22"/>
          <w:highlight w:val="none"/>
        </w:rPr>
        <w:t>容：</w:t>
      </w:r>
    </w:p>
    <w:p>
      <w:pPr>
        <w:spacing w:line="3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1、按“供应商须知”要求编制的磋商响应文件资格文件；</w:t>
      </w:r>
    </w:p>
    <w:p>
      <w:pPr>
        <w:spacing w:line="3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2、按“供应商须知”要求编制的磋商响应文件商务技术文件；</w:t>
      </w:r>
    </w:p>
    <w:p>
      <w:pPr>
        <w:spacing w:line="3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3、按“供应商须知”要求编制的磋商响应文件报价文件；</w:t>
      </w:r>
    </w:p>
    <w:p>
      <w:pPr>
        <w:spacing w:line="3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我方己完全明白磋商文件的所有条款要求，并重申以下几点：</w:t>
      </w:r>
    </w:p>
    <w:p>
      <w:pPr>
        <w:pStyle w:val="99"/>
        <w:numPr>
          <w:ilvl w:val="1"/>
          <w:numId w:val="46"/>
        </w:numPr>
        <w:spacing w:line="360" w:lineRule="exact"/>
        <w:ind w:left="567" w:hanging="283"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本磋商响应文件的有效期自磋商截止日起  90 天内有效，如中标，有效期将延至合同终止日为止；</w:t>
      </w:r>
    </w:p>
    <w:p>
      <w:pPr>
        <w:pStyle w:val="99"/>
        <w:numPr>
          <w:ilvl w:val="1"/>
          <w:numId w:val="46"/>
        </w:numPr>
        <w:spacing w:line="360" w:lineRule="exact"/>
        <w:ind w:left="567" w:hanging="283"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我方已详细研究了磋商文件的所有内容包括修改书（如有）和所有已提供的参考资料以及有关附件，我方完全理解并同意放弃在此方面提出含糊意见或误解的一切权力；</w:t>
      </w:r>
    </w:p>
    <w:p>
      <w:pPr>
        <w:pStyle w:val="99"/>
        <w:numPr>
          <w:ilvl w:val="1"/>
          <w:numId w:val="46"/>
        </w:numPr>
        <w:spacing w:line="360" w:lineRule="exact"/>
        <w:ind w:left="567" w:hanging="283"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我方郑重承诺所提供的“信用中国网站”、“中国政府采购网”信用查询证明文件真实有效；</w:t>
      </w:r>
    </w:p>
    <w:p>
      <w:pPr>
        <w:pStyle w:val="99"/>
        <w:numPr>
          <w:ilvl w:val="1"/>
          <w:numId w:val="46"/>
        </w:numPr>
        <w:spacing w:line="360" w:lineRule="exact"/>
        <w:ind w:left="567" w:hanging="283"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我方在参加本项目前三年内（被通报或者处罚的违法行为有：               ）或（没有因违法经营受到刑事处罚或者责令停产停业、吊销许可证或者执照、较大数额罚款等行政处罚或处罚）或（在  至  期间禁止参加政府采购活动但是期限届满，须附相关证明文件）；</w:t>
      </w:r>
    </w:p>
    <w:p>
      <w:pPr>
        <w:pStyle w:val="99"/>
        <w:numPr>
          <w:ilvl w:val="1"/>
          <w:numId w:val="46"/>
        </w:numPr>
        <w:spacing w:line="360" w:lineRule="exact"/>
        <w:ind w:left="567" w:hanging="283"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我方同意提供按照贵方可能要求的与磋商有关的一切数据或资料；</w:t>
      </w:r>
    </w:p>
    <w:p>
      <w:pPr>
        <w:pStyle w:val="99"/>
        <w:numPr>
          <w:ilvl w:val="1"/>
          <w:numId w:val="46"/>
        </w:numPr>
        <w:spacing w:line="360" w:lineRule="exact"/>
        <w:ind w:left="567" w:hanging="283"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我方理解贵方不一定接受最低报价。</w:t>
      </w:r>
      <w:r>
        <w:rPr>
          <w:rFonts w:hint="eastAsia" w:ascii="新宋体" w:hAnsi="新宋体" w:eastAsia="新宋体" w:cs="新宋体"/>
          <w:color w:val="auto"/>
          <w:sz w:val="22"/>
          <w:highlight w:val="none"/>
        </w:rPr>
        <w:tab/>
      </w:r>
    </w:p>
    <w:p>
      <w:pPr>
        <w:pStyle w:val="99"/>
        <w:numPr>
          <w:ilvl w:val="1"/>
          <w:numId w:val="46"/>
        </w:numPr>
        <w:spacing w:line="360" w:lineRule="exact"/>
        <w:ind w:left="567" w:hanging="283"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我方如果中标，将保证履行磋商文件以及磋商文件修改书（如有）中的全部责任和义务，按质、按量、按期完成《合同书》中的全部任务。</w:t>
      </w:r>
    </w:p>
    <w:p>
      <w:pPr>
        <w:pStyle w:val="99"/>
        <w:numPr>
          <w:ilvl w:val="1"/>
          <w:numId w:val="46"/>
        </w:numPr>
        <w:spacing w:line="360" w:lineRule="exact"/>
        <w:ind w:left="567" w:hanging="283"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所有与本磋商有关的函件请发往下列地址：</w:t>
      </w:r>
    </w:p>
    <w:p>
      <w:pPr>
        <w:spacing w:line="3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p>
    <w:p>
      <w:pPr>
        <w:spacing w:line="3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p>
    <w:p>
      <w:pPr>
        <w:spacing w:line="360" w:lineRule="exact"/>
        <w:ind w:firstLine="435"/>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p>
    <w:p>
      <w:pPr>
        <w:spacing w:line="36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电子邮件</w:t>
      </w:r>
    </w:p>
    <w:p>
      <w:pPr>
        <w:spacing w:line="420" w:lineRule="exact"/>
        <w:ind w:firstLine="435"/>
        <w:rPr>
          <w:rFonts w:hint="eastAsia" w:ascii="新宋体" w:hAnsi="新宋体" w:eastAsia="新宋体" w:cs="新宋体"/>
          <w:color w:val="auto"/>
          <w:sz w:val="22"/>
          <w:szCs w:val="22"/>
          <w:highlight w:val="none"/>
        </w:rPr>
      </w:pPr>
    </w:p>
    <w:p>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供应商名称（盖章）</w:t>
      </w:r>
    </w:p>
    <w:p>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eastAsia="zh-CN"/>
        </w:rPr>
        <w:t>法定代表人（负责人）或其授权代表</w:t>
      </w:r>
      <w:r>
        <w:rPr>
          <w:rFonts w:hint="eastAsia" w:ascii="新宋体" w:hAnsi="新宋体" w:eastAsia="新宋体" w:cs="新宋体"/>
          <w:color w:val="auto"/>
          <w:sz w:val="22"/>
          <w:szCs w:val="22"/>
          <w:highlight w:val="none"/>
        </w:rPr>
        <w:t>（签字或盖章）</w:t>
      </w:r>
    </w:p>
    <w:p>
      <w:pPr>
        <w:spacing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spacing w:line="460" w:lineRule="exact"/>
        <w:ind w:firstLine="435"/>
        <w:rPr>
          <w:rFonts w:hint="eastAsia" w:ascii="新宋体" w:hAnsi="新宋体" w:eastAsia="新宋体" w:cs="新宋体"/>
          <w:color w:val="auto"/>
          <w:sz w:val="22"/>
          <w:szCs w:val="22"/>
          <w:highlight w:val="none"/>
        </w:rPr>
      </w:pPr>
    </w:p>
    <w:p>
      <w:pPr>
        <w:spacing w:line="460" w:lineRule="exact"/>
        <w:ind w:firstLine="43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lang w:val="en-US" w:eastAsia="zh-CN"/>
        </w:rPr>
        <w:t>注：</w:t>
      </w:r>
      <w:r>
        <w:rPr>
          <w:rFonts w:hint="eastAsia" w:ascii="新宋体" w:hAnsi="新宋体" w:eastAsia="新宋体" w:cs="新宋体"/>
          <w:b/>
          <w:bCs/>
          <w:color w:val="auto"/>
          <w:sz w:val="22"/>
          <w:szCs w:val="22"/>
          <w:highlight w:val="none"/>
          <w:u w:val="single"/>
        </w:rPr>
        <w:t>▲不提供此函的将被视为未实质性响应</w:t>
      </w:r>
      <w:r>
        <w:rPr>
          <w:rFonts w:hint="eastAsia" w:ascii="新宋体" w:hAnsi="新宋体" w:eastAsia="新宋体" w:cs="新宋体"/>
          <w:b/>
          <w:bCs/>
          <w:color w:val="auto"/>
          <w:sz w:val="22"/>
          <w:szCs w:val="22"/>
          <w:highlight w:val="none"/>
          <w:u w:val="single"/>
          <w:lang w:val="en-US" w:eastAsia="zh-CN"/>
        </w:rPr>
        <w:t>磋商</w:t>
      </w:r>
      <w:r>
        <w:rPr>
          <w:rFonts w:hint="eastAsia" w:ascii="新宋体" w:hAnsi="新宋体" w:eastAsia="新宋体" w:cs="新宋体"/>
          <w:b/>
          <w:bCs/>
          <w:color w:val="auto"/>
          <w:sz w:val="22"/>
          <w:szCs w:val="22"/>
          <w:highlight w:val="none"/>
          <w:u w:val="single"/>
        </w:rPr>
        <w:t>文件要求，投标无效。</w:t>
      </w:r>
    </w:p>
    <w:p>
      <w:pPr>
        <w:spacing w:line="460" w:lineRule="exact"/>
        <w:ind w:firstLine="435"/>
        <w:rPr>
          <w:rFonts w:hint="eastAsia" w:ascii="新宋体" w:hAnsi="新宋体" w:eastAsia="新宋体" w:cs="新宋体"/>
          <w:color w:val="auto"/>
          <w:sz w:val="22"/>
          <w:szCs w:val="22"/>
          <w:highlight w:val="none"/>
        </w:rPr>
        <w:sectPr>
          <w:headerReference r:id="rId10" w:type="first"/>
          <w:footerReference r:id="rId13" w:type="first"/>
          <w:headerReference r:id="rId9" w:type="default"/>
          <w:footerReference r:id="rId11" w:type="default"/>
          <w:footerReference r:id="rId12" w:type="even"/>
          <w:pgSz w:w="11906" w:h="16838"/>
          <w:pgMar w:top="1134" w:right="1134" w:bottom="1134" w:left="1134" w:header="851" w:footer="851" w:gutter="0"/>
          <w:pgNumType w:fmt="decimal"/>
          <w:cols w:space="720" w:num="1"/>
          <w:titlePg/>
          <w:docGrid w:linePitch="312" w:charSpace="0"/>
        </w:sectPr>
      </w:pPr>
    </w:p>
    <w:p>
      <w:pPr>
        <w:spacing w:line="460" w:lineRule="exact"/>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rPr>
        <w:t>附件四</w:t>
      </w:r>
    </w:p>
    <w:p>
      <w:pPr>
        <w:spacing w:line="460" w:lineRule="exact"/>
        <w:ind w:firstLine="437"/>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技术规格、商务条款偏离表</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供应商名称：                                          采购编号：</w:t>
      </w:r>
    </w:p>
    <w:tbl>
      <w:tblPr>
        <w:tblStyle w:val="4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43" w:type="dxa"/>
            <w:vAlign w:val="top"/>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磋商文件</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条目号</w:t>
            </w: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磋商文件</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规范要求</w:t>
            </w: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对应规范</w:t>
            </w: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术</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w:t>
            </w: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vAlign w:val="top"/>
          </w:tcPr>
          <w:p>
            <w:pPr>
              <w:spacing w:line="380" w:lineRule="exact"/>
              <w:ind w:firstLine="220" w:firstLineChars="100"/>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vAlign w:val="top"/>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vAlign w:val="top"/>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vAlign w:val="top"/>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务</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款</w:t>
            </w: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vAlign w:val="top"/>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vAlign w:val="top"/>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vAlign w:val="top"/>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vAlign w:val="top"/>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bl>
    <w:p>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color w:val="auto"/>
          <w:sz w:val="22"/>
          <w:szCs w:val="22"/>
          <w:highlight w:val="none"/>
          <w:u w:val="single"/>
        </w:rPr>
        <w:t>如有偏离，必须在偏离表中进行详细对比说明并注明正偏离或负偏离或无偏离，如不说明偏离情况或未提供此表，均视为完全响应磋商文件要求无偏离</w:t>
      </w:r>
      <w:r>
        <w:rPr>
          <w:rFonts w:hint="eastAsia" w:ascii="新宋体" w:hAnsi="新宋体" w:eastAsia="新宋体" w:cs="新宋体"/>
          <w:b/>
          <w:color w:val="auto"/>
          <w:highlight w:val="none"/>
        </w:rPr>
        <w:t>。</w:t>
      </w:r>
    </w:p>
    <w:p>
      <w:pPr>
        <w:spacing w:line="380" w:lineRule="exact"/>
        <w:ind w:firstLine="4417" w:firstLineChars="2000"/>
        <w:rPr>
          <w:rFonts w:hint="eastAsia" w:ascii="新宋体" w:hAnsi="新宋体" w:eastAsia="新宋体" w:cs="新宋体"/>
          <w:b/>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法定代表人（负责人）或其授权代表</w:t>
      </w:r>
      <w:r>
        <w:rPr>
          <w:rFonts w:hint="eastAsia" w:ascii="新宋体" w:hAnsi="新宋体" w:eastAsia="新宋体" w:cs="新宋体"/>
          <w:color w:val="auto"/>
          <w:sz w:val="22"/>
          <w:szCs w:val="22"/>
          <w:highlight w:val="none"/>
        </w:rPr>
        <w:t>（签字或盖章）：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highlight w:val="none"/>
        </w:rPr>
        <w:br w:type="page"/>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附件五</w:t>
      </w:r>
    </w:p>
    <w:p>
      <w:pPr>
        <w:pStyle w:val="50"/>
        <w:rPr>
          <w:rFonts w:hint="eastAsia" w:ascii="新宋体" w:hAnsi="新宋体" w:eastAsia="新宋体" w:cs="新宋体"/>
          <w:color w:val="auto"/>
          <w:highlight w:val="none"/>
        </w:rPr>
      </w:pPr>
    </w:p>
    <w:p>
      <w:pPr>
        <w:pStyle w:val="50"/>
        <w:rPr>
          <w:rFonts w:hint="eastAsia" w:ascii="新宋体" w:hAnsi="新宋体" w:eastAsia="新宋体" w:cs="新宋体"/>
          <w:color w:val="auto"/>
          <w:highlight w:val="none"/>
        </w:rPr>
      </w:pPr>
      <w:r>
        <w:rPr>
          <w:rFonts w:hint="eastAsia" w:ascii="新宋体" w:hAnsi="新宋体" w:eastAsia="新宋体" w:cs="新宋体"/>
          <w:b/>
          <w:bCs/>
          <w:color w:val="auto"/>
          <w:highlight w:val="none"/>
        </w:rPr>
        <w:fldChar w:fldCharType="begin"/>
      </w:r>
      <w:r>
        <w:rPr>
          <w:rFonts w:hint="eastAsia" w:ascii="新宋体" w:hAnsi="新宋体" w:eastAsia="新宋体" w:cs="新宋体"/>
          <w:b/>
          <w:bCs/>
          <w:color w:val="auto"/>
          <w:highlight w:val="none"/>
        </w:rPr>
        <w:instrText xml:space="preserve"> HYPERLINK "mailto:（开评标阶段填写，并邮件发送至Yxgcxmgl@126.com邮箱）" </w:instrText>
      </w:r>
      <w:r>
        <w:rPr>
          <w:rFonts w:hint="eastAsia" w:ascii="新宋体" w:hAnsi="新宋体" w:eastAsia="新宋体" w:cs="新宋体"/>
          <w:b/>
          <w:bCs/>
          <w:color w:val="auto"/>
          <w:highlight w:val="none"/>
        </w:rPr>
        <w:fldChar w:fldCharType="separate"/>
      </w:r>
      <w:r>
        <w:rPr>
          <w:rStyle w:val="43"/>
          <w:rFonts w:hint="eastAsia" w:ascii="新宋体" w:hAnsi="新宋体" w:eastAsia="新宋体" w:cs="新宋体"/>
          <w:b/>
          <w:bCs/>
          <w:color w:val="auto"/>
          <w:highlight w:val="none"/>
        </w:rPr>
        <w:t>（开评标阶段填写，并</w:t>
      </w:r>
      <w:r>
        <w:rPr>
          <w:rStyle w:val="43"/>
          <w:rFonts w:hint="eastAsia" w:ascii="新宋体" w:hAnsi="新宋体" w:eastAsia="新宋体" w:cs="新宋体"/>
          <w:b/>
          <w:bCs/>
          <w:color w:val="auto"/>
          <w:highlight w:val="none"/>
          <w:lang w:val="en-US" w:eastAsia="zh-CN"/>
        </w:rPr>
        <w:t>扫描</w:t>
      </w:r>
      <w:r>
        <w:rPr>
          <w:rStyle w:val="43"/>
          <w:rFonts w:hint="eastAsia" w:ascii="新宋体" w:hAnsi="新宋体" w:eastAsia="新宋体" w:cs="新宋体"/>
          <w:b/>
          <w:bCs/>
          <w:color w:val="auto"/>
          <w:highlight w:val="none"/>
        </w:rPr>
        <w:t>邮件发送至</w:t>
      </w:r>
      <w:r>
        <w:rPr>
          <w:rStyle w:val="43"/>
          <w:rFonts w:hint="eastAsia" w:ascii="新宋体" w:hAnsi="新宋体" w:eastAsia="新宋体" w:cs="新宋体"/>
          <w:b/>
          <w:bCs/>
          <w:color w:val="auto"/>
          <w:highlight w:val="none"/>
          <w:lang w:eastAsia="zh-CN"/>
        </w:rPr>
        <w:t>53514766@qq.com</w:t>
      </w:r>
      <w:r>
        <w:rPr>
          <w:rStyle w:val="43"/>
          <w:rFonts w:hint="eastAsia" w:ascii="新宋体" w:hAnsi="新宋体" w:eastAsia="新宋体" w:cs="新宋体"/>
          <w:b/>
          <w:bCs/>
          <w:color w:val="auto"/>
          <w:highlight w:val="none"/>
        </w:rPr>
        <w:t>邮箱）</w:t>
      </w:r>
      <w:r>
        <w:rPr>
          <w:rStyle w:val="43"/>
          <w:rFonts w:hint="eastAsia" w:ascii="新宋体" w:hAnsi="新宋体" w:eastAsia="新宋体" w:cs="新宋体"/>
          <w:b/>
          <w:bCs/>
          <w:color w:val="auto"/>
          <w:highlight w:val="none"/>
        </w:rPr>
        <w:fldChar w:fldCharType="end"/>
      </w:r>
    </w:p>
    <w:p>
      <w:pPr>
        <w:pStyle w:val="50"/>
        <w:rPr>
          <w:rFonts w:hint="eastAsia" w:ascii="新宋体" w:hAnsi="新宋体" w:eastAsia="新宋体" w:cs="新宋体"/>
          <w:color w:val="auto"/>
          <w:highlight w:val="none"/>
        </w:rPr>
      </w:pPr>
    </w:p>
    <w:p>
      <w:pPr>
        <w:jc w:val="center"/>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采购活动现场确认声明书</w:t>
      </w:r>
    </w:p>
    <w:p>
      <w:pPr>
        <w:tabs>
          <w:tab w:val="left" w:pos="795"/>
          <w:tab w:val="center" w:pos="4873"/>
        </w:tabs>
        <w:overflowPunct w:val="0"/>
        <w:spacing w:line="460" w:lineRule="exact"/>
        <w:ind w:firstLine="118" w:firstLineChars="49"/>
        <w:jc w:val="left"/>
        <w:rPr>
          <w:rFonts w:hint="eastAsia" w:ascii="新宋体" w:hAnsi="新宋体" w:eastAsia="新宋体" w:cs="新宋体"/>
          <w:b/>
          <w:bCs/>
          <w:color w:val="auto"/>
          <w:sz w:val="24"/>
          <w:highlight w:val="none"/>
        </w:rPr>
      </w:pPr>
    </w:p>
    <w:p>
      <w:pPr>
        <w:pStyle w:val="125"/>
        <w:widowControl w:val="0"/>
        <w:snapToGrid w:val="0"/>
        <w:spacing w:line="440" w:lineRule="exact"/>
        <w:jc w:val="both"/>
        <w:rPr>
          <w:rFonts w:hint="eastAsia" w:ascii="新宋体" w:hAnsi="新宋体" w:eastAsia="新宋体" w:cs="新宋体"/>
          <w:b/>
          <w:color w:val="auto"/>
          <w:spacing w:val="6"/>
          <w:sz w:val="22"/>
          <w:szCs w:val="22"/>
          <w:highlight w:val="none"/>
          <w:u w:val="single"/>
        </w:rPr>
      </w:pPr>
      <w:r>
        <w:rPr>
          <w:rFonts w:hint="eastAsia" w:ascii="新宋体" w:hAnsi="新宋体" w:eastAsia="新宋体" w:cs="新宋体"/>
          <w:b/>
          <w:color w:val="auto"/>
          <w:spacing w:val="6"/>
          <w:sz w:val="22"/>
          <w:szCs w:val="22"/>
          <w:highlight w:val="none"/>
          <w:u w:val="single"/>
          <w:lang w:eastAsia="zh-CN"/>
        </w:rPr>
        <w:t>温州市鹿城区人民政府南郊街道办事处</w:t>
      </w:r>
      <w:r>
        <w:rPr>
          <w:rFonts w:hint="eastAsia" w:ascii="新宋体" w:hAnsi="新宋体" w:eastAsia="新宋体" w:cs="新宋体"/>
          <w:b/>
          <w:color w:val="auto"/>
          <w:spacing w:val="6"/>
          <w:sz w:val="22"/>
          <w:szCs w:val="22"/>
          <w:highlight w:val="none"/>
        </w:rPr>
        <w:t>：</w:t>
      </w:r>
    </w:p>
    <w:p>
      <w:pPr>
        <w:pStyle w:val="125"/>
        <w:widowControl w:val="0"/>
        <w:snapToGrid w:val="0"/>
        <w:spacing w:line="440" w:lineRule="exact"/>
        <w:jc w:val="both"/>
        <w:rPr>
          <w:rFonts w:hint="eastAsia" w:ascii="新宋体" w:hAnsi="新宋体" w:eastAsia="新宋体" w:cs="新宋体"/>
          <w:b/>
          <w:color w:val="auto"/>
          <w:spacing w:val="6"/>
          <w:sz w:val="22"/>
          <w:szCs w:val="22"/>
          <w:highlight w:val="none"/>
          <w:u w:val="single"/>
        </w:rPr>
      </w:pPr>
      <w:r>
        <w:rPr>
          <w:rFonts w:hint="eastAsia" w:ascii="新宋体" w:hAnsi="新宋体" w:eastAsia="新宋体" w:cs="新宋体"/>
          <w:b/>
          <w:color w:val="auto"/>
          <w:spacing w:val="6"/>
          <w:sz w:val="22"/>
          <w:szCs w:val="22"/>
          <w:highlight w:val="none"/>
          <w:u w:val="single"/>
          <w:lang w:eastAsia="zh-CN"/>
        </w:rPr>
        <w:t>温州品立项目管理有限公司</w:t>
      </w:r>
      <w:r>
        <w:rPr>
          <w:rFonts w:hint="eastAsia" w:ascii="新宋体" w:hAnsi="新宋体" w:eastAsia="新宋体" w:cs="新宋体"/>
          <w:b/>
          <w:color w:val="auto"/>
          <w:kern w:val="0"/>
          <w:sz w:val="22"/>
          <w:szCs w:val="22"/>
          <w:highlight w:val="none"/>
        </w:rPr>
        <w:t>：</w:t>
      </w:r>
    </w:p>
    <w:p>
      <w:pPr>
        <w:pStyle w:val="125"/>
        <w:widowControl w:val="0"/>
        <w:snapToGrid w:val="0"/>
        <w:spacing w:line="440" w:lineRule="exact"/>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本人经由</w:t>
      </w:r>
      <w:r>
        <w:rPr>
          <w:rFonts w:hint="eastAsia" w:ascii="新宋体" w:hAnsi="新宋体" w:eastAsia="新宋体" w:cs="新宋体"/>
          <w:color w:val="auto"/>
          <w:spacing w:val="6"/>
          <w:sz w:val="22"/>
          <w:szCs w:val="22"/>
          <w:highlight w:val="none"/>
          <w:u w:val="single"/>
        </w:rPr>
        <w:t xml:space="preserve">                       （单位）</w:t>
      </w:r>
      <w:r>
        <w:rPr>
          <w:rFonts w:hint="eastAsia" w:ascii="新宋体" w:hAnsi="新宋体" w:eastAsia="新宋体" w:cs="新宋体"/>
          <w:color w:val="auto"/>
          <w:spacing w:val="6"/>
          <w:sz w:val="22"/>
          <w:szCs w:val="22"/>
          <w:highlight w:val="none"/>
        </w:rPr>
        <w:t>负责人</w:t>
      </w:r>
      <w:r>
        <w:rPr>
          <w:rFonts w:hint="eastAsia" w:ascii="新宋体" w:hAnsi="新宋体" w:eastAsia="新宋体" w:cs="新宋体"/>
          <w:color w:val="auto"/>
          <w:spacing w:val="6"/>
          <w:sz w:val="22"/>
          <w:szCs w:val="22"/>
          <w:highlight w:val="none"/>
          <w:u w:val="single"/>
        </w:rPr>
        <w:t xml:space="preserve">          （姓名）</w:t>
      </w:r>
      <w:r>
        <w:rPr>
          <w:rFonts w:hint="eastAsia" w:ascii="新宋体" w:hAnsi="新宋体" w:eastAsia="新宋体" w:cs="新宋体"/>
          <w:color w:val="auto"/>
          <w:spacing w:val="6"/>
          <w:sz w:val="22"/>
          <w:szCs w:val="22"/>
          <w:highlight w:val="none"/>
        </w:rPr>
        <w:t>合法授权</w:t>
      </w:r>
      <w:r>
        <w:rPr>
          <w:rFonts w:hint="eastAsia" w:ascii="新宋体" w:hAnsi="新宋体" w:eastAsia="新宋体" w:cs="新宋体"/>
          <w:color w:val="auto"/>
          <w:sz w:val="22"/>
          <w:szCs w:val="22"/>
          <w:highlight w:val="none"/>
          <w:u w:val="single"/>
        </w:rPr>
        <w:t xml:space="preserve"> （项目名称） </w:t>
      </w:r>
      <w:r>
        <w:rPr>
          <w:rFonts w:hint="eastAsia" w:ascii="新宋体" w:hAnsi="新宋体" w:eastAsia="新宋体" w:cs="新宋体"/>
          <w:color w:val="auto"/>
          <w:spacing w:val="6"/>
          <w:sz w:val="22"/>
          <w:szCs w:val="22"/>
          <w:highlight w:val="none"/>
        </w:rPr>
        <w:t xml:space="preserve">项目（编号：）采购活动，经与本单位法人代表（负责人）联系确认，现就有关公平竞争事项郑重声明如下： </w:t>
      </w:r>
    </w:p>
    <w:p>
      <w:pPr>
        <w:pStyle w:val="74"/>
        <w:widowControl/>
        <w:numPr>
          <w:ilvl w:val="0"/>
          <w:numId w:val="47"/>
        </w:numPr>
        <w:snapToGrid w:val="0"/>
        <w:spacing w:line="440" w:lineRule="exact"/>
        <w:ind w:firstLine="415" w:firstLineChars="18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本单位与采购人之间 □不存在利害关系 □存在下列利害关系：</w:t>
      </w:r>
    </w:p>
    <w:p>
      <w:pPr>
        <w:pStyle w:val="74"/>
        <w:widowControl/>
        <w:snapToGrid w:val="0"/>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A.投资关系    B.行政隶属关系    C.业务指导关系</w:t>
      </w:r>
    </w:p>
    <w:p>
      <w:pPr>
        <w:pStyle w:val="74"/>
        <w:widowControl/>
        <w:snapToGrid w:val="0"/>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D.其他可能</w:t>
      </w:r>
      <w:r>
        <w:rPr>
          <w:rFonts w:hint="eastAsia" w:ascii="新宋体" w:hAnsi="新宋体" w:eastAsia="新宋体" w:cs="新宋体"/>
          <w:color w:val="auto"/>
          <w:sz w:val="22"/>
          <w:szCs w:val="22"/>
          <w:highlight w:val="none"/>
        </w:rPr>
        <w:t>影响采购公正的</w:t>
      </w:r>
      <w:r>
        <w:rPr>
          <w:rFonts w:hint="eastAsia" w:ascii="新宋体" w:hAnsi="新宋体" w:eastAsia="新宋体" w:cs="新宋体"/>
          <w:color w:val="auto"/>
          <w:kern w:val="0"/>
          <w:sz w:val="22"/>
          <w:szCs w:val="22"/>
          <w:highlight w:val="none"/>
        </w:rPr>
        <w:t>利害关系</w:t>
      </w:r>
      <w:r>
        <w:rPr>
          <w:rFonts w:hint="eastAsia" w:ascii="新宋体" w:hAnsi="新宋体" w:eastAsia="新宋体" w:cs="新宋体"/>
          <w:color w:val="auto"/>
          <w:kern w:val="0"/>
          <w:sz w:val="22"/>
          <w:szCs w:val="22"/>
          <w:highlight w:val="none"/>
          <w:u w:val="single"/>
        </w:rPr>
        <w:t xml:space="preserve">（如有，请如实说明）                 </w:t>
      </w:r>
      <w:r>
        <w:rPr>
          <w:rFonts w:hint="eastAsia" w:ascii="新宋体" w:hAnsi="新宋体" w:eastAsia="新宋体" w:cs="新宋体"/>
          <w:color w:val="auto"/>
          <w:kern w:val="0"/>
          <w:sz w:val="22"/>
          <w:szCs w:val="22"/>
          <w:highlight w:val="none"/>
        </w:rPr>
        <w:t>。</w:t>
      </w:r>
    </w:p>
    <w:p>
      <w:pPr>
        <w:pStyle w:val="74"/>
        <w:widowControl/>
        <w:snapToGrid w:val="0"/>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  二、</w:t>
      </w:r>
      <w:r>
        <w:rPr>
          <w:rFonts w:hint="eastAsia" w:ascii="新宋体" w:hAnsi="新宋体" w:eastAsia="新宋体" w:cs="新宋体"/>
          <w:color w:val="auto"/>
          <w:kern w:val="0"/>
          <w:sz w:val="22"/>
          <w:szCs w:val="22"/>
          <w:highlight w:val="none"/>
        </w:rPr>
        <w:t>现已清楚知道参加本项目采购活动的其他所有供应商名称，本单位 □与其他所有供应商之间均不存在利害关系 □与</w:t>
      </w:r>
      <w:r>
        <w:rPr>
          <w:rFonts w:hint="eastAsia" w:ascii="新宋体" w:hAnsi="新宋体" w:eastAsia="新宋体" w:cs="新宋体"/>
          <w:color w:val="auto"/>
          <w:kern w:val="0"/>
          <w:sz w:val="22"/>
          <w:szCs w:val="22"/>
          <w:highlight w:val="none"/>
          <w:u w:val="single"/>
        </w:rPr>
        <w:t xml:space="preserve">           （供应商名称）</w:t>
      </w:r>
      <w:r>
        <w:rPr>
          <w:rFonts w:hint="eastAsia" w:ascii="新宋体" w:hAnsi="新宋体" w:eastAsia="新宋体" w:cs="新宋体"/>
          <w:color w:val="auto"/>
          <w:kern w:val="0"/>
          <w:sz w:val="22"/>
          <w:szCs w:val="22"/>
          <w:highlight w:val="none"/>
        </w:rPr>
        <w:t>之间存在下列利害关系：</w:t>
      </w:r>
    </w:p>
    <w:p>
      <w:pPr>
        <w:pStyle w:val="125"/>
        <w:widowControl w:val="0"/>
        <w:snapToGrid w:val="0"/>
        <w:spacing w:line="440" w:lineRule="exact"/>
        <w:jc w:val="both"/>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A.法定代表人或负责人或实际控制人是同一人</w:t>
      </w:r>
    </w:p>
    <w:p>
      <w:pPr>
        <w:pStyle w:val="125"/>
        <w:widowControl w:val="0"/>
        <w:snapToGrid w:val="0"/>
        <w:spacing w:line="440" w:lineRule="exact"/>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rPr>
        <w:t xml:space="preserve">  B.法定代表人或负责人或实际控制人是夫妻关系</w:t>
      </w:r>
    </w:p>
    <w:p>
      <w:pPr>
        <w:pStyle w:val="125"/>
        <w:widowControl w:val="0"/>
        <w:snapToGrid w:val="0"/>
        <w:spacing w:line="440" w:lineRule="exact"/>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rPr>
        <w:t xml:space="preserve">  C.法定代表人或负责人或实际控制人是直系血亲关系</w:t>
      </w:r>
    </w:p>
    <w:p>
      <w:pPr>
        <w:pStyle w:val="125"/>
        <w:widowControl w:val="0"/>
        <w:snapToGrid w:val="0"/>
        <w:spacing w:line="440" w:lineRule="exact"/>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rPr>
        <w:t xml:space="preserve">  D.法定代表人或负责人或实际控制人存在三代以内旁系血亲关系</w:t>
      </w:r>
    </w:p>
    <w:p>
      <w:pPr>
        <w:pStyle w:val="125"/>
        <w:widowControl w:val="0"/>
        <w:snapToGrid w:val="0"/>
        <w:spacing w:line="440" w:lineRule="exact"/>
        <w:jc w:val="both"/>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E.法定代表人或负责人或实际控制人存在近姻亲关系</w:t>
      </w:r>
    </w:p>
    <w:p>
      <w:pPr>
        <w:pStyle w:val="125"/>
        <w:widowControl w:val="0"/>
        <w:snapToGrid w:val="0"/>
        <w:spacing w:line="440" w:lineRule="exact"/>
        <w:jc w:val="both"/>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F.法定代表人或负责人或实际控制人存在股份控制或实际控制关系</w:t>
      </w:r>
    </w:p>
    <w:p>
      <w:pPr>
        <w:pStyle w:val="125"/>
        <w:widowControl w:val="0"/>
        <w:snapToGrid w:val="0"/>
        <w:spacing w:line="440" w:lineRule="exact"/>
        <w:jc w:val="both"/>
        <w:outlineLvl w:val="0"/>
        <w:rPr>
          <w:rFonts w:hint="eastAsia" w:ascii="新宋体" w:hAnsi="新宋体" w:eastAsia="新宋体" w:cs="新宋体"/>
          <w:color w:val="auto"/>
          <w:kern w:val="0"/>
          <w:sz w:val="22"/>
          <w:szCs w:val="22"/>
          <w:highlight w:val="none"/>
        </w:rPr>
      </w:pPr>
      <w:bookmarkStart w:id="250" w:name="_Toc63"/>
      <w:bookmarkStart w:id="251" w:name="_Toc17819"/>
      <w:r>
        <w:rPr>
          <w:rFonts w:hint="eastAsia" w:ascii="新宋体" w:hAnsi="新宋体" w:eastAsia="新宋体" w:cs="新宋体"/>
          <w:color w:val="auto"/>
          <w:kern w:val="0"/>
          <w:sz w:val="22"/>
          <w:szCs w:val="22"/>
          <w:highlight w:val="none"/>
        </w:rPr>
        <w:t>G.存在共同直接或间接投资设立子公司、联营企业和合营企业情况</w:t>
      </w:r>
      <w:bookmarkEnd w:id="250"/>
      <w:bookmarkEnd w:id="251"/>
    </w:p>
    <w:p>
      <w:pPr>
        <w:pStyle w:val="125"/>
        <w:widowControl w:val="0"/>
        <w:snapToGrid w:val="0"/>
        <w:spacing w:line="44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H.存在分级代理或代销关系、同一生产制造商关系、</w:t>
      </w:r>
      <w:r>
        <w:rPr>
          <w:rFonts w:hint="eastAsia" w:ascii="新宋体" w:hAnsi="新宋体" w:eastAsia="新宋体" w:cs="新宋体"/>
          <w:color w:val="auto"/>
          <w:sz w:val="22"/>
          <w:szCs w:val="22"/>
          <w:highlight w:val="none"/>
        </w:rPr>
        <w:t>管理关系、重要业务（占主营业务收入50%以上）或重要财务往来关系（如融资）等其他实质性控制关系</w:t>
      </w:r>
    </w:p>
    <w:p>
      <w:pPr>
        <w:pStyle w:val="125"/>
        <w:widowControl w:val="0"/>
        <w:snapToGrid w:val="0"/>
        <w:spacing w:line="440" w:lineRule="exact"/>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 xml:space="preserve">  I</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其他利害关系情况</w:t>
      </w:r>
      <w:r>
        <w:rPr>
          <w:rFonts w:hint="eastAsia" w:ascii="新宋体" w:hAnsi="新宋体" w:eastAsia="新宋体" w:cs="新宋体"/>
          <w:color w:val="auto"/>
          <w:kern w:val="0"/>
          <w:sz w:val="22"/>
          <w:szCs w:val="22"/>
          <w:highlight w:val="none"/>
        </w:rPr>
        <w:t>。</w:t>
      </w:r>
    </w:p>
    <w:p>
      <w:pPr>
        <w:pStyle w:val="74"/>
        <w:widowControl/>
        <w:numPr>
          <w:ilvl w:val="0"/>
          <w:numId w:val="48"/>
        </w:numPr>
        <w:snapToGrid w:val="0"/>
        <w:spacing w:line="440" w:lineRule="exact"/>
        <w:ind w:firstLine="415" w:firstLineChars="18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现已清楚知道并</w:t>
      </w:r>
      <w:r>
        <w:rPr>
          <w:rFonts w:hint="eastAsia" w:ascii="新宋体" w:hAnsi="新宋体" w:eastAsia="新宋体" w:cs="新宋体"/>
          <w:color w:val="auto"/>
          <w:kern w:val="0"/>
          <w:sz w:val="22"/>
          <w:szCs w:val="22"/>
          <w:highlight w:val="none"/>
        </w:rPr>
        <w:t>严格遵守采购法律法规和现场纪律。</w:t>
      </w:r>
    </w:p>
    <w:p>
      <w:pPr>
        <w:pStyle w:val="74"/>
        <w:widowControl/>
        <w:numPr>
          <w:ilvl w:val="0"/>
          <w:numId w:val="48"/>
        </w:numPr>
        <w:snapToGrid w:val="0"/>
        <w:spacing w:line="440" w:lineRule="exact"/>
        <w:ind w:firstLine="415" w:firstLineChars="18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我发现供应商之间存在或可能存在上述第二条第项利害关系。</w:t>
      </w:r>
    </w:p>
    <w:p>
      <w:pPr>
        <w:pStyle w:val="125"/>
        <w:widowControl w:val="0"/>
        <w:snapToGrid w:val="0"/>
        <w:spacing w:line="440" w:lineRule="exact"/>
        <w:ind w:firstLine="440" w:firstLineChars="200"/>
        <w:jc w:val="both"/>
        <w:rPr>
          <w:rFonts w:hint="eastAsia" w:ascii="新宋体" w:hAnsi="新宋体" w:eastAsia="新宋体" w:cs="新宋体"/>
          <w:color w:val="auto"/>
          <w:sz w:val="22"/>
          <w:szCs w:val="22"/>
          <w:highlight w:val="none"/>
        </w:rPr>
      </w:pPr>
    </w:p>
    <w:p>
      <w:pPr>
        <w:pStyle w:val="125"/>
        <w:widowControl w:val="0"/>
        <w:snapToGrid w:val="0"/>
        <w:spacing w:line="440" w:lineRule="exact"/>
        <w:ind w:firstLine="440" w:firstLineChars="20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供应商代表签名：</w:t>
      </w:r>
    </w:p>
    <w:p>
      <w:pPr>
        <w:pStyle w:val="125"/>
        <w:widowControl w:val="0"/>
        <w:snapToGrid w:val="0"/>
        <w:spacing w:line="440" w:lineRule="exact"/>
        <w:ind w:firstLine="440" w:firstLineChars="20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年   月   日</w:t>
      </w:r>
    </w:p>
    <w:p>
      <w:pPr>
        <w:spacing w:line="440" w:lineRule="exact"/>
        <w:ind w:left="439" w:leftChars="209"/>
        <w:rPr>
          <w:rFonts w:hint="eastAsia" w:ascii="新宋体" w:hAnsi="新宋体" w:eastAsia="新宋体" w:cs="新宋体"/>
          <w:color w:val="auto"/>
          <w:sz w:val="22"/>
          <w:szCs w:val="22"/>
          <w:highlight w:val="none"/>
        </w:rPr>
      </w:pPr>
    </w:p>
    <w:sectPr>
      <w:headerReference r:id="rId14" w:type="default"/>
      <w:footerReference r:id="rId15" w:type="default"/>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DFKai-SB">
    <w:altName w:val="MingLiU-ExtB"/>
    <w:panose1 w:val="03000509000000000000"/>
    <w:charset w:val="88"/>
    <w:family w:val="auto"/>
    <w:pitch w:val="default"/>
    <w:sig w:usb0="00000000" w:usb1="00000000" w:usb2="00000016" w:usb3="00000000" w:csb0="00100001" w:csb1="00000000"/>
  </w:font>
  <w:font w:name="新宋体">
    <w:panose1 w:val="02010609030101010101"/>
    <w:charset w:val="86"/>
    <w:family w:val="auto"/>
    <w:pitch w:val="default"/>
    <w:sig w:usb0="00000203" w:usb1="288F0000" w:usb2="00000006" w:usb3="00000000" w:csb0="00040001"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MingLiUfalt">
    <w:altName w:val="MingLiU-ExtB"/>
    <w:panose1 w:val="00000000000000000000"/>
    <w:charset w:val="88"/>
    <w:family w:val="auto"/>
    <w:pitch w:val="default"/>
    <w:sig w:usb0="00000000" w:usb1="00000000" w:usb2="00000010" w:usb3="00000000" w:csb0="00100000"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Pr>
    <w:r>
      <w:rPr>
        <w:rFonts w:ascii="Times New Roman" w:hAnsi="Times New Roman" w:eastAsia="等线"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8"/>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tabs>
        <w:tab w:val="clear" w:pos="4153"/>
      </w:tabs>
      <w:jc w:val="both"/>
    </w:pPr>
    <w:r>
      <w:rPr>
        <w:rFonts w:ascii="Times New Roman" w:hAnsi="Times New Roman" w:eastAsia="等线" w:cs="Times New Roman"/>
        <w:kern w:val="2"/>
        <w:sz w:val="18"/>
        <w:szCs w:val="18"/>
        <w:lang w:val="en-US" w:eastAsia="zh-CN" w:bidi="ar-SA"/>
      </w:rPr>
      <w:pict>
        <v:rect id="文本框 1" o:spid="_x0000_s1026" style="position:absolute;left:0;margin-top:0pt;height:144pt;width:144pt;mso-position-horizontal:center;mso-position-horizontal-relative:margin;mso-wrap-style:none;rotation:0f;z-index:25166540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8"/>
                </w:pPr>
                <w:r>
                  <w:fldChar w:fldCharType="begin"/>
                </w:r>
                <w:r>
                  <w:instrText xml:space="preserve"> PAGE  \* MERGEFORMAT </w:instrText>
                </w:r>
                <w:r>
                  <w:fldChar w:fldCharType="separate"/>
                </w:r>
                <w:r>
                  <w:t>1</w:t>
                </w:r>
                <w:r>
                  <w:fldChar w:fldCharType="end"/>
                </w:r>
              </w:p>
            </w:txbxContent>
          </v:textbox>
        </v:rect>
      </w:pict>
    </w:r>
    <w:r>
      <w:rPr>
        <w:rFonts w:ascii="Times New Roman" w:hAnsi="Times New Roman" w:eastAsia="等线" w:cs="Times New Roman"/>
        <w:kern w:val="2"/>
        <w:sz w:val="18"/>
        <w:szCs w:val="18"/>
        <w:lang w:val="en-US" w:eastAsia="zh-CN" w:bidi="ar-SA"/>
      </w:rPr>
      <w:pict>
        <v:rect id="文本框 17" o:spid="_x0000_s1027" style="position:absolute;left:0;margin-top:0pt;height:144pt;width:144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8"/>
                </w:pPr>
              </w:p>
            </w:txbxContent>
          </v:textbox>
        </v:rect>
      </w:pict>
    </w:r>
    <w:r>
      <w:rPr>
        <w:rFonts w:ascii="Times New Roman" w:hAnsi="Times New Roman" w:eastAsia="等线" w:cs="Times New Roman"/>
        <w:kern w:val="2"/>
        <w:sz w:val="18"/>
        <w:szCs w:val="18"/>
        <w:lang w:val="en-US" w:eastAsia="zh-CN" w:bidi="ar-SA"/>
      </w:rPr>
      <w:pict>
        <v:rect id="文本框 4" o:spid="_x0000_s1028"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8"/>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Times New Roman" w:hAnsi="Times New Roman" w:eastAsia="宋体" w:cs="Times New Roman"/>
        <w:kern w:val="2"/>
        <w:sz w:val="21"/>
        <w:szCs w:val="24"/>
        <w:lang w:val="en-US" w:eastAsia="zh-CN" w:bidi="ar-SA"/>
      </w:rPr>
      <w:pict>
        <v:rect id="文本框 3" o:spid="_x0000_s1029"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framePr w:wrap="around" w:vAnchor="text" w:hAnchor="margin" w:xAlign="center" w:y="1"/>
      <w:pBdr>
        <w:bottom w:val="single" w:color="auto" w:sz="6" w:space="3"/>
      </w:pBdr>
      <w:rPr>
        <w:rStyle w:val="40"/>
      </w:rPr>
    </w:pPr>
    <w:r>
      <w:rPr>
        <w:rStyle w:val="40"/>
      </w:rPr>
      <w:fldChar w:fldCharType="begin"/>
    </w:r>
    <w:r>
      <w:rPr>
        <w:rStyle w:val="40"/>
      </w:rPr>
      <w:instrText xml:space="preserve">PAGE  </w:instrText>
    </w:r>
    <w:r>
      <w:rPr>
        <w:rStyle w:val="40"/>
      </w:rPr>
      <w:fldChar w:fldCharType="end"/>
    </w:r>
  </w:p>
  <w:p>
    <w:pPr>
      <w:pStyle w:val="28"/>
      <w:pBdr>
        <w:bottom w:val="single" w:color="auto" w:sz="6" w:space="3"/>
      </w:pBd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tabs>
        <w:tab w:val="clear" w:pos="4153"/>
      </w:tabs>
      <w:jc w:val="both"/>
    </w:pPr>
    <w:r>
      <w:rPr>
        <w:rFonts w:ascii="Times New Roman" w:hAnsi="Times New Roman" w:eastAsia="等线" w:cs="Times New Roman"/>
        <w:kern w:val="2"/>
        <w:sz w:val="18"/>
        <w:szCs w:val="18"/>
        <w:lang w:val="en-US" w:eastAsia="zh-CN" w:bidi="ar-SA"/>
      </w:rPr>
      <w:pict>
        <v:rect id="文本框 28" o:spid="_x0000_s1030" style="position:absolute;left:0;margin-top:0pt;height:144pt;width:144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8"/>
                </w:pPr>
                <w:r>
                  <w:fldChar w:fldCharType="begin"/>
                </w:r>
                <w:r>
                  <w:instrText xml:space="preserve"> PAGE  \* MERGEFORMAT </w:instrText>
                </w:r>
                <w:r>
                  <w:fldChar w:fldCharType="separate"/>
                </w:r>
                <w:r>
                  <w:t>2</w:t>
                </w:r>
                <w:r>
                  <w:fldChar w:fldCharType="end"/>
                </w:r>
              </w:p>
            </w:txbxContent>
          </v:textbox>
        </v:rect>
      </w:pict>
    </w:r>
    <w:r>
      <w:rPr>
        <w:rFonts w:ascii="Times New Roman" w:hAnsi="Times New Roman" w:eastAsia="等线" w:cs="Times New Roman"/>
        <w:kern w:val="2"/>
        <w:sz w:val="18"/>
        <w:szCs w:val="18"/>
        <w:lang w:val="en-US" w:eastAsia="zh-CN" w:bidi="ar-SA"/>
      </w:rPr>
      <w:pict>
        <v:rect id="文本框 13" o:spid="_x0000_s1031"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8"/>
                </w:pP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Pr>
    <w:r>
      <w:rPr>
        <w:rFonts w:ascii="Times New Roman" w:hAnsi="Times New Roman" w:eastAsia="等线" w:cs="Times New Roman"/>
        <w:kern w:val="2"/>
        <w:sz w:val="18"/>
        <w:szCs w:val="18"/>
        <w:lang w:val="en-US" w:eastAsia="zh-CN" w:bidi="ar-SA"/>
      </w:rPr>
      <w:pict>
        <v:rect id="文本框 12" o:spid="_x0000_s1032" style="position:absolute;left:0;margin-top:0pt;height:144pt;width:144pt;mso-position-horizontal:center;mso-position-horizontal-relative:margin;mso-wrap-style:non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8"/>
                </w:pPr>
                <w:r>
                  <w:fldChar w:fldCharType="begin"/>
                </w:r>
                <w:r>
                  <w:instrText xml:space="preserve"> PAGE  \* MERGEFORMAT </w:instrText>
                </w:r>
                <w:r>
                  <w:fldChar w:fldCharType="separate"/>
                </w:r>
                <w:r>
                  <w:t>40</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85654822">
    <w:nsid w:val="E1A48226"/>
    <w:multiLevelType w:val="singleLevel"/>
    <w:tmpl w:val="E1A48226"/>
    <w:lvl w:ilvl="0" w:tentative="1">
      <w:start w:val="1"/>
      <w:numFmt w:val="decimal"/>
      <w:suff w:val="nothing"/>
      <w:lvlText w:val="%1．"/>
      <w:lvlJc w:val="left"/>
      <w:pPr>
        <w:ind w:left="0" w:firstLine="400"/>
      </w:pPr>
      <w:rPr>
        <w:rFonts w:hint="default"/>
      </w:rPr>
    </w:lvl>
  </w:abstractNum>
  <w:abstractNum w:abstractNumId="1904992565">
    <w:nsid w:val="718BE135"/>
    <w:multiLevelType w:val="singleLevel"/>
    <w:tmpl w:val="718BE135"/>
    <w:lvl w:ilvl="0" w:tentative="1">
      <w:start w:val="1"/>
      <w:numFmt w:val="decimal"/>
      <w:suff w:val="nothing"/>
      <w:lvlText w:val="%1．"/>
      <w:lvlJc w:val="left"/>
      <w:pPr>
        <w:ind w:left="0" w:firstLine="400"/>
      </w:pPr>
      <w:rPr>
        <w:rFonts w:hint="default"/>
      </w:rPr>
    </w:lvl>
  </w:abstractNum>
  <w:abstractNum w:abstractNumId="1425277877">
    <w:nsid w:val="54F403B5"/>
    <w:multiLevelType w:val="singleLevel"/>
    <w:tmpl w:val="54F403B5"/>
    <w:lvl w:ilvl="0" w:tentative="1">
      <w:start w:val="1"/>
      <w:numFmt w:val="chineseCounting"/>
      <w:suff w:val="nothing"/>
      <w:lvlText w:val="%1、"/>
      <w:lvlJc w:val="left"/>
      <w:rPr>
        <w:rFonts w:cs="Times New Roman"/>
      </w:rPr>
    </w:lvl>
  </w:abstractNum>
  <w:abstractNum w:abstractNumId="3816159018">
    <w:nsid w:val="E375F72A"/>
    <w:multiLevelType w:val="singleLevel"/>
    <w:tmpl w:val="E375F72A"/>
    <w:lvl w:ilvl="0" w:tentative="1">
      <w:start w:val="1"/>
      <w:numFmt w:val="decimal"/>
      <w:lvlText w:val="(%1)"/>
      <w:lvlJc w:val="left"/>
      <w:pPr>
        <w:ind w:left="425" w:hanging="425"/>
      </w:pPr>
      <w:rPr>
        <w:rFonts w:hint="default"/>
      </w:rPr>
    </w:lvl>
  </w:abstractNum>
  <w:abstractNum w:abstractNumId="1925609107">
    <w:nsid w:val="72C67693"/>
    <w:multiLevelType w:val="multilevel"/>
    <w:tmpl w:val="72C67693"/>
    <w:lvl w:ilvl="0" w:tentative="1">
      <w:start w:val="1"/>
      <w:numFmt w:val="none"/>
      <w:lvlText w:val="2"/>
      <w:lvlJc w:val="left"/>
      <w:pPr>
        <w:tabs>
          <w:tab w:val="left" w:pos="425"/>
        </w:tabs>
        <w:ind w:left="425" w:hanging="425"/>
      </w:pPr>
      <w:rPr>
        <w:rFonts w:hint="eastAsia" w:cs="Times New Roman"/>
      </w:rPr>
    </w:lvl>
    <w:lvl w:ilvl="1" w:tentative="1">
      <w:start w:val="1"/>
      <w:numFmt w:val="decimal"/>
      <w:lvlText w:val="%111.%2"/>
      <w:lvlJc w:val="left"/>
      <w:pPr>
        <w:tabs>
          <w:tab w:val="left" w:pos="992"/>
        </w:tabs>
        <w:ind w:left="992" w:hanging="567"/>
      </w:pPr>
      <w:rPr>
        <w:rFonts w:hint="eastAsia" w:ascii="楷体_GB2312" w:hAnsi="Arial" w:eastAsia="楷体_GB2312" w:cs="Arial"/>
        <w:b w:val="0"/>
      </w:rPr>
    </w:lvl>
    <w:lvl w:ilvl="2" w:tentative="1">
      <w:start w:val="1"/>
      <w:numFmt w:val="decimal"/>
      <w:lvlText w:val="%1.%2.%3"/>
      <w:lvlJc w:val="left"/>
      <w:pPr>
        <w:tabs>
          <w:tab w:val="left" w:pos="1571"/>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435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562"/>
        </w:tabs>
        <w:ind w:left="5102" w:hanging="1700"/>
      </w:pPr>
      <w:rPr>
        <w:rFonts w:hint="eastAsia" w:cs="Times New Roman"/>
      </w:rPr>
    </w:lvl>
  </w:abstractNum>
  <w:abstractNum w:abstractNumId="584922168">
    <w:nsid w:val="22DD3438"/>
    <w:multiLevelType w:val="multilevel"/>
    <w:tmpl w:val="22DD3438"/>
    <w:lvl w:ilvl="0" w:tentative="1">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07396766">
    <w:nsid w:val="2434239E"/>
    <w:multiLevelType w:val="multilevel"/>
    <w:tmpl w:val="2434239E"/>
    <w:lvl w:ilvl="0" w:tentative="1">
      <w:start w:val="1"/>
      <w:numFmt w:val="decimal"/>
      <w:lvlText w:val="%1."/>
      <w:lvlJc w:val="left"/>
      <w:pPr>
        <w:tabs>
          <w:tab w:val="left" w:pos="562"/>
        </w:tabs>
        <w:ind w:left="562" w:hanging="420"/>
      </w:pPr>
      <w:rPr>
        <w:rFonts w:hint="eastAsia" w:ascii="楷体_GB2312" w:hAnsi="Arial" w:eastAsia="楷体_GB2312" w:cs="Arial"/>
      </w:rPr>
    </w:lvl>
    <w:lvl w:ilvl="1" w:tentative="1">
      <w:start w:val="0"/>
      <w:numFmt w:val="none"/>
      <w:lvlText w:val=""/>
      <w:lvlJc w:val="left"/>
      <w:pPr>
        <w:tabs>
          <w:tab w:val="left" w:pos="360"/>
        </w:tabs>
      </w:pPr>
      <w:rPr>
        <w:rFonts w:cs="Times New Roman"/>
      </w:rPr>
    </w:lvl>
    <w:lvl w:ilvl="2" w:tentative="1">
      <w:start w:val="0"/>
      <w:numFmt w:val="none"/>
      <w:lvlText w:val=""/>
      <w:lvlJc w:val="left"/>
      <w:pPr>
        <w:tabs>
          <w:tab w:val="left" w:pos="360"/>
        </w:tabs>
      </w:pPr>
      <w:rPr>
        <w:rFonts w:cs="Times New Roman"/>
      </w:rPr>
    </w:lvl>
    <w:lvl w:ilvl="3" w:tentative="1">
      <w:start w:val="0"/>
      <w:numFmt w:val="none"/>
      <w:lvlText w:val=""/>
      <w:lvlJc w:val="left"/>
      <w:pPr>
        <w:tabs>
          <w:tab w:val="left" w:pos="360"/>
        </w:tabs>
      </w:pPr>
      <w:rPr>
        <w:rFonts w:cs="Times New Roman"/>
      </w:rPr>
    </w:lvl>
    <w:lvl w:ilvl="4" w:tentative="1">
      <w:start w:val="0"/>
      <w:numFmt w:val="none"/>
      <w:lvlText w:val=""/>
      <w:lvlJc w:val="left"/>
      <w:pPr>
        <w:tabs>
          <w:tab w:val="left" w:pos="360"/>
        </w:tabs>
      </w:pPr>
      <w:rPr>
        <w:rFonts w:cs="Times New Roman"/>
      </w:rPr>
    </w:lvl>
    <w:lvl w:ilvl="5" w:tentative="1">
      <w:start w:val="0"/>
      <w:numFmt w:val="none"/>
      <w:lvlText w:val=""/>
      <w:lvlJc w:val="left"/>
      <w:pPr>
        <w:tabs>
          <w:tab w:val="left" w:pos="360"/>
        </w:tabs>
      </w:pPr>
      <w:rPr>
        <w:rFonts w:cs="Times New Roman"/>
      </w:rPr>
    </w:lvl>
    <w:lvl w:ilvl="6" w:tentative="1">
      <w:start w:val="0"/>
      <w:numFmt w:val="none"/>
      <w:lvlText w:val=""/>
      <w:lvlJc w:val="left"/>
      <w:pPr>
        <w:tabs>
          <w:tab w:val="left" w:pos="360"/>
        </w:tabs>
      </w:pPr>
      <w:rPr>
        <w:rFonts w:cs="Times New Roman"/>
      </w:rPr>
    </w:lvl>
    <w:lvl w:ilvl="7" w:tentative="1">
      <w:start w:val="0"/>
      <w:numFmt w:val="none"/>
      <w:lvlText w:val=""/>
      <w:lvlJc w:val="left"/>
      <w:pPr>
        <w:tabs>
          <w:tab w:val="left" w:pos="360"/>
        </w:tabs>
      </w:pPr>
      <w:rPr>
        <w:rFonts w:cs="Times New Roman"/>
      </w:rPr>
    </w:lvl>
    <w:lvl w:ilvl="8" w:tentative="1">
      <w:start w:val="0"/>
      <w:numFmt w:val="none"/>
      <w:lvlText w:val=""/>
      <w:lvlJc w:val="left"/>
      <w:pPr>
        <w:tabs>
          <w:tab w:val="left" w:pos="360"/>
        </w:tabs>
      </w:pPr>
      <w:rPr>
        <w:rFonts w:cs="Times New Roman"/>
      </w:rPr>
    </w:lvl>
  </w:abstractNum>
  <w:abstractNum w:abstractNumId="678179275">
    <w:nsid w:val="286C31CB"/>
    <w:multiLevelType w:val="singleLevel"/>
    <w:tmpl w:val="286C31CB"/>
    <w:lvl w:ilvl="0" w:tentative="1">
      <w:start w:val="1"/>
      <w:numFmt w:val="decimal"/>
      <w:suff w:val="nothing"/>
      <w:lvlText w:val="%1．"/>
      <w:lvlJc w:val="left"/>
      <w:pPr>
        <w:ind w:left="230" w:firstLine="400"/>
      </w:pPr>
      <w:rPr>
        <w:rFonts w:hint="default"/>
      </w:rPr>
    </w:lvl>
  </w:abstractNum>
  <w:abstractNum w:abstractNumId="4212088502">
    <w:nsid w:val="FB0F5EB6"/>
    <w:multiLevelType w:val="singleLevel"/>
    <w:tmpl w:val="FB0F5EB6"/>
    <w:lvl w:ilvl="0" w:tentative="1">
      <w:start w:val="1"/>
      <w:numFmt w:val="decimalEnclosedCircleChinese"/>
      <w:suff w:val="nothing"/>
      <w:lvlText w:val="%1　"/>
      <w:lvlJc w:val="left"/>
      <w:pPr>
        <w:ind w:firstLine="400"/>
      </w:pPr>
      <w:rPr>
        <w:rFonts w:hint="eastAsia" w:cs="Times New Roman"/>
      </w:rPr>
    </w:lvl>
  </w:abstractNum>
  <w:abstractNum w:abstractNumId="2158357730">
    <w:nsid w:val="80A5ECE2"/>
    <w:multiLevelType w:val="singleLevel"/>
    <w:tmpl w:val="80A5ECE2"/>
    <w:lvl w:ilvl="0" w:tentative="1">
      <w:start w:val="1"/>
      <w:numFmt w:val="decimal"/>
      <w:lvlText w:val="(%1)"/>
      <w:lvlJc w:val="left"/>
      <w:pPr>
        <w:ind w:left="425" w:hanging="425"/>
      </w:pPr>
      <w:rPr>
        <w:rFonts w:hint="default" w:cs="Times New Roman"/>
      </w:rPr>
    </w:lvl>
  </w:abstractNum>
  <w:abstractNum w:abstractNumId="1468328786">
    <w:nsid w:val="5784EB52"/>
    <w:multiLevelType w:val="singleLevel"/>
    <w:tmpl w:val="5784EB52"/>
    <w:lvl w:ilvl="0" w:tentative="1">
      <w:start w:val="1"/>
      <w:numFmt w:val="decimal"/>
      <w:suff w:val="nothing"/>
      <w:lvlText w:val="%1．"/>
      <w:lvlJc w:val="left"/>
      <w:pPr>
        <w:ind w:left="230" w:firstLine="400"/>
      </w:pPr>
      <w:rPr>
        <w:rFonts w:hint="default"/>
      </w:rPr>
    </w:lvl>
  </w:abstractNum>
  <w:abstractNum w:abstractNumId="1730087824">
    <w:nsid w:val="671F0B90"/>
    <w:multiLevelType w:val="singleLevel"/>
    <w:tmpl w:val="671F0B90"/>
    <w:lvl w:ilvl="0" w:tentative="1">
      <w:start w:val="4"/>
      <w:numFmt w:val="decimal"/>
      <w:suff w:val="nothing"/>
      <w:lvlText w:val="（%1）"/>
      <w:lvlJc w:val="left"/>
    </w:lvl>
  </w:abstractNum>
  <w:abstractNum w:abstractNumId="92664920">
    <w:nsid w:val="0585F458"/>
    <w:multiLevelType w:val="multilevel"/>
    <w:tmpl w:val="0585F458"/>
    <w:lvl w:ilvl="0" w:tentative="1">
      <w:start w:val="1"/>
      <w:numFmt w:val="decimal"/>
      <w:lvlText w:val="%1."/>
      <w:lvlJc w:val="left"/>
      <w:pPr>
        <w:tabs>
          <w:tab w:val="left" w:pos="420"/>
        </w:tabs>
        <w:ind w:left="420" w:hanging="420"/>
      </w:pPr>
      <w:rPr>
        <w:rFonts w:hint="eastAsia" w:ascii="楷体_GB2312" w:hAnsi="Arial" w:eastAsia="楷体_GB2312" w:cs="Arial"/>
        <w:b w:val="0"/>
      </w:rPr>
    </w:lvl>
    <w:lvl w:ilvl="1" w:tentative="1">
      <w:start w:val="0"/>
      <w:numFmt w:val="none"/>
      <w:lvlText w:val=""/>
      <w:lvlJc w:val="left"/>
      <w:pPr>
        <w:tabs>
          <w:tab w:val="left" w:pos="360"/>
        </w:tabs>
      </w:pPr>
    </w:lvl>
    <w:lvl w:ilvl="2" w:tentative="1">
      <w:start w:val="0"/>
      <w:numFmt w:val="none"/>
      <w:lvlText w:val=""/>
      <w:lvlJc w:val="left"/>
      <w:pPr>
        <w:tabs>
          <w:tab w:val="left" w:pos="360"/>
        </w:tabs>
      </w:pPr>
    </w:lvl>
    <w:lvl w:ilvl="3" w:tentative="1">
      <w:start w:val="0"/>
      <w:numFmt w:val="none"/>
      <w:lvlText w:val=""/>
      <w:lvlJc w:val="left"/>
      <w:pPr>
        <w:tabs>
          <w:tab w:val="left" w:pos="360"/>
        </w:tabs>
      </w:pPr>
    </w:lvl>
    <w:lvl w:ilvl="4" w:tentative="1">
      <w:start w:val="0"/>
      <w:numFmt w:val="none"/>
      <w:lvlText w:val=""/>
      <w:lvlJc w:val="left"/>
      <w:pPr>
        <w:tabs>
          <w:tab w:val="left" w:pos="360"/>
        </w:tabs>
      </w:pPr>
    </w:lvl>
    <w:lvl w:ilvl="5" w:tentative="1">
      <w:start w:val="0"/>
      <w:numFmt w:val="none"/>
      <w:lvlText w:val=""/>
      <w:lvlJc w:val="left"/>
      <w:pPr>
        <w:tabs>
          <w:tab w:val="left" w:pos="360"/>
        </w:tabs>
      </w:pPr>
    </w:lvl>
    <w:lvl w:ilvl="6" w:tentative="1">
      <w:start w:val="0"/>
      <w:numFmt w:val="none"/>
      <w:lvlText w:val=""/>
      <w:lvlJc w:val="left"/>
      <w:pPr>
        <w:tabs>
          <w:tab w:val="left" w:pos="360"/>
        </w:tabs>
      </w:pPr>
    </w:lvl>
    <w:lvl w:ilvl="7" w:tentative="1">
      <w:start w:val="0"/>
      <w:numFmt w:val="none"/>
      <w:lvlText w:val=""/>
      <w:lvlJc w:val="left"/>
      <w:pPr>
        <w:tabs>
          <w:tab w:val="left" w:pos="360"/>
        </w:tabs>
      </w:pPr>
    </w:lvl>
    <w:lvl w:ilvl="8" w:tentative="1">
      <w:start w:val="0"/>
      <w:numFmt w:val="none"/>
      <w:lvlText w:val=""/>
      <w:lvlJc w:val="left"/>
      <w:pPr>
        <w:tabs>
          <w:tab w:val="left" w:pos="360"/>
        </w:tabs>
      </w:pPr>
    </w:lvl>
  </w:abstractNum>
  <w:abstractNum w:abstractNumId="497884564">
    <w:nsid w:val="1DAD1D94"/>
    <w:multiLevelType w:val="singleLevel"/>
    <w:tmpl w:val="1DAD1D94"/>
    <w:lvl w:ilvl="0" w:tentative="1">
      <w:start w:val="1"/>
      <w:numFmt w:val="decimal"/>
      <w:lvlText w:val="(%1)"/>
      <w:lvlJc w:val="left"/>
      <w:pPr>
        <w:ind w:left="425" w:hanging="425"/>
      </w:pPr>
      <w:rPr>
        <w:rFonts w:hint="default"/>
      </w:rPr>
    </w:lvl>
  </w:abstractNum>
  <w:abstractNum w:abstractNumId="2830863233">
    <w:nsid w:val="A8BB8B81"/>
    <w:multiLevelType w:val="singleLevel"/>
    <w:tmpl w:val="A8BB8B81"/>
    <w:lvl w:ilvl="0" w:tentative="1">
      <w:start w:val="1"/>
      <w:numFmt w:val="decimal"/>
      <w:lvlText w:val="(%1)"/>
      <w:lvlJc w:val="left"/>
      <w:pPr>
        <w:ind w:left="425" w:hanging="425"/>
      </w:pPr>
      <w:rPr>
        <w:rFonts w:hint="default" w:cs="Times New Roman"/>
      </w:rPr>
    </w:lvl>
  </w:abstractNum>
  <w:abstractNum w:abstractNumId="530154179">
    <w:nsid w:val="1F9982C3"/>
    <w:multiLevelType w:val="multilevel"/>
    <w:tmpl w:val="1F9982C3"/>
    <w:lvl w:ilvl="0" w:tentative="1">
      <w:start w:val="1"/>
      <w:numFmt w:val="none"/>
      <w:lvlText w:val="2"/>
      <w:lvlJc w:val="left"/>
      <w:pPr>
        <w:tabs>
          <w:tab w:val="left" w:pos="425"/>
        </w:tabs>
        <w:ind w:left="425" w:hanging="425"/>
      </w:pPr>
      <w:rPr>
        <w:rFonts w:hint="eastAsia" w:cs="Times New Roman"/>
      </w:rPr>
    </w:lvl>
    <w:lvl w:ilvl="1" w:tentative="1">
      <w:start w:val="1"/>
      <w:numFmt w:val="decimal"/>
      <w:lvlText w:val="%19.%2"/>
      <w:lvlJc w:val="left"/>
      <w:pPr>
        <w:tabs>
          <w:tab w:val="left" w:pos="992"/>
        </w:tabs>
        <w:ind w:left="992" w:hanging="567"/>
      </w:pPr>
      <w:rPr>
        <w:rFonts w:hint="default" w:ascii="宋体" w:hAnsi="宋体" w:eastAsia="宋体" w:cs="宋体"/>
      </w:rPr>
    </w:lvl>
    <w:lvl w:ilvl="2" w:tentative="1">
      <w:start w:val="1"/>
      <w:numFmt w:val="decimal"/>
      <w:lvlText w:val="%1.%2.%3"/>
      <w:lvlJc w:val="left"/>
      <w:pPr>
        <w:tabs>
          <w:tab w:val="left" w:pos="1571"/>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435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562"/>
        </w:tabs>
        <w:ind w:left="5102" w:hanging="1700"/>
      </w:pPr>
      <w:rPr>
        <w:rFonts w:hint="eastAsia" w:cs="Times New Roman"/>
      </w:rPr>
    </w:lvl>
  </w:abstractNum>
  <w:abstractNum w:abstractNumId="3183413323">
    <w:nsid w:val="BDBF084B"/>
    <w:multiLevelType w:val="multilevel"/>
    <w:tmpl w:val="BDBF084B"/>
    <w:lvl w:ilvl="0" w:tentative="1">
      <w:start w:val="1"/>
      <w:numFmt w:val="none"/>
      <w:lvlText w:val="2"/>
      <w:lvlJc w:val="left"/>
      <w:pPr>
        <w:tabs>
          <w:tab w:val="left" w:pos="425"/>
        </w:tabs>
        <w:ind w:left="425" w:hanging="425"/>
      </w:pPr>
      <w:rPr>
        <w:rFonts w:hint="eastAsia" w:cs="Times New Roman"/>
      </w:rPr>
    </w:lvl>
    <w:lvl w:ilvl="1" w:tentative="1">
      <w:start w:val="1"/>
      <w:numFmt w:val="decimal"/>
      <w:lvlText w:val="%14.%2"/>
      <w:lvlJc w:val="left"/>
      <w:pPr>
        <w:tabs>
          <w:tab w:val="left" w:pos="992"/>
        </w:tabs>
        <w:ind w:left="992" w:hanging="567"/>
      </w:pPr>
      <w:rPr>
        <w:rFonts w:hint="default" w:ascii="宋体" w:hAnsi="宋体" w:eastAsia="宋体" w:cs="宋体"/>
      </w:rPr>
    </w:lvl>
    <w:lvl w:ilvl="2" w:tentative="1">
      <w:start w:val="1"/>
      <w:numFmt w:val="decimal"/>
      <w:lvlText w:val="%1.%2.%3"/>
      <w:lvlJc w:val="left"/>
      <w:pPr>
        <w:tabs>
          <w:tab w:val="left" w:pos="1571"/>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435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562"/>
        </w:tabs>
        <w:ind w:left="5102" w:hanging="1700"/>
      </w:pPr>
      <w:rPr>
        <w:rFonts w:hint="eastAsia" w:cs="Times New Roman"/>
      </w:rPr>
    </w:lvl>
  </w:abstractNum>
  <w:abstractNum w:abstractNumId="460011886">
    <w:nsid w:val="1B6B396E"/>
    <w:multiLevelType w:val="singleLevel"/>
    <w:tmpl w:val="1B6B396E"/>
    <w:lvl w:ilvl="0" w:tentative="1">
      <w:start w:val="1"/>
      <w:numFmt w:val="decimalEnclosedCircleChinese"/>
      <w:suff w:val="nothing"/>
      <w:lvlText w:val="%1　"/>
      <w:lvlJc w:val="left"/>
      <w:pPr>
        <w:ind w:left="0" w:firstLine="400"/>
      </w:pPr>
      <w:rPr>
        <w:rFonts w:hint="eastAsia"/>
      </w:rPr>
    </w:lvl>
  </w:abstractNum>
  <w:abstractNum w:abstractNumId="3525984680">
    <w:nsid w:val="D22A41A8"/>
    <w:multiLevelType w:val="singleLevel"/>
    <w:tmpl w:val="D22A41A8"/>
    <w:lvl w:ilvl="0" w:tentative="1">
      <w:start w:val="7"/>
      <w:numFmt w:val="chineseCounting"/>
      <w:suff w:val="nothing"/>
      <w:lvlText w:val="%1、"/>
      <w:lvlJc w:val="left"/>
      <w:rPr>
        <w:rFonts w:hint="eastAsia"/>
      </w:rPr>
    </w:lvl>
  </w:abstractNum>
  <w:abstractNum w:abstractNumId="2188891746">
    <w:nsid w:val="8277D662"/>
    <w:multiLevelType w:val="singleLevel"/>
    <w:tmpl w:val="8277D662"/>
    <w:lvl w:ilvl="0" w:tentative="1">
      <w:start w:val="1"/>
      <w:numFmt w:val="decimal"/>
      <w:lvlText w:val="%1)"/>
      <w:lvlJc w:val="left"/>
      <w:pPr>
        <w:ind w:left="425" w:hanging="425"/>
      </w:pPr>
      <w:rPr>
        <w:rFonts w:hint="default"/>
      </w:rPr>
    </w:lvl>
  </w:abstractNum>
  <w:abstractNum w:abstractNumId="16">
    <w:nsid w:val="00000010"/>
    <w:multiLevelType w:val="multilevel"/>
    <w:tmpl w:val="00000010"/>
    <w:lvl w:ilvl="0" w:tentative="1">
      <w:start w:val="1"/>
      <w:numFmt w:val="decimal"/>
      <w:lvlText w:val="（%1）"/>
      <w:lvlJc w:val="left"/>
      <w:pPr>
        <w:tabs>
          <w:tab w:val="left" w:pos="420"/>
        </w:tabs>
        <w:ind w:left="420" w:hanging="420"/>
      </w:pPr>
      <w:rPr>
        <w:rFonts w:hint="default" w:ascii="Times New Roman" w:hAnsi="Times New Roman" w:cs="Tahoma"/>
        <w:b w:val="0"/>
      </w:rPr>
    </w:lvl>
    <w:lvl w:ilvl="1" w:tentative="1">
      <w:start w:val="2"/>
      <w:numFmt w:val="decimal"/>
      <w:lvlText w:val="%2．"/>
      <w:lvlJc w:val="left"/>
      <w:pPr>
        <w:tabs>
          <w:tab w:val="left" w:pos="780"/>
        </w:tabs>
        <w:ind w:left="780" w:hanging="360"/>
      </w:pPr>
      <w:rPr>
        <w:rFonts w:hint="default"/>
        <w:color w:val="000000"/>
        <w:sz w:val="24"/>
      </w:rPr>
    </w:lvl>
    <w:lvl w:ilvl="2" w:tentative="1">
      <w:start w:val="1"/>
      <w:numFmt w:val="decimal"/>
      <w:lvlText w:val="%3."/>
      <w:lvlJc w:val="left"/>
      <w:pPr>
        <w:tabs>
          <w:tab w:val="left" w:pos="1200"/>
        </w:tabs>
        <w:ind w:left="1200" w:hanging="36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72069930">
    <w:nsid w:val="45DC5E2A"/>
    <w:multiLevelType w:val="multilevel"/>
    <w:tmpl w:val="45DC5E2A"/>
    <w:lvl w:ilvl="0" w:tentative="1">
      <w:start w:val="1"/>
      <w:numFmt w:val="decimal"/>
      <w:lvlText w:val="%1."/>
      <w:lvlJc w:val="left"/>
      <w:pPr>
        <w:ind w:left="805" w:hanging="420"/>
      </w:pPr>
    </w:lvl>
    <w:lvl w:ilvl="1" w:tentative="1">
      <w:start w:val="1"/>
      <w:numFmt w:val="lowerLetter"/>
      <w:lvlText w:val="%2)"/>
      <w:lvlJc w:val="left"/>
      <w:pPr>
        <w:ind w:left="1225" w:hanging="420"/>
      </w:pPr>
    </w:lvl>
    <w:lvl w:ilvl="2" w:tentative="1">
      <w:start w:val="1"/>
      <w:numFmt w:val="lowerRoman"/>
      <w:lvlText w:val="%3."/>
      <w:lvlJc w:val="right"/>
      <w:pPr>
        <w:ind w:left="1645" w:hanging="420"/>
      </w:pPr>
    </w:lvl>
    <w:lvl w:ilvl="3" w:tentative="1">
      <w:start w:val="1"/>
      <w:numFmt w:val="decimal"/>
      <w:lvlText w:val="%4."/>
      <w:lvlJc w:val="left"/>
      <w:pPr>
        <w:ind w:left="2065" w:hanging="420"/>
      </w:pPr>
    </w:lvl>
    <w:lvl w:ilvl="4" w:tentative="1">
      <w:start w:val="1"/>
      <w:numFmt w:val="lowerLetter"/>
      <w:lvlText w:val="%5)"/>
      <w:lvlJc w:val="left"/>
      <w:pPr>
        <w:ind w:left="2485" w:hanging="420"/>
      </w:pPr>
    </w:lvl>
    <w:lvl w:ilvl="5" w:tentative="1">
      <w:start w:val="1"/>
      <w:numFmt w:val="lowerRoman"/>
      <w:lvlText w:val="%6."/>
      <w:lvlJc w:val="right"/>
      <w:pPr>
        <w:ind w:left="2905" w:hanging="420"/>
      </w:pPr>
    </w:lvl>
    <w:lvl w:ilvl="6" w:tentative="1">
      <w:start w:val="1"/>
      <w:numFmt w:val="decimal"/>
      <w:lvlText w:val="%7."/>
      <w:lvlJc w:val="left"/>
      <w:pPr>
        <w:ind w:left="3325" w:hanging="420"/>
      </w:pPr>
    </w:lvl>
    <w:lvl w:ilvl="7" w:tentative="1">
      <w:start w:val="1"/>
      <w:numFmt w:val="lowerLetter"/>
      <w:lvlText w:val="%8)"/>
      <w:lvlJc w:val="left"/>
      <w:pPr>
        <w:ind w:left="3745" w:hanging="420"/>
      </w:pPr>
    </w:lvl>
    <w:lvl w:ilvl="8" w:tentative="1">
      <w:start w:val="1"/>
      <w:numFmt w:val="lowerRoman"/>
      <w:lvlText w:val="%9."/>
      <w:lvlJc w:val="right"/>
      <w:pPr>
        <w:ind w:left="4165" w:hanging="420"/>
      </w:pPr>
    </w:lvl>
  </w:abstractNum>
  <w:abstractNum w:abstractNumId="3576158143">
    <w:nsid w:val="D527D7BF"/>
    <w:multiLevelType w:val="multilevel"/>
    <w:tmpl w:val="D527D7BF"/>
    <w:lvl w:ilvl="0" w:tentative="1">
      <w:start w:val="1"/>
      <w:numFmt w:val="none"/>
      <w:lvlText w:val="2"/>
      <w:lvlJc w:val="left"/>
      <w:pPr>
        <w:tabs>
          <w:tab w:val="left" w:pos="425"/>
        </w:tabs>
        <w:ind w:left="425" w:hanging="425"/>
      </w:pPr>
      <w:rPr>
        <w:rFonts w:hint="eastAsia" w:cs="Times New Roman"/>
      </w:rPr>
    </w:lvl>
    <w:lvl w:ilvl="1" w:tentative="1">
      <w:start w:val="1"/>
      <w:numFmt w:val="decimal"/>
      <w:lvlText w:val="%17.%2"/>
      <w:lvlJc w:val="left"/>
      <w:pPr>
        <w:tabs>
          <w:tab w:val="left" w:pos="992"/>
        </w:tabs>
        <w:ind w:left="992" w:hanging="567"/>
      </w:pPr>
      <w:rPr>
        <w:rFonts w:hint="default" w:ascii="宋体" w:hAnsi="宋体" w:eastAsia="宋体" w:cs="宋体"/>
      </w:rPr>
    </w:lvl>
    <w:lvl w:ilvl="2" w:tentative="1">
      <w:start w:val="1"/>
      <w:numFmt w:val="decimal"/>
      <w:lvlText w:val="%1.%2.%3"/>
      <w:lvlJc w:val="left"/>
      <w:pPr>
        <w:tabs>
          <w:tab w:val="left" w:pos="1571"/>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435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562"/>
        </w:tabs>
        <w:ind w:left="5102" w:hanging="1700"/>
      </w:pPr>
      <w:rPr>
        <w:rFonts w:hint="eastAsia" w:cs="Times New Roman"/>
      </w:rPr>
    </w:lvl>
  </w:abstractNum>
  <w:abstractNum w:abstractNumId="3175443325">
    <w:nsid w:val="BD456B7D"/>
    <w:multiLevelType w:val="singleLevel"/>
    <w:tmpl w:val="BD456B7D"/>
    <w:lvl w:ilvl="0" w:tentative="1">
      <w:start w:val="1"/>
      <w:numFmt w:val="decimalEnclosedCircleChinese"/>
      <w:suff w:val="nothing"/>
      <w:lvlText w:val="%1　"/>
      <w:lvlJc w:val="left"/>
      <w:pPr>
        <w:ind w:left="0" w:firstLine="400"/>
      </w:pPr>
      <w:rPr>
        <w:rFonts w:hint="eastAsia"/>
      </w:rPr>
    </w:lvl>
  </w:abstractNum>
  <w:abstractNum w:abstractNumId="1434440666">
    <w:nsid w:val="557FD3DA"/>
    <w:multiLevelType w:val="singleLevel"/>
    <w:tmpl w:val="557FD3DA"/>
    <w:lvl w:ilvl="0" w:tentative="1">
      <w:start w:val="3"/>
      <w:numFmt w:val="chineseCounting"/>
      <w:suff w:val="nothing"/>
      <w:lvlText w:val="%1、"/>
      <w:lvlJc w:val="left"/>
      <w:rPr>
        <w:rFonts w:cs="Times New Roman"/>
      </w:rPr>
    </w:lvl>
  </w:abstractNum>
  <w:abstractNum w:abstractNumId="3380930951">
    <w:nsid w:val="C984E987"/>
    <w:multiLevelType w:val="singleLevel"/>
    <w:tmpl w:val="C984E987"/>
    <w:lvl w:ilvl="0" w:tentative="1">
      <w:start w:val="1"/>
      <w:numFmt w:val="decimal"/>
      <w:suff w:val="nothing"/>
      <w:lvlText w:val="%1．"/>
      <w:lvlJc w:val="left"/>
      <w:pPr>
        <w:ind w:left="230" w:firstLine="400"/>
      </w:pPr>
      <w:rPr>
        <w:rFonts w:hint="default"/>
      </w:rPr>
    </w:lvl>
  </w:abstractNum>
  <w:abstractNum w:abstractNumId="3857617446">
    <w:nsid w:val="E5EE9226"/>
    <w:multiLevelType w:val="singleLevel"/>
    <w:tmpl w:val="E5EE9226"/>
    <w:lvl w:ilvl="0" w:tentative="1">
      <w:start w:val="2"/>
      <w:numFmt w:val="decimal"/>
      <w:suff w:val="nothing"/>
      <w:lvlText w:val="%1、"/>
      <w:lvlJc w:val="left"/>
    </w:lvl>
  </w:abstractNum>
  <w:abstractNum w:abstractNumId="1267621306">
    <w:nsid w:val="4B8E5DBA"/>
    <w:multiLevelType w:val="multilevel"/>
    <w:tmpl w:val="4B8E5DBA"/>
    <w:lvl w:ilvl="0" w:tentative="1">
      <w:start w:val="1"/>
      <w:numFmt w:val="chineseCountingThousand"/>
      <w:lvlText w:val="(%1)"/>
      <w:lvlJc w:val="left"/>
      <w:pPr>
        <w:ind w:left="420" w:hanging="420"/>
      </w:pPr>
      <w:rPr>
        <w:rFonts w:cs="Times New Roman"/>
      </w:rPr>
    </w:lvl>
    <w:lvl w:ilvl="1" w:tentative="1">
      <w:start w:val="1"/>
      <w:numFmt w:val="chineseCountingThousand"/>
      <w:lvlText w:val="(%2)"/>
      <w:lvlJc w:val="left"/>
      <w:pPr>
        <w:ind w:left="272" w:firstLine="148"/>
      </w:pPr>
      <w:rPr>
        <w:rFonts w:hint="eastAsia"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26053914">
    <w:nsid w:val="A27C481A"/>
    <w:multiLevelType w:val="singleLevel"/>
    <w:tmpl w:val="A27C481A"/>
    <w:lvl w:ilvl="0" w:tentative="1">
      <w:start w:val="1"/>
      <w:numFmt w:val="decimal"/>
      <w:suff w:val="nothing"/>
      <w:lvlText w:val="%1．"/>
      <w:lvlJc w:val="left"/>
      <w:pPr>
        <w:ind w:left="0" w:firstLine="400"/>
      </w:pPr>
      <w:rPr>
        <w:rFonts w:hint="default"/>
      </w:rPr>
    </w:lvl>
  </w:abstractNum>
  <w:abstractNum w:abstractNumId="1730088758">
    <w:nsid w:val="671F0F36"/>
    <w:multiLevelType w:val="singleLevel"/>
    <w:tmpl w:val="671F0F36"/>
    <w:lvl w:ilvl="0" w:tentative="1">
      <w:start w:val="1"/>
      <w:numFmt w:val="decimal"/>
      <w:suff w:val="nothing"/>
      <w:lvlText w:val="%1）"/>
      <w:lvlJc w:val="left"/>
    </w:lvl>
  </w:abstractNum>
  <w:abstractNum w:abstractNumId="1060217578">
    <w:nsid w:val="3F31A2EA"/>
    <w:multiLevelType w:val="singleLevel"/>
    <w:tmpl w:val="3F31A2EA"/>
    <w:lvl w:ilvl="0" w:tentative="1">
      <w:start w:val="1"/>
      <w:numFmt w:val="decimal"/>
      <w:lvlText w:val="%1."/>
      <w:lvlJc w:val="left"/>
      <w:pPr>
        <w:ind w:left="425" w:hanging="425"/>
      </w:pPr>
      <w:rPr>
        <w:rFonts w:hint="default"/>
      </w:rPr>
    </w:lvl>
  </w:abstractNum>
  <w:abstractNum w:abstractNumId="1019433443">
    <w:nsid w:val="3CC351E3"/>
    <w:multiLevelType w:val="multilevel"/>
    <w:tmpl w:val="3CC351E3"/>
    <w:lvl w:ilvl="0" w:tentative="1">
      <w:start w:val="1"/>
      <w:numFmt w:val="decimal"/>
      <w:lvlText w:val="%1."/>
      <w:lvlJc w:val="left"/>
      <w:pPr>
        <w:tabs>
          <w:tab w:val="left" w:pos="420"/>
        </w:tabs>
        <w:ind w:left="420" w:hanging="420"/>
      </w:pPr>
      <w:rPr>
        <w:rFonts w:hint="eastAsia" w:ascii="楷体_GB2312" w:hAnsi="Arial" w:eastAsia="楷体_GB2312" w:cs="Arial"/>
        <w:b w:val="0"/>
      </w:rPr>
    </w:lvl>
    <w:lvl w:ilvl="1" w:tentative="1">
      <w:start w:val="0"/>
      <w:numFmt w:val="none"/>
      <w:lvlText w:val=""/>
      <w:lvlJc w:val="left"/>
      <w:pPr>
        <w:tabs>
          <w:tab w:val="left" w:pos="360"/>
        </w:tabs>
      </w:pPr>
      <w:rPr>
        <w:rFonts w:cs="Times New Roman"/>
      </w:rPr>
    </w:lvl>
    <w:lvl w:ilvl="2" w:tentative="1">
      <w:start w:val="0"/>
      <w:numFmt w:val="none"/>
      <w:lvlText w:val=""/>
      <w:lvlJc w:val="left"/>
      <w:pPr>
        <w:tabs>
          <w:tab w:val="left" w:pos="360"/>
        </w:tabs>
      </w:pPr>
      <w:rPr>
        <w:rFonts w:cs="Times New Roman"/>
      </w:rPr>
    </w:lvl>
    <w:lvl w:ilvl="3" w:tentative="1">
      <w:start w:val="0"/>
      <w:numFmt w:val="none"/>
      <w:lvlText w:val=""/>
      <w:lvlJc w:val="left"/>
      <w:pPr>
        <w:tabs>
          <w:tab w:val="left" w:pos="360"/>
        </w:tabs>
      </w:pPr>
      <w:rPr>
        <w:rFonts w:cs="Times New Roman"/>
      </w:rPr>
    </w:lvl>
    <w:lvl w:ilvl="4" w:tentative="1">
      <w:start w:val="0"/>
      <w:numFmt w:val="none"/>
      <w:lvlText w:val=""/>
      <w:lvlJc w:val="left"/>
      <w:pPr>
        <w:tabs>
          <w:tab w:val="left" w:pos="360"/>
        </w:tabs>
      </w:pPr>
      <w:rPr>
        <w:rFonts w:cs="Times New Roman"/>
      </w:rPr>
    </w:lvl>
    <w:lvl w:ilvl="5" w:tentative="1">
      <w:start w:val="0"/>
      <w:numFmt w:val="none"/>
      <w:lvlText w:val=""/>
      <w:lvlJc w:val="left"/>
      <w:pPr>
        <w:tabs>
          <w:tab w:val="left" w:pos="360"/>
        </w:tabs>
      </w:pPr>
      <w:rPr>
        <w:rFonts w:cs="Times New Roman"/>
      </w:rPr>
    </w:lvl>
    <w:lvl w:ilvl="6" w:tentative="1">
      <w:start w:val="0"/>
      <w:numFmt w:val="none"/>
      <w:lvlText w:val=""/>
      <w:lvlJc w:val="left"/>
      <w:pPr>
        <w:tabs>
          <w:tab w:val="left" w:pos="360"/>
        </w:tabs>
      </w:pPr>
      <w:rPr>
        <w:rFonts w:cs="Times New Roman"/>
      </w:rPr>
    </w:lvl>
    <w:lvl w:ilvl="7" w:tentative="1">
      <w:start w:val="0"/>
      <w:numFmt w:val="none"/>
      <w:lvlText w:val=""/>
      <w:lvlJc w:val="left"/>
      <w:pPr>
        <w:tabs>
          <w:tab w:val="left" w:pos="360"/>
        </w:tabs>
      </w:pPr>
      <w:rPr>
        <w:rFonts w:cs="Times New Roman"/>
      </w:rPr>
    </w:lvl>
    <w:lvl w:ilvl="8" w:tentative="1">
      <w:start w:val="0"/>
      <w:numFmt w:val="none"/>
      <w:lvlText w:val=""/>
      <w:lvlJc w:val="left"/>
      <w:pPr>
        <w:tabs>
          <w:tab w:val="left" w:pos="360"/>
        </w:tabs>
      </w:pPr>
      <w:rPr>
        <w:rFonts w:cs="Times New Roman"/>
      </w:rPr>
    </w:lvl>
  </w:abstractNum>
  <w:abstractNum w:abstractNumId="4177691115">
    <w:nsid w:val="F90281EB"/>
    <w:multiLevelType w:val="singleLevel"/>
    <w:tmpl w:val="F90281EB"/>
    <w:lvl w:ilvl="0" w:tentative="1">
      <w:start w:val="3"/>
      <w:numFmt w:val="chineseCounting"/>
      <w:suff w:val="nothing"/>
      <w:lvlText w:val="%1．"/>
      <w:lvlJc w:val="left"/>
      <w:rPr>
        <w:rFonts w:hint="eastAsia"/>
      </w:rPr>
    </w:lvl>
  </w:abstractNum>
  <w:abstractNum w:abstractNumId="2279178173">
    <w:nsid w:val="87D97FBD"/>
    <w:multiLevelType w:val="singleLevel"/>
    <w:tmpl w:val="87D97FBD"/>
    <w:lvl w:ilvl="0" w:tentative="1">
      <w:start w:val="1"/>
      <w:numFmt w:val="decimal"/>
      <w:lvlText w:val="%1)"/>
      <w:lvlJc w:val="left"/>
      <w:pPr>
        <w:ind w:left="425" w:hanging="425"/>
      </w:pPr>
      <w:rPr>
        <w:rFonts w:hint="default"/>
      </w:rPr>
    </w:lvl>
  </w:abstractNum>
  <w:abstractNum w:abstractNumId="728279130">
    <w:nsid w:val="2B68A85A"/>
    <w:multiLevelType w:val="singleLevel"/>
    <w:tmpl w:val="2B68A85A"/>
    <w:lvl w:ilvl="0" w:tentative="1">
      <w:start w:val="1"/>
      <w:numFmt w:val="chineseCounting"/>
      <w:suff w:val="nothing"/>
      <w:lvlText w:val="%1、"/>
      <w:lvlJc w:val="left"/>
      <w:pPr>
        <w:ind w:left="0" w:firstLine="420"/>
      </w:pPr>
      <w:rPr>
        <w:rFonts w:hint="eastAsia"/>
      </w:rPr>
    </w:lvl>
  </w:abstractNum>
  <w:abstractNum w:abstractNumId="49">
    <w:nsid w:val="00000031"/>
    <w:multiLevelType w:val="multilevel"/>
    <w:tmpl w:val="00000031"/>
    <w:lvl w:ilvl="0" w:tentative="1">
      <w:start w:val="1"/>
      <w:numFmt w:val="decimal"/>
      <w:lvlText w:val="（%1）"/>
      <w:lvlJc w:val="left"/>
      <w:pPr>
        <w:tabs>
          <w:tab w:val="left" w:pos="420"/>
        </w:tabs>
        <w:ind w:left="420" w:hanging="420"/>
      </w:pPr>
      <w:rPr>
        <w:rFonts w:hint="eastAsia" w:ascii="楷体_GB2312" w:eastAsia="楷体_GB2312"/>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60"/>
        </w:tabs>
        <w:ind w:left="1260" w:hanging="420"/>
      </w:pPr>
      <w:rPr>
        <w:rFonts w:hint="eastAsia"/>
        <w:b w:val="0"/>
        <w:i w:val="0"/>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27233606">
    <w:nsid w:val="84C0E346"/>
    <w:multiLevelType w:val="multilevel"/>
    <w:tmpl w:val="84C0E346"/>
    <w:lvl w:ilvl="0" w:tentative="1">
      <w:start w:val="1"/>
      <w:numFmt w:val="none"/>
      <w:lvlText w:val="2"/>
      <w:lvlJc w:val="left"/>
      <w:pPr>
        <w:tabs>
          <w:tab w:val="left" w:pos="425"/>
        </w:tabs>
        <w:ind w:left="425" w:hanging="425"/>
      </w:pPr>
      <w:rPr>
        <w:rFonts w:hint="eastAsia" w:cs="Times New Roman"/>
      </w:rPr>
    </w:lvl>
    <w:lvl w:ilvl="1" w:tentative="1">
      <w:start w:val="1"/>
      <w:numFmt w:val="decimal"/>
      <w:lvlText w:val="%16.%2"/>
      <w:lvlJc w:val="left"/>
      <w:pPr>
        <w:tabs>
          <w:tab w:val="left" w:pos="992"/>
        </w:tabs>
        <w:ind w:left="992" w:hanging="567"/>
      </w:pPr>
      <w:rPr>
        <w:rFonts w:hint="default" w:ascii="宋体" w:hAnsi="宋体" w:eastAsia="宋体" w:cs="宋体"/>
      </w:rPr>
    </w:lvl>
    <w:lvl w:ilvl="2" w:tentative="1">
      <w:start w:val="1"/>
      <w:numFmt w:val="decimal"/>
      <w:lvlText w:val="%1.%2.%3"/>
      <w:lvlJc w:val="left"/>
      <w:pPr>
        <w:tabs>
          <w:tab w:val="left" w:pos="1571"/>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435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562"/>
        </w:tabs>
        <w:ind w:left="5102" w:hanging="1700"/>
      </w:pPr>
      <w:rPr>
        <w:rFonts w:hint="eastAsia" w:cs="Times New Roman"/>
      </w:rPr>
    </w:lvl>
  </w:abstractNum>
  <w:abstractNum w:abstractNumId="1975090382">
    <w:nsid w:val="75B97CCE"/>
    <w:multiLevelType w:val="multilevel"/>
    <w:tmpl w:val="75B97CCE"/>
    <w:lvl w:ilvl="0" w:tentative="1">
      <w:start w:val="1"/>
      <w:numFmt w:val="none"/>
      <w:lvlText w:val="2"/>
      <w:lvlJc w:val="left"/>
      <w:pPr>
        <w:tabs>
          <w:tab w:val="left" w:pos="425"/>
        </w:tabs>
        <w:ind w:left="425" w:hanging="425"/>
      </w:pPr>
      <w:rPr>
        <w:rFonts w:hint="eastAsia" w:cs="Times New Roman"/>
      </w:rPr>
    </w:lvl>
    <w:lvl w:ilvl="1" w:tentative="1">
      <w:start w:val="1"/>
      <w:numFmt w:val="decimal"/>
      <w:lvlText w:val="%13.%2"/>
      <w:lvlJc w:val="left"/>
      <w:pPr>
        <w:tabs>
          <w:tab w:val="left" w:pos="992"/>
        </w:tabs>
        <w:ind w:left="992" w:hanging="567"/>
      </w:pPr>
      <w:rPr>
        <w:rFonts w:hint="default" w:ascii="宋体" w:hAnsi="宋体" w:eastAsia="宋体" w:cs="宋体"/>
      </w:rPr>
    </w:lvl>
    <w:lvl w:ilvl="2" w:tentative="1">
      <w:start w:val="1"/>
      <w:numFmt w:val="decimal"/>
      <w:lvlText w:val="%1.%2.%3"/>
      <w:lvlJc w:val="left"/>
      <w:pPr>
        <w:tabs>
          <w:tab w:val="left" w:pos="1571"/>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435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562"/>
        </w:tabs>
        <w:ind w:left="5102" w:hanging="1700"/>
      </w:pPr>
      <w:rPr>
        <w:rFonts w:hint="eastAsia" w:cs="Times New Roman"/>
      </w:rPr>
    </w:lvl>
  </w:abstractNum>
  <w:abstractNum w:abstractNumId="1604452564">
    <w:nsid w:val="5FA200D4"/>
    <w:multiLevelType w:val="multilevel"/>
    <w:tmpl w:val="5FA200D4"/>
    <w:lvl w:ilvl="0" w:tentative="1">
      <w:start w:val="1"/>
      <w:numFmt w:val="none"/>
      <w:lvlText w:val="2"/>
      <w:lvlJc w:val="left"/>
      <w:pPr>
        <w:tabs>
          <w:tab w:val="left" w:pos="425"/>
        </w:tabs>
        <w:ind w:left="425" w:hanging="425"/>
      </w:pPr>
      <w:rPr>
        <w:rFonts w:hint="eastAsia" w:cs="Times New Roman"/>
      </w:rPr>
    </w:lvl>
    <w:lvl w:ilvl="1" w:tentative="1">
      <w:start w:val="1"/>
      <w:numFmt w:val="decimal"/>
      <w:lvlText w:val="%14.%2"/>
      <w:lvlJc w:val="left"/>
      <w:pPr>
        <w:tabs>
          <w:tab w:val="left" w:pos="992"/>
        </w:tabs>
        <w:ind w:left="992" w:hanging="567"/>
      </w:pPr>
      <w:rPr>
        <w:rFonts w:hint="default" w:ascii="宋体" w:hAnsi="宋体" w:eastAsia="宋体" w:cs="宋体"/>
      </w:rPr>
    </w:lvl>
    <w:lvl w:ilvl="2" w:tentative="1">
      <w:start w:val="1"/>
      <w:numFmt w:val="decimal"/>
      <w:lvlText w:val="%1.%2.%3"/>
      <w:lvlJc w:val="left"/>
      <w:pPr>
        <w:tabs>
          <w:tab w:val="left" w:pos="1571"/>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435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562"/>
        </w:tabs>
        <w:ind w:left="5102" w:hanging="1700"/>
      </w:pPr>
      <w:rPr>
        <w:rFonts w:hint="eastAsia" w:cs="Times New Roman"/>
      </w:rPr>
    </w:lvl>
  </w:abstractNum>
  <w:abstractNum w:abstractNumId="3763713603">
    <w:nsid w:val="E055B643"/>
    <w:multiLevelType w:val="singleLevel"/>
    <w:tmpl w:val="E055B643"/>
    <w:lvl w:ilvl="0" w:tentative="1">
      <w:start w:val="1"/>
      <w:numFmt w:val="decimal"/>
      <w:lvlText w:val="(%1)"/>
      <w:lvlJc w:val="left"/>
      <w:pPr>
        <w:ind w:left="425" w:hanging="425"/>
      </w:pPr>
      <w:rPr>
        <w:rFonts w:hint="default" w:cs="Times New Roman"/>
      </w:rPr>
    </w:lvl>
  </w:abstractNum>
  <w:abstractNum w:abstractNumId="653944717">
    <w:nsid w:val="26FA678D"/>
    <w:multiLevelType w:val="singleLevel"/>
    <w:tmpl w:val="26FA678D"/>
    <w:lvl w:ilvl="0" w:tentative="1">
      <w:start w:val="1"/>
      <w:numFmt w:val="decimal"/>
      <w:suff w:val="nothing"/>
      <w:lvlText w:val="%1．"/>
      <w:lvlJc w:val="left"/>
      <w:pPr>
        <w:ind w:left="230" w:firstLine="400"/>
      </w:pPr>
      <w:rPr>
        <w:rFonts w:hint="default"/>
      </w:rPr>
    </w:lvl>
  </w:abstractNum>
  <w:abstractNum w:abstractNumId="3004770447">
    <w:nsid w:val="B319288F"/>
    <w:multiLevelType w:val="singleLevel"/>
    <w:tmpl w:val="B319288F"/>
    <w:lvl w:ilvl="0" w:tentative="1">
      <w:start w:val="1"/>
      <w:numFmt w:val="decimalEnclosedCircleChinese"/>
      <w:suff w:val="nothing"/>
      <w:lvlText w:val="%1　"/>
      <w:lvlJc w:val="left"/>
      <w:pPr>
        <w:ind w:left="0" w:firstLine="400"/>
      </w:pPr>
      <w:rPr>
        <w:rFonts w:hint="eastAsia"/>
      </w:rPr>
    </w:lvl>
  </w:abstractNum>
  <w:abstractNum w:abstractNumId="2684918105">
    <w:nsid w:val="A0089959"/>
    <w:multiLevelType w:val="singleLevel"/>
    <w:tmpl w:val="A0089959"/>
    <w:lvl w:ilvl="0" w:tentative="1">
      <w:start w:val="1"/>
      <w:numFmt w:val="decimal"/>
      <w:lvlText w:val="%1)"/>
      <w:lvlJc w:val="left"/>
      <w:pPr>
        <w:ind w:left="425" w:hanging="425"/>
      </w:pPr>
      <w:rPr>
        <w:rFonts w:hint="default"/>
      </w:rPr>
    </w:lvl>
  </w:abstractNum>
  <w:abstractNum w:abstractNumId="2501944976">
    <w:nsid w:val="9520A690"/>
    <w:multiLevelType w:val="singleLevel"/>
    <w:tmpl w:val="9520A690"/>
    <w:lvl w:ilvl="0" w:tentative="1">
      <w:start w:val="1"/>
      <w:numFmt w:val="decimal"/>
      <w:suff w:val="nothing"/>
      <w:lvlText w:val="%1．"/>
      <w:lvlJc w:val="left"/>
      <w:pPr>
        <w:ind w:left="230" w:firstLine="400"/>
      </w:pPr>
      <w:rPr>
        <w:rFonts w:hint="default"/>
      </w:rPr>
    </w:lvl>
  </w:abstractNum>
  <w:abstractNum w:abstractNumId="938029707">
    <w:nsid w:val="37E9328B"/>
    <w:multiLevelType w:val="multilevel"/>
    <w:tmpl w:val="37E9328B"/>
    <w:lvl w:ilvl="0" w:tentative="1">
      <w:start w:val="1"/>
      <w:numFmt w:val="none"/>
      <w:lvlText w:val="2"/>
      <w:lvlJc w:val="left"/>
      <w:pPr>
        <w:tabs>
          <w:tab w:val="left" w:pos="425"/>
        </w:tabs>
        <w:ind w:left="425" w:hanging="425"/>
      </w:pPr>
      <w:rPr>
        <w:rFonts w:hint="eastAsia" w:cs="Times New Roman"/>
      </w:rPr>
    </w:lvl>
    <w:lvl w:ilvl="1" w:tentative="1">
      <w:start w:val="1"/>
      <w:numFmt w:val="decimal"/>
      <w:lvlText w:val="%13.%2"/>
      <w:lvlJc w:val="left"/>
      <w:pPr>
        <w:tabs>
          <w:tab w:val="left" w:pos="992"/>
        </w:tabs>
        <w:ind w:left="992" w:hanging="567"/>
      </w:pPr>
      <w:rPr>
        <w:rFonts w:hint="eastAsia" w:ascii="楷体_GB2312" w:hAnsi="Arial" w:eastAsia="楷体_GB2312" w:cs="Arial"/>
      </w:rPr>
    </w:lvl>
    <w:lvl w:ilvl="2" w:tentative="1">
      <w:start w:val="1"/>
      <w:numFmt w:val="decimal"/>
      <w:lvlText w:val="%1.%2.%3"/>
      <w:lvlJc w:val="left"/>
      <w:pPr>
        <w:tabs>
          <w:tab w:val="left" w:pos="1571"/>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435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562"/>
        </w:tabs>
        <w:ind w:left="5102" w:hanging="1700"/>
      </w:pPr>
      <w:rPr>
        <w:rFonts w:hint="eastAsia" w:cs="Times New Roman"/>
      </w:rPr>
    </w:lvl>
  </w:abstractNum>
  <w:abstractNum w:abstractNumId="33611191">
    <w:nsid w:val="0200DDB7"/>
    <w:multiLevelType w:val="multilevel"/>
    <w:tmpl w:val="0200DDB7"/>
    <w:lvl w:ilvl="0" w:tentative="1">
      <w:start w:val="1"/>
      <w:numFmt w:val="decimal"/>
      <w:lvlText w:val="%1."/>
      <w:lvlJc w:val="left"/>
      <w:pPr>
        <w:tabs>
          <w:tab w:val="left" w:pos="562"/>
        </w:tabs>
        <w:ind w:left="562" w:hanging="420"/>
      </w:pPr>
      <w:rPr>
        <w:rFonts w:hint="eastAsia" w:ascii="楷体_GB2312" w:hAnsi="Arial" w:eastAsia="楷体_GB2312" w:cs="Arial"/>
      </w:rPr>
    </w:lvl>
    <w:lvl w:ilvl="1" w:tentative="1">
      <w:start w:val="0"/>
      <w:numFmt w:val="none"/>
      <w:lvlText w:val=""/>
      <w:lvlJc w:val="left"/>
      <w:pPr>
        <w:tabs>
          <w:tab w:val="left" w:pos="360"/>
        </w:tabs>
      </w:pPr>
      <w:rPr>
        <w:rFonts w:cs="Times New Roman"/>
      </w:rPr>
    </w:lvl>
    <w:lvl w:ilvl="2" w:tentative="1">
      <w:start w:val="0"/>
      <w:numFmt w:val="none"/>
      <w:lvlText w:val=""/>
      <w:lvlJc w:val="left"/>
      <w:pPr>
        <w:tabs>
          <w:tab w:val="left" w:pos="360"/>
        </w:tabs>
      </w:pPr>
      <w:rPr>
        <w:rFonts w:cs="Times New Roman"/>
      </w:rPr>
    </w:lvl>
    <w:lvl w:ilvl="3" w:tentative="1">
      <w:start w:val="0"/>
      <w:numFmt w:val="none"/>
      <w:lvlText w:val=""/>
      <w:lvlJc w:val="left"/>
      <w:pPr>
        <w:tabs>
          <w:tab w:val="left" w:pos="360"/>
        </w:tabs>
      </w:pPr>
      <w:rPr>
        <w:rFonts w:cs="Times New Roman"/>
      </w:rPr>
    </w:lvl>
    <w:lvl w:ilvl="4" w:tentative="1">
      <w:start w:val="0"/>
      <w:numFmt w:val="none"/>
      <w:lvlText w:val=""/>
      <w:lvlJc w:val="left"/>
      <w:pPr>
        <w:tabs>
          <w:tab w:val="left" w:pos="360"/>
        </w:tabs>
      </w:pPr>
      <w:rPr>
        <w:rFonts w:cs="Times New Roman"/>
      </w:rPr>
    </w:lvl>
    <w:lvl w:ilvl="5" w:tentative="1">
      <w:start w:val="0"/>
      <w:numFmt w:val="none"/>
      <w:lvlText w:val=""/>
      <w:lvlJc w:val="left"/>
      <w:pPr>
        <w:tabs>
          <w:tab w:val="left" w:pos="360"/>
        </w:tabs>
      </w:pPr>
      <w:rPr>
        <w:rFonts w:cs="Times New Roman"/>
      </w:rPr>
    </w:lvl>
    <w:lvl w:ilvl="6" w:tentative="1">
      <w:start w:val="0"/>
      <w:numFmt w:val="none"/>
      <w:lvlText w:val=""/>
      <w:lvlJc w:val="left"/>
      <w:pPr>
        <w:tabs>
          <w:tab w:val="left" w:pos="360"/>
        </w:tabs>
      </w:pPr>
      <w:rPr>
        <w:rFonts w:cs="Times New Roman"/>
      </w:rPr>
    </w:lvl>
    <w:lvl w:ilvl="7" w:tentative="1">
      <w:start w:val="0"/>
      <w:numFmt w:val="none"/>
      <w:lvlText w:val=""/>
      <w:lvlJc w:val="left"/>
      <w:pPr>
        <w:tabs>
          <w:tab w:val="left" w:pos="360"/>
        </w:tabs>
      </w:pPr>
      <w:rPr>
        <w:rFonts w:cs="Times New Roman"/>
      </w:rPr>
    </w:lvl>
    <w:lvl w:ilvl="8" w:tentative="1">
      <w:start w:val="0"/>
      <w:numFmt w:val="none"/>
      <w:lvlText w:val=""/>
      <w:lvlJc w:val="left"/>
      <w:pPr>
        <w:tabs>
          <w:tab w:val="left" w:pos="360"/>
        </w:tabs>
      </w:pPr>
      <w:rPr>
        <w:rFonts w:cs="Times New Roman"/>
      </w:rPr>
    </w:lvl>
  </w:abstractNum>
  <w:abstractNum w:abstractNumId="2342620991">
    <w:nsid w:val="8BA18F3F"/>
    <w:multiLevelType w:val="multilevel"/>
    <w:tmpl w:val="8BA18F3F"/>
    <w:lvl w:ilvl="0" w:tentative="1">
      <w:start w:val="1"/>
      <w:numFmt w:val="decimal"/>
      <w:lvlText w:val="%1."/>
      <w:lvlJc w:val="left"/>
      <w:pPr>
        <w:tabs>
          <w:tab w:val="left" w:pos="562"/>
        </w:tabs>
        <w:ind w:left="562" w:hanging="420"/>
      </w:pPr>
      <w:rPr>
        <w:rFonts w:hint="eastAsia" w:ascii="楷体_GB2312" w:hAnsi="Arial" w:eastAsia="楷体_GB2312" w:cs="Arial"/>
      </w:rPr>
    </w:lvl>
    <w:lvl w:ilvl="1" w:tentative="1">
      <w:start w:val="0"/>
      <w:numFmt w:val="none"/>
      <w:lvlText w:val=""/>
      <w:lvlJc w:val="left"/>
      <w:pPr>
        <w:tabs>
          <w:tab w:val="left" w:pos="360"/>
        </w:tabs>
      </w:pPr>
      <w:rPr>
        <w:rFonts w:cs="Times New Roman"/>
      </w:rPr>
    </w:lvl>
    <w:lvl w:ilvl="2" w:tentative="1">
      <w:start w:val="0"/>
      <w:numFmt w:val="none"/>
      <w:lvlText w:val=""/>
      <w:lvlJc w:val="left"/>
      <w:pPr>
        <w:tabs>
          <w:tab w:val="left" w:pos="360"/>
        </w:tabs>
      </w:pPr>
      <w:rPr>
        <w:rFonts w:cs="Times New Roman"/>
      </w:rPr>
    </w:lvl>
    <w:lvl w:ilvl="3" w:tentative="1">
      <w:start w:val="0"/>
      <w:numFmt w:val="none"/>
      <w:lvlText w:val=""/>
      <w:lvlJc w:val="left"/>
      <w:pPr>
        <w:tabs>
          <w:tab w:val="left" w:pos="360"/>
        </w:tabs>
      </w:pPr>
      <w:rPr>
        <w:rFonts w:cs="Times New Roman"/>
      </w:rPr>
    </w:lvl>
    <w:lvl w:ilvl="4" w:tentative="1">
      <w:start w:val="0"/>
      <w:numFmt w:val="none"/>
      <w:lvlText w:val=""/>
      <w:lvlJc w:val="left"/>
      <w:pPr>
        <w:tabs>
          <w:tab w:val="left" w:pos="360"/>
        </w:tabs>
      </w:pPr>
      <w:rPr>
        <w:rFonts w:cs="Times New Roman"/>
      </w:rPr>
    </w:lvl>
    <w:lvl w:ilvl="5" w:tentative="1">
      <w:start w:val="0"/>
      <w:numFmt w:val="none"/>
      <w:lvlText w:val=""/>
      <w:lvlJc w:val="left"/>
      <w:pPr>
        <w:tabs>
          <w:tab w:val="left" w:pos="360"/>
        </w:tabs>
      </w:pPr>
      <w:rPr>
        <w:rFonts w:cs="Times New Roman"/>
      </w:rPr>
    </w:lvl>
    <w:lvl w:ilvl="6" w:tentative="1">
      <w:start w:val="0"/>
      <w:numFmt w:val="none"/>
      <w:lvlText w:val=""/>
      <w:lvlJc w:val="left"/>
      <w:pPr>
        <w:tabs>
          <w:tab w:val="left" w:pos="360"/>
        </w:tabs>
      </w:pPr>
      <w:rPr>
        <w:rFonts w:cs="Times New Roman"/>
      </w:rPr>
    </w:lvl>
    <w:lvl w:ilvl="7" w:tentative="1">
      <w:start w:val="0"/>
      <w:numFmt w:val="none"/>
      <w:lvlText w:val=""/>
      <w:lvlJc w:val="left"/>
      <w:pPr>
        <w:tabs>
          <w:tab w:val="left" w:pos="360"/>
        </w:tabs>
      </w:pPr>
      <w:rPr>
        <w:rFonts w:cs="Times New Roman"/>
      </w:rPr>
    </w:lvl>
    <w:lvl w:ilvl="8" w:tentative="1">
      <w:start w:val="0"/>
      <w:numFmt w:val="none"/>
      <w:lvlText w:val=""/>
      <w:lvlJc w:val="left"/>
      <w:pPr>
        <w:tabs>
          <w:tab w:val="left" w:pos="360"/>
        </w:tabs>
      </w:pPr>
      <w:rPr>
        <w:rFonts w:cs="Times New Roman"/>
      </w:rPr>
    </w:lvl>
  </w:abstractNum>
  <w:abstractNum w:abstractNumId="140434116">
    <w:nsid w:val="085EDAC4"/>
    <w:multiLevelType w:val="singleLevel"/>
    <w:tmpl w:val="085EDAC4"/>
    <w:lvl w:ilvl="0" w:tentative="1">
      <w:start w:val="1"/>
      <w:numFmt w:val="decimal"/>
      <w:lvlText w:val="(%1)"/>
      <w:lvlJc w:val="left"/>
      <w:pPr>
        <w:ind w:left="425" w:hanging="425"/>
      </w:pPr>
      <w:rPr>
        <w:rFonts w:hint="default"/>
      </w:rPr>
    </w:lvl>
  </w:abstractNum>
  <w:num w:numId="1">
    <w:abstractNumId w:val="3525984680"/>
  </w:num>
  <w:num w:numId="2">
    <w:abstractNumId w:val="3175443325"/>
  </w:num>
  <w:num w:numId="3">
    <w:abstractNumId w:val="460011886"/>
  </w:num>
  <w:num w:numId="4">
    <w:abstractNumId w:val="4212088502"/>
  </w:num>
  <w:num w:numId="5">
    <w:abstractNumId w:val="1060217578"/>
  </w:num>
  <w:num w:numId="6">
    <w:abstractNumId w:val="1730087824"/>
  </w:num>
  <w:num w:numId="7">
    <w:abstractNumId w:val="607396766"/>
  </w:num>
  <w:num w:numId="8">
    <w:abstractNumId w:val="2227233606"/>
  </w:num>
  <w:num w:numId="9">
    <w:abstractNumId w:val="33611191"/>
  </w:num>
  <w:num w:numId="10">
    <w:abstractNumId w:val="2342620991"/>
  </w:num>
  <w:num w:numId="11">
    <w:abstractNumId w:val="3004770447"/>
  </w:num>
  <w:num w:numId="12">
    <w:abstractNumId w:val="1975090382"/>
  </w:num>
  <w:num w:numId="13">
    <w:abstractNumId w:val="1604452564"/>
  </w:num>
  <w:num w:numId="14">
    <w:abstractNumId w:val="1925609107"/>
  </w:num>
  <w:num w:numId="15">
    <w:abstractNumId w:val="3576158143"/>
  </w:num>
  <w:num w:numId="16">
    <w:abstractNumId w:val="49"/>
  </w:num>
  <w:num w:numId="17">
    <w:abstractNumId w:val="530154179"/>
  </w:num>
  <w:num w:numId="18">
    <w:abstractNumId w:val="1019433443"/>
  </w:num>
  <w:num w:numId="19">
    <w:abstractNumId w:val="938029707"/>
  </w:num>
  <w:num w:numId="20">
    <w:abstractNumId w:val="3183413323"/>
  </w:num>
  <w:num w:numId="21">
    <w:abstractNumId w:val="3763713603"/>
  </w:num>
  <w:num w:numId="22">
    <w:abstractNumId w:val="2158357730"/>
  </w:num>
  <w:num w:numId="23">
    <w:abstractNumId w:val="2830863233"/>
  </w:num>
  <w:num w:numId="24">
    <w:abstractNumId w:val="16"/>
  </w:num>
  <w:num w:numId="25">
    <w:abstractNumId w:val="140434116"/>
  </w:num>
  <w:num w:numId="26">
    <w:abstractNumId w:val="497884564"/>
  </w:num>
  <w:num w:numId="27">
    <w:abstractNumId w:val="3816159018"/>
  </w:num>
  <w:num w:numId="28">
    <w:abstractNumId w:val="584922168"/>
  </w:num>
  <w:num w:numId="29">
    <w:abstractNumId w:val="92664920"/>
  </w:num>
  <w:num w:numId="30">
    <w:abstractNumId w:val="728279130"/>
  </w:num>
  <w:num w:numId="31">
    <w:abstractNumId w:val="3785654822"/>
  </w:num>
  <w:num w:numId="32">
    <w:abstractNumId w:val="2726053914"/>
  </w:num>
  <w:num w:numId="33">
    <w:abstractNumId w:val="2501944976"/>
  </w:num>
  <w:num w:numId="34">
    <w:abstractNumId w:val="653944717"/>
  </w:num>
  <w:num w:numId="35">
    <w:abstractNumId w:val="1468328786"/>
  </w:num>
  <w:num w:numId="36">
    <w:abstractNumId w:val="2188891746"/>
  </w:num>
  <w:num w:numId="37">
    <w:abstractNumId w:val="2684918105"/>
  </w:num>
  <w:num w:numId="38">
    <w:abstractNumId w:val="3380930951"/>
  </w:num>
  <w:num w:numId="39">
    <w:abstractNumId w:val="678179275"/>
  </w:num>
  <w:num w:numId="40">
    <w:abstractNumId w:val="3857617446"/>
  </w:num>
  <w:num w:numId="41">
    <w:abstractNumId w:val="4177691115"/>
  </w:num>
  <w:num w:numId="42">
    <w:abstractNumId w:val="1904992565"/>
  </w:num>
  <w:num w:numId="43">
    <w:abstractNumId w:val="2279178173"/>
  </w:num>
  <w:num w:numId="44">
    <w:abstractNumId w:val="1730088758"/>
  </w:num>
  <w:num w:numId="45">
    <w:abstractNumId w:val="1172069930"/>
  </w:num>
  <w:num w:numId="46">
    <w:abstractNumId w:val="1267621306"/>
  </w:num>
  <w:num w:numId="47">
    <w:abstractNumId w:val="1425277877"/>
  </w:num>
  <w:num w:numId="48">
    <w:abstractNumId w:val="14344406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RlNGRhNDg1NDczYjlkNzY3MTk2OGE2M2Q3MDEwMjMifQ=="/>
  </w:docVars>
  <w:rsids>
    <w:rsidRoot w:val="00172A27"/>
    <w:rsid w:val="0000141E"/>
    <w:rsid w:val="00002648"/>
    <w:rsid w:val="00006DDC"/>
    <w:rsid w:val="000121B8"/>
    <w:rsid w:val="000127DB"/>
    <w:rsid w:val="000165B4"/>
    <w:rsid w:val="00016E22"/>
    <w:rsid w:val="0002209E"/>
    <w:rsid w:val="00026995"/>
    <w:rsid w:val="00034949"/>
    <w:rsid w:val="00036886"/>
    <w:rsid w:val="00036B31"/>
    <w:rsid w:val="00043198"/>
    <w:rsid w:val="00047B5F"/>
    <w:rsid w:val="00050004"/>
    <w:rsid w:val="00052879"/>
    <w:rsid w:val="00052D0F"/>
    <w:rsid w:val="000535A1"/>
    <w:rsid w:val="00054A90"/>
    <w:rsid w:val="00055D42"/>
    <w:rsid w:val="00060E56"/>
    <w:rsid w:val="000614C5"/>
    <w:rsid w:val="000632AC"/>
    <w:rsid w:val="00064C0F"/>
    <w:rsid w:val="00066263"/>
    <w:rsid w:val="000760D6"/>
    <w:rsid w:val="000820F8"/>
    <w:rsid w:val="00082490"/>
    <w:rsid w:val="000829D0"/>
    <w:rsid w:val="000835F2"/>
    <w:rsid w:val="00084021"/>
    <w:rsid w:val="0008542C"/>
    <w:rsid w:val="000857A4"/>
    <w:rsid w:val="00091EB8"/>
    <w:rsid w:val="00092B21"/>
    <w:rsid w:val="000963A6"/>
    <w:rsid w:val="0009658B"/>
    <w:rsid w:val="0009687B"/>
    <w:rsid w:val="00097950"/>
    <w:rsid w:val="000A0CED"/>
    <w:rsid w:val="000A10FE"/>
    <w:rsid w:val="000A1B8E"/>
    <w:rsid w:val="000B01F9"/>
    <w:rsid w:val="000B21A2"/>
    <w:rsid w:val="000B2D87"/>
    <w:rsid w:val="000B45FB"/>
    <w:rsid w:val="000B5CA3"/>
    <w:rsid w:val="000C1990"/>
    <w:rsid w:val="000D01FE"/>
    <w:rsid w:val="000D1A2D"/>
    <w:rsid w:val="000D272C"/>
    <w:rsid w:val="000D484D"/>
    <w:rsid w:val="000D537A"/>
    <w:rsid w:val="000D6A4F"/>
    <w:rsid w:val="000E0825"/>
    <w:rsid w:val="000E091B"/>
    <w:rsid w:val="000E2FE4"/>
    <w:rsid w:val="000E41FB"/>
    <w:rsid w:val="000F1146"/>
    <w:rsid w:val="000F431E"/>
    <w:rsid w:val="000F718F"/>
    <w:rsid w:val="0010148C"/>
    <w:rsid w:val="0010394F"/>
    <w:rsid w:val="00105553"/>
    <w:rsid w:val="00106896"/>
    <w:rsid w:val="00106DAC"/>
    <w:rsid w:val="00110F01"/>
    <w:rsid w:val="001114B4"/>
    <w:rsid w:val="001128A5"/>
    <w:rsid w:val="00114DD2"/>
    <w:rsid w:val="00121855"/>
    <w:rsid w:val="00124923"/>
    <w:rsid w:val="00126EC8"/>
    <w:rsid w:val="00127C3B"/>
    <w:rsid w:val="00131C77"/>
    <w:rsid w:val="00135A8D"/>
    <w:rsid w:val="00136450"/>
    <w:rsid w:val="001415E0"/>
    <w:rsid w:val="001425A5"/>
    <w:rsid w:val="00143586"/>
    <w:rsid w:val="00145B82"/>
    <w:rsid w:val="00147930"/>
    <w:rsid w:val="00155724"/>
    <w:rsid w:val="00155E7F"/>
    <w:rsid w:val="00157B00"/>
    <w:rsid w:val="00161EFD"/>
    <w:rsid w:val="001622FB"/>
    <w:rsid w:val="00164A6A"/>
    <w:rsid w:val="00164BD8"/>
    <w:rsid w:val="0016733F"/>
    <w:rsid w:val="001729C4"/>
    <w:rsid w:val="00172A27"/>
    <w:rsid w:val="00174BD4"/>
    <w:rsid w:val="00176D05"/>
    <w:rsid w:val="00180CCC"/>
    <w:rsid w:val="00183A9D"/>
    <w:rsid w:val="0018607C"/>
    <w:rsid w:val="001916A1"/>
    <w:rsid w:val="001919F1"/>
    <w:rsid w:val="00193603"/>
    <w:rsid w:val="00194D8A"/>
    <w:rsid w:val="00195F4A"/>
    <w:rsid w:val="00196B04"/>
    <w:rsid w:val="001A041D"/>
    <w:rsid w:val="001A16FB"/>
    <w:rsid w:val="001A1733"/>
    <w:rsid w:val="001A2297"/>
    <w:rsid w:val="001A2FED"/>
    <w:rsid w:val="001B3A08"/>
    <w:rsid w:val="001B58E0"/>
    <w:rsid w:val="001B5F87"/>
    <w:rsid w:val="001C5582"/>
    <w:rsid w:val="001D15FC"/>
    <w:rsid w:val="001D313E"/>
    <w:rsid w:val="001D5635"/>
    <w:rsid w:val="001E0A96"/>
    <w:rsid w:val="001E0D58"/>
    <w:rsid w:val="001E2081"/>
    <w:rsid w:val="001E282D"/>
    <w:rsid w:val="001E3ABB"/>
    <w:rsid w:val="001F093B"/>
    <w:rsid w:val="001F3C50"/>
    <w:rsid w:val="001F59B6"/>
    <w:rsid w:val="001F6EDE"/>
    <w:rsid w:val="001F7D38"/>
    <w:rsid w:val="00200FDE"/>
    <w:rsid w:val="00202AB8"/>
    <w:rsid w:val="002103BD"/>
    <w:rsid w:val="00211362"/>
    <w:rsid w:val="00212975"/>
    <w:rsid w:val="00213C70"/>
    <w:rsid w:val="00217D0A"/>
    <w:rsid w:val="00220723"/>
    <w:rsid w:val="00227BE1"/>
    <w:rsid w:val="00232387"/>
    <w:rsid w:val="00233988"/>
    <w:rsid w:val="00235467"/>
    <w:rsid w:val="002370E3"/>
    <w:rsid w:val="002376B8"/>
    <w:rsid w:val="00237AB6"/>
    <w:rsid w:val="00241128"/>
    <w:rsid w:val="00250873"/>
    <w:rsid w:val="00252267"/>
    <w:rsid w:val="002567B5"/>
    <w:rsid w:val="00256EBD"/>
    <w:rsid w:val="00260772"/>
    <w:rsid w:val="00260E8B"/>
    <w:rsid w:val="002615CA"/>
    <w:rsid w:val="002622CB"/>
    <w:rsid w:val="00262565"/>
    <w:rsid w:val="002635D5"/>
    <w:rsid w:val="002635E0"/>
    <w:rsid w:val="00263A77"/>
    <w:rsid w:val="002657D7"/>
    <w:rsid w:val="00265EEA"/>
    <w:rsid w:val="00266C30"/>
    <w:rsid w:val="00274C71"/>
    <w:rsid w:val="00275D64"/>
    <w:rsid w:val="00276A15"/>
    <w:rsid w:val="0028110F"/>
    <w:rsid w:val="00284F61"/>
    <w:rsid w:val="00292A4A"/>
    <w:rsid w:val="002941A0"/>
    <w:rsid w:val="0029448D"/>
    <w:rsid w:val="00294A1D"/>
    <w:rsid w:val="00295B9B"/>
    <w:rsid w:val="002A2663"/>
    <w:rsid w:val="002A5054"/>
    <w:rsid w:val="002A746C"/>
    <w:rsid w:val="002B0958"/>
    <w:rsid w:val="002B1644"/>
    <w:rsid w:val="002B3A52"/>
    <w:rsid w:val="002B7565"/>
    <w:rsid w:val="002C02FE"/>
    <w:rsid w:val="002C2C4F"/>
    <w:rsid w:val="002D591F"/>
    <w:rsid w:val="002E0575"/>
    <w:rsid w:val="002E3D10"/>
    <w:rsid w:val="002F1A18"/>
    <w:rsid w:val="002F69C5"/>
    <w:rsid w:val="00301242"/>
    <w:rsid w:val="00301692"/>
    <w:rsid w:val="00301C08"/>
    <w:rsid w:val="00306D49"/>
    <w:rsid w:val="00307C0E"/>
    <w:rsid w:val="00310C69"/>
    <w:rsid w:val="00312DEB"/>
    <w:rsid w:val="003145BC"/>
    <w:rsid w:val="00317B9C"/>
    <w:rsid w:val="00320795"/>
    <w:rsid w:val="00324628"/>
    <w:rsid w:val="00324BE1"/>
    <w:rsid w:val="00334FD4"/>
    <w:rsid w:val="00335CE6"/>
    <w:rsid w:val="003404F6"/>
    <w:rsid w:val="0034116E"/>
    <w:rsid w:val="003441D5"/>
    <w:rsid w:val="00344BB4"/>
    <w:rsid w:val="00344DF5"/>
    <w:rsid w:val="00344FBB"/>
    <w:rsid w:val="00350909"/>
    <w:rsid w:val="00351CB5"/>
    <w:rsid w:val="0035416E"/>
    <w:rsid w:val="00356370"/>
    <w:rsid w:val="00360F52"/>
    <w:rsid w:val="00363379"/>
    <w:rsid w:val="00363C43"/>
    <w:rsid w:val="00364D5B"/>
    <w:rsid w:val="003661AC"/>
    <w:rsid w:val="003664AD"/>
    <w:rsid w:val="00371D65"/>
    <w:rsid w:val="00371F2F"/>
    <w:rsid w:val="00373691"/>
    <w:rsid w:val="00380B0F"/>
    <w:rsid w:val="00382112"/>
    <w:rsid w:val="00387EF0"/>
    <w:rsid w:val="00392B8B"/>
    <w:rsid w:val="003937D6"/>
    <w:rsid w:val="003979B5"/>
    <w:rsid w:val="00397A98"/>
    <w:rsid w:val="00397AB3"/>
    <w:rsid w:val="003A0166"/>
    <w:rsid w:val="003A0A34"/>
    <w:rsid w:val="003A1C8A"/>
    <w:rsid w:val="003B2A45"/>
    <w:rsid w:val="003B6B64"/>
    <w:rsid w:val="003C2128"/>
    <w:rsid w:val="003C7D51"/>
    <w:rsid w:val="003D218F"/>
    <w:rsid w:val="003D6437"/>
    <w:rsid w:val="003D75FA"/>
    <w:rsid w:val="003E050F"/>
    <w:rsid w:val="003E11A5"/>
    <w:rsid w:val="003F051B"/>
    <w:rsid w:val="003F0B9B"/>
    <w:rsid w:val="003F1859"/>
    <w:rsid w:val="003F25E3"/>
    <w:rsid w:val="003F3F19"/>
    <w:rsid w:val="003F4EF1"/>
    <w:rsid w:val="003F51AE"/>
    <w:rsid w:val="00400616"/>
    <w:rsid w:val="004013C5"/>
    <w:rsid w:val="00401CD6"/>
    <w:rsid w:val="00402198"/>
    <w:rsid w:val="00402D52"/>
    <w:rsid w:val="0040311F"/>
    <w:rsid w:val="00403585"/>
    <w:rsid w:val="00410322"/>
    <w:rsid w:val="004121E7"/>
    <w:rsid w:val="00412DCB"/>
    <w:rsid w:val="00412F5E"/>
    <w:rsid w:val="00415257"/>
    <w:rsid w:val="00421A6F"/>
    <w:rsid w:val="004246BE"/>
    <w:rsid w:val="00426118"/>
    <w:rsid w:val="00432D22"/>
    <w:rsid w:val="0043716C"/>
    <w:rsid w:val="00437446"/>
    <w:rsid w:val="0044260A"/>
    <w:rsid w:val="00444BC9"/>
    <w:rsid w:val="0044657E"/>
    <w:rsid w:val="004506C3"/>
    <w:rsid w:val="00451485"/>
    <w:rsid w:val="004518D0"/>
    <w:rsid w:val="00452E51"/>
    <w:rsid w:val="004541D6"/>
    <w:rsid w:val="004564A1"/>
    <w:rsid w:val="004626A7"/>
    <w:rsid w:val="00470271"/>
    <w:rsid w:val="004715AE"/>
    <w:rsid w:val="00475FA8"/>
    <w:rsid w:val="00484DDE"/>
    <w:rsid w:val="00486E8B"/>
    <w:rsid w:val="00487587"/>
    <w:rsid w:val="00490C24"/>
    <w:rsid w:val="00491F16"/>
    <w:rsid w:val="0049347A"/>
    <w:rsid w:val="00496BB0"/>
    <w:rsid w:val="00496C5D"/>
    <w:rsid w:val="0049721A"/>
    <w:rsid w:val="004A5E0F"/>
    <w:rsid w:val="004B3CD6"/>
    <w:rsid w:val="004B63C9"/>
    <w:rsid w:val="004C1FBB"/>
    <w:rsid w:val="004C47EF"/>
    <w:rsid w:val="004C6142"/>
    <w:rsid w:val="004C6965"/>
    <w:rsid w:val="004D0B59"/>
    <w:rsid w:val="004D0CDF"/>
    <w:rsid w:val="004D18D9"/>
    <w:rsid w:val="004D25DB"/>
    <w:rsid w:val="004D2807"/>
    <w:rsid w:val="004D2C75"/>
    <w:rsid w:val="004D47F9"/>
    <w:rsid w:val="004D4A5F"/>
    <w:rsid w:val="004E2483"/>
    <w:rsid w:val="004E3C48"/>
    <w:rsid w:val="004F1D91"/>
    <w:rsid w:val="004F5CD4"/>
    <w:rsid w:val="004F7891"/>
    <w:rsid w:val="00500121"/>
    <w:rsid w:val="005076FC"/>
    <w:rsid w:val="005110ED"/>
    <w:rsid w:val="00514DCF"/>
    <w:rsid w:val="00516E87"/>
    <w:rsid w:val="00517441"/>
    <w:rsid w:val="00520F3F"/>
    <w:rsid w:val="005213BB"/>
    <w:rsid w:val="00524E75"/>
    <w:rsid w:val="00525027"/>
    <w:rsid w:val="00526613"/>
    <w:rsid w:val="00527011"/>
    <w:rsid w:val="00541316"/>
    <w:rsid w:val="00545044"/>
    <w:rsid w:val="00547574"/>
    <w:rsid w:val="0054780A"/>
    <w:rsid w:val="00553637"/>
    <w:rsid w:val="005546AC"/>
    <w:rsid w:val="00557885"/>
    <w:rsid w:val="005616E0"/>
    <w:rsid w:val="00565F3B"/>
    <w:rsid w:val="00567B0F"/>
    <w:rsid w:val="00567C84"/>
    <w:rsid w:val="0057049C"/>
    <w:rsid w:val="00570836"/>
    <w:rsid w:val="00570D79"/>
    <w:rsid w:val="00571050"/>
    <w:rsid w:val="00571BBE"/>
    <w:rsid w:val="00573612"/>
    <w:rsid w:val="00575E69"/>
    <w:rsid w:val="00576659"/>
    <w:rsid w:val="00587862"/>
    <w:rsid w:val="00587FDB"/>
    <w:rsid w:val="0059042F"/>
    <w:rsid w:val="00590BFD"/>
    <w:rsid w:val="00592304"/>
    <w:rsid w:val="0059616E"/>
    <w:rsid w:val="005A15FD"/>
    <w:rsid w:val="005A1B0C"/>
    <w:rsid w:val="005A4240"/>
    <w:rsid w:val="005A54C4"/>
    <w:rsid w:val="005A58BE"/>
    <w:rsid w:val="005B08DD"/>
    <w:rsid w:val="005B0AA8"/>
    <w:rsid w:val="005B7C92"/>
    <w:rsid w:val="005C66EB"/>
    <w:rsid w:val="005C7EFE"/>
    <w:rsid w:val="005D645D"/>
    <w:rsid w:val="005D6A0B"/>
    <w:rsid w:val="005E0DF7"/>
    <w:rsid w:val="005E4C3B"/>
    <w:rsid w:val="005E5640"/>
    <w:rsid w:val="005F23A5"/>
    <w:rsid w:val="005F5AD2"/>
    <w:rsid w:val="005F7241"/>
    <w:rsid w:val="005F7E60"/>
    <w:rsid w:val="00601DF5"/>
    <w:rsid w:val="00602D5A"/>
    <w:rsid w:val="0060675C"/>
    <w:rsid w:val="00607ABB"/>
    <w:rsid w:val="006118EA"/>
    <w:rsid w:val="006139EF"/>
    <w:rsid w:val="00616A22"/>
    <w:rsid w:val="006179D0"/>
    <w:rsid w:val="00621D3B"/>
    <w:rsid w:val="00623476"/>
    <w:rsid w:val="006243A9"/>
    <w:rsid w:val="006262DE"/>
    <w:rsid w:val="00627795"/>
    <w:rsid w:val="006315F0"/>
    <w:rsid w:val="00631CFD"/>
    <w:rsid w:val="00632294"/>
    <w:rsid w:val="00635B83"/>
    <w:rsid w:val="00637985"/>
    <w:rsid w:val="00641FC0"/>
    <w:rsid w:val="006477F3"/>
    <w:rsid w:val="006516C6"/>
    <w:rsid w:val="00653AD7"/>
    <w:rsid w:val="00655FD6"/>
    <w:rsid w:val="00657684"/>
    <w:rsid w:val="00660502"/>
    <w:rsid w:val="006633D7"/>
    <w:rsid w:val="0066418E"/>
    <w:rsid w:val="0066519D"/>
    <w:rsid w:val="00666528"/>
    <w:rsid w:val="006671FA"/>
    <w:rsid w:val="006674FC"/>
    <w:rsid w:val="006675A5"/>
    <w:rsid w:val="00671FBB"/>
    <w:rsid w:val="006743AA"/>
    <w:rsid w:val="0067484B"/>
    <w:rsid w:val="006856C4"/>
    <w:rsid w:val="00685C52"/>
    <w:rsid w:val="0068702B"/>
    <w:rsid w:val="0069117B"/>
    <w:rsid w:val="00694F25"/>
    <w:rsid w:val="0069624A"/>
    <w:rsid w:val="006974E4"/>
    <w:rsid w:val="006A2C4F"/>
    <w:rsid w:val="006A432B"/>
    <w:rsid w:val="006A5F97"/>
    <w:rsid w:val="006A68C4"/>
    <w:rsid w:val="006B01EB"/>
    <w:rsid w:val="006B2B3D"/>
    <w:rsid w:val="006B6D23"/>
    <w:rsid w:val="006C0BC4"/>
    <w:rsid w:val="006C0E47"/>
    <w:rsid w:val="006C1B0F"/>
    <w:rsid w:val="006C24E0"/>
    <w:rsid w:val="006C321F"/>
    <w:rsid w:val="006C6CC9"/>
    <w:rsid w:val="006C795F"/>
    <w:rsid w:val="006C7A92"/>
    <w:rsid w:val="006D05FC"/>
    <w:rsid w:val="006D3F9C"/>
    <w:rsid w:val="006D4597"/>
    <w:rsid w:val="006D45C0"/>
    <w:rsid w:val="006E0683"/>
    <w:rsid w:val="006E4599"/>
    <w:rsid w:val="006E6354"/>
    <w:rsid w:val="006F08E3"/>
    <w:rsid w:val="006F10A8"/>
    <w:rsid w:val="006F1910"/>
    <w:rsid w:val="006F53FD"/>
    <w:rsid w:val="006F6217"/>
    <w:rsid w:val="006F6773"/>
    <w:rsid w:val="006F6FD6"/>
    <w:rsid w:val="006F73A3"/>
    <w:rsid w:val="006F7407"/>
    <w:rsid w:val="007006D9"/>
    <w:rsid w:val="00700A61"/>
    <w:rsid w:val="00703A0F"/>
    <w:rsid w:val="007100CC"/>
    <w:rsid w:val="007118C2"/>
    <w:rsid w:val="0071754E"/>
    <w:rsid w:val="00717BE8"/>
    <w:rsid w:val="0072154D"/>
    <w:rsid w:val="007232F6"/>
    <w:rsid w:val="00726C50"/>
    <w:rsid w:val="007271F2"/>
    <w:rsid w:val="007309B0"/>
    <w:rsid w:val="00732C1E"/>
    <w:rsid w:val="00737361"/>
    <w:rsid w:val="00742CDF"/>
    <w:rsid w:val="00746787"/>
    <w:rsid w:val="0075314A"/>
    <w:rsid w:val="00753166"/>
    <w:rsid w:val="00754C6D"/>
    <w:rsid w:val="0075510F"/>
    <w:rsid w:val="0076217A"/>
    <w:rsid w:val="00766C1A"/>
    <w:rsid w:val="00770A21"/>
    <w:rsid w:val="00771EAE"/>
    <w:rsid w:val="00774761"/>
    <w:rsid w:val="00775DDD"/>
    <w:rsid w:val="00776D1C"/>
    <w:rsid w:val="00777F4A"/>
    <w:rsid w:val="00781227"/>
    <w:rsid w:val="007823D0"/>
    <w:rsid w:val="0079311B"/>
    <w:rsid w:val="00794D61"/>
    <w:rsid w:val="007A4E26"/>
    <w:rsid w:val="007A6437"/>
    <w:rsid w:val="007B51CE"/>
    <w:rsid w:val="007B6B0B"/>
    <w:rsid w:val="007B6CFB"/>
    <w:rsid w:val="007C11FF"/>
    <w:rsid w:val="007C69CD"/>
    <w:rsid w:val="007D042D"/>
    <w:rsid w:val="007D232E"/>
    <w:rsid w:val="007D2882"/>
    <w:rsid w:val="007D363E"/>
    <w:rsid w:val="007E62D7"/>
    <w:rsid w:val="007F0D3D"/>
    <w:rsid w:val="007F15C9"/>
    <w:rsid w:val="007F1F64"/>
    <w:rsid w:val="007F2B02"/>
    <w:rsid w:val="00802C11"/>
    <w:rsid w:val="00805E54"/>
    <w:rsid w:val="0080683F"/>
    <w:rsid w:val="00807317"/>
    <w:rsid w:val="00810789"/>
    <w:rsid w:val="00811DFB"/>
    <w:rsid w:val="008208C7"/>
    <w:rsid w:val="008211B0"/>
    <w:rsid w:val="00821CA7"/>
    <w:rsid w:val="008260E0"/>
    <w:rsid w:val="0082754D"/>
    <w:rsid w:val="00830095"/>
    <w:rsid w:val="00831135"/>
    <w:rsid w:val="00833575"/>
    <w:rsid w:val="008355EE"/>
    <w:rsid w:val="008361AC"/>
    <w:rsid w:val="00836576"/>
    <w:rsid w:val="0083760F"/>
    <w:rsid w:val="00841DDD"/>
    <w:rsid w:val="008431C6"/>
    <w:rsid w:val="00844E3D"/>
    <w:rsid w:val="00845D96"/>
    <w:rsid w:val="008504F9"/>
    <w:rsid w:val="00852139"/>
    <w:rsid w:val="008560CB"/>
    <w:rsid w:val="0086372A"/>
    <w:rsid w:val="00865DB4"/>
    <w:rsid w:val="00866AEE"/>
    <w:rsid w:val="00870498"/>
    <w:rsid w:val="00871403"/>
    <w:rsid w:val="00873989"/>
    <w:rsid w:val="00877C1E"/>
    <w:rsid w:val="00880C78"/>
    <w:rsid w:val="008813C5"/>
    <w:rsid w:val="008814E3"/>
    <w:rsid w:val="00882A73"/>
    <w:rsid w:val="0088445D"/>
    <w:rsid w:val="00887392"/>
    <w:rsid w:val="00890662"/>
    <w:rsid w:val="0089437F"/>
    <w:rsid w:val="0089647C"/>
    <w:rsid w:val="0089684F"/>
    <w:rsid w:val="0089713A"/>
    <w:rsid w:val="008A0FCE"/>
    <w:rsid w:val="008A1588"/>
    <w:rsid w:val="008A1AA3"/>
    <w:rsid w:val="008A1D0D"/>
    <w:rsid w:val="008A1F5B"/>
    <w:rsid w:val="008A28A5"/>
    <w:rsid w:val="008A406E"/>
    <w:rsid w:val="008A7525"/>
    <w:rsid w:val="008B10FF"/>
    <w:rsid w:val="008B342B"/>
    <w:rsid w:val="008B69CB"/>
    <w:rsid w:val="008C0DED"/>
    <w:rsid w:val="008C6C69"/>
    <w:rsid w:val="008E306E"/>
    <w:rsid w:val="008E45FE"/>
    <w:rsid w:val="008E6063"/>
    <w:rsid w:val="008F2A80"/>
    <w:rsid w:val="008F3B95"/>
    <w:rsid w:val="00900B53"/>
    <w:rsid w:val="00901015"/>
    <w:rsid w:val="00901468"/>
    <w:rsid w:val="0090174C"/>
    <w:rsid w:val="0090330A"/>
    <w:rsid w:val="009037BD"/>
    <w:rsid w:val="00905097"/>
    <w:rsid w:val="009062A2"/>
    <w:rsid w:val="00906C5E"/>
    <w:rsid w:val="00906DA9"/>
    <w:rsid w:val="0092109C"/>
    <w:rsid w:val="009225BE"/>
    <w:rsid w:val="0092583D"/>
    <w:rsid w:val="00932688"/>
    <w:rsid w:val="00933426"/>
    <w:rsid w:val="00934057"/>
    <w:rsid w:val="0093592E"/>
    <w:rsid w:val="0093645A"/>
    <w:rsid w:val="00936A28"/>
    <w:rsid w:val="00936F23"/>
    <w:rsid w:val="00950E78"/>
    <w:rsid w:val="0095470B"/>
    <w:rsid w:val="00955AE5"/>
    <w:rsid w:val="00957F16"/>
    <w:rsid w:val="009603E9"/>
    <w:rsid w:val="00964865"/>
    <w:rsid w:val="00973E8F"/>
    <w:rsid w:val="00975E57"/>
    <w:rsid w:val="009808C4"/>
    <w:rsid w:val="00980C81"/>
    <w:rsid w:val="00983722"/>
    <w:rsid w:val="00985F73"/>
    <w:rsid w:val="009900A9"/>
    <w:rsid w:val="00990B32"/>
    <w:rsid w:val="00990D82"/>
    <w:rsid w:val="0099639D"/>
    <w:rsid w:val="00996C5E"/>
    <w:rsid w:val="009974F5"/>
    <w:rsid w:val="009A0667"/>
    <w:rsid w:val="009A0784"/>
    <w:rsid w:val="009B0F03"/>
    <w:rsid w:val="009B0FD4"/>
    <w:rsid w:val="009B4BE8"/>
    <w:rsid w:val="009B56DA"/>
    <w:rsid w:val="009B5CB3"/>
    <w:rsid w:val="009B7160"/>
    <w:rsid w:val="009C649A"/>
    <w:rsid w:val="009D2136"/>
    <w:rsid w:val="009D4FB3"/>
    <w:rsid w:val="009D76D9"/>
    <w:rsid w:val="009E394B"/>
    <w:rsid w:val="009E627B"/>
    <w:rsid w:val="009E79C1"/>
    <w:rsid w:val="009F0835"/>
    <w:rsid w:val="009F5369"/>
    <w:rsid w:val="00A00D9B"/>
    <w:rsid w:val="00A04FCF"/>
    <w:rsid w:val="00A20710"/>
    <w:rsid w:val="00A27D49"/>
    <w:rsid w:val="00A32F47"/>
    <w:rsid w:val="00A3389F"/>
    <w:rsid w:val="00A34701"/>
    <w:rsid w:val="00A36002"/>
    <w:rsid w:val="00A367FF"/>
    <w:rsid w:val="00A37BCF"/>
    <w:rsid w:val="00A43439"/>
    <w:rsid w:val="00A50E72"/>
    <w:rsid w:val="00A52FFA"/>
    <w:rsid w:val="00A53201"/>
    <w:rsid w:val="00A5722F"/>
    <w:rsid w:val="00A61769"/>
    <w:rsid w:val="00A63C59"/>
    <w:rsid w:val="00A65480"/>
    <w:rsid w:val="00A70CD9"/>
    <w:rsid w:val="00A710C7"/>
    <w:rsid w:val="00A71E90"/>
    <w:rsid w:val="00A72F07"/>
    <w:rsid w:val="00A74241"/>
    <w:rsid w:val="00A74EB7"/>
    <w:rsid w:val="00A75958"/>
    <w:rsid w:val="00A76112"/>
    <w:rsid w:val="00A77843"/>
    <w:rsid w:val="00A83E62"/>
    <w:rsid w:val="00A841B5"/>
    <w:rsid w:val="00A8534B"/>
    <w:rsid w:val="00A863B7"/>
    <w:rsid w:val="00A8686B"/>
    <w:rsid w:val="00A91DE7"/>
    <w:rsid w:val="00A9237C"/>
    <w:rsid w:val="00AA15DE"/>
    <w:rsid w:val="00AA2114"/>
    <w:rsid w:val="00AA323D"/>
    <w:rsid w:val="00AA4892"/>
    <w:rsid w:val="00AA6C06"/>
    <w:rsid w:val="00AB128E"/>
    <w:rsid w:val="00AB6079"/>
    <w:rsid w:val="00AC117D"/>
    <w:rsid w:val="00AC14C2"/>
    <w:rsid w:val="00AC18D9"/>
    <w:rsid w:val="00AC47AE"/>
    <w:rsid w:val="00AC4F3C"/>
    <w:rsid w:val="00AD111C"/>
    <w:rsid w:val="00AD1A62"/>
    <w:rsid w:val="00AD2F12"/>
    <w:rsid w:val="00AD3113"/>
    <w:rsid w:val="00AD5C23"/>
    <w:rsid w:val="00AE0B6F"/>
    <w:rsid w:val="00AE6391"/>
    <w:rsid w:val="00AE6E9D"/>
    <w:rsid w:val="00AF0806"/>
    <w:rsid w:val="00AF120B"/>
    <w:rsid w:val="00AF2131"/>
    <w:rsid w:val="00AF23E2"/>
    <w:rsid w:val="00AF2EEC"/>
    <w:rsid w:val="00AF3496"/>
    <w:rsid w:val="00AF734C"/>
    <w:rsid w:val="00B036D5"/>
    <w:rsid w:val="00B045C8"/>
    <w:rsid w:val="00B04B09"/>
    <w:rsid w:val="00B07E05"/>
    <w:rsid w:val="00B12496"/>
    <w:rsid w:val="00B133B5"/>
    <w:rsid w:val="00B14AE3"/>
    <w:rsid w:val="00B16746"/>
    <w:rsid w:val="00B16E56"/>
    <w:rsid w:val="00B172B8"/>
    <w:rsid w:val="00B1761F"/>
    <w:rsid w:val="00B22832"/>
    <w:rsid w:val="00B2432D"/>
    <w:rsid w:val="00B26FCE"/>
    <w:rsid w:val="00B27274"/>
    <w:rsid w:val="00B3406B"/>
    <w:rsid w:val="00B346C3"/>
    <w:rsid w:val="00B3580B"/>
    <w:rsid w:val="00B36A2D"/>
    <w:rsid w:val="00B36CF4"/>
    <w:rsid w:val="00B418B8"/>
    <w:rsid w:val="00B42DB4"/>
    <w:rsid w:val="00B45084"/>
    <w:rsid w:val="00B515E8"/>
    <w:rsid w:val="00B51975"/>
    <w:rsid w:val="00B51B83"/>
    <w:rsid w:val="00B56502"/>
    <w:rsid w:val="00B57625"/>
    <w:rsid w:val="00B57DA6"/>
    <w:rsid w:val="00B602ED"/>
    <w:rsid w:val="00B6163A"/>
    <w:rsid w:val="00B623A4"/>
    <w:rsid w:val="00B628A1"/>
    <w:rsid w:val="00B628A8"/>
    <w:rsid w:val="00B65BDE"/>
    <w:rsid w:val="00B73EA6"/>
    <w:rsid w:val="00B74B36"/>
    <w:rsid w:val="00B8050C"/>
    <w:rsid w:val="00B81454"/>
    <w:rsid w:val="00B931DC"/>
    <w:rsid w:val="00B95166"/>
    <w:rsid w:val="00B95420"/>
    <w:rsid w:val="00BA1C85"/>
    <w:rsid w:val="00BA29DF"/>
    <w:rsid w:val="00BA3FBE"/>
    <w:rsid w:val="00BA62EF"/>
    <w:rsid w:val="00BA78CA"/>
    <w:rsid w:val="00BB07CA"/>
    <w:rsid w:val="00BB0929"/>
    <w:rsid w:val="00BB573F"/>
    <w:rsid w:val="00BB5B99"/>
    <w:rsid w:val="00BB6727"/>
    <w:rsid w:val="00BB7E48"/>
    <w:rsid w:val="00BC1730"/>
    <w:rsid w:val="00BC2639"/>
    <w:rsid w:val="00BC4ABA"/>
    <w:rsid w:val="00BC60BD"/>
    <w:rsid w:val="00BD1904"/>
    <w:rsid w:val="00BE01AC"/>
    <w:rsid w:val="00BE1254"/>
    <w:rsid w:val="00BE3F99"/>
    <w:rsid w:val="00BE675D"/>
    <w:rsid w:val="00BF0C75"/>
    <w:rsid w:val="00BF0F76"/>
    <w:rsid w:val="00BF2C1E"/>
    <w:rsid w:val="00BF2C64"/>
    <w:rsid w:val="00BF2ECC"/>
    <w:rsid w:val="00BF508C"/>
    <w:rsid w:val="00C023EC"/>
    <w:rsid w:val="00C02B05"/>
    <w:rsid w:val="00C04C5A"/>
    <w:rsid w:val="00C06207"/>
    <w:rsid w:val="00C151EC"/>
    <w:rsid w:val="00C1571F"/>
    <w:rsid w:val="00C15C61"/>
    <w:rsid w:val="00C2127A"/>
    <w:rsid w:val="00C22C97"/>
    <w:rsid w:val="00C246A0"/>
    <w:rsid w:val="00C261BE"/>
    <w:rsid w:val="00C31EF0"/>
    <w:rsid w:val="00C31FFC"/>
    <w:rsid w:val="00C363BD"/>
    <w:rsid w:val="00C374CC"/>
    <w:rsid w:val="00C40FAC"/>
    <w:rsid w:val="00C4313F"/>
    <w:rsid w:val="00C45F46"/>
    <w:rsid w:val="00C46D8F"/>
    <w:rsid w:val="00C51D19"/>
    <w:rsid w:val="00C53B4A"/>
    <w:rsid w:val="00C55170"/>
    <w:rsid w:val="00C56A28"/>
    <w:rsid w:val="00C57D03"/>
    <w:rsid w:val="00C600DF"/>
    <w:rsid w:val="00C60387"/>
    <w:rsid w:val="00C627E4"/>
    <w:rsid w:val="00C70DEE"/>
    <w:rsid w:val="00C8055A"/>
    <w:rsid w:val="00C81783"/>
    <w:rsid w:val="00C8311A"/>
    <w:rsid w:val="00C86F20"/>
    <w:rsid w:val="00C921CA"/>
    <w:rsid w:val="00C9667B"/>
    <w:rsid w:val="00CA0DBF"/>
    <w:rsid w:val="00CA5B16"/>
    <w:rsid w:val="00CB068A"/>
    <w:rsid w:val="00CB0AE1"/>
    <w:rsid w:val="00CB42E8"/>
    <w:rsid w:val="00CB77A6"/>
    <w:rsid w:val="00CC1F16"/>
    <w:rsid w:val="00CC5AC8"/>
    <w:rsid w:val="00CD0CD4"/>
    <w:rsid w:val="00CD1851"/>
    <w:rsid w:val="00CD2830"/>
    <w:rsid w:val="00CD7C0A"/>
    <w:rsid w:val="00CE3A9C"/>
    <w:rsid w:val="00CE3EE4"/>
    <w:rsid w:val="00CE4577"/>
    <w:rsid w:val="00CF3C27"/>
    <w:rsid w:val="00CF47E4"/>
    <w:rsid w:val="00CF7524"/>
    <w:rsid w:val="00D01511"/>
    <w:rsid w:val="00D01A7D"/>
    <w:rsid w:val="00D22BA8"/>
    <w:rsid w:val="00D25958"/>
    <w:rsid w:val="00D32A17"/>
    <w:rsid w:val="00D32AC4"/>
    <w:rsid w:val="00D3347A"/>
    <w:rsid w:val="00D34318"/>
    <w:rsid w:val="00D44E8C"/>
    <w:rsid w:val="00D46D1F"/>
    <w:rsid w:val="00D478A9"/>
    <w:rsid w:val="00D50337"/>
    <w:rsid w:val="00D55DF4"/>
    <w:rsid w:val="00D57078"/>
    <w:rsid w:val="00D57DE3"/>
    <w:rsid w:val="00D6007F"/>
    <w:rsid w:val="00D62F4E"/>
    <w:rsid w:val="00D6319D"/>
    <w:rsid w:val="00D65C21"/>
    <w:rsid w:val="00D72153"/>
    <w:rsid w:val="00D73606"/>
    <w:rsid w:val="00D74D00"/>
    <w:rsid w:val="00D76560"/>
    <w:rsid w:val="00D80018"/>
    <w:rsid w:val="00D80977"/>
    <w:rsid w:val="00D8185E"/>
    <w:rsid w:val="00D844BB"/>
    <w:rsid w:val="00D91F7A"/>
    <w:rsid w:val="00D92FAD"/>
    <w:rsid w:val="00D9712B"/>
    <w:rsid w:val="00D975E0"/>
    <w:rsid w:val="00DA03D1"/>
    <w:rsid w:val="00DA0C4B"/>
    <w:rsid w:val="00DA1D46"/>
    <w:rsid w:val="00DA2364"/>
    <w:rsid w:val="00DA5759"/>
    <w:rsid w:val="00DB4C61"/>
    <w:rsid w:val="00DC0C06"/>
    <w:rsid w:val="00DC4482"/>
    <w:rsid w:val="00DC6F54"/>
    <w:rsid w:val="00DD0D59"/>
    <w:rsid w:val="00DD1E05"/>
    <w:rsid w:val="00DD23F0"/>
    <w:rsid w:val="00DD2CCC"/>
    <w:rsid w:val="00DD72E5"/>
    <w:rsid w:val="00DE136B"/>
    <w:rsid w:val="00DE2473"/>
    <w:rsid w:val="00DE318D"/>
    <w:rsid w:val="00DE4DF0"/>
    <w:rsid w:val="00DE5426"/>
    <w:rsid w:val="00DE7D3A"/>
    <w:rsid w:val="00DE7F49"/>
    <w:rsid w:val="00DF1C04"/>
    <w:rsid w:val="00DF246B"/>
    <w:rsid w:val="00DF2E65"/>
    <w:rsid w:val="00DF322F"/>
    <w:rsid w:val="00DF416C"/>
    <w:rsid w:val="00E018EC"/>
    <w:rsid w:val="00E03116"/>
    <w:rsid w:val="00E06926"/>
    <w:rsid w:val="00E06927"/>
    <w:rsid w:val="00E07CBE"/>
    <w:rsid w:val="00E10961"/>
    <w:rsid w:val="00E17282"/>
    <w:rsid w:val="00E212AB"/>
    <w:rsid w:val="00E235F0"/>
    <w:rsid w:val="00E24523"/>
    <w:rsid w:val="00E27523"/>
    <w:rsid w:val="00E31748"/>
    <w:rsid w:val="00E3295C"/>
    <w:rsid w:val="00E32DF7"/>
    <w:rsid w:val="00E366A0"/>
    <w:rsid w:val="00E37A16"/>
    <w:rsid w:val="00E41CE1"/>
    <w:rsid w:val="00E422F5"/>
    <w:rsid w:val="00E46338"/>
    <w:rsid w:val="00E467D0"/>
    <w:rsid w:val="00E52EDF"/>
    <w:rsid w:val="00E5304F"/>
    <w:rsid w:val="00E54BE1"/>
    <w:rsid w:val="00E60720"/>
    <w:rsid w:val="00E62CC3"/>
    <w:rsid w:val="00E644ED"/>
    <w:rsid w:val="00E721CE"/>
    <w:rsid w:val="00E74757"/>
    <w:rsid w:val="00E86069"/>
    <w:rsid w:val="00E902CD"/>
    <w:rsid w:val="00E90F95"/>
    <w:rsid w:val="00E92541"/>
    <w:rsid w:val="00E942C0"/>
    <w:rsid w:val="00E9525F"/>
    <w:rsid w:val="00E95AB1"/>
    <w:rsid w:val="00EA1A6A"/>
    <w:rsid w:val="00EA51D9"/>
    <w:rsid w:val="00EB4B6A"/>
    <w:rsid w:val="00EB771A"/>
    <w:rsid w:val="00EC0F1A"/>
    <w:rsid w:val="00EC14A7"/>
    <w:rsid w:val="00EC14CE"/>
    <w:rsid w:val="00EC239B"/>
    <w:rsid w:val="00EC5F22"/>
    <w:rsid w:val="00ED31E7"/>
    <w:rsid w:val="00ED6D65"/>
    <w:rsid w:val="00EE0ABA"/>
    <w:rsid w:val="00EE105A"/>
    <w:rsid w:val="00EE1577"/>
    <w:rsid w:val="00EE2F20"/>
    <w:rsid w:val="00EF1409"/>
    <w:rsid w:val="00EF211F"/>
    <w:rsid w:val="00EF6C2D"/>
    <w:rsid w:val="00EF7E66"/>
    <w:rsid w:val="00F0044F"/>
    <w:rsid w:val="00F00A8A"/>
    <w:rsid w:val="00F01076"/>
    <w:rsid w:val="00F03FFF"/>
    <w:rsid w:val="00F07A08"/>
    <w:rsid w:val="00F119AF"/>
    <w:rsid w:val="00F13525"/>
    <w:rsid w:val="00F13E8F"/>
    <w:rsid w:val="00F16CA0"/>
    <w:rsid w:val="00F173B1"/>
    <w:rsid w:val="00F21AAA"/>
    <w:rsid w:val="00F31974"/>
    <w:rsid w:val="00F3376B"/>
    <w:rsid w:val="00F34A7F"/>
    <w:rsid w:val="00F34C55"/>
    <w:rsid w:val="00F350E0"/>
    <w:rsid w:val="00F3555C"/>
    <w:rsid w:val="00F35BE1"/>
    <w:rsid w:val="00F41948"/>
    <w:rsid w:val="00F447B7"/>
    <w:rsid w:val="00F44FE3"/>
    <w:rsid w:val="00F5009E"/>
    <w:rsid w:val="00F51C0E"/>
    <w:rsid w:val="00F5241F"/>
    <w:rsid w:val="00F534C8"/>
    <w:rsid w:val="00F53A92"/>
    <w:rsid w:val="00F55B17"/>
    <w:rsid w:val="00F55BFF"/>
    <w:rsid w:val="00F55E01"/>
    <w:rsid w:val="00F5727D"/>
    <w:rsid w:val="00F60CF6"/>
    <w:rsid w:val="00F62F8E"/>
    <w:rsid w:val="00F63517"/>
    <w:rsid w:val="00F64EC1"/>
    <w:rsid w:val="00F651CE"/>
    <w:rsid w:val="00F67159"/>
    <w:rsid w:val="00F67277"/>
    <w:rsid w:val="00F71B99"/>
    <w:rsid w:val="00F7356E"/>
    <w:rsid w:val="00F812E7"/>
    <w:rsid w:val="00F8392E"/>
    <w:rsid w:val="00F84BC2"/>
    <w:rsid w:val="00F9153F"/>
    <w:rsid w:val="00F94DBF"/>
    <w:rsid w:val="00F95222"/>
    <w:rsid w:val="00F9658C"/>
    <w:rsid w:val="00F97B89"/>
    <w:rsid w:val="00FA1680"/>
    <w:rsid w:val="00FA1B34"/>
    <w:rsid w:val="00FA4899"/>
    <w:rsid w:val="00FA4C3A"/>
    <w:rsid w:val="00FA79F6"/>
    <w:rsid w:val="00FB2120"/>
    <w:rsid w:val="00FB407C"/>
    <w:rsid w:val="00FB5509"/>
    <w:rsid w:val="00FB5B25"/>
    <w:rsid w:val="00FB62B3"/>
    <w:rsid w:val="00FB6DA4"/>
    <w:rsid w:val="00FC2B2D"/>
    <w:rsid w:val="00FC4184"/>
    <w:rsid w:val="00FC50AE"/>
    <w:rsid w:val="00FC6DCD"/>
    <w:rsid w:val="00FC7CC8"/>
    <w:rsid w:val="00FD70D8"/>
    <w:rsid w:val="00FD7B53"/>
    <w:rsid w:val="00FE3B9A"/>
    <w:rsid w:val="00FE46D3"/>
    <w:rsid w:val="00FE46F4"/>
    <w:rsid w:val="00FE4DC9"/>
    <w:rsid w:val="00FE7CA2"/>
    <w:rsid w:val="00FF1D15"/>
    <w:rsid w:val="00FF2F4F"/>
    <w:rsid w:val="00FF4827"/>
    <w:rsid w:val="01393961"/>
    <w:rsid w:val="01895F66"/>
    <w:rsid w:val="01E811AC"/>
    <w:rsid w:val="020D1C65"/>
    <w:rsid w:val="020D5122"/>
    <w:rsid w:val="02EA6239"/>
    <w:rsid w:val="03224562"/>
    <w:rsid w:val="045A7D1F"/>
    <w:rsid w:val="0492610D"/>
    <w:rsid w:val="0534503D"/>
    <w:rsid w:val="05D868B2"/>
    <w:rsid w:val="06264A24"/>
    <w:rsid w:val="065C2940"/>
    <w:rsid w:val="06A27213"/>
    <w:rsid w:val="06F20C75"/>
    <w:rsid w:val="078758E5"/>
    <w:rsid w:val="08300C77"/>
    <w:rsid w:val="08733C00"/>
    <w:rsid w:val="097005B8"/>
    <w:rsid w:val="09F81E67"/>
    <w:rsid w:val="0B646560"/>
    <w:rsid w:val="0BA537DB"/>
    <w:rsid w:val="0BB562B0"/>
    <w:rsid w:val="0BB63AAE"/>
    <w:rsid w:val="0BDF12EB"/>
    <w:rsid w:val="0C2D6852"/>
    <w:rsid w:val="0CB43DDD"/>
    <w:rsid w:val="0D260BD2"/>
    <w:rsid w:val="0D3560FD"/>
    <w:rsid w:val="0D36166F"/>
    <w:rsid w:val="0D6F5208"/>
    <w:rsid w:val="0D7B118C"/>
    <w:rsid w:val="0DC3593C"/>
    <w:rsid w:val="0DE77A82"/>
    <w:rsid w:val="0E79744D"/>
    <w:rsid w:val="0F17333D"/>
    <w:rsid w:val="0F7718EE"/>
    <w:rsid w:val="0F78156E"/>
    <w:rsid w:val="100F100C"/>
    <w:rsid w:val="11026FCE"/>
    <w:rsid w:val="12CC2248"/>
    <w:rsid w:val="1332046B"/>
    <w:rsid w:val="133B04D9"/>
    <w:rsid w:val="13A70702"/>
    <w:rsid w:val="142457BE"/>
    <w:rsid w:val="142F5989"/>
    <w:rsid w:val="14885E31"/>
    <w:rsid w:val="15033B58"/>
    <w:rsid w:val="15C34AB0"/>
    <w:rsid w:val="162946D6"/>
    <w:rsid w:val="169B5C26"/>
    <w:rsid w:val="16F70EB5"/>
    <w:rsid w:val="17587224"/>
    <w:rsid w:val="17E85AC5"/>
    <w:rsid w:val="18090E9B"/>
    <w:rsid w:val="18622AE5"/>
    <w:rsid w:val="18794099"/>
    <w:rsid w:val="187E113A"/>
    <w:rsid w:val="190B0C48"/>
    <w:rsid w:val="191974BC"/>
    <w:rsid w:val="19397FF3"/>
    <w:rsid w:val="19B1055A"/>
    <w:rsid w:val="1A774E7A"/>
    <w:rsid w:val="1B872AB8"/>
    <w:rsid w:val="1BA01B1B"/>
    <w:rsid w:val="1BBA1404"/>
    <w:rsid w:val="1BD8246D"/>
    <w:rsid w:val="1CB93F8E"/>
    <w:rsid w:val="1CF26999"/>
    <w:rsid w:val="1D046BCC"/>
    <w:rsid w:val="1D056636"/>
    <w:rsid w:val="1D0870FF"/>
    <w:rsid w:val="1D303373"/>
    <w:rsid w:val="1D666D95"/>
    <w:rsid w:val="1D725541"/>
    <w:rsid w:val="1D892180"/>
    <w:rsid w:val="1DC77687"/>
    <w:rsid w:val="1E024F05"/>
    <w:rsid w:val="1E57588B"/>
    <w:rsid w:val="1EDE428E"/>
    <w:rsid w:val="1F994836"/>
    <w:rsid w:val="206D58F6"/>
    <w:rsid w:val="20CA226E"/>
    <w:rsid w:val="21971268"/>
    <w:rsid w:val="2198293B"/>
    <w:rsid w:val="21FB0BD1"/>
    <w:rsid w:val="22D84291"/>
    <w:rsid w:val="22F97705"/>
    <w:rsid w:val="234F1140"/>
    <w:rsid w:val="23D51490"/>
    <w:rsid w:val="23EB67CD"/>
    <w:rsid w:val="24681126"/>
    <w:rsid w:val="24806868"/>
    <w:rsid w:val="24B36210"/>
    <w:rsid w:val="257302A1"/>
    <w:rsid w:val="261B679F"/>
    <w:rsid w:val="26706F3A"/>
    <w:rsid w:val="269456DA"/>
    <w:rsid w:val="26C541EC"/>
    <w:rsid w:val="279D6630"/>
    <w:rsid w:val="27CA7114"/>
    <w:rsid w:val="28C40D70"/>
    <w:rsid w:val="29704EF3"/>
    <w:rsid w:val="29B77500"/>
    <w:rsid w:val="2A0F7564"/>
    <w:rsid w:val="2A306F5B"/>
    <w:rsid w:val="2A34236A"/>
    <w:rsid w:val="2B425F3A"/>
    <w:rsid w:val="2B894F6F"/>
    <w:rsid w:val="2B9B5117"/>
    <w:rsid w:val="2CE6709D"/>
    <w:rsid w:val="2D136F42"/>
    <w:rsid w:val="2DDB2D72"/>
    <w:rsid w:val="2EF00F5D"/>
    <w:rsid w:val="2EF93A12"/>
    <w:rsid w:val="2F0860B8"/>
    <w:rsid w:val="30663AD5"/>
    <w:rsid w:val="3077469A"/>
    <w:rsid w:val="30F015EC"/>
    <w:rsid w:val="30F86F89"/>
    <w:rsid w:val="31C51434"/>
    <w:rsid w:val="31D02811"/>
    <w:rsid w:val="323B3EF4"/>
    <w:rsid w:val="32FB69FE"/>
    <w:rsid w:val="33574AE3"/>
    <w:rsid w:val="336E44D6"/>
    <w:rsid w:val="337819C3"/>
    <w:rsid w:val="33F06B94"/>
    <w:rsid w:val="34542C62"/>
    <w:rsid w:val="35AE7CB6"/>
    <w:rsid w:val="35D963E6"/>
    <w:rsid w:val="371428EB"/>
    <w:rsid w:val="37782338"/>
    <w:rsid w:val="37A57C5B"/>
    <w:rsid w:val="37BE0AC6"/>
    <w:rsid w:val="37FD7471"/>
    <w:rsid w:val="385126F9"/>
    <w:rsid w:val="38560221"/>
    <w:rsid w:val="386D2F02"/>
    <w:rsid w:val="390458C3"/>
    <w:rsid w:val="39170C14"/>
    <w:rsid w:val="391B07C5"/>
    <w:rsid w:val="39706EC7"/>
    <w:rsid w:val="39EE09DF"/>
    <w:rsid w:val="3A01440B"/>
    <w:rsid w:val="3A2D2688"/>
    <w:rsid w:val="3A756262"/>
    <w:rsid w:val="3B527932"/>
    <w:rsid w:val="3BA57A9E"/>
    <w:rsid w:val="3BFE60F6"/>
    <w:rsid w:val="3C1B31B8"/>
    <w:rsid w:val="3C3771B0"/>
    <w:rsid w:val="3C63394E"/>
    <w:rsid w:val="3C917995"/>
    <w:rsid w:val="3D0B10C1"/>
    <w:rsid w:val="3D4C1A5C"/>
    <w:rsid w:val="3D515C28"/>
    <w:rsid w:val="3D684196"/>
    <w:rsid w:val="3DAD7C7A"/>
    <w:rsid w:val="3DCA67EC"/>
    <w:rsid w:val="3E9939C1"/>
    <w:rsid w:val="3EDB5BC6"/>
    <w:rsid w:val="3F023270"/>
    <w:rsid w:val="3F240869"/>
    <w:rsid w:val="3F3278E9"/>
    <w:rsid w:val="3F747F01"/>
    <w:rsid w:val="3F852345"/>
    <w:rsid w:val="3FF2288E"/>
    <w:rsid w:val="40620A2E"/>
    <w:rsid w:val="40E662B4"/>
    <w:rsid w:val="41183185"/>
    <w:rsid w:val="41193F15"/>
    <w:rsid w:val="419550CE"/>
    <w:rsid w:val="436B7D7B"/>
    <w:rsid w:val="436D789E"/>
    <w:rsid w:val="43A531A4"/>
    <w:rsid w:val="43E560F1"/>
    <w:rsid w:val="44941F60"/>
    <w:rsid w:val="44B049A7"/>
    <w:rsid w:val="44FB4C6B"/>
    <w:rsid w:val="45BA1E8E"/>
    <w:rsid w:val="4730365B"/>
    <w:rsid w:val="47D75F11"/>
    <w:rsid w:val="47E32E6D"/>
    <w:rsid w:val="47FA4000"/>
    <w:rsid w:val="47FF77F9"/>
    <w:rsid w:val="482D261C"/>
    <w:rsid w:val="484D31A3"/>
    <w:rsid w:val="48560D86"/>
    <w:rsid w:val="486125A1"/>
    <w:rsid w:val="48645885"/>
    <w:rsid w:val="487338BA"/>
    <w:rsid w:val="488D7D14"/>
    <w:rsid w:val="48AB372A"/>
    <w:rsid w:val="48B541CA"/>
    <w:rsid w:val="48E23C35"/>
    <w:rsid w:val="49C82FE8"/>
    <w:rsid w:val="49FA418A"/>
    <w:rsid w:val="4A7A403C"/>
    <w:rsid w:val="4AC640FD"/>
    <w:rsid w:val="4B335666"/>
    <w:rsid w:val="4B484DC8"/>
    <w:rsid w:val="4B5317A1"/>
    <w:rsid w:val="4B5A58D3"/>
    <w:rsid w:val="4BE739E7"/>
    <w:rsid w:val="4C1D5AF9"/>
    <w:rsid w:val="4CB26740"/>
    <w:rsid w:val="4CC343FD"/>
    <w:rsid w:val="4D0F501F"/>
    <w:rsid w:val="4D9E627F"/>
    <w:rsid w:val="4DA50D3A"/>
    <w:rsid w:val="4DE2750C"/>
    <w:rsid w:val="4DEE56A0"/>
    <w:rsid w:val="4E4E354A"/>
    <w:rsid w:val="4E9E6D0A"/>
    <w:rsid w:val="4EC516E5"/>
    <w:rsid w:val="4ED85BEA"/>
    <w:rsid w:val="4F362701"/>
    <w:rsid w:val="4F5B70BD"/>
    <w:rsid w:val="4FD15CD0"/>
    <w:rsid w:val="50396AAB"/>
    <w:rsid w:val="51517578"/>
    <w:rsid w:val="519B69F0"/>
    <w:rsid w:val="51B80C88"/>
    <w:rsid w:val="521D2544"/>
    <w:rsid w:val="53E71A4E"/>
    <w:rsid w:val="541E58DF"/>
    <w:rsid w:val="54286D5D"/>
    <w:rsid w:val="545637E7"/>
    <w:rsid w:val="545C73A5"/>
    <w:rsid w:val="54D30958"/>
    <w:rsid w:val="54D44F09"/>
    <w:rsid w:val="54E75E5A"/>
    <w:rsid w:val="55665307"/>
    <w:rsid w:val="561D0456"/>
    <w:rsid w:val="56F15200"/>
    <w:rsid w:val="57413FAD"/>
    <w:rsid w:val="57703E94"/>
    <w:rsid w:val="578B4A84"/>
    <w:rsid w:val="57FF7420"/>
    <w:rsid w:val="58272F15"/>
    <w:rsid w:val="58DF1FDF"/>
    <w:rsid w:val="58DF2F7C"/>
    <w:rsid w:val="59A269BC"/>
    <w:rsid w:val="59EA62BD"/>
    <w:rsid w:val="5A0C7B10"/>
    <w:rsid w:val="5A413124"/>
    <w:rsid w:val="5A4562A7"/>
    <w:rsid w:val="5AA8059F"/>
    <w:rsid w:val="5B04602D"/>
    <w:rsid w:val="5B557D55"/>
    <w:rsid w:val="5B6003E2"/>
    <w:rsid w:val="5BB4249E"/>
    <w:rsid w:val="5BC8639F"/>
    <w:rsid w:val="5C4117ED"/>
    <w:rsid w:val="5CC27B24"/>
    <w:rsid w:val="5CE905F4"/>
    <w:rsid w:val="5DAA543E"/>
    <w:rsid w:val="5FDB2263"/>
    <w:rsid w:val="5FE11A5B"/>
    <w:rsid w:val="60220F9D"/>
    <w:rsid w:val="60A42E1E"/>
    <w:rsid w:val="60A96349"/>
    <w:rsid w:val="60DF7FBD"/>
    <w:rsid w:val="60F03E6D"/>
    <w:rsid w:val="61185045"/>
    <w:rsid w:val="61650A05"/>
    <w:rsid w:val="61C45547"/>
    <w:rsid w:val="61CC515B"/>
    <w:rsid w:val="620A1069"/>
    <w:rsid w:val="623A6737"/>
    <w:rsid w:val="62D553E4"/>
    <w:rsid w:val="62FA0CB4"/>
    <w:rsid w:val="632B2A7A"/>
    <w:rsid w:val="633E321C"/>
    <w:rsid w:val="64063C8C"/>
    <w:rsid w:val="64514C47"/>
    <w:rsid w:val="64757A1A"/>
    <w:rsid w:val="64B51049"/>
    <w:rsid w:val="656F0478"/>
    <w:rsid w:val="6597224E"/>
    <w:rsid w:val="65A76A5B"/>
    <w:rsid w:val="66CC3986"/>
    <w:rsid w:val="675E5725"/>
    <w:rsid w:val="67F435FA"/>
    <w:rsid w:val="681532E8"/>
    <w:rsid w:val="685777EC"/>
    <w:rsid w:val="68701274"/>
    <w:rsid w:val="68822FFC"/>
    <w:rsid w:val="68825A9D"/>
    <w:rsid w:val="68860FA4"/>
    <w:rsid w:val="68A42935"/>
    <w:rsid w:val="68CE57DD"/>
    <w:rsid w:val="69493785"/>
    <w:rsid w:val="6951617B"/>
    <w:rsid w:val="69573FF2"/>
    <w:rsid w:val="6AEB57B0"/>
    <w:rsid w:val="6B6C68F1"/>
    <w:rsid w:val="6B772ACF"/>
    <w:rsid w:val="6B7D68C3"/>
    <w:rsid w:val="6BA451FD"/>
    <w:rsid w:val="6BBC1467"/>
    <w:rsid w:val="6BF03187"/>
    <w:rsid w:val="6C186B77"/>
    <w:rsid w:val="6C8A13E5"/>
    <w:rsid w:val="6DE2733E"/>
    <w:rsid w:val="6DEC3CE4"/>
    <w:rsid w:val="6E5A3632"/>
    <w:rsid w:val="6EAD3CE2"/>
    <w:rsid w:val="6EB949BE"/>
    <w:rsid w:val="6EBF7937"/>
    <w:rsid w:val="6EE92E8B"/>
    <w:rsid w:val="6F867A59"/>
    <w:rsid w:val="703B5E57"/>
    <w:rsid w:val="707B0E1A"/>
    <w:rsid w:val="710217B4"/>
    <w:rsid w:val="7172379C"/>
    <w:rsid w:val="720B4EB8"/>
    <w:rsid w:val="720C605F"/>
    <w:rsid w:val="722F5D7F"/>
    <w:rsid w:val="73133C64"/>
    <w:rsid w:val="73616252"/>
    <w:rsid w:val="75DC67F6"/>
    <w:rsid w:val="7684188D"/>
    <w:rsid w:val="76C421E9"/>
    <w:rsid w:val="770F7A02"/>
    <w:rsid w:val="77895A3C"/>
    <w:rsid w:val="77CA4A84"/>
    <w:rsid w:val="77D90A2D"/>
    <w:rsid w:val="77F03B44"/>
    <w:rsid w:val="7828402F"/>
    <w:rsid w:val="78B239AC"/>
    <w:rsid w:val="79120D48"/>
    <w:rsid w:val="79347971"/>
    <w:rsid w:val="79420EC3"/>
    <w:rsid w:val="797F2765"/>
    <w:rsid w:val="798818F8"/>
    <w:rsid w:val="79964206"/>
    <w:rsid w:val="7A800A82"/>
    <w:rsid w:val="7B385E42"/>
    <w:rsid w:val="7B4A2424"/>
    <w:rsid w:val="7B5454F0"/>
    <w:rsid w:val="7B685B22"/>
    <w:rsid w:val="7C961A20"/>
    <w:rsid w:val="7CFD384D"/>
    <w:rsid w:val="7D0719AF"/>
    <w:rsid w:val="7D5A0C9F"/>
    <w:rsid w:val="7DBD670C"/>
    <w:rsid w:val="7E7A6C73"/>
    <w:rsid w:val="7EB855E3"/>
    <w:rsid w:val="7ECF60DF"/>
    <w:rsid w:val="7F0F3F82"/>
    <w:rsid w:val="7F393D64"/>
    <w:rsid w:val="7F583DE0"/>
    <w:rsid w:val="7F764C2B"/>
    <w:rsid w:val="8BB31FB9"/>
    <w:rsid w:val="F9FF95C7"/>
    <w:rsid w:val="FFCD5D9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99"/>
    <w:pPr>
      <w:keepNext/>
      <w:jc w:val="center"/>
      <w:outlineLvl w:val="0"/>
    </w:pPr>
    <w:rPr>
      <w:rFonts w:ascii="楷体_GB2312" w:eastAsia="楷体_GB2312"/>
      <w:b/>
      <w:bCs/>
    </w:rPr>
  </w:style>
  <w:style w:type="paragraph" w:styleId="3">
    <w:name w:val="heading 2"/>
    <w:basedOn w:val="1"/>
    <w:next w:val="1"/>
    <w:link w:val="146"/>
    <w:qFormat/>
    <w:uiPriority w:val="99"/>
    <w:pPr>
      <w:keepLines/>
      <w:adjustRightInd w:val="0"/>
      <w:spacing w:before="240" w:after="120" w:line="240" w:lineRule="atLeast"/>
      <w:textAlignment w:val="baseline"/>
      <w:outlineLvl w:val="1"/>
    </w:pPr>
    <w:rPr>
      <w:rFonts w:eastAsia="黑体"/>
      <w:b/>
      <w:kern w:val="0"/>
      <w:sz w:val="32"/>
      <w:szCs w:val="20"/>
    </w:rPr>
  </w:style>
  <w:style w:type="paragraph" w:styleId="4">
    <w:name w:val="heading 3"/>
    <w:basedOn w:val="1"/>
    <w:next w:val="1"/>
    <w:link w:val="147"/>
    <w:qFormat/>
    <w:uiPriority w:val="99"/>
    <w:pPr>
      <w:keepNext/>
      <w:keepLines/>
      <w:spacing w:before="260" w:after="260" w:line="416" w:lineRule="auto"/>
      <w:outlineLvl w:val="2"/>
    </w:pPr>
    <w:rPr>
      <w:rFonts w:eastAsia="等线"/>
      <w:b/>
      <w:bCs/>
      <w:sz w:val="32"/>
      <w:szCs w:val="32"/>
    </w:rPr>
  </w:style>
  <w:style w:type="paragraph" w:styleId="5">
    <w:name w:val="heading 4"/>
    <w:basedOn w:val="1"/>
    <w:next w:val="1"/>
    <w:link w:val="148"/>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149"/>
    <w:qFormat/>
    <w:uiPriority w:val="99"/>
    <w:pPr>
      <w:keepNext/>
      <w:keepLines/>
      <w:spacing w:before="280" w:after="290" w:line="376" w:lineRule="auto"/>
      <w:outlineLvl w:val="4"/>
    </w:pPr>
    <w:rPr>
      <w:b/>
      <w:bCs/>
      <w:sz w:val="28"/>
      <w:szCs w:val="28"/>
    </w:rPr>
  </w:style>
  <w:style w:type="paragraph" w:styleId="7">
    <w:name w:val="heading 6"/>
    <w:basedOn w:val="1"/>
    <w:next w:val="8"/>
    <w:link w:val="150"/>
    <w:qFormat/>
    <w:uiPriority w:val="99"/>
    <w:pPr>
      <w:keepNext/>
      <w:keepLines/>
      <w:spacing w:before="240" w:after="64" w:line="317" w:lineRule="auto"/>
      <w:outlineLvl w:val="5"/>
    </w:pPr>
    <w:rPr>
      <w:rFonts w:ascii="Arial" w:hAnsi="Arial" w:eastAsia="黑体"/>
      <w:b/>
      <w:sz w:val="24"/>
      <w:szCs w:val="20"/>
    </w:rPr>
  </w:style>
  <w:style w:type="paragraph" w:styleId="9">
    <w:name w:val="heading 7"/>
    <w:basedOn w:val="1"/>
    <w:next w:val="8"/>
    <w:link w:val="151"/>
    <w:qFormat/>
    <w:uiPriority w:val="99"/>
    <w:pPr>
      <w:keepNext/>
      <w:keepLines/>
      <w:spacing w:before="240" w:after="64" w:line="317" w:lineRule="auto"/>
      <w:outlineLvl w:val="6"/>
    </w:pPr>
    <w:rPr>
      <w:b/>
      <w:sz w:val="24"/>
      <w:szCs w:val="20"/>
    </w:rPr>
  </w:style>
  <w:style w:type="paragraph" w:styleId="10">
    <w:name w:val="heading 8"/>
    <w:basedOn w:val="1"/>
    <w:next w:val="8"/>
    <w:link w:val="152"/>
    <w:qFormat/>
    <w:uiPriority w:val="99"/>
    <w:pPr>
      <w:keepNext/>
      <w:keepLines/>
      <w:spacing w:before="240" w:after="64" w:line="317" w:lineRule="auto"/>
      <w:outlineLvl w:val="7"/>
    </w:pPr>
    <w:rPr>
      <w:rFonts w:ascii="Arial" w:hAnsi="Arial" w:eastAsia="黑体"/>
      <w:sz w:val="24"/>
      <w:szCs w:val="20"/>
    </w:rPr>
  </w:style>
  <w:style w:type="paragraph" w:styleId="11">
    <w:name w:val="heading 9"/>
    <w:basedOn w:val="1"/>
    <w:next w:val="8"/>
    <w:link w:val="153"/>
    <w:qFormat/>
    <w:uiPriority w:val="99"/>
    <w:pPr>
      <w:keepNext/>
      <w:keepLines/>
      <w:spacing w:before="240" w:after="64" w:line="317" w:lineRule="auto"/>
      <w:outlineLvl w:val="8"/>
    </w:pPr>
    <w:rPr>
      <w:rFonts w:ascii="Arial" w:hAnsi="Arial" w:eastAsia="黑体"/>
      <w:szCs w:val="20"/>
    </w:rPr>
  </w:style>
  <w:style w:type="character" w:default="1" w:styleId="38">
    <w:name w:val="Default Paragraph Font"/>
    <w:unhideWhenUsed/>
    <w:qFormat/>
    <w:uiPriority w:val="1"/>
  </w:style>
  <w:style w:type="table" w:default="1" w:styleId="45">
    <w:name w:val="Normal Table"/>
    <w:unhideWhenUsed/>
    <w:qFormat/>
    <w:uiPriority w:val="99"/>
    <w:tblPr>
      <w:tblStyle w:val="45"/>
      <w:tblLayout w:type="fixed"/>
      <w:tblCellMar>
        <w:top w:w="0" w:type="dxa"/>
        <w:left w:w="108" w:type="dxa"/>
        <w:bottom w:w="0" w:type="dxa"/>
        <w:right w:w="108" w:type="dxa"/>
      </w:tblCellMar>
    </w:tblPr>
    <w:tcPr>
      <w:textDirection w:val="lrTb"/>
    </w:tcPr>
  </w:style>
  <w:style w:type="paragraph" w:styleId="8">
    <w:name w:val="Normal Indent"/>
    <w:basedOn w:val="1"/>
    <w:link w:val="184"/>
    <w:qFormat/>
    <w:uiPriority w:val="99"/>
    <w:pPr>
      <w:adjustRightInd w:val="0"/>
      <w:spacing w:line="312" w:lineRule="atLeast"/>
      <w:ind w:firstLine="420"/>
      <w:textAlignment w:val="baseline"/>
    </w:pPr>
    <w:rPr>
      <w:kern w:val="0"/>
      <w:szCs w:val="20"/>
    </w:rPr>
  </w:style>
  <w:style w:type="paragraph" w:styleId="12">
    <w:name w:val="annotation subject"/>
    <w:basedOn w:val="13"/>
    <w:next w:val="13"/>
    <w:link w:val="168"/>
    <w:semiHidden/>
    <w:qFormat/>
    <w:uiPriority w:val="99"/>
    <w:rPr>
      <w:b/>
      <w:bCs/>
    </w:rPr>
  </w:style>
  <w:style w:type="paragraph" w:styleId="13">
    <w:name w:val="annotation text"/>
    <w:basedOn w:val="1"/>
    <w:link w:val="157"/>
    <w:qFormat/>
    <w:uiPriority w:val="0"/>
    <w:pPr>
      <w:jc w:val="left"/>
    </w:pPr>
  </w:style>
  <w:style w:type="paragraph" w:styleId="14">
    <w:name w:val="Body Text First Indent"/>
    <w:basedOn w:val="15"/>
    <w:next w:val="16"/>
    <w:link w:val="155"/>
    <w:qFormat/>
    <w:uiPriority w:val="99"/>
    <w:pPr>
      <w:ind w:firstLine="420" w:firstLineChars="100"/>
    </w:pPr>
  </w:style>
  <w:style w:type="paragraph" w:styleId="15">
    <w:name w:val="Body Text"/>
    <w:basedOn w:val="1"/>
    <w:next w:val="14"/>
    <w:link w:val="154"/>
    <w:qFormat/>
    <w:uiPriority w:val="99"/>
    <w:pPr>
      <w:spacing w:after="120"/>
    </w:pPr>
    <w:rPr>
      <w:rFonts w:eastAsia="等线"/>
    </w:rPr>
  </w:style>
  <w:style w:type="paragraph" w:styleId="16">
    <w:name w:val="toc 6"/>
    <w:basedOn w:val="1"/>
    <w:next w:val="1"/>
    <w:qFormat/>
    <w:uiPriority w:val="39"/>
    <w:pPr>
      <w:ind w:left="1050"/>
    </w:pPr>
    <w:rPr>
      <w:sz w:val="18"/>
    </w:rPr>
  </w:style>
  <w:style w:type="paragraph" w:styleId="17">
    <w:name w:val="List Number"/>
    <w:basedOn w:val="1"/>
    <w:qFormat/>
    <w:uiPriority w:val="99"/>
    <w:pPr>
      <w:tabs>
        <w:tab w:val="left" w:pos="360"/>
      </w:tabs>
      <w:ind w:left="360" w:hanging="360"/>
      <w:contextualSpacing/>
    </w:pPr>
  </w:style>
  <w:style w:type="paragraph" w:styleId="18">
    <w:name w:val="caption"/>
    <w:basedOn w:val="1"/>
    <w:next w:val="1"/>
    <w:qFormat/>
    <w:uiPriority w:val="0"/>
    <w:pPr>
      <w:autoSpaceDE w:val="0"/>
      <w:autoSpaceDN w:val="0"/>
      <w:adjustRightInd w:val="0"/>
      <w:jc w:val="left"/>
    </w:pPr>
    <w:rPr>
      <w:rFonts w:ascii="Arial" w:hAnsi="Arial" w:eastAsia="黑体"/>
      <w:kern w:val="0"/>
      <w:sz w:val="20"/>
      <w:szCs w:val="20"/>
    </w:rPr>
  </w:style>
  <w:style w:type="paragraph" w:styleId="19">
    <w:name w:val="Document Map"/>
    <w:basedOn w:val="1"/>
    <w:link w:val="156"/>
    <w:qFormat/>
    <w:uiPriority w:val="99"/>
    <w:pPr>
      <w:shd w:val="clear" w:color="auto" w:fill="000080"/>
    </w:pPr>
  </w:style>
  <w:style w:type="paragraph" w:styleId="20">
    <w:name w:val="Body Text Indent"/>
    <w:basedOn w:val="1"/>
    <w:next w:val="1"/>
    <w:link w:val="158"/>
    <w:qFormat/>
    <w:uiPriority w:val="99"/>
    <w:pPr>
      <w:ind w:left="480" w:hanging="480" w:hangingChars="200"/>
    </w:pPr>
    <w:rPr>
      <w:sz w:val="24"/>
    </w:rPr>
  </w:style>
  <w:style w:type="paragraph" w:styleId="21">
    <w:name w:val="List 2"/>
    <w:basedOn w:val="1"/>
    <w:qFormat/>
    <w:uiPriority w:val="99"/>
    <w:pPr>
      <w:ind w:left="100" w:leftChars="200" w:hanging="200" w:hangingChars="200"/>
    </w:pPr>
  </w:style>
  <w:style w:type="paragraph" w:styleId="22">
    <w:name w:val="Block Text"/>
    <w:basedOn w:val="1"/>
    <w:qFormat/>
    <w:locked/>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23">
    <w:name w:val="toc 3"/>
    <w:basedOn w:val="1"/>
    <w:next w:val="1"/>
    <w:semiHidden/>
    <w:qFormat/>
    <w:uiPriority w:val="99"/>
    <w:pPr>
      <w:ind w:left="840" w:leftChars="400"/>
    </w:pPr>
  </w:style>
  <w:style w:type="paragraph" w:styleId="24">
    <w:name w:val="Plain Text"/>
    <w:basedOn w:val="1"/>
    <w:next w:val="1"/>
    <w:link w:val="159"/>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5">
    <w:name w:val="Date"/>
    <w:basedOn w:val="1"/>
    <w:next w:val="1"/>
    <w:link w:val="160"/>
    <w:qFormat/>
    <w:uiPriority w:val="99"/>
    <w:pPr>
      <w:ind w:left="100" w:leftChars="2500"/>
    </w:pPr>
  </w:style>
  <w:style w:type="paragraph" w:styleId="26">
    <w:name w:val="Body Text Indent 2"/>
    <w:basedOn w:val="1"/>
    <w:link w:val="161"/>
    <w:qFormat/>
    <w:uiPriority w:val="99"/>
    <w:pPr>
      <w:spacing w:line="500" w:lineRule="exact"/>
      <w:ind w:firstLine="511" w:firstLineChars="213"/>
    </w:pPr>
    <w:rPr>
      <w:sz w:val="24"/>
    </w:rPr>
  </w:style>
  <w:style w:type="paragraph" w:styleId="27">
    <w:name w:val="Balloon Text"/>
    <w:basedOn w:val="1"/>
    <w:link w:val="162"/>
    <w:semiHidden/>
    <w:qFormat/>
    <w:uiPriority w:val="99"/>
    <w:rPr>
      <w:sz w:val="18"/>
      <w:szCs w:val="18"/>
    </w:rPr>
  </w:style>
  <w:style w:type="paragraph" w:styleId="28">
    <w:name w:val="footer"/>
    <w:basedOn w:val="1"/>
    <w:link w:val="163"/>
    <w:qFormat/>
    <w:uiPriority w:val="99"/>
    <w:pPr>
      <w:tabs>
        <w:tab w:val="center" w:pos="4153"/>
        <w:tab w:val="right" w:pos="8306"/>
      </w:tabs>
      <w:snapToGrid w:val="0"/>
      <w:jc w:val="left"/>
    </w:pPr>
    <w:rPr>
      <w:rFonts w:eastAsia="等线"/>
      <w:sz w:val="18"/>
      <w:szCs w:val="18"/>
    </w:rPr>
  </w:style>
  <w:style w:type="paragraph" w:styleId="29">
    <w:name w:val="Body Text First Indent 2"/>
    <w:basedOn w:val="20"/>
    <w:next w:val="1"/>
    <w:link w:val="169"/>
    <w:qFormat/>
    <w:uiPriority w:val="99"/>
    <w:pPr>
      <w:spacing w:after="120"/>
      <w:ind w:left="420" w:leftChars="200" w:firstLine="420" w:firstLineChars="200"/>
    </w:pPr>
    <w:rPr>
      <w:sz w:val="21"/>
    </w:rPr>
  </w:style>
  <w:style w:type="paragraph" w:styleId="30">
    <w:name w:val="header"/>
    <w:basedOn w:val="1"/>
    <w:link w:val="220"/>
    <w:qFormat/>
    <w:uiPriority w:val="99"/>
    <w:pPr>
      <w:pBdr>
        <w:bottom w:val="single" w:color="auto" w:sz="6" w:space="1"/>
      </w:pBdr>
      <w:tabs>
        <w:tab w:val="center" w:pos="4153"/>
        <w:tab w:val="right" w:pos="8306"/>
      </w:tabs>
      <w:snapToGrid w:val="0"/>
      <w:jc w:val="center"/>
    </w:pPr>
    <w:rPr>
      <w:rFonts w:eastAsia="等线"/>
      <w:sz w:val="18"/>
      <w:szCs w:val="20"/>
    </w:rPr>
  </w:style>
  <w:style w:type="paragraph" w:styleId="31">
    <w:name w:val="toc 1"/>
    <w:basedOn w:val="1"/>
    <w:next w:val="1"/>
    <w:qFormat/>
    <w:uiPriority w:val="99"/>
    <w:pPr>
      <w:tabs>
        <w:tab w:val="right" w:leader="dot" w:pos="9628"/>
      </w:tabs>
      <w:spacing w:line="480" w:lineRule="auto"/>
    </w:pPr>
    <w:rPr>
      <w:rFonts w:ascii="Arial" w:hAnsi="Arial" w:eastAsia="新宋体" w:cs="Arial"/>
      <w:bCs/>
      <w:sz w:val="24"/>
    </w:rPr>
  </w:style>
  <w:style w:type="paragraph" w:styleId="32">
    <w:name w:val="Subtitle"/>
    <w:basedOn w:val="1"/>
    <w:next w:val="1"/>
    <w:link w:val="165"/>
    <w:qFormat/>
    <w:uiPriority w:val="99"/>
    <w:pPr>
      <w:spacing w:before="240" w:after="60" w:line="312" w:lineRule="auto"/>
      <w:jc w:val="center"/>
      <w:outlineLvl w:val="1"/>
    </w:pPr>
    <w:rPr>
      <w:rFonts w:ascii="Cambria" w:hAnsi="Cambria" w:cs="黑体"/>
      <w:b/>
      <w:bCs/>
      <w:kern w:val="28"/>
      <w:sz w:val="32"/>
      <w:szCs w:val="32"/>
    </w:rPr>
  </w:style>
  <w:style w:type="paragraph" w:styleId="33">
    <w:name w:val="List"/>
    <w:basedOn w:val="1"/>
    <w:qFormat/>
    <w:uiPriority w:val="99"/>
    <w:pPr>
      <w:ind w:left="200" w:hanging="200" w:hangingChars="200"/>
    </w:pPr>
    <w:rPr>
      <w:sz w:val="28"/>
    </w:rPr>
  </w:style>
  <w:style w:type="paragraph" w:styleId="34">
    <w:name w:val="Body Text Indent 3"/>
    <w:basedOn w:val="1"/>
    <w:link w:val="166"/>
    <w:qFormat/>
    <w:uiPriority w:val="99"/>
    <w:pPr>
      <w:spacing w:line="500" w:lineRule="exact"/>
      <w:ind w:left="511" w:hanging="511" w:hangingChars="213"/>
    </w:pPr>
    <w:rPr>
      <w:sz w:val="24"/>
    </w:rPr>
  </w:style>
  <w:style w:type="paragraph" w:styleId="35">
    <w:name w:val="toc 2"/>
    <w:basedOn w:val="1"/>
    <w:next w:val="1"/>
    <w:qFormat/>
    <w:uiPriority w:val="99"/>
    <w:pPr>
      <w:ind w:left="420" w:leftChars="200"/>
    </w:p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167"/>
    <w:qFormat/>
    <w:uiPriority w:val="99"/>
    <w:pPr>
      <w:spacing w:before="240" w:after="60"/>
      <w:jc w:val="center"/>
      <w:outlineLvl w:val="0"/>
    </w:pPr>
    <w:rPr>
      <w:rFonts w:ascii="Cambria" w:hAnsi="Cambria"/>
      <w:b/>
      <w:bCs/>
      <w:sz w:val="32"/>
      <w:szCs w:val="32"/>
    </w:rPr>
  </w:style>
  <w:style w:type="character" w:styleId="39">
    <w:name w:val="Strong"/>
    <w:basedOn w:val="38"/>
    <w:qFormat/>
    <w:uiPriority w:val="99"/>
    <w:rPr>
      <w:rFonts w:cs="Times New Roman"/>
      <w:b/>
    </w:rPr>
  </w:style>
  <w:style w:type="character" w:styleId="40">
    <w:name w:val="page number"/>
    <w:basedOn w:val="38"/>
    <w:qFormat/>
    <w:uiPriority w:val="99"/>
    <w:rPr>
      <w:rFonts w:cs="Times New Roman"/>
    </w:rPr>
  </w:style>
  <w:style w:type="character" w:styleId="41">
    <w:name w:val="FollowedHyperlink"/>
    <w:basedOn w:val="38"/>
    <w:qFormat/>
    <w:uiPriority w:val="99"/>
    <w:rPr>
      <w:rFonts w:cs="Times New Roman"/>
      <w:color w:val="800080"/>
      <w:u w:val="single"/>
    </w:rPr>
  </w:style>
  <w:style w:type="character" w:styleId="42">
    <w:name w:val="Emphasis"/>
    <w:basedOn w:val="38"/>
    <w:qFormat/>
    <w:uiPriority w:val="99"/>
    <w:rPr>
      <w:rFonts w:cs="Times New Roman"/>
      <w:i/>
    </w:rPr>
  </w:style>
  <w:style w:type="character" w:styleId="43">
    <w:name w:val="Hyperlink"/>
    <w:basedOn w:val="38"/>
    <w:qFormat/>
    <w:uiPriority w:val="99"/>
    <w:rPr>
      <w:rFonts w:cs="Times New Roman"/>
      <w:color w:val="000000"/>
      <w:sz w:val="20"/>
      <w:u w:val="none"/>
    </w:rPr>
  </w:style>
  <w:style w:type="character" w:styleId="44">
    <w:name w:val="annotation reference"/>
    <w:basedOn w:val="38"/>
    <w:semiHidden/>
    <w:qFormat/>
    <w:uiPriority w:val="99"/>
    <w:rPr>
      <w:rFonts w:cs="Times New Roman"/>
      <w:sz w:val="21"/>
    </w:rPr>
  </w:style>
  <w:style w:type="table" w:styleId="46">
    <w:name w:val="Table Grid"/>
    <w:basedOn w:val="45"/>
    <w:qFormat/>
    <w:uiPriority w:val="99"/>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47">
    <w:name w:val="Table Professional"/>
    <w:basedOn w:val="45"/>
    <w:qFormat/>
    <w:uiPriority w:val="99"/>
    <w:pPr>
      <w:widowControl w:val="0"/>
      <w:jc w:val="both"/>
    </w:pPr>
    <w:tblPr>
      <w:tblStyle w:val="45"/>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textDirection w:val="lrTb"/>
    </w:tcPr>
    <w:tblStylePr w:type="firstRow">
      <w:rPr>
        <w:rFonts w:cs="Times New Roman"/>
        <w:b/>
        <w:bCs/>
        <w:color w:val="auto"/>
      </w:rPr>
      <w:tblPr>
        <w:tblStyle w:val="45"/>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4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样式 首行缩进:  2 字符"/>
    <w:basedOn w:val="1"/>
    <w:qFormat/>
    <w:uiPriority w:val="99"/>
    <w:pPr>
      <w:spacing w:line="360" w:lineRule="auto"/>
      <w:ind w:firstLine="480" w:firstLineChars="200"/>
    </w:pPr>
    <w:rPr>
      <w:rFonts w:ascii="宋体" w:hAnsi="宋体" w:cs="宋体"/>
      <w:color w:val="000000"/>
      <w:sz w:val="24"/>
    </w:rPr>
  </w:style>
  <w:style w:type="paragraph" w:customStyle="1" w:styleId="5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正文4"/>
    <w:basedOn w:val="1"/>
    <w:link w:val="175"/>
    <w:qFormat/>
    <w:uiPriority w:val="99"/>
    <w:pPr>
      <w:tabs>
        <w:tab w:val="left" w:pos="520"/>
      </w:tabs>
      <w:spacing w:before="60" w:after="60" w:line="360" w:lineRule="auto"/>
      <w:ind w:left="520"/>
    </w:pPr>
    <w:rPr>
      <w:rFonts w:eastAsia="等线"/>
      <w:sz w:val="24"/>
      <w:szCs w:val="20"/>
    </w:rPr>
  </w:style>
  <w:style w:type="paragraph" w:customStyle="1" w:styleId="52">
    <w:name w:val="正文文本缩进 21"/>
    <w:basedOn w:val="1"/>
    <w:link w:val="176"/>
    <w:qFormat/>
    <w:uiPriority w:val="99"/>
    <w:pPr>
      <w:snapToGrid w:val="0"/>
      <w:spacing w:line="400" w:lineRule="exact"/>
      <w:ind w:firstLine="562" w:firstLineChars="200"/>
    </w:pPr>
    <w:rPr>
      <w:rFonts w:ascii="仿宋_GB2312" w:eastAsia="仿宋_GB2312"/>
      <w:b/>
      <w:kern w:val="0"/>
      <w:sz w:val="24"/>
      <w:szCs w:val="20"/>
    </w:rPr>
  </w:style>
  <w:style w:type="paragraph" w:customStyle="1" w:styleId="53">
    <w:name w:val="文档正文"/>
    <w:basedOn w:val="1"/>
    <w:link w:val="178"/>
    <w:qFormat/>
    <w:uiPriority w:val="99"/>
    <w:pPr>
      <w:spacing w:line="360" w:lineRule="auto"/>
      <w:ind w:firstLine="480" w:firstLineChars="200"/>
    </w:pPr>
    <w:rPr>
      <w:rFonts w:ascii="Tahoma" w:hAnsi="Tahoma" w:eastAsia="仿宋_GB2312"/>
      <w:kern w:val="0"/>
      <w:sz w:val="28"/>
      <w:szCs w:val="20"/>
    </w:rPr>
  </w:style>
  <w:style w:type="paragraph" w:customStyle="1" w:styleId="54">
    <w:name w:val="BZ_二级标题"/>
    <w:basedOn w:val="3"/>
    <w:next w:val="1"/>
    <w:link w:val="183"/>
    <w:qFormat/>
    <w:uiPriority w:val="99"/>
    <w:pPr>
      <w:keepNext/>
      <w:widowControl/>
      <w:tabs>
        <w:tab w:val="left" w:pos="1440"/>
      </w:tabs>
      <w:adjustRightInd/>
      <w:spacing w:beforeLines="50" w:afterLines="50" w:line="240" w:lineRule="auto"/>
      <w:ind w:left="1440" w:hanging="360"/>
      <w:textAlignment w:val="auto"/>
    </w:pPr>
    <w:rPr>
      <w:rFonts w:eastAsia="楷体"/>
      <w:kern w:val="2"/>
    </w:rPr>
  </w:style>
  <w:style w:type="paragraph" w:customStyle="1" w:styleId="55">
    <w:name w:val="1"/>
    <w:basedOn w:val="15"/>
    <w:next w:val="14"/>
    <w:link w:val="185"/>
    <w:qFormat/>
    <w:uiPriority w:val="99"/>
    <w:pPr>
      <w:ind w:firstLine="420" w:firstLineChars="100"/>
    </w:pPr>
    <w:rPr>
      <w:rFonts w:ascii="仿宋_GB2312"/>
      <w:sz w:val="24"/>
      <w:szCs w:val="20"/>
    </w:rPr>
  </w:style>
  <w:style w:type="paragraph" w:customStyle="1" w:styleId="56">
    <w:name w:val="l正文"/>
    <w:basedOn w:val="1"/>
    <w:link w:val="187"/>
    <w:qFormat/>
    <w:uiPriority w:val="99"/>
    <w:pPr>
      <w:spacing w:line="360" w:lineRule="auto"/>
      <w:ind w:firstLine="200" w:firstLineChars="200"/>
    </w:pPr>
    <w:rPr>
      <w:rFonts w:ascii="宋体"/>
      <w:kern w:val="0"/>
      <w:sz w:val="24"/>
      <w:szCs w:val="20"/>
    </w:rPr>
  </w:style>
  <w:style w:type="paragraph" w:customStyle="1" w:styleId="57">
    <w:name w:val="￥正文"/>
    <w:basedOn w:val="1"/>
    <w:link w:val="188"/>
    <w:qFormat/>
    <w:uiPriority w:val="99"/>
    <w:pPr>
      <w:spacing w:line="360" w:lineRule="auto"/>
      <w:ind w:firstLine="200" w:firstLineChars="200"/>
    </w:pPr>
    <w:rPr>
      <w:rFonts w:eastAsia="等线"/>
      <w:kern w:val="0"/>
      <w:sz w:val="24"/>
      <w:szCs w:val="20"/>
    </w:rPr>
  </w:style>
  <w:style w:type="paragraph" w:customStyle="1" w:styleId="58">
    <w:name w:val="段落文字"/>
    <w:basedOn w:val="1"/>
    <w:link w:val="193"/>
    <w:qFormat/>
    <w:uiPriority w:val="99"/>
    <w:pPr>
      <w:spacing w:line="398" w:lineRule="auto"/>
      <w:ind w:firstLine="480" w:firstLineChars="200"/>
    </w:pPr>
    <w:rPr>
      <w:rFonts w:eastAsia="等线"/>
      <w:kern w:val="0"/>
      <w:sz w:val="24"/>
      <w:szCs w:val="20"/>
    </w:rPr>
  </w:style>
  <w:style w:type="paragraph" w:customStyle="1" w:styleId="59">
    <w:name w:val="样式6 列表并列"/>
    <w:link w:val="195"/>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paragraph" w:customStyle="1" w:styleId="60">
    <w:name w:val="哈哈正文"/>
    <w:basedOn w:val="1"/>
    <w:link w:val="200"/>
    <w:qFormat/>
    <w:uiPriority w:val="99"/>
    <w:pPr>
      <w:spacing w:line="360" w:lineRule="auto"/>
      <w:ind w:firstLine="200" w:firstLineChars="200"/>
    </w:pPr>
    <w:rPr>
      <w:rFonts w:ascii="宋体" w:hAnsi="宋体"/>
      <w:sz w:val="24"/>
      <w:szCs w:val="20"/>
    </w:rPr>
  </w:style>
  <w:style w:type="paragraph" w:customStyle="1" w:styleId="61">
    <w:name w:val="*正文"/>
    <w:basedOn w:val="1"/>
    <w:link w:val="204"/>
    <w:qFormat/>
    <w:uiPriority w:val="99"/>
    <w:pPr>
      <w:spacing w:line="360" w:lineRule="auto"/>
      <w:ind w:firstLine="200" w:firstLineChars="200"/>
    </w:pPr>
    <w:rPr>
      <w:rFonts w:ascii="宋体"/>
      <w:sz w:val="24"/>
      <w:szCs w:val="20"/>
    </w:rPr>
  </w:style>
  <w:style w:type="paragraph" w:customStyle="1" w:styleId="62">
    <w:name w:val="BZ_三级标题"/>
    <w:basedOn w:val="4"/>
    <w:next w:val="1"/>
    <w:link w:val="207"/>
    <w:qFormat/>
    <w:uiPriority w:val="99"/>
    <w:pPr>
      <w:widowControl/>
      <w:tabs>
        <w:tab w:val="left" w:pos="2160"/>
      </w:tabs>
      <w:spacing w:beforeLines="50" w:afterLines="50" w:line="240" w:lineRule="auto"/>
      <w:ind w:left="2160" w:hanging="360"/>
    </w:pPr>
    <w:rPr>
      <w:rFonts w:eastAsia="黑体"/>
      <w:bCs w:val="0"/>
      <w:sz w:val="28"/>
      <w:szCs w:val="20"/>
    </w:rPr>
  </w:style>
  <w:style w:type="paragraph" w:customStyle="1" w:styleId="63">
    <w:name w:val="BZ_一级标题"/>
    <w:basedOn w:val="2"/>
    <w:next w:val="1"/>
    <w:link w:val="214"/>
    <w:qFormat/>
    <w:uiPriority w:val="99"/>
    <w:pPr>
      <w:keepLines/>
      <w:widowControl/>
      <w:spacing w:beforeLines="50" w:afterLines="50"/>
      <w:ind w:left="432" w:hanging="432"/>
      <w:jc w:val="both"/>
    </w:pPr>
    <w:rPr>
      <w:rFonts w:ascii="Times New Roman" w:eastAsia="华文中宋"/>
      <w:bCs w:val="0"/>
      <w:kern w:val="44"/>
      <w:sz w:val="36"/>
      <w:szCs w:val="20"/>
    </w:rPr>
  </w:style>
  <w:style w:type="paragraph" w:customStyle="1" w:styleId="64">
    <w:name w:val="正文00"/>
    <w:basedOn w:val="1"/>
    <w:qFormat/>
    <w:uiPriority w:val="99"/>
    <w:pPr>
      <w:topLinePunct w:val="1"/>
      <w:spacing w:line="360" w:lineRule="auto"/>
      <w:ind w:firstLine="200" w:firstLineChars="200"/>
    </w:pPr>
    <w:rPr>
      <w:sz w:val="24"/>
      <w:szCs w:val="21"/>
    </w:rPr>
  </w:style>
  <w:style w:type="paragraph" w:customStyle="1" w:styleId="65">
    <w:name w:val="style31"/>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
    <w:name w:val="Default"/>
    <w:next w:val="19"/>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67">
    <w:name w:val="Char Char"/>
    <w:basedOn w:val="1"/>
    <w:qFormat/>
    <w:uiPriority w:val="99"/>
    <w:rPr>
      <w:rFonts w:ascii="仿宋_GB2312" w:eastAsia="仿宋_GB2312"/>
      <w:b/>
      <w:sz w:val="32"/>
      <w:szCs w:val="32"/>
    </w:rPr>
  </w:style>
  <w:style w:type="paragraph" w:customStyle="1" w:styleId="68">
    <w:name w:val="style48"/>
    <w:basedOn w:val="1"/>
    <w:qFormat/>
    <w:uiPriority w:val="99"/>
    <w:pPr>
      <w:widowControl/>
      <w:jc w:val="left"/>
    </w:pPr>
    <w:rPr>
      <w:rFonts w:ascii="宋体" w:hAnsi="宋体" w:cs="宋体"/>
      <w:kern w:val="0"/>
      <w:sz w:val="24"/>
    </w:rPr>
  </w:style>
  <w:style w:type="paragraph" w:customStyle="1" w:styleId="69">
    <w:name w:val="_Style 2"/>
    <w:basedOn w:val="1"/>
    <w:qFormat/>
    <w:uiPriority w:val="99"/>
    <w:pPr>
      <w:spacing w:line="360" w:lineRule="auto"/>
      <w:ind w:firstLine="420" w:firstLineChars="200"/>
    </w:pPr>
    <w:rPr>
      <w:rFonts w:cs="黑体"/>
      <w:sz w:val="24"/>
      <w:szCs w:val="21"/>
    </w:rPr>
  </w:style>
  <w:style w:type="paragraph" w:customStyle="1" w:styleId="70">
    <w:name w:val="正文（小四+1.25倍行距）"/>
    <w:basedOn w:val="1"/>
    <w:qFormat/>
    <w:uiPriority w:val="99"/>
    <w:pPr>
      <w:spacing w:beforeLines="50" w:afterLines="50" w:line="360" w:lineRule="auto"/>
      <w:ind w:firstLine="420"/>
    </w:pPr>
    <w:rPr>
      <w:rFonts w:ascii="Calibri" w:hAnsi="Calibri"/>
      <w:szCs w:val="20"/>
    </w:rPr>
  </w:style>
  <w:style w:type="paragraph" w:customStyle="1" w:styleId="71">
    <w:name w:val="正文 1.1.1"/>
    <w:basedOn w:val="1"/>
    <w:next w:val="1"/>
    <w:qFormat/>
    <w:uiPriority w:val="99"/>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72">
    <w:name w:val="Char Char Char Char Char Char"/>
    <w:basedOn w:val="1"/>
    <w:qFormat/>
    <w:uiPriority w:val="99"/>
    <w:rPr>
      <w:rFonts w:ascii="Tahoma" w:hAnsi="Tahoma"/>
      <w:sz w:val="24"/>
      <w:szCs w:val="20"/>
    </w:rPr>
  </w:style>
  <w:style w:type="paragraph" w:customStyle="1" w:styleId="73">
    <w:name w:val="标题 55"/>
    <w:basedOn w:val="6"/>
    <w:qFormat/>
    <w:uiPriority w:val="99"/>
    <w:rPr>
      <w:rFonts w:ascii="方正黑体简体" w:eastAsia="方正黑体简体"/>
      <w:b w:val="0"/>
      <w:bCs w:val="0"/>
    </w:rPr>
  </w:style>
  <w:style w:type="paragraph" w:customStyle="1" w:styleId="74">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5">
    <w:name w:val="TOC 标题1"/>
    <w:basedOn w:val="2"/>
    <w:next w:val="1"/>
    <w:qFormat/>
    <w:uiPriority w:val="99"/>
    <w:pPr>
      <w:keepLines/>
      <w:widowControl/>
      <w:spacing w:before="480" w:line="276" w:lineRule="auto"/>
      <w:jc w:val="left"/>
      <w:outlineLvl w:val="9"/>
    </w:pPr>
    <w:rPr>
      <w:rFonts w:ascii="Cambria" w:hAnsi="Cambria" w:eastAsia="方正黑体简体"/>
      <w:bCs w:val="0"/>
      <w:color w:val="365F91"/>
      <w:kern w:val="0"/>
      <w:sz w:val="28"/>
      <w:szCs w:val="28"/>
    </w:rPr>
  </w:style>
  <w:style w:type="paragraph" w:customStyle="1" w:styleId="76">
    <w:name w:val="_Style 36"/>
    <w:basedOn w:val="1"/>
    <w:qFormat/>
    <w:uiPriority w:val="99"/>
    <w:pPr>
      <w:ind w:firstLine="420" w:firstLineChars="200"/>
    </w:pPr>
    <w:rPr>
      <w:szCs w:val="20"/>
    </w:rPr>
  </w:style>
  <w:style w:type="paragraph" w:customStyle="1" w:styleId="77">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M106"/>
    <w:basedOn w:val="66"/>
    <w:next w:val="66"/>
    <w:qFormat/>
    <w:uiPriority w:val="99"/>
    <w:rPr>
      <w:rFonts w:ascii="宋体" w:hAnsi="Times New Roman" w:eastAsia="宋体" w:cs="Times New Roman"/>
      <w:color w:val="auto"/>
    </w:rPr>
  </w:style>
  <w:style w:type="paragraph" w:customStyle="1" w:styleId="79">
    <w:name w:val="默认段落字体 Para Char Char Char Char Char Char Char Char Char1 Char Char Char Char Char Char Char"/>
    <w:basedOn w:val="19"/>
    <w:qFormat/>
    <w:uiPriority w:val="99"/>
    <w:rPr>
      <w:sz w:val="24"/>
    </w:rPr>
  </w:style>
  <w:style w:type="paragraph" w:customStyle="1" w:styleId="80">
    <w:name w:val="列出段落2"/>
    <w:basedOn w:val="1"/>
    <w:qFormat/>
    <w:uiPriority w:val="99"/>
    <w:pPr>
      <w:ind w:firstLine="420" w:firstLineChars="200"/>
    </w:pPr>
    <w:rPr>
      <w:rFonts w:ascii="Calibri" w:hAnsi="Calibri"/>
      <w:szCs w:val="22"/>
    </w:rPr>
  </w:style>
  <w:style w:type="paragraph" w:customStyle="1" w:styleId="81">
    <w:name w:val="Char Char1 Char Char Char Char Char Char"/>
    <w:basedOn w:val="1"/>
    <w:qFormat/>
    <w:uiPriority w:val="99"/>
    <w:pPr>
      <w:widowControl/>
      <w:spacing w:after="160" w:line="240" w:lineRule="exact"/>
      <w:jc w:val="left"/>
    </w:pPr>
    <w:rPr>
      <w:rFonts w:ascii="宋体" w:hAnsi="宋体" w:cs="宋体"/>
      <w:kern w:val="0"/>
      <w:szCs w:val="20"/>
    </w:rPr>
  </w:style>
  <w:style w:type="paragraph" w:customStyle="1" w:styleId="82">
    <w:name w:val="内文正文"/>
    <w:basedOn w:val="24"/>
    <w:qFormat/>
    <w:uiPriority w:val="99"/>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83">
    <w:name w:val="修订1"/>
    <w:qFormat/>
    <w:uiPriority w:val="99"/>
    <w:rPr>
      <w:rFonts w:ascii="Times New Roman" w:hAnsi="Times New Roman" w:eastAsia="宋体" w:cs="Times New Roman"/>
      <w:kern w:val="2"/>
      <w:sz w:val="21"/>
      <w:szCs w:val="24"/>
      <w:lang w:val="en-US" w:eastAsia="zh-CN" w:bidi="ar-SA"/>
    </w:rPr>
  </w:style>
  <w:style w:type="paragraph" w:customStyle="1" w:styleId="84">
    <w:name w:val="新定义正文"/>
    <w:basedOn w:val="1"/>
    <w:qFormat/>
    <w:uiPriority w:val="99"/>
    <w:pPr>
      <w:widowControl/>
    </w:pPr>
    <w:rPr>
      <w:color w:val="000000"/>
      <w:szCs w:val="21"/>
    </w:rPr>
  </w:style>
  <w:style w:type="paragraph" w:customStyle="1" w:styleId="85">
    <w:name w:val="_Style 5"/>
    <w:basedOn w:val="19"/>
    <w:qFormat/>
    <w:uiPriority w:val="99"/>
  </w:style>
  <w:style w:type="paragraph" w:customStyle="1" w:styleId="86">
    <w:name w:val="正文 第一章"/>
    <w:basedOn w:val="1"/>
    <w:next w:val="87"/>
    <w:qFormat/>
    <w:uiPriority w:val="99"/>
    <w:pPr>
      <w:pageBreakBefore/>
      <w:adjustRightInd w:val="0"/>
      <w:spacing w:before="240" w:after="240" w:line="480" w:lineRule="auto"/>
      <w:ind w:left="300" w:hanging="420"/>
      <w:jc w:val="center"/>
      <w:textAlignment w:val="baseline"/>
      <w:outlineLvl w:val="0"/>
    </w:pPr>
    <w:rPr>
      <w:rFonts w:ascii="黑体" w:hAnsi="宋体" w:eastAsia="黑体"/>
      <w:kern w:val="0"/>
      <w:sz w:val="36"/>
      <w:szCs w:val="36"/>
    </w:rPr>
  </w:style>
  <w:style w:type="paragraph" w:customStyle="1" w:styleId="87">
    <w:name w:val="正文 1.1"/>
    <w:basedOn w:val="1"/>
    <w:next w:val="71"/>
    <w:qFormat/>
    <w:uiPriority w:val="99"/>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88">
    <w:name w:val="Char Char Char Char11"/>
    <w:basedOn w:val="19"/>
    <w:qFormat/>
    <w:uiPriority w:val="99"/>
    <w:rPr>
      <w:szCs w:val="20"/>
    </w:rPr>
  </w:style>
  <w:style w:type="paragraph" w:customStyle="1" w:styleId="89">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0"/>
    </w:rPr>
  </w:style>
  <w:style w:type="paragraph" w:customStyle="1" w:styleId="90">
    <w:name w:val="正文2"/>
    <w:basedOn w:val="1"/>
    <w:qFormat/>
    <w:uiPriority w:val="99"/>
    <w:pPr>
      <w:spacing w:before="156" w:line="360" w:lineRule="auto"/>
      <w:ind w:firstLine="510" w:firstLineChars="200"/>
    </w:pPr>
    <w:rPr>
      <w:sz w:val="24"/>
      <w:szCs w:val="20"/>
    </w:rPr>
  </w:style>
  <w:style w:type="paragraph" w:customStyle="1" w:styleId="91">
    <w:name w:val="正文0"/>
    <w:basedOn w:val="1"/>
    <w:qFormat/>
    <w:uiPriority w:val="99"/>
    <w:pPr>
      <w:adjustRightInd w:val="0"/>
      <w:snapToGrid w:val="0"/>
      <w:spacing w:line="440" w:lineRule="exact"/>
      <w:ind w:left="420" w:leftChars="200" w:firstLine="428" w:firstLineChars="200"/>
    </w:pPr>
    <w:rPr>
      <w:spacing w:val="2"/>
      <w:szCs w:val="21"/>
      <w:u w:val="single"/>
    </w:rPr>
  </w:style>
  <w:style w:type="paragraph" w:customStyle="1" w:styleId="92">
    <w:name w:val="样式6"/>
    <w:basedOn w:val="18"/>
    <w:qFormat/>
    <w:uiPriority w:val="99"/>
    <w:pPr>
      <w:spacing w:line="360" w:lineRule="auto"/>
      <w:ind w:firstLine="200" w:firstLineChars="200"/>
    </w:pPr>
    <w:rPr>
      <w:sz w:val="24"/>
    </w:rPr>
  </w:style>
  <w:style w:type="paragraph" w:customStyle="1" w:styleId="93">
    <w:name w:val="TOC 标题2"/>
    <w:basedOn w:val="2"/>
    <w:next w:val="1"/>
    <w:qFormat/>
    <w:uiPriority w:val="99"/>
    <w:pPr>
      <w:keepLines/>
      <w:widowControl/>
      <w:spacing w:before="480" w:line="276" w:lineRule="auto"/>
      <w:jc w:val="left"/>
      <w:outlineLvl w:val="9"/>
    </w:pPr>
    <w:rPr>
      <w:rFonts w:ascii="Cambria" w:hAnsi="Cambria" w:eastAsia="方正黑体简体" w:cs="黑体"/>
      <w:bCs w:val="0"/>
      <w:color w:val="365F90"/>
      <w:kern w:val="0"/>
      <w:sz w:val="28"/>
      <w:szCs w:val="28"/>
    </w:rPr>
  </w:style>
  <w:style w:type="paragraph" w:customStyle="1" w:styleId="94">
    <w:name w:val="ml2"/>
    <w:basedOn w:val="31"/>
    <w:qFormat/>
    <w:uiPriority w:val="99"/>
    <w:pPr>
      <w:tabs>
        <w:tab w:val="clear" w:pos="9628"/>
      </w:tabs>
      <w:spacing w:before="120" w:after="120" w:line="240" w:lineRule="auto"/>
      <w:ind w:left="420" w:leftChars="200"/>
      <w:jc w:val="left"/>
    </w:pPr>
    <w:rPr>
      <w:rFonts w:ascii="Calibri" w:hAnsi="Calibri" w:eastAsia="宋体" w:cs="Calibri"/>
      <w:b/>
      <w:caps/>
      <w:szCs w:val="20"/>
    </w:rPr>
  </w:style>
  <w:style w:type="paragraph" w:customStyle="1" w:styleId="95">
    <w:name w:val="Char1 Char Char Char"/>
    <w:basedOn w:val="1"/>
    <w:qFormat/>
    <w:uiPriority w:val="99"/>
    <w:rPr>
      <w:rFonts w:ascii="Tahoma" w:hAnsi="Tahoma"/>
      <w:sz w:val="24"/>
      <w:szCs w:val="20"/>
    </w:rPr>
  </w:style>
  <w:style w:type="paragraph" w:customStyle="1" w:styleId="96">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97">
    <w:name w:val="TOC 标题3"/>
    <w:basedOn w:val="2"/>
    <w:next w:val="1"/>
    <w:qFormat/>
    <w:uiPriority w:val="99"/>
    <w:pPr>
      <w:keepLines/>
      <w:widowControl/>
      <w:spacing w:before="480" w:line="276" w:lineRule="auto"/>
      <w:jc w:val="left"/>
      <w:outlineLvl w:val="9"/>
    </w:pPr>
    <w:rPr>
      <w:rFonts w:ascii="Cambria" w:hAnsi="Cambria" w:eastAsia="宋体"/>
      <w:bCs w:val="0"/>
      <w:color w:val="365F91"/>
      <w:kern w:val="0"/>
      <w:sz w:val="28"/>
      <w:szCs w:val="28"/>
    </w:rPr>
  </w:style>
  <w:style w:type="paragraph" w:customStyle="1" w:styleId="98">
    <w:name w:val="正文1"/>
    <w:basedOn w:val="99"/>
    <w:next w:val="1"/>
    <w:qFormat/>
    <w:uiPriority w:val="99"/>
    <w:pPr>
      <w:spacing w:beforeLines="50" w:afterLines="50" w:line="300" w:lineRule="auto"/>
      <w:ind w:firstLine="480" w:firstLineChars="200"/>
    </w:pPr>
    <w:rPr>
      <w:szCs w:val="20"/>
    </w:rPr>
  </w:style>
  <w:style w:type="paragraph" w:customStyle="1" w:styleId="99">
    <w:name w:val="List Paragraph"/>
    <w:basedOn w:val="1"/>
    <w:qFormat/>
    <w:uiPriority w:val="99"/>
    <w:pPr>
      <w:ind w:firstLine="420" w:firstLineChars="200"/>
    </w:pPr>
  </w:style>
  <w:style w:type="paragraph" w:customStyle="1" w:styleId="100">
    <w:name w:val="_Style 32"/>
    <w:basedOn w:val="1"/>
    <w:qFormat/>
    <w:uiPriority w:val="99"/>
    <w:rPr>
      <w:szCs w:val="20"/>
    </w:rPr>
  </w:style>
  <w:style w:type="paragraph" w:customStyle="1" w:styleId="101">
    <w:name w:val="彩色列表 - 强调文字颜色 11"/>
    <w:basedOn w:val="1"/>
    <w:qFormat/>
    <w:uiPriority w:val="99"/>
    <w:pPr>
      <w:ind w:firstLine="420" w:firstLineChars="200"/>
    </w:pPr>
  </w:style>
  <w:style w:type="paragraph" w:customStyle="1" w:styleId="102">
    <w:name w:val="Char Char Char Char Char Char Char"/>
    <w:basedOn w:val="1"/>
    <w:qFormat/>
    <w:uiPriority w:val="99"/>
    <w:rPr>
      <w:rFonts w:ascii="仿宋_GB2312" w:eastAsia="仿宋_GB2312"/>
      <w:b/>
      <w:sz w:val="32"/>
      <w:szCs w:val="32"/>
    </w:rPr>
  </w:style>
  <w:style w:type="paragraph" w:customStyle="1" w:styleId="103">
    <w:name w:val="Char Char Char Char Char Char Char Char Char Char Char Char Char1"/>
    <w:basedOn w:val="1"/>
    <w:qFormat/>
    <w:uiPriority w:val="99"/>
    <w:rPr>
      <w:rFonts w:ascii="Tahoma" w:hAnsi="Tahoma"/>
      <w:sz w:val="24"/>
      <w:szCs w:val="20"/>
    </w:rPr>
  </w:style>
  <w:style w:type="paragraph" w:customStyle="1" w:styleId="104">
    <w:name w:val="[Normal]"/>
    <w:qFormat/>
    <w:uiPriority w:val="99"/>
    <w:rPr>
      <w:rFonts w:ascii="宋体" w:hAnsi="宋体" w:eastAsia="宋体" w:cs="Times New Roman"/>
      <w:sz w:val="24"/>
      <w:szCs w:val="22"/>
      <w:lang w:val="zh-CN" w:eastAsia="zh-CN" w:bidi="ar-SA"/>
    </w:rPr>
  </w:style>
  <w:style w:type="paragraph" w:customStyle="1" w:styleId="10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6">
    <w:name w:val="默认段落字体 Para Char"/>
    <w:basedOn w:val="1"/>
    <w:qFormat/>
    <w:uiPriority w:val="99"/>
    <w:pPr>
      <w:tabs>
        <w:tab w:val="left" w:pos="360"/>
      </w:tabs>
      <w:adjustRightInd w:val="0"/>
      <w:textAlignment w:val="baseline"/>
    </w:pPr>
    <w:rPr>
      <w:kern w:val="0"/>
      <w:sz w:val="24"/>
      <w:szCs w:val="20"/>
    </w:rPr>
  </w:style>
  <w:style w:type="paragraph" w:customStyle="1" w:styleId="107">
    <w:name w:val="Char Char Char Char Char Char Char Char Char Char Char Char Char"/>
    <w:basedOn w:val="1"/>
    <w:qFormat/>
    <w:uiPriority w:val="99"/>
  </w:style>
  <w:style w:type="paragraph" w:customStyle="1" w:styleId="108">
    <w:name w:val="Char Char Char Char Char Char Char Char Char Char Char Char Char2"/>
    <w:basedOn w:val="1"/>
    <w:qFormat/>
    <w:uiPriority w:val="99"/>
    <w:rPr>
      <w:rFonts w:ascii="Tahoma" w:hAnsi="Tahoma"/>
      <w:sz w:val="24"/>
      <w:szCs w:val="20"/>
    </w:rPr>
  </w:style>
  <w:style w:type="paragraph" w:customStyle="1" w:styleId="109">
    <w:name w:val="bt1bt1"/>
    <w:basedOn w:val="2"/>
    <w:qFormat/>
    <w:uiPriority w:val="99"/>
    <w:pPr>
      <w:keepLines/>
      <w:spacing w:before="280" w:after="290"/>
    </w:pPr>
    <w:rPr>
      <w:rFonts w:ascii="黑体" w:eastAsia="黑体"/>
      <w:b w:val="0"/>
      <w:bCs w:val="0"/>
      <w:kern w:val="0"/>
      <w:sz w:val="36"/>
      <w:szCs w:val="36"/>
    </w:rPr>
  </w:style>
  <w:style w:type="paragraph" w:customStyle="1" w:styleId="110">
    <w:name w:val="ml"/>
    <w:basedOn w:val="31"/>
    <w:qFormat/>
    <w:uiPriority w:val="99"/>
    <w:pPr>
      <w:tabs>
        <w:tab w:val="clear" w:pos="9628"/>
      </w:tabs>
      <w:spacing w:before="120" w:after="120" w:line="240" w:lineRule="auto"/>
      <w:jc w:val="left"/>
    </w:pPr>
    <w:rPr>
      <w:rFonts w:ascii="Calibri" w:hAnsi="Calibri" w:eastAsia="宋体" w:cs="Calibri"/>
      <w:b/>
      <w:bCs w:val="0"/>
      <w:caps/>
      <w:kern w:val="0"/>
      <w:szCs w:val="20"/>
    </w:rPr>
  </w:style>
  <w:style w:type="paragraph" w:customStyle="1" w:styleId="111">
    <w:name w:val="xl55"/>
    <w:basedOn w:val="1"/>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12">
    <w:name w:val="标题 10"/>
    <w:basedOn w:val="3"/>
    <w:qFormat/>
    <w:uiPriority w:val="99"/>
    <w:pPr>
      <w:keepNext/>
      <w:adjustRightInd/>
      <w:spacing w:before="280" w:after="290" w:line="377" w:lineRule="auto"/>
      <w:jc w:val="center"/>
      <w:textAlignment w:val="auto"/>
    </w:pPr>
    <w:rPr>
      <w:rFonts w:ascii="方正黑体简体" w:eastAsia="方正黑体简体"/>
      <w:sz w:val="28"/>
      <w:szCs w:val="28"/>
    </w:rPr>
  </w:style>
  <w:style w:type="paragraph" w:customStyle="1" w:styleId="113">
    <w:name w:val="修订11"/>
    <w:qFormat/>
    <w:uiPriority w:val="99"/>
    <w:rPr>
      <w:rFonts w:ascii="Times New Roman" w:hAnsi="Times New Roman" w:eastAsia="宋体" w:cs="Times New Roman"/>
      <w:kern w:val="2"/>
      <w:sz w:val="21"/>
      <w:szCs w:val="24"/>
      <w:lang w:val="en-US" w:eastAsia="zh-CN" w:bidi="ar-SA"/>
    </w:rPr>
  </w:style>
  <w:style w:type="paragraph" w:customStyle="1" w:styleId="114">
    <w:name w:val="第四级"/>
    <w:basedOn w:val="1"/>
    <w:next w:val="89"/>
    <w:qFormat/>
    <w:uiPriority w:val="99"/>
    <w:pPr>
      <w:tabs>
        <w:tab w:val="left" w:pos="1134"/>
      </w:tabs>
      <w:adjustRightInd w:val="0"/>
      <w:spacing w:line="360" w:lineRule="auto"/>
      <w:textAlignment w:val="baseline"/>
    </w:pPr>
    <w:rPr>
      <w:rFonts w:ascii="宋体" w:hAnsi="宋体" w:eastAsia="仿宋"/>
      <w:kern w:val="0"/>
      <w:sz w:val="28"/>
      <w:szCs w:val="21"/>
    </w:rPr>
  </w:style>
  <w:style w:type="paragraph" w:customStyle="1" w:styleId="115">
    <w:name w:val="样式 标题 3 + (中文) 黑体 小四 非加粗 段前: 7.8 磅 段后: 0 磅 行距: 固定值 20 磅"/>
    <w:basedOn w:val="4"/>
    <w:qFormat/>
    <w:uiPriority w:val="99"/>
    <w:pPr>
      <w:spacing w:before="0" w:after="0" w:line="400" w:lineRule="exact"/>
      <w:ind w:firstLine="480" w:firstLineChars="200"/>
    </w:pPr>
    <w:rPr>
      <w:rFonts w:hAnsi="Arial" w:eastAsia="黑体" w:cs="宋体"/>
      <w:b w:val="0"/>
      <w:bCs w:val="0"/>
      <w:sz w:val="24"/>
      <w:szCs w:val="24"/>
    </w:rPr>
  </w:style>
  <w:style w:type="paragraph" w:customStyle="1" w:styleId="116">
    <w:name w:val="_Style 38"/>
    <w:basedOn w:val="19"/>
    <w:qFormat/>
    <w:uiPriority w:val="99"/>
    <w:rPr>
      <w:rFonts w:ascii="Tahoma" w:hAnsi="Tahoma"/>
      <w:sz w:val="24"/>
    </w:rPr>
  </w:style>
  <w:style w:type="paragraph" w:customStyle="1" w:styleId="117">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等线"/>
      <w:kern w:val="0"/>
      <w:sz w:val="24"/>
    </w:rPr>
  </w:style>
  <w:style w:type="paragraph" w:customStyle="1" w:styleId="118">
    <w:name w:val="Char"/>
    <w:basedOn w:val="1"/>
    <w:qFormat/>
    <w:uiPriority w:val="99"/>
    <w:pPr>
      <w:ind w:left="960" w:leftChars="400" w:firstLine="420" w:firstLineChars="200"/>
    </w:pPr>
    <w:rPr>
      <w:rFonts w:ascii="宋体" w:hAnsi="宋体"/>
      <w:szCs w:val="21"/>
    </w:rPr>
  </w:style>
  <w:style w:type="paragraph" w:customStyle="1" w:styleId="119">
    <w:name w:val="2级"/>
    <w:basedOn w:val="3"/>
    <w:next w:val="29"/>
    <w:qFormat/>
    <w:uiPriority w:val="99"/>
    <w:pPr>
      <w:keepNext/>
      <w:adjustRightInd/>
      <w:spacing w:before="260" w:after="260" w:line="415" w:lineRule="auto"/>
      <w:ind w:left="420"/>
      <w:textAlignment w:val="auto"/>
    </w:pPr>
    <w:rPr>
      <w:rFonts w:ascii="Cambria" w:hAnsi="Cambria"/>
      <w:bCs/>
      <w:sz w:val="30"/>
      <w:szCs w:val="32"/>
    </w:rPr>
  </w:style>
  <w:style w:type="paragraph" w:customStyle="1" w:styleId="120">
    <w:name w:val="Char1"/>
    <w:basedOn w:val="1"/>
    <w:qFormat/>
    <w:uiPriority w:val="99"/>
    <w:rPr>
      <w:szCs w:val="20"/>
    </w:rPr>
  </w:style>
  <w:style w:type="paragraph" w:customStyle="1" w:styleId="121">
    <w:name w:val="简单回函地址"/>
    <w:basedOn w:val="1"/>
    <w:qFormat/>
    <w:uiPriority w:val="99"/>
  </w:style>
  <w:style w:type="paragraph" w:customStyle="1" w:styleId="122">
    <w:name w:val="Char Char Char Char1"/>
    <w:basedOn w:val="1"/>
    <w:qFormat/>
    <w:uiPriority w:val="99"/>
    <w:rPr>
      <w:rFonts w:ascii="Tahoma" w:hAnsi="Tahoma"/>
      <w:sz w:val="24"/>
      <w:szCs w:val="20"/>
    </w:rPr>
  </w:style>
  <w:style w:type="paragraph" w:customStyle="1" w:styleId="123">
    <w:name w:val="Char Char Char Char"/>
    <w:basedOn w:val="19"/>
    <w:qFormat/>
    <w:uiPriority w:val="99"/>
    <w:rPr>
      <w:rFonts w:ascii="Tahoma" w:hAnsi="Tahoma"/>
      <w:sz w:val="24"/>
    </w:rPr>
  </w:style>
  <w:style w:type="paragraph" w:customStyle="1" w:styleId="124">
    <w:name w:val="彩色列表 - 强调文字颜色 12"/>
    <w:basedOn w:val="1"/>
    <w:qFormat/>
    <w:uiPriority w:val="99"/>
    <w:pPr>
      <w:ind w:firstLine="420" w:firstLineChars="200"/>
    </w:pPr>
  </w:style>
  <w:style w:type="paragraph" w:customStyle="1" w:styleId="125">
    <w:name w:val="纯文本2"/>
    <w:basedOn w:val="74"/>
    <w:qFormat/>
    <w:uiPriority w:val="99"/>
    <w:pPr>
      <w:widowControl/>
      <w:jc w:val="left"/>
    </w:pPr>
    <w:rPr>
      <w:rFonts w:ascii="宋体" w:hAnsi="Courier New"/>
    </w:rPr>
  </w:style>
  <w:style w:type="paragraph" w:customStyle="1" w:styleId="126">
    <w:name w:val="节"/>
    <w:basedOn w:val="3"/>
    <w:qFormat/>
    <w:uiPriority w:val="99"/>
    <w:pPr>
      <w:keepNext/>
      <w:tabs>
        <w:tab w:val="left" w:pos="432"/>
        <w:tab w:val="left" w:pos="576"/>
      </w:tabs>
      <w:adjustRightInd/>
      <w:spacing w:before="280" w:after="290" w:line="240" w:lineRule="auto"/>
      <w:ind w:left="576" w:hanging="576"/>
      <w:textAlignment w:val="auto"/>
    </w:pPr>
    <w:rPr>
      <w:rFonts w:ascii="黑体" w:eastAsia="方正黑体简体"/>
      <w:b w:val="0"/>
      <w:kern w:val="2"/>
      <w:sz w:val="28"/>
      <w:szCs w:val="28"/>
    </w:rPr>
  </w:style>
  <w:style w:type="paragraph" w:customStyle="1" w:styleId="127">
    <w:name w:val="标题 60"/>
    <w:basedOn w:val="7"/>
    <w:qFormat/>
    <w:uiPriority w:val="99"/>
    <w:pPr>
      <w:spacing w:line="319" w:lineRule="auto"/>
      <w:ind w:firstLine="200" w:firstLineChars="200"/>
    </w:pPr>
    <w:rPr>
      <w:b w:val="0"/>
      <w:szCs w:val="24"/>
    </w:rPr>
  </w:style>
  <w:style w:type="paragraph" w:customStyle="1" w:styleId="128">
    <w:name w:val="ml3"/>
    <w:basedOn w:val="31"/>
    <w:qFormat/>
    <w:uiPriority w:val="99"/>
    <w:pPr>
      <w:tabs>
        <w:tab w:val="clear" w:pos="9628"/>
      </w:tabs>
      <w:spacing w:before="120" w:after="120" w:line="240" w:lineRule="auto"/>
      <w:ind w:left="840" w:leftChars="400"/>
      <w:jc w:val="left"/>
    </w:pPr>
    <w:rPr>
      <w:rFonts w:ascii="Calibri" w:hAnsi="Calibri" w:eastAsia="宋体" w:cs="Calibri"/>
      <w:b/>
      <w:caps/>
      <w:szCs w:val="20"/>
    </w:rPr>
  </w:style>
  <w:style w:type="paragraph" w:customStyle="1" w:styleId="129">
    <w:name w:val="默认段落字体 Para Char Char Char Char Char Char Char"/>
    <w:basedOn w:val="1"/>
    <w:qFormat/>
    <w:uiPriority w:val="99"/>
    <w:rPr>
      <w:rFonts w:ascii="Tahoma" w:hAnsi="Tahoma"/>
      <w:sz w:val="24"/>
      <w:szCs w:val="20"/>
    </w:rPr>
  </w:style>
  <w:style w:type="paragraph" w:customStyle="1" w:styleId="130">
    <w:name w:val="p0"/>
    <w:basedOn w:val="1"/>
    <w:qFormat/>
    <w:uiPriority w:val="99"/>
    <w:pPr>
      <w:widowControl/>
      <w:spacing w:line="360" w:lineRule="auto"/>
    </w:pPr>
    <w:rPr>
      <w:rFonts w:cs="黑体"/>
      <w:kern w:val="0"/>
      <w:szCs w:val="21"/>
    </w:rPr>
  </w:style>
  <w:style w:type="paragraph" w:customStyle="1" w:styleId="131">
    <w:name w:val="保留正文"/>
    <w:basedOn w:val="15"/>
    <w:qFormat/>
    <w:uiPriority w:val="99"/>
    <w:pPr>
      <w:keepNext/>
      <w:spacing w:after="160"/>
    </w:pPr>
  </w:style>
  <w:style w:type="paragraph" w:customStyle="1" w:styleId="132">
    <w:name w:val="正文文本 (2)"/>
    <w:basedOn w:val="1"/>
    <w:qFormat/>
    <w:uiPriority w:val="99"/>
    <w:pPr>
      <w:shd w:val="clear" w:color="auto" w:fill="FFFFFF"/>
      <w:spacing w:line="319" w:lineRule="auto"/>
      <w:ind w:firstLine="120"/>
    </w:pPr>
    <w:rPr>
      <w:sz w:val="19"/>
      <w:szCs w:val="19"/>
      <w:lang w:val="zh-CN"/>
    </w:rPr>
  </w:style>
  <w:style w:type="paragraph" w:customStyle="1" w:styleId="133">
    <w:name w:val="正文文本1"/>
    <w:basedOn w:val="1"/>
    <w:qFormat/>
    <w:uiPriority w:val="99"/>
    <w:pPr>
      <w:shd w:val="clear" w:color="auto" w:fill="FFFFFF"/>
      <w:spacing w:line="326" w:lineRule="auto"/>
    </w:pPr>
    <w:rPr>
      <w:rFonts w:ascii="MingLiUfalt" w:hAnsi="MingLiUfalt" w:eastAsia="MingLiUfalt" w:cs="MingLiUfalt"/>
      <w:sz w:val="19"/>
      <w:szCs w:val="19"/>
      <w:lang w:val="zh-CN"/>
    </w:rPr>
  </w:style>
  <w:style w:type="paragraph" w:customStyle="1" w:styleId="13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35">
    <w:name w:val="表格文字"/>
    <w:basedOn w:val="136"/>
    <w:next w:val="15"/>
    <w:qFormat/>
    <w:uiPriority w:val="0"/>
    <w:pPr>
      <w:spacing w:line="420" w:lineRule="atLeast"/>
    </w:pPr>
    <w:rPr>
      <w:rFonts w:ascii="Times New Roman" w:hAnsi="Times New Roman"/>
      <w:szCs w:val="24"/>
    </w:rPr>
  </w:style>
  <w:style w:type="paragraph" w:customStyle="1" w:styleId="136">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137">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138">
    <w:name w:val="zw1"/>
    <w:basedOn w:val="1"/>
    <w:qFormat/>
    <w:uiPriority w:val="0"/>
    <w:pPr>
      <w:spacing w:line="360" w:lineRule="auto"/>
      <w:ind w:firstLine="560" w:firstLineChars="200"/>
    </w:pPr>
    <w:rPr>
      <w:sz w:val="28"/>
      <w:szCs w:val="20"/>
    </w:rPr>
  </w:style>
  <w:style w:type="paragraph" w:customStyle="1" w:styleId="139">
    <w:name w:val="Body text|1"/>
    <w:basedOn w:val="1"/>
    <w:qFormat/>
    <w:uiPriority w:val="0"/>
    <w:pPr>
      <w:spacing w:line="473" w:lineRule="auto"/>
      <w:ind w:firstLine="400"/>
    </w:pPr>
    <w:rPr>
      <w:rFonts w:ascii="宋体" w:hAnsi="宋体" w:cs="宋体"/>
      <w:sz w:val="20"/>
      <w:szCs w:val="20"/>
      <w:lang w:val="zh-TW" w:eastAsia="zh-TW" w:bidi="zh-TW"/>
    </w:rPr>
  </w:style>
  <w:style w:type="paragraph" w:customStyle="1" w:styleId="140">
    <w:name w:val="Table Paragraph"/>
    <w:basedOn w:val="1"/>
    <w:qFormat/>
    <w:uiPriority w:val="1"/>
    <w:pPr>
      <w:spacing w:before="103"/>
      <w:ind w:left="98"/>
      <w:jc w:val="center"/>
    </w:pPr>
    <w:rPr>
      <w:rFonts w:ascii="宋体" w:hAnsi="宋体" w:cs="宋体"/>
      <w:lang w:eastAsia="en-US" w:bidi="en-US"/>
    </w:rPr>
  </w:style>
  <w:style w:type="paragraph" w:customStyle="1" w:styleId="141">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列出段落3"/>
    <w:basedOn w:val="1"/>
    <w:qFormat/>
    <w:uiPriority w:val="0"/>
    <w:pPr>
      <w:spacing w:line="360" w:lineRule="auto"/>
      <w:ind w:firstLine="420" w:firstLineChars="200"/>
    </w:pPr>
    <w:rPr>
      <w:rFonts w:ascii="Calibri" w:hAnsi="Calibri"/>
      <w:sz w:val="24"/>
      <w:szCs w:val="22"/>
    </w:rPr>
  </w:style>
  <w:style w:type="paragraph" w:customStyle="1" w:styleId="143">
    <w:name w:val="BodyText"/>
    <w:basedOn w:val="1"/>
    <w:next w:val="1"/>
    <w:qFormat/>
    <w:uiPriority w:val="0"/>
    <w:pPr>
      <w:spacing w:after="120"/>
      <w:textAlignment w:val="baseline"/>
    </w:pPr>
    <w:rPr>
      <w:rFonts w:cs="宋体"/>
      <w:szCs w:val="22"/>
    </w:rPr>
  </w:style>
  <w:style w:type="paragraph" w:customStyle="1" w:styleId="144">
    <w:name w:val="PlainText"/>
    <w:basedOn w:val="1"/>
    <w:qFormat/>
    <w:uiPriority w:val="0"/>
    <w:pPr>
      <w:textAlignment w:val="baseline"/>
    </w:pPr>
    <w:rPr>
      <w:rFonts w:ascii="宋体" w:hAnsi="Courier New" w:eastAsia="仿宋_GB2312" w:cs="宋体"/>
      <w:b/>
      <w:bCs/>
      <w:color w:val="000000"/>
      <w:szCs w:val="22"/>
    </w:rPr>
  </w:style>
  <w:style w:type="character" w:customStyle="1" w:styleId="145">
    <w:name w:val="标题 1 Char2"/>
    <w:basedOn w:val="38"/>
    <w:link w:val="2"/>
    <w:qFormat/>
    <w:locked/>
    <w:uiPriority w:val="99"/>
    <w:rPr>
      <w:rFonts w:ascii="楷体_GB2312" w:eastAsia="楷体_GB2312" w:cs="Times New Roman"/>
      <w:b/>
      <w:kern w:val="2"/>
      <w:sz w:val="24"/>
    </w:rPr>
  </w:style>
  <w:style w:type="character" w:customStyle="1" w:styleId="146">
    <w:name w:val="标题 2 Char1"/>
    <w:basedOn w:val="38"/>
    <w:link w:val="3"/>
    <w:qFormat/>
    <w:locked/>
    <w:uiPriority w:val="99"/>
    <w:rPr>
      <w:rFonts w:eastAsia="黑体" w:cs="Times New Roman"/>
      <w:b/>
      <w:sz w:val="32"/>
    </w:rPr>
  </w:style>
  <w:style w:type="character" w:customStyle="1" w:styleId="147">
    <w:name w:val="标题 3 Char2"/>
    <w:basedOn w:val="38"/>
    <w:link w:val="4"/>
    <w:qFormat/>
    <w:locked/>
    <w:uiPriority w:val="99"/>
    <w:rPr>
      <w:rFonts w:cs="Times New Roman"/>
      <w:b/>
      <w:kern w:val="2"/>
      <w:sz w:val="32"/>
    </w:rPr>
  </w:style>
  <w:style w:type="character" w:customStyle="1" w:styleId="148">
    <w:name w:val="标题 4 Char2"/>
    <w:basedOn w:val="38"/>
    <w:link w:val="5"/>
    <w:semiHidden/>
    <w:qFormat/>
    <w:locked/>
    <w:uiPriority w:val="99"/>
    <w:rPr>
      <w:rFonts w:ascii="Cambria" w:hAnsi="Cambria" w:eastAsia="宋体" w:cs="Times New Roman"/>
      <w:b/>
      <w:kern w:val="2"/>
      <w:sz w:val="28"/>
    </w:rPr>
  </w:style>
  <w:style w:type="character" w:customStyle="1" w:styleId="149">
    <w:name w:val="标题 5 Char"/>
    <w:basedOn w:val="38"/>
    <w:link w:val="6"/>
    <w:qFormat/>
    <w:locked/>
    <w:uiPriority w:val="99"/>
    <w:rPr>
      <w:rFonts w:cs="Times New Roman"/>
      <w:b/>
      <w:bCs/>
      <w:kern w:val="2"/>
      <w:sz w:val="28"/>
      <w:szCs w:val="28"/>
    </w:rPr>
  </w:style>
  <w:style w:type="character" w:customStyle="1" w:styleId="150">
    <w:name w:val="标题 6 Char"/>
    <w:basedOn w:val="38"/>
    <w:link w:val="7"/>
    <w:qFormat/>
    <w:locked/>
    <w:uiPriority w:val="99"/>
    <w:rPr>
      <w:rFonts w:ascii="Arial" w:hAnsi="Arial" w:eastAsia="黑体" w:cs="Times New Roman"/>
      <w:b/>
      <w:kern w:val="2"/>
      <w:sz w:val="24"/>
    </w:rPr>
  </w:style>
  <w:style w:type="character" w:customStyle="1" w:styleId="151">
    <w:name w:val="标题 7 Char"/>
    <w:basedOn w:val="38"/>
    <w:link w:val="9"/>
    <w:qFormat/>
    <w:locked/>
    <w:uiPriority w:val="99"/>
    <w:rPr>
      <w:rFonts w:cs="Times New Roman"/>
      <w:b/>
      <w:kern w:val="2"/>
      <w:sz w:val="24"/>
    </w:rPr>
  </w:style>
  <w:style w:type="character" w:customStyle="1" w:styleId="152">
    <w:name w:val="标题 8 Char"/>
    <w:basedOn w:val="38"/>
    <w:link w:val="10"/>
    <w:qFormat/>
    <w:locked/>
    <w:uiPriority w:val="99"/>
    <w:rPr>
      <w:rFonts w:ascii="Arial" w:hAnsi="Arial" w:eastAsia="黑体" w:cs="Times New Roman"/>
      <w:kern w:val="2"/>
      <w:sz w:val="24"/>
    </w:rPr>
  </w:style>
  <w:style w:type="character" w:customStyle="1" w:styleId="153">
    <w:name w:val="标题 9 Char"/>
    <w:basedOn w:val="38"/>
    <w:link w:val="11"/>
    <w:qFormat/>
    <w:locked/>
    <w:uiPriority w:val="99"/>
    <w:rPr>
      <w:rFonts w:ascii="Arial" w:hAnsi="Arial" w:eastAsia="黑体" w:cs="Times New Roman"/>
      <w:kern w:val="2"/>
      <w:sz w:val="21"/>
    </w:rPr>
  </w:style>
  <w:style w:type="character" w:customStyle="1" w:styleId="154">
    <w:name w:val="正文文本 Char2"/>
    <w:basedOn w:val="38"/>
    <w:link w:val="15"/>
    <w:qFormat/>
    <w:locked/>
    <w:uiPriority w:val="99"/>
    <w:rPr>
      <w:rFonts w:cs="Times New Roman"/>
      <w:kern w:val="2"/>
      <w:sz w:val="24"/>
    </w:rPr>
  </w:style>
  <w:style w:type="character" w:customStyle="1" w:styleId="155">
    <w:name w:val="正文首行缩进 Char"/>
    <w:basedOn w:val="154"/>
    <w:link w:val="14"/>
    <w:qFormat/>
    <w:locked/>
    <w:uiPriority w:val="99"/>
    <w:rPr>
      <w:rFonts w:cs="Times New Roman"/>
      <w:kern w:val="2"/>
      <w:sz w:val="24"/>
      <w:szCs w:val="24"/>
    </w:rPr>
  </w:style>
  <w:style w:type="character" w:customStyle="1" w:styleId="156">
    <w:name w:val="文档结构图 Char1"/>
    <w:basedOn w:val="38"/>
    <w:link w:val="19"/>
    <w:qFormat/>
    <w:locked/>
    <w:uiPriority w:val="99"/>
    <w:rPr>
      <w:rFonts w:cs="Times New Roman"/>
      <w:kern w:val="2"/>
      <w:sz w:val="24"/>
      <w:szCs w:val="24"/>
      <w:shd w:val="clear" w:color="auto" w:fill="000080"/>
    </w:rPr>
  </w:style>
  <w:style w:type="character" w:customStyle="1" w:styleId="157">
    <w:name w:val="批注文字 Char2"/>
    <w:basedOn w:val="38"/>
    <w:link w:val="13"/>
    <w:semiHidden/>
    <w:qFormat/>
    <w:locked/>
    <w:uiPriority w:val="99"/>
    <w:rPr>
      <w:rFonts w:cs="Times New Roman"/>
      <w:kern w:val="2"/>
      <w:sz w:val="24"/>
      <w:szCs w:val="24"/>
    </w:rPr>
  </w:style>
  <w:style w:type="character" w:customStyle="1" w:styleId="158">
    <w:name w:val="正文文本缩进 Char1"/>
    <w:basedOn w:val="38"/>
    <w:link w:val="20"/>
    <w:qFormat/>
    <w:locked/>
    <w:uiPriority w:val="99"/>
    <w:rPr>
      <w:rFonts w:cs="Times New Roman"/>
      <w:kern w:val="2"/>
      <w:sz w:val="24"/>
      <w:szCs w:val="24"/>
    </w:rPr>
  </w:style>
  <w:style w:type="character" w:customStyle="1" w:styleId="159">
    <w:name w:val="纯文本 Char2"/>
    <w:basedOn w:val="38"/>
    <w:link w:val="24"/>
    <w:qFormat/>
    <w:locked/>
    <w:uiPriority w:val="99"/>
    <w:rPr>
      <w:rFonts w:ascii="宋体" w:hAnsi="Courier New" w:eastAsia="宋体" w:cs="Times New Roman"/>
      <w:sz w:val="21"/>
      <w:lang w:val="en-US" w:eastAsia="zh-CN"/>
    </w:rPr>
  </w:style>
  <w:style w:type="character" w:customStyle="1" w:styleId="160">
    <w:name w:val="日期 Char1"/>
    <w:basedOn w:val="38"/>
    <w:link w:val="25"/>
    <w:qFormat/>
    <w:locked/>
    <w:uiPriority w:val="99"/>
    <w:rPr>
      <w:rFonts w:cs="Times New Roman"/>
      <w:kern w:val="2"/>
      <w:sz w:val="24"/>
      <w:szCs w:val="24"/>
    </w:rPr>
  </w:style>
  <w:style w:type="character" w:customStyle="1" w:styleId="161">
    <w:name w:val="正文文本缩进 2 Char1"/>
    <w:basedOn w:val="38"/>
    <w:link w:val="26"/>
    <w:qFormat/>
    <w:locked/>
    <w:uiPriority w:val="99"/>
    <w:rPr>
      <w:rFonts w:cs="Times New Roman"/>
      <w:kern w:val="2"/>
      <w:sz w:val="24"/>
      <w:szCs w:val="24"/>
    </w:rPr>
  </w:style>
  <w:style w:type="character" w:customStyle="1" w:styleId="162">
    <w:name w:val="批注框文本 Char1"/>
    <w:basedOn w:val="38"/>
    <w:link w:val="27"/>
    <w:semiHidden/>
    <w:qFormat/>
    <w:locked/>
    <w:uiPriority w:val="99"/>
    <w:rPr>
      <w:rFonts w:cs="Times New Roman"/>
      <w:kern w:val="2"/>
      <w:sz w:val="18"/>
      <w:szCs w:val="18"/>
    </w:rPr>
  </w:style>
  <w:style w:type="character" w:customStyle="1" w:styleId="163">
    <w:name w:val="页脚 Char2"/>
    <w:basedOn w:val="38"/>
    <w:link w:val="28"/>
    <w:qFormat/>
    <w:locked/>
    <w:uiPriority w:val="99"/>
    <w:rPr>
      <w:rFonts w:cs="Times New Roman"/>
      <w:kern w:val="2"/>
      <w:sz w:val="18"/>
    </w:rPr>
  </w:style>
  <w:style w:type="character" w:customStyle="1" w:styleId="164">
    <w:name w:val="Header Char"/>
    <w:basedOn w:val="38"/>
    <w:qFormat/>
    <w:locked/>
    <w:uiPriority w:val="99"/>
    <w:rPr>
      <w:rFonts w:cs="Times New Roman"/>
      <w:sz w:val="18"/>
    </w:rPr>
  </w:style>
  <w:style w:type="character" w:customStyle="1" w:styleId="165">
    <w:name w:val="副标题 Char1"/>
    <w:basedOn w:val="38"/>
    <w:link w:val="32"/>
    <w:qFormat/>
    <w:locked/>
    <w:uiPriority w:val="99"/>
    <w:rPr>
      <w:rFonts w:ascii="Cambria" w:hAnsi="Cambria" w:cs="黑体"/>
      <w:b/>
      <w:bCs/>
      <w:kern w:val="28"/>
      <w:sz w:val="32"/>
      <w:szCs w:val="32"/>
    </w:rPr>
  </w:style>
  <w:style w:type="character" w:customStyle="1" w:styleId="166">
    <w:name w:val="正文文本缩进 3 Char1"/>
    <w:basedOn w:val="38"/>
    <w:link w:val="34"/>
    <w:qFormat/>
    <w:locked/>
    <w:uiPriority w:val="99"/>
    <w:rPr>
      <w:rFonts w:cs="Times New Roman"/>
      <w:kern w:val="2"/>
      <w:sz w:val="24"/>
      <w:szCs w:val="24"/>
    </w:rPr>
  </w:style>
  <w:style w:type="character" w:customStyle="1" w:styleId="167">
    <w:name w:val="标题 Char1"/>
    <w:basedOn w:val="38"/>
    <w:link w:val="37"/>
    <w:qFormat/>
    <w:locked/>
    <w:uiPriority w:val="99"/>
    <w:rPr>
      <w:rFonts w:ascii="Cambria" w:hAnsi="Cambria" w:cs="Times New Roman"/>
      <w:b/>
      <w:bCs/>
      <w:kern w:val="2"/>
      <w:sz w:val="32"/>
      <w:szCs w:val="32"/>
    </w:rPr>
  </w:style>
  <w:style w:type="character" w:customStyle="1" w:styleId="168">
    <w:name w:val="批注主题 Char1"/>
    <w:basedOn w:val="157"/>
    <w:link w:val="12"/>
    <w:semiHidden/>
    <w:qFormat/>
    <w:locked/>
    <w:uiPriority w:val="99"/>
    <w:rPr>
      <w:rFonts w:cs="Times New Roman"/>
      <w:b/>
      <w:bCs/>
      <w:kern w:val="2"/>
      <w:sz w:val="24"/>
      <w:szCs w:val="24"/>
    </w:rPr>
  </w:style>
  <w:style w:type="character" w:customStyle="1" w:styleId="169">
    <w:name w:val="正文首行缩进 2 Char"/>
    <w:basedOn w:val="158"/>
    <w:link w:val="29"/>
    <w:semiHidden/>
    <w:qFormat/>
    <w:locked/>
    <w:uiPriority w:val="99"/>
    <w:rPr>
      <w:rFonts w:eastAsia="宋体" w:cs="Times New Roman"/>
      <w:kern w:val="2"/>
      <w:sz w:val="24"/>
      <w:szCs w:val="24"/>
    </w:rPr>
  </w:style>
  <w:style w:type="character" w:customStyle="1" w:styleId="170">
    <w:name w:val="标题 4 Char1"/>
    <w:basedOn w:val="38"/>
    <w:qFormat/>
    <w:uiPriority w:val="99"/>
    <w:rPr>
      <w:rFonts w:ascii="Times New Roman" w:hAnsi="Times New Roman" w:eastAsia="宋体" w:cs="Times New Roman"/>
      <w:sz w:val="20"/>
      <w:szCs w:val="20"/>
    </w:rPr>
  </w:style>
  <w:style w:type="character" w:customStyle="1" w:styleId="171">
    <w:name w:val="文档结构图 Char"/>
    <w:qFormat/>
    <w:uiPriority w:val="99"/>
    <w:rPr>
      <w:rFonts w:ascii="宋体" w:hAnsi="Times New Roman" w:eastAsia="宋体"/>
      <w:sz w:val="18"/>
    </w:rPr>
  </w:style>
  <w:style w:type="character" w:customStyle="1" w:styleId="172">
    <w:name w:val="列出段落 Char"/>
    <w:qFormat/>
    <w:uiPriority w:val="99"/>
    <w:rPr>
      <w:rFonts w:ascii="Times New Roman" w:hAnsi="Times New Roman" w:eastAsia="宋体"/>
      <w:sz w:val="20"/>
    </w:rPr>
  </w:style>
  <w:style w:type="character" w:customStyle="1" w:styleId="173">
    <w:name w:val="标题 9 Char1"/>
    <w:basedOn w:val="38"/>
    <w:qFormat/>
    <w:uiPriority w:val="99"/>
    <w:rPr>
      <w:rFonts w:ascii="Arial" w:hAnsi="Arial" w:eastAsia="黑体" w:cs="Times New Roman"/>
      <w:sz w:val="21"/>
      <w:szCs w:val="21"/>
    </w:rPr>
  </w:style>
  <w:style w:type="character" w:customStyle="1" w:styleId="174">
    <w:name w:val="批注文字 Char1"/>
    <w:qFormat/>
    <w:uiPriority w:val="99"/>
    <w:rPr>
      <w:kern w:val="2"/>
      <w:sz w:val="21"/>
    </w:rPr>
  </w:style>
  <w:style w:type="character" w:customStyle="1" w:styleId="175">
    <w:name w:val="正文4 Char"/>
    <w:link w:val="51"/>
    <w:qFormat/>
    <w:locked/>
    <w:uiPriority w:val="99"/>
    <w:rPr>
      <w:kern w:val="2"/>
      <w:sz w:val="24"/>
    </w:rPr>
  </w:style>
  <w:style w:type="character" w:customStyle="1" w:styleId="176">
    <w:name w:val="正文文本缩进 2 Char"/>
    <w:link w:val="52"/>
    <w:qFormat/>
    <w:locked/>
    <w:uiPriority w:val="99"/>
    <w:rPr>
      <w:rFonts w:ascii="仿宋_GB2312" w:eastAsia="仿宋_GB2312"/>
      <w:b/>
      <w:sz w:val="24"/>
    </w:rPr>
  </w:style>
  <w:style w:type="character" w:customStyle="1" w:styleId="177">
    <w:name w:val="标题 3 Char"/>
    <w:qFormat/>
    <w:uiPriority w:val="99"/>
    <w:rPr>
      <w:rFonts w:ascii="黑体" w:hAnsi="Times New Roman" w:eastAsia="黑体"/>
      <w:kern w:val="0"/>
      <w:sz w:val="20"/>
    </w:rPr>
  </w:style>
  <w:style w:type="character" w:customStyle="1" w:styleId="178">
    <w:name w:val="文档正文 Char"/>
    <w:link w:val="53"/>
    <w:qFormat/>
    <w:locked/>
    <w:uiPriority w:val="99"/>
    <w:rPr>
      <w:rFonts w:ascii="Tahoma" w:hAnsi="Tahoma" w:eastAsia="仿宋_GB2312"/>
      <w:sz w:val="28"/>
      <w:lang w:val="en-US" w:eastAsia="zh-CN"/>
    </w:rPr>
  </w:style>
  <w:style w:type="character" w:customStyle="1" w:styleId="179">
    <w:name w:val="标题 Char"/>
    <w:basedOn w:val="38"/>
    <w:qFormat/>
    <w:uiPriority w:val="99"/>
    <w:rPr>
      <w:rFonts w:ascii="Cambria" w:hAnsi="Cambria" w:cs="Times New Roman"/>
      <w:b/>
      <w:bCs/>
      <w:kern w:val="2"/>
      <w:sz w:val="32"/>
      <w:szCs w:val="32"/>
    </w:rPr>
  </w:style>
  <w:style w:type="character" w:customStyle="1" w:styleId="180">
    <w:name w:val="标题 7 Char1"/>
    <w:basedOn w:val="38"/>
    <w:qFormat/>
    <w:uiPriority w:val="99"/>
    <w:rPr>
      <w:rFonts w:ascii="Times New Roman" w:hAnsi="Times New Roman" w:eastAsia="宋体" w:cs="Times New Roman"/>
      <w:b/>
      <w:bCs/>
      <w:sz w:val="24"/>
      <w:szCs w:val="24"/>
    </w:rPr>
  </w:style>
  <w:style w:type="character" w:customStyle="1" w:styleId="181">
    <w:name w:val="页眉 Char"/>
    <w:qFormat/>
    <w:uiPriority w:val="99"/>
    <w:rPr>
      <w:rFonts w:ascii="Times New Roman" w:hAnsi="Times New Roman" w:eastAsia="宋体"/>
      <w:sz w:val="18"/>
    </w:rPr>
  </w:style>
  <w:style w:type="character" w:customStyle="1" w:styleId="182">
    <w:name w:val="Texte Char Char"/>
    <w:qFormat/>
    <w:uiPriority w:val="99"/>
    <w:rPr>
      <w:rFonts w:ascii="宋体" w:hAnsi="Courier New" w:eastAsia="宋体"/>
      <w:sz w:val="21"/>
      <w:lang w:val="en-US" w:eastAsia="zh-CN"/>
    </w:rPr>
  </w:style>
  <w:style w:type="character" w:customStyle="1" w:styleId="183">
    <w:name w:val="BZ_二级标题 Char"/>
    <w:link w:val="54"/>
    <w:qFormat/>
    <w:locked/>
    <w:uiPriority w:val="99"/>
    <w:rPr>
      <w:rFonts w:eastAsia="楷体"/>
      <w:b/>
      <w:kern w:val="2"/>
      <w:sz w:val="32"/>
    </w:rPr>
  </w:style>
  <w:style w:type="character" w:customStyle="1" w:styleId="184">
    <w:name w:val="正文缩进 Char1"/>
    <w:link w:val="8"/>
    <w:qFormat/>
    <w:locked/>
    <w:uiPriority w:val="99"/>
    <w:rPr>
      <w:rFonts w:eastAsia="宋体"/>
      <w:sz w:val="21"/>
      <w:lang w:val="en-US" w:eastAsia="zh-CN"/>
    </w:rPr>
  </w:style>
  <w:style w:type="character" w:customStyle="1" w:styleId="185">
    <w:name w:val="正文文本首行缩进 字符"/>
    <w:link w:val="55"/>
    <w:qFormat/>
    <w:locked/>
    <w:uiPriority w:val="99"/>
    <w:rPr>
      <w:rFonts w:ascii="仿宋_GB2312"/>
      <w:kern w:val="2"/>
      <w:sz w:val="24"/>
    </w:rPr>
  </w:style>
  <w:style w:type="character" w:customStyle="1" w:styleId="186">
    <w:name w:val="index-text3"/>
    <w:basedOn w:val="38"/>
    <w:qFormat/>
    <w:uiPriority w:val="99"/>
    <w:rPr>
      <w:rFonts w:cs="Times New Roman"/>
    </w:rPr>
  </w:style>
  <w:style w:type="character" w:customStyle="1" w:styleId="187">
    <w:name w:val="l正文 Char"/>
    <w:link w:val="56"/>
    <w:qFormat/>
    <w:locked/>
    <w:uiPriority w:val="99"/>
    <w:rPr>
      <w:rFonts w:ascii="宋体" w:eastAsia="宋体"/>
      <w:sz w:val="24"/>
    </w:rPr>
  </w:style>
  <w:style w:type="character" w:customStyle="1" w:styleId="188">
    <w:name w:val="￥正文 Char"/>
    <w:link w:val="57"/>
    <w:qFormat/>
    <w:locked/>
    <w:uiPriority w:val="99"/>
    <w:rPr>
      <w:sz w:val="24"/>
    </w:rPr>
  </w:style>
  <w:style w:type="character" w:customStyle="1" w:styleId="189">
    <w:name w:val="style44"/>
    <w:qFormat/>
    <w:uiPriority w:val="99"/>
  </w:style>
  <w:style w:type="character" w:customStyle="1" w:styleId="190">
    <w:name w:val="Char Char2"/>
    <w:qFormat/>
    <w:uiPriority w:val="99"/>
    <w:rPr>
      <w:rFonts w:ascii="宋体" w:hAnsi="Courier New" w:eastAsia="宋体"/>
      <w:kern w:val="2"/>
      <w:sz w:val="21"/>
      <w:lang w:val="en-US" w:eastAsia="zh-CN"/>
    </w:rPr>
  </w:style>
  <w:style w:type="character" w:customStyle="1" w:styleId="191">
    <w:name w:val="页脚 Char1"/>
    <w:basedOn w:val="38"/>
    <w:qFormat/>
    <w:uiPriority w:val="99"/>
    <w:rPr>
      <w:rFonts w:cs="Times New Roman"/>
      <w:sz w:val="18"/>
      <w:szCs w:val="18"/>
    </w:rPr>
  </w:style>
  <w:style w:type="character" w:customStyle="1" w:styleId="192">
    <w:name w:val="标题 5 Char1"/>
    <w:basedOn w:val="38"/>
    <w:qFormat/>
    <w:uiPriority w:val="99"/>
    <w:rPr>
      <w:rFonts w:ascii="Times New Roman" w:hAnsi="Times New Roman" w:eastAsia="宋体" w:cs="Times New Roman"/>
      <w:b/>
      <w:bCs/>
      <w:sz w:val="28"/>
      <w:szCs w:val="28"/>
    </w:rPr>
  </w:style>
  <w:style w:type="character" w:customStyle="1" w:styleId="193">
    <w:name w:val="段落文字 Char"/>
    <w:link w:val="58"/>
    <w:qFormat/>
    <w:locked/>
    <w:uiPriority w:val="99"/>
    <w:rPr>
      <w:sz w:val="24"/>
    </w:rPr>
  </w:style>
  <w:style w:type="character" w:customStyle="1" w:styleId="194">
    <w:name w:val="标题 4 Char"/>
    <w:qFormat/>
    <w:uiPriority w:val="99"/>
    <w:rPr>
      <w:rFonts w:ascii="Times New Roman" w:hAnsi="Times New Roman" w:eastAsia="宋体"/>
      <w:sz w:val="20"/>
    </w:rPr>
  </w:style>
  <w:style w:type="character" w:customStyle="1" w:styleId="195">
    <w:name w:val="样式6 列表并列 Char"/>
    <w:link w:val="59"/>
    <w:qFormat/>
    <w:locked/>
    <w:uiPriority w:val="99"/>
    <w:rPr>
      <w:rFonts w:ascii="Arial" w:hAnsi="Arial" w:eastAsia="宋体"/>
      <w:kern w:val="21"/>
      <w:sz w:val="24"/>
      <w:lang w:val="en-US" w:eastAsia="zh-CN"/>
    </w:rPr>
  </w:style>
  <w:style w:type="character" w:customStyle="1" w:styleId="196">
    <w:name w:val="批注主题 Char"/>
    <w:semiHidden/>
    <w:qFormat/>
    <w:uiPriority w:val="99"/>
    <w:rPr>
      <w:rFonts w:ascii="Times New Roman" w:hAnsi="Times New Roman" w:eastAsia="宋体"/>
      <w:b/>
      <w:sz w:val="20"/>
    </w:rPr>
  </w:style>
  <w:style w:type="character" w:customStyle="1" w:styleId="197">
    <w:name w:val="标题 8 Char1"/>
    <w:basedOn w:val="38"/>
    <w:qFormat/>
    <w:uiPriority w:val="99"/>
    <w:rPr>
      <w:rFonts w:ascii="Arial" w:hAnsi="Arial" w:eastAsia="黑体" w:cs="Times New Roman"/>
      <w:sz w:val="24"/>
      <w:szCs w:val="24"/>
    </w:rPr>
  </w:style>
  <w:style w:type="character" w:customStyle="1" w:styleId="198">
    <w:name w:val="Char Char Char"/>
    <w:qFormat/>
    <w:uiPriority w:val="99"/>
    <w:rPr>
      <w:rFonts w:ascii="宋体" w:hAnsi="Courier New" w:eastAsia="宋体"/>
      <w:sz w:val="21"/>
      <w:lang w:val="en-US" w:eastAsia="zh-CN"/>
    </w:rPr>
  </w:style>
  <w:style w:type="character" w:customStyle="1" w:styleId="199">
    <w:name w:val="style21"/>
    <w:qFormat/>
    <w:uiPriority w:val="99"/>
    <w:rPr>
      <w:sz w:val="15"/>
    </w:rPr>
  </w:style>
  <w:style w:type="character" w:customStyle="1" w:styleId="200">
    <w:name w:val="哈哈正文 Char"/>
    <w:link w:val="60"/>
    <w:qFormat/>
    <w:locked/>
    <w:uiPriority w:val="99"/>
    <w:rPr>
      <w:rFonts w:ascii="宋体" w:hAnsi="宋体" w:eastAsia="宋体"/>
      <w:kern w:val="2"/>
      <w:sz w:val="24"/>
      <w:lang w:val="en-US" w:eastAsia="zh-CN"/>
    </w:rPr>
  </w:style>
  <w:style w:type="character" w:customStyle="1" w:styleId="201">
    <w:name w:val="标题 1 Char1"/>
    <w:basedOn w:val="38"/>
    <w:qFormat/>
    <w:uiPriority w:val="99"/>
    <w:rPr>
      <w:rFonts w:ascii="方正黑体简体" w:hAnsi="Times New Roman" w:eastAsia="方正黑体简体" w:cs="Times New Roman"/>
      <w:b/>
      <w:kern w:val="0"/>
      <w:sz w:val="28"/>
      <w:szCs w:val="28"/>
    </w:rPr>
  </w:style>
  <w:style w:type="character" w:customStyle="1" w:styleId="202">
    <w:name w:val="Char Char1"/>
    <w:qFormat/>
    <w:uiPriority w:val="99"/>
    <w:rPr>
      <w:rFonts w:ascii="楷体_GB2312" w:eastAsia="楷体_GB2312"/>
      <w:sz w:val="28"/>
    </w:rPr>
  </w:style>
  <w:style w:type="character" w:customStyle="1" w:styleId="203">
    <w:name w:val="正文文本 Char"/>
    <w:qFormat/>
    <w:uiPriority w:val="99"/>
    <w:rPr>
      <w:rFonts w:ascii="Times New Roman" w:hAnsi="Times New Roman" w:eastAsia="宋体"/>
      <w:sz w:val="20"/>
    </w:rPr>
  </w:style>
  <w:style w:type="character" w:customStyle="1" w:styleId="204">
    <w:name w:val="*正文 Char"/>
    <w:link w:val="61"/>
    <w:qFormat/>
    <w:locked/>
    <w:uiPriority w:val="99"/>
    <w:rPr>
      <w:rFonts w:ascii="宋体" w:eastAsia="宋体"/>
      <w:kern w:val="2"/>
      <w:sz w:val="24"/>
    </w:rPr>
  </w:style>
  <w:style w:type="character" w:customStyle="1" w:styleId="205">
    <w:name w:val="正文缩进 Char"/>
    <w:qFormat/>
    <w:uiPriority w:val="99"/>
    <w:rPr>
      <w:rFonts w:ascii="仿宋_GB2312" w:eastAsia="宋体"/>
      <w:b/>
      <w:sz w:val="32"/>
      <w:lang w:val="en-US" w:eastAsia="zh-CN"/>
    </w:rPr>
  </w:style>
  <w:style w:type="character" w:customStyle="1" w:styleId="206">
    <w:name w:val="apple-converted-space"/>
    <w:qFormat/>
    <w:uiPriority w:val="99"/>
  </w:style>
  <w:style w:type="character" w:customStyle="1" w:styleId="207">
    <w:name w:val="BZ_三级标题 Char"/>
    <w:link w:val="62"/>
    <w:qFormat/>
    <w:locked/>
    <w:uiPriority w:val="99"/>
    <w:rPr>
      <w:rFonts w:eastAsia="黑体"/>
      <w:b/>
      <w:kern w:val="2"/>
      <w:sz w:val="28"/>
    </w:rPr>
  </w:style>
  <w:style w:type="character" w:customStyle="1" w:styleId="208">
    <w:name w:val="正文文本 Char1"/>
    <w:basedOn w:val="38"/>
    <w:qFormat/>
    <w:uiPriority w:val="99"/>
    <w:rPr>
      <w:rFonts w:ascii="Times New Roman" w:hAnsi="Times New Roman" w:eastAsia="宋体" w:cs="Times New Roman"/>
      <w:sz w:val="20"/>
      <w:szCs w:val="20"/>
    </w:rPr>
  </w:style>
  <w:style w:type="character" w:customStyle="1" w:styleId="209">
    <w:name w:val="日期 Char"/>
    <w:qFormat/>
    <w:uiPriority w:val="99"/>
    <w:rPr>
      <w:rFonts w:ascii="Times New Roman" w:hAnsi="Times New Roman" w:eastAsia="宋体"/>
      <w:sz w:val="20"/>
    </w:rPr>
  </w:style>
  <w:style w:type="character" w:customStyle="1" w:styleId="210">
    <w:name w:val="批注框文本 Char"/>
    <w:semiHidden/>
    <w:qFormat/>
    <w:uiPriority w:val="99"/>
    <w:rPr>
      <w:rFonts w:ascii="Times New Roman" w:hAnsi="Times New Roman" w:eastAsia="宋体"/>
      <w:sz w:val="18"/>
    </w:rPr>
  </w:style>
  <w:style w:type="character" w:customStyle="1" w:styleId="211">
    <w:name w:val="纯文本 Char"/>
    <w:qFormat/>
    <w:uiPriority w:val="99"/>
    <w:rPr>
      <w:rFonts w:ascii="宋体" w:hAnsi="Courier New" w:eastAsia="宋体"/>
      <w:sz w:val="21"/>
      <w:lang w:val="en-US" w:eastAsia="zh-CN"/>
    </w:rPr>
  </w:style>
  <w:style w:type="character" w:customStyle="1" w:styleId="212">
    <w:name w:val="Char Char6"/>
    <w:qFormat/>
    <w:uiPriority w:val="99"/>
    <w:rPr>
      <w:b/>
      <w:kern w:val="2"/>
      <w:sz w:val="32"/>
    </w:rPr>
  </w:style>
  <w:style w:type="character" w:customStyle="1" w:styleId="213">
    <w:name w:val="标题 2 Char"/>
    <w:qFormat/>
    <w:uiPriority w:val="99"/>
    <w:rPr>
      <w:rFonts w:ascii="Arial" w:hAnsi="Arial" w:eastAsia="黑体"/>
      <w:b/>
      <w:sz w:val="32"/>
    </w:rPr>
  </w:style>
  <w:style w:type="character" w:customStyle="1" w:styleId="214">
    <w:name w:val="BZ_一级标题 Char"/>
    <w:link w:val="63"/>
    <w:qFormat/>
    <w:locked/>
    <w:uiPriority w:val="99"/>
    <w:rPr>
      <w:rFonts w:eastAsia="华文中宋"/>
      <w:b/>
      <w:kern w:val="44"/>
      <w:sz w:val="36"/>
    </w:rPr>
  </w:style>
  <w:style w:type="character" w:customStyle="1" w:styleId="215">
    <w:name w:val="正文文本缩进 3 Char"/>
    <w:qFormat/>
    <w:uiPriority w:val="99"/>
    <w:rPr>
      <w:rFonts w:ascii="Times New Roman" w:hAnsi="Times New Roman" w:eastAsia="宋体"/>
      <w:sz w:val="20"/>
    </w:rPr>
  </w:style>
  <w:style w:type="character" w:customStyle="1" w:styleId="216">
    <w:name w:val="标题 6 Char1"/>
    <w:basedOn w:val="38"/>
    <w:qFormat/>
    <w:uiPriority w:val="99"/>
    <w:rPr>
      <w:rFonts w:ascii="Arial" w:hAnsi="Arial" w:eastAsia="黑体" w:cs="Times New Roman"/>
      <w:b/>
      <w:bCs/>
      <w:sz w:val="24"/>
      <w:szCs w:val="24"/>
    </w:rPr>
  </w:style>
  <w:style w:type="character" w:customStyle="1" w:styleId="217">
    <w:name w:val="style7"/>
    <w:qFormat/>
    <w:uiPriority w:val="99"/>
  </w:style>
  <w:style w:type="character" w:customStyle="1" w:styleId="218">
    <w:name w:val="批注文字 Char"/>
    <w:qFormat/>
    <w:uiPriority w:val="99"/>
    <w:rPr>
      <w:rFonts w:ascii="Times New Roman" w:hAnsi="Times New Roman" w:eastAsia="宋体"/>
      <w:sz w:val="24"/>
    </w:rPr>
  </w:style>
  <w:style w:type="character" w:customStyle="1" w:styleId="219">
    <w:name w:val="页脚 Char"/>
    <w:qFormat/>
    <w:uiPriority w:val="99"/>
    <w:rPr>
      <w:rFonts w:ascii="Times New Roman" w:hAnsi="Times New Roman" w:eastAsia="宋体"/>
      <w:sz w:val="18"/>
    </w:rPr>
  </w:style>
  <w:style w:type="character" w:customStyle="1" w:styleId="220">
    <w:name w:val="页眉 Char2"/>
    <w:link w:val="30"/>
    <w:qFormat/>
    <w:locked/>
    <w:uiPriority w:val="99"/>
    <w:rPr>
      <w:kern w:val="2"/>
      <w:sz w:val="18"/>
    </w:rPr>
  </w:style>
  <w:style w:type="character" w:customStyle="1" w:styleId="221">
    <w:name w:val="标题 1 Char"/>
    <w:qFormat/>
    <w:uiPriority w:val="99"/>
    <w:rPr>
      <w:rFonts w:ascii="Times New Roman" w:hAnsi="Times New Roman" w:eastAsia="宋体"/>
      <w:b/>
      <w:kern w:val="44"/>
      <w:sz w:val="44"/>
    </w:rPr>
  </w:style>
  <w:style w:type="character" w:customStyle="1" w:styleId="222">
    <w:name w:val="正文文本缩进 Char"/>
    <w:qFormat/>
    <w:uiPriority w:val="99"/>
    <w:rPr>
      <w:rFonts w:ascii="楷体_GB2312" w:hAnsi="Times New Roman" w:eastAsia="楷体_GB2312"/>
      <w:kern w:val="0"/>
      <w:sz w:val="20"/>
    </w:rPr>
  </w:style>
  <w:style w:type="character" w:customStyle="1" w:styleId="223">
    <w:name w:val="页眉 Char1"/>
    <w:basedOn w:val="38"/>
    <w:qFormat/>
    <w:uiPriority w:val="99"/>
    <w:rPr>
      <w:rFonts w:cs="Times New Roman"/>
      <w:sz w:val="18"/>
      <w:szCs w:val="18"/>
    </w:rPr>
  </w:style>
  <w:style w:type="character" w:customStyle="1" w:styleId="224">
    <w:name w:val="正文缩进 Char2"/>
    <w:qFormat/>
    <w:uiPriority w:val="99"/>
    <w:rPr>
      <w:rFonts w:eastAsia="宋体"/>
      <w:sz w:val="21"/>
      <w:lang w:val="en-US" w:eastAsia="zh-CN"/>
    </w:rPr>
  </w:style>
  <w:style w:type="character" w:customStyle="1" w:styleId="225">
    <w:name w:val="标题 3 Char1"/>
    <w:basedOn w:val="38"/>
    <w:qFormat/>
    <w:uiPriority w:val="99"/>
    <w:rPr>
      <w:rFonts w:ascii="Arial" w:hAnsi="Arial" w:eastAsia="黑体" w:cs="Times New Roman"/>
      <w:sz w:val="24"/>
      <w:szCs w:val="24"/>
    </w:rPr>
  </w:style>
  <w:style w:type="character" w:customStyle="1" w:styleId="226">
    <w:name w:val="纯文本 Char1"/>
    <w:qFormat/>
    <w:uiPriority w:val="99"/>
    <w:rPr>
      <w:rFonts w:ascii="宋体" w:hAnsi="Courier New" w:eastAsia="宋体"/>
      <w:sz w:val="21"/>
      <w:lang w:val="en-US" w:eastAsia="zh-CN"/>
    </w:rPr>
  </w:style>
  <w:style w:type="character" w:customStyle="1" w:styleId="227">
    <w:name w:val="副标题 Char"/>
    <w:basedOn w:val="38"/>
    <w:qFormat/>
    <w:uiPriority w:val="99"/>
    <w:rPr>
      <w:rFonts w:ascii="Cambria" w:hAnsi="Cambria" w:cs="Times New Roman"/>
      <w:b/>
      <w:bCs/>
      <w:kern w:val="28"/>
      <w:sz w:val="32"/>
      <w:szCs w:val="32"/>
    </w:rPr>
  </w:style>
  <w:style w:type="character" w:customStyle="1" w:styleId="228">
    <w:name w:val="font11"/>
    <w:basedOn w:val="38"/>
    <w:qFormat/>
    <w:uiPriority w:val="0"/>
    <w:rPr>
      <w:rFonts w:hint="eastAsia" w:ascii="宋体" w:hAnsi="宋体" w:eastAsia="宋体" w:cs="宋体"/>
      <w:color w:val="000000"/>
      <w:sz w:val="20"/>
      <w:szCs w:val="20"/>
      <w:u w:val="none"/>
    </w:rPr>
  </w:style>
  <w:style w:type="character" w:customStyle="1" w:styleId="229">
    <w:name w:val="font71"/>
    <w:basedOn w:val="38"/>
    <w:qFormat/>
    <w:uiPriority w:val="0"/>
    <w:rPr>
      <w:rFonts w:hint="eastAsia" w:ascii="宋体" w:hAnsi="宋体" w:eastAsia="宋体" w:cs="宋体"/>
      <w:color w:val="000000"/>
      <w:sz w:val="20"/>
      <w:szCs w:val="20"/>
      <w:u w:val="none"/>
    </w:rPr>
  </w:style>
  <w:style w:type="character" w:customStyle="1" w:styleId="230">
    <w:name w:val="font21"/>
    <w:basedOn w:val="38"/>
    <w:qFormat/>
    <w:uiPriority w:val="0"/>
    <w:rPr>
      <w:rFonts w:hint="eastAsia" w:ascii="微软雅黑" w:hAnsi="微软雅黑" w:eastAsia="微软雅黑" w:cs="微软雅黑"/>
      <w:color w:val="000000"/>
      <w:sz w:val="12"/>
      <w:szCs w:val="12"/>
      <w:u w:val="none"/>
    </w:rPr>
  </w:style>
  <w:style w:type="character" w:customStyle="1" w:styleId="231">
    <w:name w:val="area_1"/>
    <w:qFormat/>
    <w:uiPriority w:val="0"/>
    <w:rPr>
      <w:rFonts w:ascii="宋体" w:hAnsi="宋体"/>
      <w:sz w:val="24"/>
    </w:rPr>
  </w:style>
  <w:style w:type="character" w:customStyle="1" w:styleId="232">
    <w:name w:val="font41"/>
    <w:basedOn w:val="38"/>
    <w:qFormat/>
    <w:uiPriority w:val="0"/>
    <w:rPr>
      <w:rFonts w:hint="eastAsia" w:ascii="宋体" w:hAnsi="宋体" w:eastAsia="宋体" w:cs="宋体"/>
      <w:color w:val="000000"/>
      <w:sz w:val="20"/>
      <w:szCs w:val="20"/>
      <w:u w:val="none"/>
    </w:rPr>
  </w:style>
  <w:style w:type="character" w:customStyle="1" w:styleId="233">
    <w:name w:val="font81"/>
    <w:basedOn w:val="38"/>
    <w:qFormat/>
    <w:uiPriority w:val="0"/>
    <w:rPr>
      <w:rFonts w:hint="eastAsia" w:ascii="宋体" w:hAnsi="宋体" w:eastAsia="宋体" w:cs="宋体"/>
      <w:color w:val="FF0000"/>
      <w:sz w:val="20"/>
      <w:szCs w:val="20"/>
      <w:u w:val="none"/>
    </w:rPr>
  </w:style>
  <w:style w:type="character" w:customStyle="1" w:styleId="234">
    <w:name w:val="font101"/>
    <w:basedOn w:val="38"/>
    <w:qFormat/>
    <w:uiPriority w:val="0"/>
    <w:rPr>
      <w:rFonts w:hint="eastAsia" w:ascii="黑体" w:hAnsi="宋体" w:eastAsia="黑体" w:cs="黑体"/>
      <w:color w:val="000000"/>
      <w:sz w:val="16"/>
      <w:szCs w:val="16"/>
      <w:u w:val="none"/>
    </w:rPr>
  </w:style>
  <w:style w:type="character" w:customStyle="1" w:styleId="235">
    <w:name w:val="font121"/>
    <w:basedOn w:val="38"/>
    <w:qFormat/>
    <w:uiPriority w:val="0"/>
    <w:rPr>
      <w:rFonts w:ascii="华文细黑" w:hAnsi="华文细黑" w:eastAsia="华文细黑" w:cs="华文细黑"/>
      <w:color w:val="000000"/>
      <w:sz w:val="16"/>
      <w:szCs w:val="16"/>
      <w:u w:val="none"/>
    </w:rPr>
  </w:style>
  <w:style w:type="character" w:customStyle="1" w:styleId="236">
    <w:name w:val="font131"/>
    <w:basedOn w:val="38"/>
    <w:qFormat/>
    <w:uiPriority w:val="0"/>
    <w:rPr>
      <w:rFonts w:hint="eastAsia" w:ascii="宋体" w:hAnsi="宋体" w:eastAsia="宋体" w:cs="宋体"/>
      <w:color w:val="000000"/>
      <w:sz w:val="16"/>
      <w:szCs w:val="16"/>
      <w:u w:val="none"/>
    </w:rPr>
  </w:style>
  <w:style w:type="character" w:customStyle="1" w:styleId="237">
    <w:name w:val="font01"/>
    <w:basedOn w:val="38"/>
    <w:qFormat/>
    <w:uiPriority w:val="0"/>
    <w:rPr>
      <w:rFonts w:hint="eastAsia" w:ascii="黑体" w:hAnsi="宋体" w:eastAsia="黑体" w:cs="黑体"/>
      <w:color w:val="000000"/>
      <w:sz w:val="16"/>
      <w:szCs w:val="16"/>
      <w:u w:val="none"/>
    </w:rPr>
  </w:style>
  <w:style w:type="character" w:customStyle="1" w:styleId="238">
    <w:name w:val="font111"/>
    <w:basedOn w:val="38"/>
    <w:qFormat/>
    <w:uiPriority w:val="0"/>
    <w:rPr>
      <w:rFonts w:hint="eastAsia" w:ascii="宋体" w:hAnsi="宋体" w:eastAsia="宋体" w:cs="宋体"/>
      <w:color w:val="000000"/>
      <w:sz w:val="16"/>
      <w:szCs w:val="16"/>
      <w:u w:val="none"/>
    </w:rPr>
  </w:style>
  <w:style w:type="character" w:customStyle="1" w:styleId="239">
    <w:name w:val="font112"/>
    <w:basedOn w:val="38"/>
    <w:qFormat/>
    <w:uiPriority w:val="0"/>
    <w:rPr>
      <w:rFonts w:hint="eastAsia" w:ascii="宋体" w:hAnsi="宋体" w:eastAsia="宋体" w:cs="宋体"/>
      <w:color w:val="000000"/>
      <w:sz w:val="16"/>
      <w:szCs w:val="16"/>
      <w:u w:val="none"/>
    </w:rPr>
  </w:style>
  <w:style w:type="character" w:customStyle="1" w:styleId="240">
    <w:name w:val="font141"/>
    <w:basedOn w:val="38"/>
    <w:qFormat/>
    <w:uiPriority w:val="0"/>
    <w:rPr>
      <w:rFonts w:hint="eastAsia" w:ascii="宋体" w:hAnsi="宋体" w:eastAsia="宋体" w:cs="宋体"/>
      <w:color w:val="000000"/>
      <w:sz w:val="16"/>
      <w:szCs w:val="16"/>
      <w:u w:val="none"/>
    </w:rPr>
  </w:style>
  <w:style w:type="character" w:customStyle="1" w:styleId="241">
    <w:name w:val="font151"/>
    <w:basedOn w:val="38"/>
    <w:qFormat/>
    <w:uiPriority w:val="0"/>
    <w:rPr>
      <w:rFonts w:ascii="华文细黑" w:hAnsi="华文细黑" w:eastAsia="华文细黑" w:cs="华文细黑"/>
      <w:color w:val="000000"/>
      <w:sz w:val="16"/>
      <w:szCs w:val="16"/>
      <w:u w:val="none"/>
    </w:rPr>
  </w:style>
  <w:style w:type="character" w:customStyle="1" w:styleId="242">
    <w:name w:val="font161"/>
    <w:basedOn w:val="38"/>
    <w:qFormat/>
    <w:uiPriority w:val="0"/>
    <w:rPr>
      <w:rFonts w:hint="eastAsia" w:ascii="宋体" w:hAnsi="宋体" w:eastAsia="宋体" w:cs="宋体"/>
      <w:color w:val="000000"/>
      <w:sz w:val="24"/>
      <w:szCs w:val="24"/>
      <w:u w:val="none"/>
    </w:rPr>
  </w:style>
  <w:style w:type="character" w:customStyle="1" w:styleId="243">
    <w:name w:val="font31"/>
    <w:basedOn w:val="38"/>
    <w:qFormat/>
    <w:uiPriority w:val="0"/>
    <w:rPr>
      <w:rFonts w:hint="eastAsia" w:ascii="微软雅黑" w:hAnsi="微软雅黑" w:eastAsia="微软雅黑" w:cs="微软雅黑"/>
      <w:color w:val="000000"/>
      <w:sz w:val="20"/>
      <w:szCs w:val="20"/>
      <w:u w:val="none"/>
    </w:rPr>
  </w:style>
  <w:style w:type="character" w:customStyle="1" w:styleId="244">
    <w:name w:val="font61"/>
    <w:basedOn w:val="38"/>
    <w:qFormat/>
    <w:uiPriority w:val="0"/>
    <w:rPr>
      <w:rFonts w:hint="eastAsia" w:ascii="微软雅黑" w:hAnsi="微软雅黑" w:eastAsia="微软雅黑" w:cs="微软雅黑"/>
      <w:b/>
      <w:bCs/>
      <w:color w:val="FF0000"/>
      <w:sz w:val="20"/>
      <w:szCs w:val="20"/>
      <w:u w:val="none"/>
    </w:rPr>
  </w:style>
  <w:style w:type="character" w:customStyle="1" w:styleId="245">
    <w:name w:val="font51"/>
    <w:basedOn w:val="38"/>
    <w:qFormat/>
    <w:uiPriority w:val="0"/>
    <w:rPr>
      <w:rFonts w:hint="eastAsia" w:ascii="黑体" w:hAnsi="宋体" w:eastAsia="黑体" w:cs="黑体"/>
      <w:color w:val="000000"/>
      <w:sz w:val="20"/>
      <w:szCs w:val="20"/>
      <w:u w:val="none"/>
    </w:rPr>
  </w:style>
  <w:style w:type="character" w:customStyle="1" w:styleId="246">
    <w:name w:val="NormalCharacter"/>
    <w:qFormat/>
    <w:uiPriority w:val="0"/>
  </w:style>
  <w:style w:type="table" w:customStyle="1" w:styleId="247">
    <w:name w:val="网格型1"/>
    <w:qFormat/>
    <w:uiPriority w:val="99"/>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248">
    <w:name w:val="网格型2"/>
    <w:qFormat/>
    <w:uiPriority w:val="99"/>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249">
    <w:name w:val="专业型1"/>
    <w:qFormat/>
    <w:uiPriority w:val="99"/>
    <w:pPr>
      <w:widowControl w:val="0"/>
      <w:jc w:val="both"/>
    </w:pPr>
    <w:tblPr>
      <w:tblStyle w:val="45"/>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29431</Words>
  <Characters>30657</Characters>
  <Lines>230</Lines>
  <Paragraphs>64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2021-03-19T11:02:00Z</dcterms:created>
  <dc:creator>LCMZX</dc:creator>
  <cp:lastModifiedBy>Lenovo</cp:lastModifiedBy>
  <cp:lastPrinted>2024-11-08T15:11:00Z</cp:lastPrinted>
  <dcterms:modified xsi:type="dcterms:W3CDTF">2024-11-19T08:18:34Z</dcterms:modified>
  <dc:title>温州市政府采购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B61BF2EF84944DC08EE820B8BD571C36</vt:lpwstr>
  </property>
  <property fmtid="{D5CDD505-2E9C-101B-9397-08002B2CF9AE}" pid="4" name="commondata">
    <vt:lpwstr>eyJoZGlkIjoiZDRhNzcwYWMxNDc0YjRjN2UxZDk1NTg4ZWEwNTIzZDUifQ==</vt:lpwstr>
  </property>
</Properties>
</file>