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left"/>
        <w:rPr>
          <w:rFonts w:hint="eastAsia" w:ascii="宋体" w:hAnsi="宋体" w:cs="宋体"/>
          <w:b/>
          <w:color w:val="auto"/>
          <w:sz w:val="44"/>
          <w:szCs w:val="44"/>
          <w:highlight w:val="none"/>
        </w:rPr>
      </w:pPr>
    </w:p>
    <w:p>
      <w:pPr>
        <w:adjustRightInd/>
        <w:spacing w:line="360" w:lineRule="auto"/>
        <w:jc w:val="left"/>
        <w:rPr>
          <w:rFonts w:hint="eastAsia"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pStyle w:val="2"/>
        <w:rPr>
          <w:color w:val="auto"/>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2024年温州市公安局鹿城区分局计算机采购项目</w:t>
      </w:r>
    </w:p>
    <w:p>
      <w:pPr>
        <w:adjustRightInd/>
        <w:spacing w:line="360" w:lineRule="auto"/>
        <w:jc w:val="center"/>
        <w:rPr>
          <w:rFonts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公开招标</w:t>
      </w:r>
    </w:p>
    <w:p>
      <w:pPr>
        <w:adjustRightInd/>
        <w:spacing w:line="360" w:lineRule="auto"/>
        <w:jc w:val="center"/>
        <w:rPr>
          <w:rFonts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编号:Z-GBLC20240920006</w:t>
      </w:r>
    </w:p>
    <w:p>
      <w:pPr>
        <w:snapToGrid w:val="0"/>
        <w:spacing w:line="360" w:lineRule="auto"/>
        <w:jc w:val="center"/>
        <w:rPr>
          <w:rFonts w:ascii="宋体" w:hAnsi="宋体" w:cs="宋体"/>
          <w:color w:val="auto"/>
          <w:sz w:val="30"/>
          <w:szCs w:val="30"/>
          <w:highlight w:val="none"/>
        </w:rPr>
      </w:pPr>
    </w:p>
    <w:p>
      <w:pPr>
        <w:pStyle w:val="2"/>
        <w:rPr>
          <w:rFonts w:ascii="宋体" w:hAnsi="宋体" w:cs="宋体"/>
          <w:color w:val="auto"/>
          <w:sz w:val="30"/>
          <w:szCs w:val="30"/>
          <w:highlight w:val="none"/>
        </w:rPr>
      </w:pPr>
    </w:p>
    <w:p>
      <w:pPr>
        <w:rPr>
          <w:rFonts w:ascii="宋体" w:hAnsi="宋体" w:cs="宋体"/>
          <w:color w:val="auto"/>
          <w:sz w:val="30"/>
          <w:szCs w:val="30"/>
          <w:highlight w:val="none"/>
        </w:rPr>
      </w:pPr>
    </w:p>
    <w:p>
      <w:pPr>
        <w:pStyle w:val="2"/>
        <w:rPr>
          <w:rFonts w:ascii="宋体" w:hAnsi="宋体" w:cs="宋体"/>
          <w:color w:val="auto"/>
          <w:sz w:val="30"/>
          <w:szCs w:val="30"/>
          <w:highlight w:val="none"/>
        </w:rPr>
      </w:pPr>
    </w:p>
    <w:p>
      <w:pPr>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color w:val="auto"/>
          <w:highlight w:val="none"/>
        </w:rPr>
      </w:pPr>
    </w:p>
    <w:p>
      <w:pPr>
        <w:snapToGrid w:val="0"/>
        <w:spacing w:line="360" w:lineRule="auto"/>
        <w:jc w:val="center"/>
        <w:rPr>
          <w:rFonts w:hint="eastAsia" w:ascii="黑体" w:hAnsi="宋体" w:eastAsia="黑体" w:cs="Arial"/>
          <w:b w:val="0"/>
          <w:bCs/>
          <w:color w:val="auto"/>
          <w:sz w:val="28"/>
          <w:szCs w:val="28"/>
          <w:highlight w:val="none"/>
        </w:rPr>
      </w:pPr>
      <w:r>
        <w:rPr>
          <w:rFonts w:hint="eastAsia" w:ascii="黑体" w:hAnsi="宋体" w:eastAsia="黑体" w:cs="Arial"/>
          <w:b w:val="0"/>
          <w:bCs/>
          <w:color w:val="auto"/>
          <w:sz w:val="28"/>
          <w:szCs w:val="28"/>
          <w:highlight w:val="none"/>
        </w:rPr>
        <w:t>温州市公安局鹿城区分局</w:t>
      </w:r>
    </w:p>
    <w:p>
      <w:pPr>
        <w:snapToGrid w:val="0"/>
        <w:spacing w:line="360" w:lineRule="auto"/>
        <w:jc w:val="center"/>
        <w:rPr>
          <w:rFonts w:ascii="宋体" w:hAnsi="宋体" w:cs="宋体"/>
          <w:bCs/>
          <w:color w:val="auto"/>
          <w:sz w:val="30"/>
          <w:szCs w:val="30"/>
          <w:highlight w:val="none"/>
        </w:rPr>
      </w:pPr>
      <w:r>
        <w:rPr>
          <w:rFonts w:hint="eastAsia" w:ascii="宋体" w:hAnsi="宋体" w:cs="宋体"/>
          <w:bCs/>
          <w:color w:val="auto"/>
          <w:sz w:val="30"/>
          <w:szCs w:val="30"/>
          <w:highlight w:val="none"/>
        </w:rPr>
        <w:t>温州市公共资源交易中心鹿城分中心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月</w:t>
      </w:r>
    </w:p>
    <w:p>
      <w:pPr>
        <w:widowControl/>
        <w:adjustRightInd/>
        <w:spacing w:line="24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第六部分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履约验收方案</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第七部分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560" w:lineRule="exact"/>
        <w:ind w:left="567" w:leftChars="270" w:right="565" w:rightChars="269" w:firstLine="424" w:firstLineChars="202"/>
        <w:rPr>
          <w:rFonts w:ascii="楷体" w:hAnsi="楷体" w:eastAsia="楷体"/>
          <w:bCs/>
          <w:color w:val="auto"/>
          <w:szCs w:val="21"/>
          <w:highlight w:val="none"/>
          <w:u w:val="single"/>
        </w:rPr>
      </w:pPr>
    </w:p>
    <w:p>
      <w:pPr>
        <w:spacing w:line="560" w:lineRule="exact"/>
        <w:ind w:left="567" w:leftChars="270" w:right="565" w:rightChars="269" w:firstLine="424" w:firstLineChars="202"/>
        <w:rPr>
          <w:rFonts w:ascii="楷体" w:hAnsi="楷体" w:eastAsia="楷体"/>
          <w:bCs/>
          <w:color w:val="auto"/>
          <w:szCs w:val="21"/>
          <w:highlight w:val="none"/>
          <w:u w:val="single"/>
        </w:rPr>
      </w:pPr>
    </w:p>
    <w:p>
      <w:pPr>
        <w:spacing w:line="560" w:lineRule="exact"/>
        <w:ind w:left="567" w:leftChars="270" w:right="565" w:rightChars="269" w:firstLine="424" w:firstLineChars="202"/>
        <w:rPr>
          <w:rFonts w:ascii="宋体" w:hAnsi="宋体"/>
          <w:b/>
          <w:bCs/>
          <w:color w:val="auto"/>
          <w:szCs w:val="21"/>
          <w:highlight w:val="none"/>
        </w:rPr>
      </w:pPr>
      <w:r>
        <w:rPr>
          <w:rFonts w:hint="eastAsia" w:ascii="楷体" w:hAnsi="楷体" w:eastAsia="楷体"/>
          <w:bCs/>
          <w:color w:val="auto"/>
          <w:szCs w:val="21"/>
          <w:highlight w:val="none"/>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bookmarkEnd w:id="1"/>
    <w:p>
      <w:pPr>
        <w:widowControl/>
        <w:adjustRightInd/>
        <w:jc w:val="left"/>
        <w:rPr>
          <w:rFonts w:ascii="宋体" w:hAnsi="宋体" w:cs="宋体"/>
          <w:b/>
          <w:color w:val="auto"/>
          <w:sz w:val="36"/>
          <w:szCs w:val="20"/>
          <w:highlight w:val="none"/>
        </w:rPr>
      </w:pPr>
      <w:bookmarkStart w:id="2" w:name="_Hlt74649545"/>
      <w:bookmarkEnd w:id="2"/>
      <w:bookmarkStart w:id="3" w:name="_Hlt74728647"/>
      <w:bookmarkEnd w:id="3"/>
      <w:bookmarkStart w:id="4" w:name="_Hlt74707423"/>
      <w:bookmarkEnd w:id="4"/>
      <w:bookmarkStart w:id="5" w:name="_Hlt74729822"/>
      <w:bookmarkEnd w:id="5"/>
      <w:bookmarkStart w:id="6" w:name="第二部分"/>
      <w:bookmarkStart w:id="7" w:name="_Toc91899870"/>
      <w:bookmarkStart w:id="8" w:name="_Toc91899871"/>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2024年温州市公安局鹿城区分局计算机采购项目招标项目的潜在投标人应在政采云平台（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pPr>
        <w:numPr>
          <w:numId w:val="0"/>
        </w:numPr>
        <w:spacing w:line="360" w:lineRule="auto"/>
        <w:rPr>
          <w:rFonts w:hint="eastAsia" w:cs="宋体"/>
          <w:color w:val="auto"/>
          <w:sz w:val="24"/>
          <w:szCs w:val="24"/>
          <w:highlight w:val="none"/>
        </w:rPr>
      </w:pPr>
      <w:r>
        <w:rPr>
          <w:rFonts w:hint="eastAsia" w:cs="宋体"/>
          <w:color w:val="auto"/>
          <w:sz w:val="24"/>
          <w:szCs w:val="24"/>
          <w:highlight w:val="none"/>
        </w:rPr>
        <w:t>项目编号：Z-GBLC20240920006 </w:t>
      </w:r>
    </w:p>
    <w:p>
      <w:pPr>
        <w:numPr>
          <w:numId w:val="0"/>
        </w:numPr>
        <w:spacing w:line="360" w:lineRule="auto"/>
        <w:rPr>
          <w:rFonts w:hint="eastAsia" w:cs="宋体"/>
          <w:color w:val="auto"/>
          <w:sz w:val="24"/>
          <w:szCs w:val="24"/>
          <w:highlight w:val="none"/>
        </w:rPr>
      </w:pPr>
      <w:r>
        <w:rPr>
          <w:rFonts w:hint="eastAsia" w:cs="宋体"/>
          <w:color w:val="auto"/>
          <w:sz w:val="24"/>
          <w:szCs w:val="24"/>
          <w:highlight w:val="none"/>
        </w:rPr>
        <w:t>项目名称：2024年温州市公安局鹿城区分局计算机采购项目</w:t>
      </w:r>
    </w:p>
    <w:p>
      <w:pPr>
        <w:numPr>
          <w:numId w:val="0"/>
        </w:numPr>
        <w:spacing w:line="360" w:lineRule="auto"/>
        <w:rPr>
          <w:rFonts w:hint="eastAsia" w:cs="宋体"/>
          <w:color w:val="auto"/>
          <w:sz w:val="24"/>
          <w:szCs w:val="24"/>
          <w:highlight w:val="none"/>
        </w:rPr>
      </w:pPr>
      <w:r>
        <w:rPr>
          <w:rFonts w:hint="eastAsia" w:cs="宋体"/>
          <w:color w:val="auto"/>
          <w:sz w:val="24"/>
          <w:szCs w:val="24"/>
          <w:highlight w:val="none"/>
        </w:rPr>
        <w:t>预算金额（元）：1600000  </w:t>
      </w:r>
    </w:p>
    <w:p>
      <w:pPr>
        <w:numPr>
          <w:numId w:val="0"/>
        </w:numPr>
        <w:spacing w:line="360" w:lineRule="auto"/>
        <w:rPr>
          <w:rFonts w:hint="eastAsia" w:cs="宋体"/>
          <w:color w:val="auto"/>
          <w:sz w:val="24"/>
          <w:szCs w:val="24"/>
          <w:highlight w:val="none"/>
        </w:rPr>
      </w:pPr>
      <w:r>
        <w:rPr>
          <w:rFonts w:hint="eastAsia" w:cs="宋体"/>
          <w:color w:val="auto"/>
          <w:sz w:val="24"/>
          <w:szCs w:val="24"/>
          <w:highlight w:val="none"/>
        </w:rPr>
        <w:t>最高限价（元）：/ </w:t>
      </w:r>
    </w:p>
    <w:p>
      <w:pPr>
        <w:numPr>
          <w:numId w:val="0"/>
        </w:numPr>
        <w:spacing w:line="360" w:lineRule="auto"/>
        <w:rPr>
          <w:rFonts w:hint="eastAsia" w:cs="宋体"/>
          <w:color w:val="auto"/>
          <w:sz w:val="24"/>
          <w:szCs w:val="24"/>
          <w:highlight w:val="none"/>
        </w:rPr>
      </w:pPr>
      <w:r>
        <w:rPr>
          <w:rFonts w:hint="eastAsia" w:cs="宋体"/>
          <w:color w:val="auto"/>
          <w:sz w:val="24"/>
          <w:szCs w:val="24"/>
          <w:highlight w:val="none"/>
        </w:rPr>
        <w:t>采购需求：</w:t>
      </w:r>
    </w:p>
    <w:p>
      <w:pPr>
        <w:numPr>
          <w:numId w:val="0"/>
        </w:numPr>
        <w:spacing w:line="360" w:lineRule="auto"/>
        <w:rPr>
          <w:rFonts w:hint="eastAsia" w:cs="宋体"/>
          <w:color w:val="auto"/>
          <w:sz w:val="24"/>
          <w:szCs w:val="24"/>
          <w:highlight w:val="none"/>
        </w:rPr>
      </w:pPr>
      <w:r>
        <w:rPr>
          <w:rFonts w:hint="eastAsia" w:cs="宋体"/>
          <w:color w:val="auto"/>
          <w:sz w:val="24"/>
          <w:szCs w:val="24"/>
          <w:highlight w:val="none"/>
        </w:rPr>
        <w:t>标项名称: 2024年温州市公安局鹿城区分局计算机采购项目 </w:t>
      </w:r>
      <w:r>
        <w:rPr>
          <w:rFonts w:hint="eastAsia" w:cs="宋体"/>
          <w:color w:val="auto"/>
          <w:sz w:val="24"/>
          <w:szCs w:val="24"/>
          <w:highlight w:val="none"/>
        </w:rPr>
        <w:br w:type="textWrapping"/>
      </w:r>
      <w:r>
        <w:rPr>
          <w:rFonts w:hint="eastAsia" w:cs="宋体"/>
          <w:color w:val="auto"/>
          <w:sz w:val="24"/>
          <w:szCs w:val="24"/>
          <w:highlight w:val="none"/>
        </w:rPr>
        <w:t>数量: 不限  </w:t>
      </w:r>
      <w:r>
        <w:rPr>
          <w:rFonts w:hint="eastAsia" w:cs="宋体"/>
          <w:color w:val="auto"/>
          <w:sz w:val="24"/>
          <w:szCs w:val="24"/>
          <w:highlight w:val="none"/>
        </w:rPr>
        <w:br w:type="textWrapping"/>
      </w:r>
      <w:r>
        <w:rPr>
          <w:rFonts w:hint="eastAsia" w:cs="宋体"/>
          <w:color w:val="auto"/>
          <w:sz w:val="24"/>
          <w:szCs w:val="24"/>
          <w:highlight w:val="none"/>
        </w:rPr>
        <w:t>预算金额（元）: 1600000 </w:t>
      </w:r>
      <w:r>
        <w:rPr>
          <w:rFonts w:hint="eastAsia" w:cs="宋体"/>
          <w:color w:val="auto"/>
          <w:sz w:val="24"/>
          <w:szCs w:val="24"/>
          <w:highlight w:val="none"/>
        </w:rPr>
        <w:br w:type="textWrapping"/>
      </w:r>
      <w:r>
        <w:rPr>
          <w:rFonts w:hint="eastAsia" w:cs="宋体"/>
          <w:color w:val="auto"/>
          <w:sz w:val="24"/>
          <w:szCs w:val="24"/>
          <w:highlight w:val="none"/>
        </w:rPr>
        <w:t>简要规格描述或项目基本概况介绍、用途：台式计算机购置 </w:t>
      </w:r>
      <w:r>
        <w:rPr>
          <w:rFonts w:hint="eastAsia" w:cs="宋体"/>
          <w:color w:val="auto"/>
          <w:sz w:val="24"/>
          <w:szCs w:val="24"/>
          <w:highlight w:val="none"/>
        </w:rPr>
        <w:br w:type="textWrapping"/>
      </w:r>
      <w:r>
        <w:rPr>
          <w:rFonts w:hint="eastAsia" w:cs="宋体"/>
          <w:color w:val="auto"/>
          <w:sz w:val="24"/>
          <w:szCs w:val="24"/>
          <w:highlight w:val="none"/>
        </w:rPr>
        <w:t>备注： </w:t>
      </w:r>
    </w:p>
    <w:p>
      <w:pPr>
        <w:numPr>
          <w:numId w:val="0"/>
        </w:numPr>
        <w:spacing w:line="360" w:lineRule="auto"/>
        <w:rPr>
          <w:rFonts w:hint="eastAsia" w:cs="宋体"/>
          <w:color w:val="auto"/>
          <w:sz w:val="24"/>
          <w:szCs w:val="24"/>
          <w:highlight w:val="none"/>
        </w:rPr>
      </w:pPr>
      <w:r>
        <w:rPr>
          <w:rFonts w:hint="eastAsia" w:cs="宋体"/>
          <w:color w:val="auto"/>
          <w:sz w:val="24"/>
          <w:szCs w:val="24"/>
          <w:highlight w:val="none"/>
        </w:rPr>
        <w:t>合同履约期限：标项 1，1年</w:t>
      </w:r>
    </w:p>
    <w:p>
      <w:pPr>
        <w:numPr>
          <w:numId w:val="0"/>
        </w:numPr>
        <w:spacing w:line="360" w:lineRule="auto"/>
        <w:rPr>
          <w:rFonts w:hint="eastAsia" w:cs="宋体"/>
          <w:color w:val="auto"/>
          <w:sz w:val="24"/>
          <w:szCs w:val="24"/>
          <w:highlight w:val="none"/>
        </w:rPr>
      </w:pPr>
      <w:r>
        <w:rPr>
          <w:rFonts w:hint="eastAsia" w:cs="宋体"/>
          <w:color w:val="auto"/>
          <w:sz w:val="24"/>
          <w:szCs w:val="24"/>
          <w:highlight w:val="none"/>
        </w:rPr>
        <w:t>本项目（否）接受联合体投标。</w:t>
      </w:r>
    </w:p>
    <w:p>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申请人的资格要求：</w:t>
      </w:r>
    </w:p>
    <w:p>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  </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2.落实政府采购政策需满足的资格要求：标项1：供应商为中小企业/小微企业 </w:t>
      </w:r>
    </w:p>
    <w:p>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  </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3.本项目的特定资格要求：无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时间：/至2024年10月14日 ，每天上午00:00至12:00 ，下午12:00至23:59（北京时间，线上获取法定节假日均可，线下获取文件法定节假日除外）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地点（网址）：政采云平台线上获取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方式：供应商登录政采云平台https://www.zcygov.cn/在线申请获取采购文件（进入“项目采购”应用，在获取采购文件菜单中选择项目，申请获取采购文件）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售价（元）：0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提交投标文件截止时间：2024年10月14日 09:30（北京时间）</w:t>
      </w:r>
    </w:p>
    <w:p>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  </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投标地点（网址）：请登录政采云投标客户端投标 </w:t>
      </w:r>
    </w:p>
    <w:p>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  </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开标时间：2024年10月14日 09:30 </w:t>
      </w:r>
    </w:p>
    <w:p>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  </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开标地点（网址）：政采云平台（https://www.zcygov.cn/）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bookmarkStart w:id="198" w:name="_GoBack"/>
      <w:bookmarkEnd w:id="19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pStyle w:val="59"/>
        <w:spacing w:before="255" w:beforeAutospacing="0" w:after="255" w:afterAutospacing="0" w:line="360" w:lineRule="auto"/>
        <w:ind w:firstLine="420"/>
        <w:jc w:val="both"/>
        <w:rPr>
          <w:rFonts w:cs="宋体"/>
          <w:color w:val="auto"/>
          <w:kern w:val="2"/>
          <w:highlight w:val="none"/>
        </w:rPr>
      </w:pPr>
      <w:r>
        <w:rPr>
          <w:rFonts w:hint="eastAsia" w:cs="宋体"/>
          <w:color w:val="auto"/>
          <w:kern w:val="2"/>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9"/>
        <w:spacing w:before="255" w:beforeAutospacing="0" w:after="255" w:afterAutospacing="0" w:line="360" w:lineRule="auto"/>
        <w:ind w:firstLine="420"/>
        <w:jc w:val="both"/>
        <w:rPr>
          <w:rFonts w:cs="宋体"/>
          <w:color w:val="auto"/>
          <w:kern w:val="2"/>
          <w:highlight w:val="none"/>
        </w:rPr>
      </w:pPr>
      <w:r>
        <w:rPr>
          <w:rFonts w:hint="eastAsia" w:cs="宋体"/>
          <w:color w:val="auto"/>
          <w:kern w:val="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9"/>
        <w:spacing w:before="75" w:beforeAutospacing="0" w:after="75" w:afterAutospacing="0" w:line="360" w:lineRule="auto"/>
        <w:ind w:firstLine="420"/>
        <w:rPr>
          <w:rFonts w:cs="宋体"/>
          <w:color w:val="auto"/>
          <w:kern w:val="2"/>
          <w:highlight w:val="none"/>
        </w:rPr>
      </w:pPr>
      <w:r>
        <w:rPr>
          <w:rFonts w:hint="eastAsia" w:cs="宋体"/>
          <w:color w:val="auto"/>
          <w:kern w:val="2"/>
          <w:highlight w:val="none"/>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w:t>
      </w:r>
      <w:r>
        <w:rPr>
          <w:rFonts w:hint="eastAsia" w:cs="宋体"/>
          <w:color w:val="auto"/>
          <w:kern w:val="2"/>
          <w:highlight w:val="none"/>
          <w:lang w:eastAsia="zh-CN"/>
        </w:rPr>
        <w:t>提交</w:t>
      </w:r>
      <w:r>
        <w:rPr>
          <w:rFonts w:hint="eastAsia" w:cs="宋体"/>
          <w:color w:val="auto"/>
          <w:kern w:val="2"/>
          <w:highlight w:val="none"/>
        </w:rPr>
        <w:t>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0" w:firstLineChars="200"/>
        <w:rPr>
          <w:rFonts w:ascii="宋体"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称：温州市公安局鹿城区分局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址：勤奋路59号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项目联系人（询问）：郑高尚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项目联系方式（询问）：0577-89990066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质疑联系人：曹主任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质疑联系方式：13957725289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称：温州市公共资源交易中心鹿城分中心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址：温州市鹿城区宽带路18号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hint="default"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杨女士</w:t>
      </w:r>
      <w:r>
        <w:rPr>
          <w:rFonts w:hint="eastAsia" w:ascii="宋体" w:hAnsi="宋体" w:cs="宋体"/>
          <w:color w:val="auto"/>
          <w:sz w:val="24"/>
          <w:highlight w:val="none"/>
          <w:lang w:val="en-US" w:eastAsia="zh-CN"/>
        </w:rPr>
        <w:tab/>
      </w:r>
    </w:p>
    <w:p>
      <w:pPr>
        <w:spacing w:line="360" w:lineRule="auto"/>
        <w:rPr>
          <w:rFonts w:hint="default"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057788660186</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eastAsia="zh-CN"/>
        </w:rPr>
        <w:t>叶超凡</w:t>
      </w:r>
    </w:p>
    <w:p>
      <w:pPr>
        <w:spacing w:line="360" w:lineRule="auto"/>
        <w:ind w:firstLine="480"/>
        <w:rPr>
          <w:rFonts w:hint="default"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w:t>
      </w:r>
      <w:r>
        <w:rPr>
          <w:rFonts w:hint="eastAsia" w:ascii="宋体" w:hAnsi="宋体" w:cs="宋体"/>
          <w:color w:val="auto"/>
          <w:sz w:val="24"/>
          <w:highlight w:val="none"/>
          <w:lang w:val="en-US" w:eastAsia="zh-CN"/>
        </w:rPr>
        <w:t>57788660151</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3.同级政府采购监督管理部门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名称：温州市鹿城区财政局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地址：浙江省温州市鹿城区江滨西路552号博林大厦2楼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：黄女士\朱先生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监督投诉电话：0577-88359173</w:t>
      </w:r>
    </w:p>
    <w:p>
      <w:pPr>
        <w:spacing w:line="360" w:lineRule="auto"/>
        <w:rPr>
          <w:rFonts w:ascii="宋体" w:hAnsi="宋体" w:cs="宋体"/>
          <w:color w:val="auto"/>
          <w:sz w:val="24"/>
          <w:highlight w:val="none"/>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hint="eastAsia" w:ascii="宋体" w:hAnsi="宋体" w:cs="宋体"/>
          <w:b/>
          <w:color w:val="auto"/>
          <w:sz w:val="36"/>
          <w:szCs w:val="20"/>
          <w:highlight w:val="none"/>
        </w:rPr>
        <w:t xml:space="preserve"> 投标人须知</w:t>
      </w:r>
      <w:bookmarkEnd w:id="7"/>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pPr>
              <w:spacing w:line="360" w:lineRule="auto"/>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u w:val="single"/>
              </w:rPr>
              <w:t xml:space="preserve"> 是 </w:t>
            </w:r>
            <w:r>
              <w:rPr>
                <w:rFonts w:hint="eastAsia" w:ascii="宋体" w:hAnsi="宋体" w:cs="宋体"/>
                <w:color w:val="auto"/>
                <w:sz w:val="24"/>
                <w:highlight w:val="none"/>
              </w:rPr>
              <w:t>预留份额采购项目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pPr>
              <w:jc w:val="center"/>
              <w:rPr>
                <w:rFonts w:hint="eastAsia"/>
                <w:color w:val="auto"/>
                <w:highlight w:val="none"/>
              </w:rPr>
            </w:pPr>
            <w:r>
              <w:rPr>
                <w:rFonts w:hint="eastAsia"/>
                <w:color w:val="auto"/>
                <w:highlight w:val="none"/>
              </w:rPr>
              <w:t>（1）标的：</w:t>
            </w:r>
            <w:r>
              <w:rPr>
                <w:rFonts w:hint="eastAsia"/>
                <w:color w:val="auto"/>
                <w:highlight w:val="none"/>
                <w:u w:val="single"/>
              </w:rPr>
              <w:t>2024年温州市公安局鹿城区分局计算机采购项目</w:t>
            </w:r>
          </w:p>
          <w:p>
            <w:pPr>
              <w:snapToGrid w:val="0"/>
              <w:spacing w:line="360" w:lineRule="auto"/>
              <w:rPr>
                <w:color w:val="auto"/>
                <w:highlight w:val="none"/>
              </w:rPr>
            </w:pPr>
            <w:r>
              <w:rPr>
                <w:rFonts w:hint="eastAsia"/>
                <w:color w:val="auto"/>
                <w:highlight w:val="none"/>
              </w:rPr>
              <w:t>，属于行业；</w:t>
            </w:r>
            <w:r>
              <w:rPr>
                <w:rFonts w:hint="eastAsia" w:ascii="宋体" w:hAnsi="宋体"/>
                <w:b/>
                <w:bCs/>
                <w:color w:val="auto"/>
                <w:sz w:val="24"/>
                <w:highlight w:val="none"/>
                <w:u w:val="single"/>
              </w:rPr>
              <w:t>工业</w:t>
            </w:r>
          </w:p>
          <w:p>
            <w:pPr>
              <w:pStyle w:val="4"/>
              <w:rPr>
                <w:color w:val="auto"/>
                <w:highlight w:val="none"/>
                <w:lang w:val="en-US"/>
              </w:rPr>
            </w:pPr>
            <w:r>
              <w:rPr>
                <w:rFonts w:hint="eastAsia"/>
                <w:color w:val="auto"/>
                <w:highlight w:val="none"/>
                <w:lang w:val="en-US"/>
              </w:rPr>
              <w:t>……</w:t>
            </w:r>
          </w:p>
          <w:p>
            <w:pPr>
              <w:rPr>
                <w:color w:val="auto"/>
                <w:highlight w:val="none"/>
              </w:rPr>
            </w:pPr>
            <w:r>
              <w:rPr>
                <w:rFonts w:hint="eastAsia" w:ascii="宋体" w:hAnsi="宋体"/>
                <w:color w:val="auto"/>
                <w:sz w:val="24"/>
                <w:highlight w:val="none"/>
              </w:rPr>
              <w:t>中小企业的划分标准依据《关于印发中小企业划型标准规定的通知》（工信部联企业〔2011〕300号）文件执行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pPr>
              <w:snapToGrid w:val="0"/>
              <w:spacing w:line="360" w:lineRule="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rPr>
                <w:rFonts w:ascii="宋体" w:hAnsi="宋体" w:cs="宋体"/>
                <w:color w:val="auto"/>
                <w:sz w:val="24"/>
                <w:highlight w:val="none"/>
              </w:rPr>
            </w:pPr>
          </w:p>
        </w:tc>
        <w:tc>
          <w:tcPr>
            <w:tcW w:w="1843" w:type="dxa"/>
            <w:vMerge w:val="continue"/>
            <w:tcBorders>
              <w:tl2br w:val="nil"/>
              <w:tr2bl w:val="nil"/>
            </w:tcBorders>
            <w:vAlign w:val="center"/>
          </w:tcPr>
          <w:p>
            <w:pPr>
              <w:snapToGrid w:val="0"/>
              <w:spacing w:line="360" w:lineRule="auto"/>
              <w:rPr>
                <w:rFonts w:ascii="宋体" w:hAnsi="宋体" w:cs="宋体"/>
                <w:b/>
                <w:color w:val="auto"/>
                <w:sz w:val="24"/>
                <w:highlight w:val="none"/>
              </w:rPr>
            </w:pPr>
          </w:p>
        </w:tc>
        <w:tc>
          <w:tcPr>
            <w:tcW w:w="6095" w:type="dxa"/>
            <w:tcBorders>
              <w:tl2br w:val="nil"/>
              <w:tr2bl w:val="nil"/>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l2br w:val="nil"/>
              <w:tr2bl w:val="nil"/>
            </w:tcBorders>
            <w:vAlign w:val="center"/>
          </w:tcPr>
          <w:p>
            <w:pPr>
              <w:pStyle w:val="36"/>
              <w:spacing w:line="360" w:lineRule="auto"/>
              <w:rPr>
                <w:rFonts w:hAnsi="宋体" w:cs="宋体"/>
                <w:bCs/>
                <w:color w:val="auto"/>
                <w:kern w:val="28"/>
                <w:sz w:val="24"/>
                <w:highlight w:val="none"/>
              </w:rPr>
            </w:pPr>
            <w:r>
              <w:rPr>
                <w:rFonts w:hint="eastAsia" w:hAnsi="宋体" w:cs="宋体"/>
                <w:color w:val="auto"/>
                <w:kern w:val="28"/>
                <w:sz w:val="24"/>
                <w:szCs w:val="24"/>
                <w:highlight w:val="none"/>
              </w:rPr>
              <w:t>备份投标文件送达地点：温州市宽带路18号3楼307办公室；备份投标文件签收人员联系电话：0577-88660183/7</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r>
              <w:rPr>
                <w:rFonts w:hint="eastAsia" w:hAnsi="宋体" w:cs="宋体"/>
                <w:bCs/>
                <w:color w:val="auto"/>
                <w:sz w:val="24"/>
                <w:szCs w:val="24"/>
                <w:highlight w:val="none"/>
              </w:rPr>
              <w:t>采购活动结束后，备份投标文件存储介质请于3个工作日内取回，逾期未取回，不负保管义务。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1843" w:type="dxa"/>
            <w:vMerge w:val="restart"/>
            <w:tcBorders>
              <w:tl2br w:val="nil"/>
              <w:tr2bl w:val="nil"/>
            </w:tcBorders>
            <w:vAlign w:val="center"/>
          </w:tcPr>
          <w:p>
            <w:pPr>
              <w:snapToGrid w:val="0"/>
              <w:spacing w:line="360" w:lineRule="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pPr>
              <w:snapToGrid w:val="0"/>
              <w:spacing w:line="360" w:lineRule="auto"/>
              <w:rPr>
                <w:rFonts w:ascii="宋体" w:hAnsi="宋体" w:cs="宋体"/>
                <w:color w:val="auto"/>
                <w:sz w:val="24"/>
                <w:highlight w:val="none"/>
              </w:rPr>
            </w:pPr>
          </w:p>
        </w:tc>
        <w:tc>
          <w:tcPr>
            <w:tcW w:w="1843" w:type="dxa"/>
            <w:vMerge w:val="continue"/>
            <w:tcBorders>
              <w:tl2br w:val="nil"/>
              <w:tr2bl w:val="nil"/>
            </w:tcBorders>
            <w:vAlign w:val="center"/>
          </w:tcPr>
          <w:p>
            <w:pPr>
              <w:snapToGrid w:val="0"/>
              <w:spacing w:line="360" w:lineRule="auto"/>
              <w:rPr>
                <w:rFonts w:ascii="宋体" w:hAnsi="宋体" w:cs="宋体"/>
                <w:b/>
                <w:color w:val="auto"/>
                <w:sz w:val="24"/>
                <w:highlight w:val="none"/>
              </w:rPr>
            </w:pPr>
          </w:p>
        </w:tc>
        <w:tc>
          <w:tcPr>
            <w:tcW w:w="6095" w:type="dxa"/>
            <w:tcBorders>
              <w:tl2br w:val="nil"/>
              <w:tr2bl w:val="nil"/>
            </w:tcBorders>
            <w:vAlign w:val="center"/>
          </w:tcPr>
          <w:p>
            <w:pPr>
              <w:spacing w:line="360" w:lineRule="auto"/>
              <w:rPr>
                <w:rFonts w:ascii="宋体" w:hAnsi="宋体" w:cs="宋体"/>
                <w:snapToGrid w:val="0"/>
                <w:color w:val="auto"/>
                <w:kern w:val="28"/>
                <w:sz w:val="24"/>
                <w:highlight w:val="none"/>
              </w:rPr>
            </w:pPr>
            <w:r>
              <w:rPr>
                <w:rFonts w:ascii="Wingdings" w:hAnsi="Wingdings" w:eastAsia="MS Gothic" w:cs="宋体"/>
                <w:color w:val="auto"/>
                <w:kern w:val="0"/>
                <w:sz w:val="24"/>
                <w:highlight w:val="none"/>
              </w:rPr>
              <w:sym w:font="Wingdings" w:char="00A8"/>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sdtContent>
                </w:sdt>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8"/>
    <w:p>
      <w:pPr>
        <w:adjustRightInd/>
        <w:spacing w:line="360" w:lineRule="auto"/>
        <w:ind w:firstLine="3845" w:firstLineChars="1197"/>
        <w:outlineLvl w:val="0"/>
        <w:rPr>
          <w:rFonts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“▲且加下划线部分”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3.3.2.3在服务采购项目中，服务由中小企业承接，即提供服务的人员为中小企业依照《</w:t>
      </w:r>
      <w:r>
        <w:rPr>
          <w:rFonts w:hint="eastAsia" w:ascii="宋体" w:hAnsi="宋体" w:cs="宋体"/>
          <w:color w:val="auto"/>
          <w:kern w:val="0"/>
          <w:sz w:val="24"/>
          <w:highlight w:val="none"/>
        </w:rPr>
        <w:t>中华人民共和国民法典</w:t>
      </w:r>
      <w:r>
        <w:rPr>
          <w:rFonts w:hint="eastAsia" w:cs="仿宋" w:asciiTheme="minorEastAsia" w:hAnsiTheme="minorEastAsia"/>
          <w:color w:val="auto"/>
          <w:kern w:val="0"/>
          <w:sz w:val="24"/>
          <w:highlight w:val="none"/>
        </w:rPr>
        <w:t>》订立劳动合同的从业人员。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在服务采购项目中，服务由中小企业承接，即提供服务的人员为中小企业依照《中华人民共和国民法典》订立劳动合同的从业人员。</w:t>
      </w:r>
      <w:r>
        <w:rPr>
          <w:rFonts w:hint="eastAsia" w:cs="仿宋" w:asciiTheme="minorEastAsia" w:hAnsiTheme="minorEastAsia"/>
          <w:color w:val="auto"/>
          <w:kern w:val="0"/>
          <w:sz w:val="24"/>
          <w:highlight w:val="none"/>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4.3.2供应商认为招标文件、采购过程和中标结果使自己的权益受到损害的，可以在知道或者应知其权益受到损害之日起七个工作日内，以书面形式向采购人提出质疑，否则，采购人不予受理：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pPr>
        <w:pStyle w:val="36"/>
        <w:spacing w:line="360" w:lineRule="auto"/>
        <w:ind w:firstLine="480" w:firstLineChars="200"/>
        <w:rPr>
          <w:rFonts w:hAnsi="宋体" w:cs="宋体"/>
          <w:snapToGrid/>
          <w:color w:val="auto"/>
          <w:kern w:val="0"/>
          <w:sz w:val="24"/>
          <w:szCs w:val="24"/>
          <w:highlight w:val="none"/>
          <w:lang w:val="zh-CN"/>
        </w:rPr>
      </w:pPr>
      <w:r>
        <w:rPr>
          <w:rFonts w:hint="eastAsia" w:hAnsi="宋体" w:cs="宋体"/>
          <w:color w:val="auto"/>
          <w:kern w:val="0"/>
          <w:sz w:val="24"/>
          <w:highlight w:val="none"/>
          <w:lang w:val="zh-CN"/>
        </w:rPr>
        <w:t>　</w:t>
      </w:r>
      <w:r>
        <w:rPr>
          <w:rFonts w:hint="eastAsia" w:hAnsi="宋体" w:cs="宋体"/>
          <w:snapToGrid/>
          <w:color w:val="auto"/>
          <w:kern w:val="0"/>
          <w:sz w:val="24"/>
          <w:szCs w:val="24"/>
          <w:highlight w:val="none"/>
          <w:lang w:val="zh-CN"/>
        </w:rPr>
        <w:t>　4.3.3.5必要的法律依据；</w:t>
      </w:r>
    </w:p>
    <w:p>
      <w:pPr>
        <w:pStyle w:val="36"/>
        <w:spacing w:line="360" w:lineRule="auto"/>
        <w:ind w:firstLine="960" w:firstLineChars="400"/>
        <w:rPr>
          <w:rFonts w:hAnsi="宋体" w:cs="宋体"/>
          <w:snapToGrid/>
          <w:color w:val="auto"/>
          <w:kern w:val="0"/>
          <w:sz w:val="24"/>
          <w:szCs w:val="24"/>
          <w:highlight w:val="none"/>
          <w:lang w:val="zh-CN"/>
        </w:rPr>
      </w:pPr>
      <w:r>
        <w:rPr>
          <w:rFonts w:hint="eastAsia" w:hAnsi="宋体" w:cs="宋体"/>
          <w:snapToGrid/>
          <w:color w:val="auto"/>
          <w:kern w:val="0"/>
          <w:sz w:val="24"/>
          <w:szCs w:val="24"/>
          <w:highlight w:val="none"/>
          <w:lang w:val="zh-CN"/>
        </w:rPr>
        <w:t>4.3.3.6提出质疑的日期。</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color w:val="auto"/>
          <w:highlight w:val="none"/>
          <w:lang w:val="zh-CN" w:bidi="zh-CN"/>
        </w:rPr>
        <w:t>浙江省财政厅关于进一步促进政府采购公平竞争打造最优营商环境的通知</w:t>
      </w:r>
      <w:r>
        <w:rPr>
          <w:rFonts w:hint="eastAsia"/>
          <w:color w:val="auto"/>
          <w:highlight w:val="none"/>
          <w:lang w:bidi="zh-CN"/>
        </w:rPr>
        <w:t>（</w:t>
      </w:r>
      <w:r>
        <w:rPr>
          <w:rFonts w:hint="eastAsia"/>
          <w:color w:val="auto"/>
          <w:highlight w:val="none"/>
          <w:lang w:val="zh-CN" w:bidi="zh-CN"/>
        </w:rPr>
        <w:t>浙财采监〔2021〕22号</w:t>
      </w:r>
      <w:r>
        <w:rPr>
          <w:rFonts w:hint="eastAsia"/>
          <w:color w:val="auto"/>
          <w:highlight w:val="none"/>
          <w:lang w:bidi="zh-CN"/>
        </w:rPr>
        <w:t>)</w:t>
      </w:r>
      <w:r>
        <w:rPr>
          <w:rFonts w:hint="eastAsia"/>
          <w:color w:val="auto"/>
          <w:highlight w:val="none"/>
        </w:rPr>
        <w:t>,采购人在浙江政府采购网的“其他公告”栏目公开质疑答复，答复内容应当完整。质疑函作为附件上传。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4.4.1质疑供应商对采购人的答复不满意或者采购人未在规定的时间内作出答复的，可以在答复期满后十五个工作日内向同级政府采购监督管理部门提出投诉。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7"/>
        <w:numPr>
          <w:ilvl w:val="0"/>
          <w:numId w:val="2"/>
        </w:numPr>
        <w:shd w:val="clear" w:color="auto" w:fill="FFFFFF"/>
        <w:snapToGrid w:val="0"/>
        <w:spacing w:after="240" w:afterAutospacing="0" w:line="360" w:lineRule="auto"/>
        <w:ind w:firstLine="400"/>
        <w:contextualSpacing/>
        <w:rPr>
          <w:b/>
          <w:color w:val="auto"/>
          <w:kern w:val="2"/>
          <w:highlight w:val="none"/>
        </w:rPr>
      </w:pPr>
      <w:r>
        <w:rPr>
          <w:rFonts w:hint="eastAsia"/>
          <w:b/>
          <w:color w:val="auto"/>
          <w:kern w:val="2"/>
          <w:highlight w:val="none"/>
        </w:rPr>
        <w:t>其他说明</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5.1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6"/>
        <w:spacing w:line="360" w:lineRule="auto"/>
        <w:rPr>
          <w:rFonts w:hAnsi="宋体" w:cs="宋体"/>
          <w:b/>
          <w:snapToGrid/>
          <w:color w:val="auto"/>
          <w:sz w:val="24"/>
          <w:szCs w:val="24"/>
          <w:highlight w:val="none"/>
        </w:rPr>
      </w:pPr>
      <w:r>
        <w:rPr>
          <w:rFonts w:hint="eastAsia" w:hAnsi="宋体" w:cs="宋体"/>
          <w:b/>
          <w:snapToGrid/>
          <w:color w:val="auto"/>
          <w:sz w:val="24"/>
          <w:szCs w:val="24"/>
          <w:highlight w:val="none"/>
        </w:rPr>
        <w:t>5．招标文件的构成</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5.1 招标文件包括下列文件及附件：</w:t>
      </w:r>
    </w:p>
    <w:p>
      <w:pPr>
        <w:pStyle w:val="130"/>
        <w:snapToGrid w:val="0"/>
        <w:spacing w:before="0"/>
        <w:ind w:firstLine="960" w:firstLineChars="400"/>
        <w:rPr>
          <w:rFonts w:ascii="宋体" w:hAnsi="宋体" w:cs="宋体"/>
          <w:color w:val="auto"/>
          <w:highlight w:val="none"/>
        </w:rPr>
      </w:pPr>
      <w:r>
        <w:rPr>
          <w:rFonts w:hint="eastAsia" w:ascii="宋体" w:hAnsi="宋体" w:cs="宋体"/>
          <w:color w:val="auto"/>
          <w:highlight w:val="none"/>
        </w:rPr>
        <w:t>5.1.1招标公告；</w:t>
      </w:r>
    </w:p>
    <w:p>
      <w:pPr>
        <w:pStyle w:val="130"/>
        <w:snapToGrid w:val="0"/>
        <w:spacing w:before="0"/>
        <w:ind w:firstLine="960" w:firstLineChars="400"/>
        <w:rPr>
          <w:rFonts w:ascii="宋体" w:hAnsi="宋体" w:cs="宋体"/>
          <w:color w:val="auto"/>
          <w:highlight w:val="none"/>
        </w:rPr>
      </w:pPr>
      <w:r>
        <w:rPr>
          <w:rFonts w:hint="eastAsia" w:ascii="宋体" w:hAnsi="宋体" w:cs="宋体"/>
          <w:color w:val="auto"/>
          <w:highlight w:val="none"/>
        </w:rPr>
        <w:t>5.1.2投标人须知；</w:t>
      </w:r>
    </w:p>
    <w:p>
      <w:pPr>
        <w:pStyle w:val="130"/>
        <w:snapToGrid w:val="0"/>
        <w:spacing w:before="0"/>
        <w:ind w:firstLine="960" w:firstLineChars="400"/>
        <w:rPr>
          <w:rFonts w:ascii="宋体" w:hAnsi="宋体" w:cs="宋体"/>
          <w:color w:val="auto"/>
          <w:highlight w:val="none"/>
        </w:rPr>
      </w:pPr>
      <w:r>
        <w:rPr>
          <w:rFonts w:hint="eastAsia" w:ascii="宋体" w:hAnsi="宋体" w:cs="宋体"/>
          <w:color w:val="auto"/>
          <w:highlight w:val="none"/>
        </w:rPr>
        <w:t>5.1.3采购需求；</w:t>
      </w:r>
    </w:p>
    <w:p>
      <w:pPr>
        <w:pStyle w:val="130"/>
        <w:snapToGrid w:val="0"/>
        <w:spacing w:before="0"/>
        <w:ind w:firstLine="960" w:firstLineChars="400"/>
        <w:rPr>
          <w:rFonts w:ascii="宋体" w:hAnsi="宋体" w:cs="宋体"/>
          <w:color w:val="auto"/>
          <w:highlight w:val="none"/>
        </w:rPr>
      </w:pPr>
      <w:r>
        <w:rPr>
          <w:rFonts w:hint="eastAsia" w:ascii="宋体" w:hAnsi="宋体" w:cs="宋体"/>
          <w:color w:val="auto"/>
          <w:highlight w:val="none"/>
        </w:rPr>
        <w:t>5.1.4评标办法；</w:t>
      </w:r>
    </w:p>
    <w:p>
      <w:pPr>
        <w:pStyle w:val="130"/>
        <w:snapToGrid w:val="0"/>
        <w:spacing w:before="0"/>
        <w:ind w:firstLine="960" w:firstLineChars="400"/>
        <w:rPr>
          <w:rFonts w:ascii="宋体" w:hAnsi="宋体" w:cs="宋体"/>
          <w:color w:val="auto"/>
          <w:highlight w:val="none"/>
        </w:rPr>
      </w:pPr>
      <w:r>
        <w:rPr>
          <w:rFonts w:hint="eastAsia" w:ascii="宋体" w:hAnsi="宋体" w:cs="宋体"/>
          <w:color w:val="auto"/>
          <w:highlight w:val="none"/>
        </w:rPr>
        <w:t>5.1.5拟签订的合同文本；</w:t>
      </w:r>
    </w:p>
    <w:p>
      <w:pPr>
        <w:pStyle w:val="130"/>
        <w:snapToGrid w:val="0"/>
        <w:spacing w:before="0"/>
        <w:ind w:firstLine="960" w:firstLineChars="400"/>
        <w:rPr>
          <w:rFonts w:ascii="宋体" w:hAnsi="宋体" w:cs="宋体"/>
          <w:color w:val="auto"/>
          <w:highlight w:val="none"/>
        </w:rPr>
      </w:pPr>
      <w:r>
        <w:rPr>
          <w:rFonts w:hint="eastAsia" w:ascii="宋体" w:hAnsi="宋体" w:cs="宋体"/>
          <w:color w:val="auto"/>
          <w:highlight w:val="none"/>
        </w:rPr>
        <w:t>5.1.6应提交的有关格式范例。</w:t>
      </w:r>
    </w:p>
    <w:p>
      <w:pPr>
        <w:pStyle w:val="130"/>
        <w:snapToGrid w:val="0"/>
        <w:spacing w:before="0"/>
        <w:ind w:firstLine="960" w:firstLineChars="400"/>
        <w:rPr>
          <w:rFonts w:ascii="宋体" w:hAnsi="宋体" w:cs="宋体"/>
          <w:color w:val="auto"/>
          <w:highlight w:val="none"/>
        </w:rPr>
      </w:pPr>
      <w:r>
        <w:rPr>
          <w:rFonts w:hint="eastAsia" w:ascii="宋体" w:hAnsi="宋体" w:cs="宋体"/>
          <w:color w:val="auto"/>
          <w:highlight w:val="none"/>
        </w:rPr>
        <w:t>5.2与本项目有关的澄清或者修改的内容为招标文件的组成部分。</w:t>
      </w:r>
    </w:p>
    <w:p>
      <w:pPr>
        <w:pStyle w:val="36"/>
        <w:spacing w:line="360" w:lineRule="auto"/>
        <w:rPr>
          <w:rFonts w:hAnsi="宋体" w:cs="宋体"/>
          <w:b/>
          <w:snapToGrid/>
          <w:color w:val="auto"/>
          <w:sz w:val="24"/>
          <w:szCs w:val="24"/>
          <w:highlight w:val="none"/>
        </w:rPr>
      </w:pPr>
      <w:r>
        <w:rPr>
          <w:rFonts w:hint="eastAsia" w:hAnsi="宋体" w:cs="宋体"/>
          <w:b/>
          <w:snapToGrid/>
          <w:color w:val="auto"/>
          <w:sz w:val="24"/>
          <w:szCs w:val="24"/>
          <w:highlight w:val="none"/>
        </w:rPr>
        <w:t>6. 招标文件的澄清、修改</w:t>
      </w:r>
    </w:p>
    <w:p>
      <w:pPr>
        <w:pStyle w:val="130"/>
        <w:snapToGrid w:val="0"/>
        <w:spacing w:before="0"/>
        <w:ind w:firstLine="960" w:firstLineChars="40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0"/>
        <w:snapToGrid w:val="0"/>
        <w:spacing w:before="0"/>
        <w:ind w:firstLine="960" w:firstLineChars="40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p>
    <w:p>
      <w:pPr>
        <w:adjustRightInd/>
        <w:spacing w:line="360" w:lineRule="auto"/>
        <w:jc w:val="center"/>
        <w:outlineLvl w:val="0"/>
        <w:rPr>
          <w:rFonts w:ascii="宋体" w:hAnsi="宋体" w:cs="宋体"/>
          <w:bCs/>
          <w:color w:val="auto"/>
          <w:sz w:val="30"/>
          <w:szCs w:val="20"/>
          <w:highlight w:val="none"/>
        </w:rPr>
      </w:pPr>
      <w:r>
        <w:rPr>
          <w:rFonts w:hint="eastAsia" w:ascii="宋体" w:hAnsi="宋体" w:cs="宋体"/>
          <w:bCs/>
          <w:color w:val="auto"/>
          <w:sz w:val="30"/>
          <w:szCs w:val="20"/>
          <w:highlight w:val="none"/>
        </w:rPr>
        <w:t>三、投标</w:t>
      </w:r>
    </w:p>
    <w:p>
      <w:pPr>
        <w:pStyle w:val="36"/>
        <w:spacing w:line="360" w:lineRule="auto"/>
        <w:rPr>
          <w:rFonts w:hAnsi="宋体" w:cs="宋体"/>
          <w:b/>
          <w:snapToGrid/>
          <w:color w:val="auto"/>
          <w:sz w:val="24"/>
          <w:szCs w:val="24"/>
          <w:highlight w:val="none"/>
        </w:rPr>
      </w:pPr>
      <w:r>
        <w:rPr>
          <w:rFonts w:hint="eastAsia" w:hAnsi="宋体" w:cs="宋体"/>
          <w:b/>
          <w:snapToGrid/>
          <w:color w:val="auto"/>
          <w:sz w:val="24"/>
          <w:szCs w:val="24"/>
          <w:highlight w:val="none"/>
        </w:rPr>
        <w:t>7. 招标文件的获取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详见招标公告中获取招标文件的时间期限、地点、方式及招标文件售价。</w:t>
      </w:r>
    </w:p>
    <w:p>
      <w:pPr>
        <w:pStyle w:val="36"/>
        <w:spacing w:line="360" w:lineRule="auto"/>
        <w:rPr>
          <w:rFonts w:hAnsi="宋体" w:cs="宋体"/>
          <w:b/>
          <w:bCs/>
          <w:snapToGrid/>
          <w:color w:val="auto"/>
          <w:sz w:val="24"/>
          <w:szCs w:val="24"/>
          <w:highlight w:val="none"/>
        </w:rPr>
      </w:pPr>
      <w:r>
        <w:rPr>
          <w:rFonts w:hint="eastAsia" w:hAnsi="宋体" w:cs="宋体"/>
          <w:b/>
          <w:bCs/>
          <w:snapToGrid/>
          <w:color w:val="auto"/>
          <w:sz w:val="24"/>
          <w:szCs w:val="24"/>
          <w:highlight w:val="none"/>
        </w:rPr>
        <w:t>8.开标前答疑会或现场考察</w:t>
      </w:r>
    </w:p>
    <w:p>
      <w:pPr>
        <w:pStyle w:val="36"/>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bCs/>
          <w:snapToGrid/>
          <w:color w:val="auto"/>
          <w:sz w:val="24"/>
          <w:szCs w:val="24"/>
          <w:highlight w:val="none"/>
        </w:rPr>
      </w:pPr>
      <w:r>
        <w:rPr>
          <w:rFonts w:hint="eastAsia" w:hAnsi="宋体" w:cs="宋体"/>
          <w:b/>
          <w:bCs/>
          <w:snapToGrid/>
          <w:color w:val="auto"/>
          <w:sz w:val="24"/>
          <w:szCs w:val="24"/>
          <w:highlight w:val="none"/>
        </w:rPr>
        <w:t>9.投标保证金</w:t>
      </w:r>
    </w:p>
    <w:p>
      <w:pPr>
        <w:pStyle w:val="20"/>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6"/>
        <w:spacing w:line="360" w:lineRule="auto"/>
        <w:ind w:firstLine="482" w:firstLineChars="200"/>
        <w:rPr>
          <w:rFonts w:hAnsi="宋体" w:cs="宋体"/>
          <w:b/>
          <w:bCs/>
          <w:snapToGrid/>
          <w:color w:val="auto"/>
          <w:sz w:val="24"/>
          <w:szCs w:val="24"/>
          <w:highlight w:val="none"/>
        </w:rPr>
      </w:pPr>
      <w:r>
        <w:rPr>
          <w:rFonts w:hint="eastAsia" w:hAnsi="宋体" w:cs="宋体"/>
          <w:b/>
          <w:bCs/>
          <w:snapToGrid/>
          <w:color w:val="auto"/>
          <w:sz w:val="24"/>
          <w:szCs w:val="24"/>
          <w:highlight w:val="none"/>
        </w:rPr>
        <w:t>10. 投标文件的语言</w:t>
      </w:r>
    </w:p>
    <w:p>
      <w:pPr>
        <w:pStyle w:val="36"/>
        <w:spacing w:line="360" w:lineRule="auto"/>
        <w:ind w:firstLine="480" w:firstLineChars="200"/>
        <w:rPr>
          <w:rFonts w:hAnsi="宋体" w:cs="宋体"/>
          <w:snapToGrid/>
          <w:color w:val="auto"/>
          <w:sz w:val="24"/>
          <w:szCs w:val="24"/>
          <w:highlight w:val="none"/>
          <w:lang w:val="zh-CN"/>
        </w:rPr>
      </w:pPr>
      <w:r>
        <w:rPr>
          <w:rFonts w:hint="eastAsia" w:hAnsi="宋体" w:cs="宋体"/>
          <w:snapToGrid/>
          <w:color w:val="auto"/>
          <w:sz w:val="24"/>
          <w:szCs w:val="24"/>
          <w:highlight w:val="none"/>
        </w:rPr>
        <w:t>投标文件及投标人与采购有关的来往通知、函件和文件均应使用中文。</w:t>
      </w:r>
    </w:p>
    <w:p>
      <w:pPr>
        <w:pStyle w:val="36"/>
        <w:spacing w:line="360" w:lineRule="auto"/>
        <w:ind w:firstLine="482" w:firstLineChars="200"/>
        <w:rPr>
          <w:rFonts w:hAnsi="宋体" w:cs="宋体"/>
          <w:b/>
          <w:bCs/>
          <w:snapToGrid/>
          <w:color w:val="auto"/>
          <w:sz w:val="24"/>
          <w:szCs w:val="24"/>
          <w:highlight w:val="none"/>
        </w:rPr>
      </w:pPr>
      <w:r>
        <w:rPr>
          <w:rFonts w:hint="eastAsia" w:hAnsi="宋体" w:cs="宋体"/>
          <w:b/>
          <w:bCs/>
          <w:snapToGrid/>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Cs w:val="21"/>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评标标准相应的商务技术资料（格式自拟）；</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pStyle w:val="2"/>
        <w:ind w:firstLine="960" w:firstLineChars="400"/>
        <w:rPr>
          <w:color w:val="auto"/>
          <w:highlight w:val="none"/>
          <w:lang w:val="en-US"/>
        </w:rPr>
      </w:pPr>
      <w:r>
        <w:rPr>
          <w:rFonts w:hint="eastAsia" w:cs="仿宋" w:asciiTheme="minorEastAsia" w:hAnsiTheme="minorEastAsia"/>
          <w:color w:val="auto"/>
          <w:highlight w:val="none"/>
          <w:lang w:val="en-US"/>
        </w:rPr>
        <w:t>11.2.8认为需要的其他文件资料或说明.</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七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u w:val="single"/>
        </w:rPr>
      </w:pPr>
      <w:r>
        <w:rPr>
          <w:rFonts w:hint="eastAsia" w:ascii="宋体" w:hAnsi="宋体" w:cs="宋体"/>
          <w:color w:val="auto"/>
          <w:szCs w:val="24"/>
          <w:highlight w:val="none"/>
        </w:rPr>
        <w:t>13.1投标文件按照招标文件第七部分格式要</w:t>
      </w:r>
      <w:r>
        <w:rPr>
          <w:rFonts w:hint="eastAsia" w:ascii="宋体" w:hAnsi="宋体" w:cs="宋体"/>
          <w:color w:val="auto"/>
          <w:highlight w:val="none"/>
        </w:rPr>
        <w:t>求进行签署、盖章。</w:t>
      </w:r>
      <w:r>
        <w:rPr>
          <w:rFonts w:hint="eastAsia" w:ascii="宋体" w:hAnsi="宋体" w:cs="宋体"/>
          <w:b/>
          <w:color w:val="auto"/>
          <w:highlight w:val="none"/>
          <w:u w:val="single"/>
        </w:rPr>
        <w:t>▲投标人的投标文件未按照招标文件要求签署、盖章的，其投标无效</w:t>
      </w:r>
      <w:r>
        <w:rPr>
          <w:rFonts w:hint="eastAsia" w:ascii="宋体" w:hAnsi="宋体" w:cs="宋体"/>
          <w:color w:val="auto"/>
          <w:szCs w:val="24"/>
          <w:highlight w:val="none"/>
          <w:u w:val="singl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bCs/>
          <w:snapToGrid/>
          <w:color w:val="auto"/>
          <w:sz w:val="24"/>
          <w:szCs w:val="24"/>
          <w:highlight w:val="none"/>
        </w:rPr>
      </w:pPr>
      <w:r>
        <w:rPr>
          <w:rFonts w:hint="eastAsia" w:hAnsi="宋体" w:cs="宋体"/>
          <w:b/>
          <w:bCs/>
          <w:snapToGrid/>
          <w:color w:val="auto"/>
          <w:sz w:val="24"/>
          <w:szCs w:val="24"/>
          <w:highlight w:val="none"/>
        </w:rPr>
        <w:t>15.备份投标文件</w:t>
      </w:r>
    </w:p>
    <w:p>
      <w:pPr>
        <w:pStyle w:val="36"/>
        <w:spacing w:line="360" w:lineRule="auto"/>
        <w:ind w:firstLine="360" w:firstLineChars="150"/>
        <w:rPr>
          <w:rFonts w:hAnsi="宋体" w:cs="宋体"/>
          <w:b/>
          <w:bCs/>
          <w:snapToGrid/>
          <w:color w:val="auto"/>
          <w:sz w:val="24"/>
          <w:szCs w:val="24"/>
          <w:highlight w:val="none"/>
        </w:rPr>
      </w:pPr>
      <w:r>
        <w:rPr>
          <w:rFonts w:hint="eastAsia" w:hAnsi="宋体" w:cs="宋体"/>
          <w:snapToGrid/>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bCs/>
          <w:snapToGrid/>
          <w:color w:val="auto"/>
          <w:sz w:val="24"/>
          <w:szCs w:val="24"/>
          <w:highlight w:val="none"/>
        </w:rPr>
        <w:t>但采购人、采购代理机构不强制或变相强制投标人提交备份投标文件。</w:t>
      </w:r>
    </w:p>
    <w:p>
      <w:pPr>
        <w:pStyle w:val="36"/>
        <w:spacing w:line="360" w:lineRule="auto"/>
        <w:ind w:firstLine="480" w:firstLineChars="200"/>
        <w:rPr>
          <w:rFonts w:hAnsi="宋体" w:cs="宋体"/>
          <w:b/>
          <w:bCs/>
          <w:snapToGrid/>
          <w:color w:val="auto"/>
          <w:sz w:val="24"/>
          <w:szCs w:val="24"/>
          <w:highlight w:val="none"/>
        </w:rPr>
      </w:pPr>
      <w:r>
        <w:rPr>
          <w:rFonts w:hint="eastAsia" w:hAnsi="宋体" w:cs="宋体"/>
          <w:snapToGrid/>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bCs/>
          <w:snapToGrid/>
          <w:color w:val="auto"/>
          <w:sz w:val="24"/>
          <w:szCs w:val="24"/>
          <w:highlight w:val="none"/>
        </w:rPr>
        <w:t xml:space="preserve">不符合上述制作、存储、密封规定的备份投标文件将被视为无效或者被拒绝接收。 </w:t>
      </w:r>
    </w:p>
    <w:p>
      <w:pPr>
        <w:pStyle w:val="36"/>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2" w:firstLineChars="200"/>
        <w:rPr>
          <w:rFonts w:hAnsi="宋体" w:cs="宋体"/>
          <w:b/>
          <w:bCs/>
          <w:snapToGrid/>
          <w:color w:val="auto"/>
          <w:sz w:val="24"/>
          <w:szCs w:val="24"/>
          <w:highlight w:val="none"/>
        </w:rPr>
      </w:pPr>
      <w:r>
        <w:rPr>
          <w:rFonts w:hint="eastAsia" w:hAnsi="宋体" w:cs="宋体"/>
          <w:b/>
          <w:bCs/>
          <w:snapToGrid/>
          <w:color w:val="auto"/>
          <w:sz w:val="24"/>
          <w:szCs w:val="24"/>
          <w:highlight w:val="none"/>
        </w:rPr>
        <w:t>15.</w:t>
      </w:r>
      <w:r>
        <w:rPr>
          <w:rFonts w:hint="eastAsia" w:hAnsi="宋体" w:cs="宋体"/>
          <w:b/>
          <w:bCs/>
          <w:snapToGrid/>
          <w:color w:val="auto"/>
          <w:sz w:val="24"/>
          <w:szCs w:val="24"/>
          <w:highlight w:val="none"/>
          <w:lang w:val="en-US" w:eastAsia="zh-CN"/>
        </w:rPr>
        <w:t>4</w:t>
      </w:r>
      <w:r>
        <w:rPr>
          <w:rFonts w:hint="eastAsia" w:hAnsi="宋体" w:cs="宋体"/>
          <w:b/>
          <w:bCs/>
          <w:snapToGrid/>
          <w:color w:val="auto"/>
          <w:sz w:val="24"/>
          <w:szCs w:val="24"/>
          <w:highlight w:val="none"/>
        </w:rPr>
        <w:t>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w:t>
      </w:r>
      <w:r>
        <w:rPr>
          <w:rFonts w:hint="eastAsia" w:ascii="宋体" w:hAnsi="宋体" w:cs="宋体"/>
          <w:b/>
          <w:bCs/>
          <w:color w:val="auto"/>
          <w:sz w:val="24"/>
          <w:szCs w:val="20"/>
          <w:highlight w:val="none"/>
          <w:u w:val="single"/>
        </w:rPr>
        <w:t>▲投标有效期为从提交投标文件的截止之日起90天。投标人的投标文件中承</w:t>
      </w:r>
      <w:r>
        <w:rPr>
          <w:rFonts w:hint="eastAsia" w:ascii="宋体" w:hAnsi="宋体" w:cs="宋体"/>
          <w:b/>
          <w:bCs/>
          <w:color w:val="auto"/>
          <w:sz w:val="24"/>
          <w:szCs w:val="21"/>
          <w:highlight w:val="none"/>
          <w:u w:val="single"/>
        </w:rPr>
        <w:t>诺的投标有效期少于招标文件中载明的投标有效期的，投标无效</w:t>
      </w:r>
      <w:r>
        <w:rPr>
          <w:rFonts w:hint="eastAsia" w:ascii="宋体" w:hAnsi="宋体" w:cs="宋体"/>
          <w:b/>
          <w:color w:val="auto"/>
          <w:sz w:val="24"/>
          <w:szCs w:val="21"/>
          <w:highlight w:val="none"/>
        </w:rPr>
        <w:t>。</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20.2信用信息查询记录和证据留存的具体方式：现场查询的投标人的信用记录、查询结果经确认后将与采购文件一起存档（如有）。</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1"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8"/>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8"/>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8"/>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九、履约验收</w:t>
      </w:r>
    </w:p>
    <w:p>
      <w:pPr>
        <w:pStyle w:val="28"/>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bookmarkEnd w:id="9"/>
    <w:bookmarkEnd w:id="10"/>
    <w:bookmarkEnd w:id="11"/>
    <w:p>
      <w:pPr>
        <w:tabs>
          <w:tab w:val="left" w:pos="0"/>
        </w:tabs>
        <w:spacing w:line="360" w:lineRule="auto"/>
        <w:ind w:firstLine="480"/>
        <w:rPr>
          <w:rFonts w:ascii="宋体" w:hAnsi="宋体" w:cs="宋体"/>
          <w:color w:val="auto"/>
          <w:kern w:val="0"/>
          <w:sz w:val="24"/>
          <w:highlight w:val="none"/>
        </w:rPr>
      </w:pPr>
      <w:bookmarkStart w:id="13" w:name="第四部分"/>
      <w:r>
        <w:rPr>
          <w:rFonts w:hint="eastAsia" w:ascii="宋体" w:hAnsi="宋体" w:cs="宋体"/>
          <w:color w:val="auto"/>
          <w:kern w:val="0"/>
          <w:sz w:val="24"/>
          <w:highlight w:val="none"/>
        </w:rPr>
        <w:t>30.5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8"/>
        <w:spacing w:line="360" w:lineRule="auto"/>
        <w:ind w:firstLine="0" w:firstLineChars="0"/>
        <w:rPr>
          <w:rFonts w:cs="宋体"/>
          <w:b/>
          <w:color w:val="auto"/>
          <w:highlight w:val="none"/>
        </w:rPr>
      </w:pPr>
      <w:r>
        <w:rPr>
          <w:rFonts w:hint="eastAsia" w:cs="宋体"/>
          <w:b/>
          <w:color w:val="auto"/>
          <w:highlight w:val="none"/>
        </w:rPr>
        <w:t>31.履约验收监督管理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财政部门依法对履约验收活动履行监督管理职责，指导和督促采购人严格履行验收义务，可以依法开展履约验收专项检查，查处违法违规行为。</w:t>
      </w: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057669"/>
      <w:bookmarkEnd w:id="15"/>
      <w:bookmarkStart w:id="16" w:name="_Hlt68072998"/>
      <w:bookmarkEnd w:id="16"/>
      <w:bookmarkStart w:id="17" w:name="_Hlt68403820"/>
      <w:bookmarkEnd w:id="17"/>
      <w:bookmarkStart w:id="18" w:name="_Hlt74730295"/>
      <w:bookmarkEnd w:id="18"/>
      <w:bookmarkStart w:id="19" w:name="_Hlt74729768"/>
      <w:bookmarkEnd w:id="19"/>
      <w:bookmarkStart w:id="20" w:name="_Hlt75236290"/>
      <w:bookmarkEnd w:id="20"/>
      <w:bookmarkStart w:id="21" w:name="_Hlt68072990"/>
      <w:bookmarkEnd w:id="21"/>
      <w:bookmarkStart w:id="22" w:name="_Hlt75236011"/>
      <w:bookmarkEnd w:id="22"/>
      <w:bookmarkStart w:id="23" w:name="_Hlt74714665"/>
      <w:bookmarkEnd w:id="23"/>
      <w:bookmarkStart w:id="24" w:name="_Hlt74707468"/>
      <w:bookmarkEnd w:id="24"/>
      <w:bookmarkStart w:id="25" w:name="_Hlt68073093"/>
      <w:bookmarkEnd w:id="25"/>
    </w:p>
    <w:p>
      <w:pPr>
        <w:numPr>
          <w:ilvl w:val="0"/>
          <w:numId w:val="3"/>
        </w:num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采购需求</w:t>
      </w:r>
    </w:p>
    <w:tbl>
      <w:tblPr>
        <w:tblStyle w:val="63"/>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1242" w:type="dxa"/>
            <w:vAlign w:val="center"/>
          </w:tcPr>
          <w:p>
            <w:pPr>
              <w:keepNext w:val="0"/>
              <w:keepLines w:val="0"/>
              <w:pageBreakBefore w:val="0"/>
              <w:widowControl w:val="0"/>
              <w:kinsoku/>
              <w:wordWrap/>
              <w:overflowPunct/>
              <w:topLinePunct w:val="0"/>
              <w:autoSpaceDE/>
              <w:autoSpaceDN/>
              <w:bidi w:val="0"/>
              <w:snapToGrid/>
              <w:spacing w:line="460" w:lineRule="exact"/>
              <w:jc w:val="center"/>
              <w:textAlignment w:val="auto"/>
              <w:rPr>
                <w:rFonts w:hint="eastAsia" w:eastAsia="宋体"/>
                <w:color w:val="auto"/>
                <w:highlight w:val="none"/>
                <w:lang w:eastAsia="zh-CN"/>
              </w:rPr>
            </w:pPr>
            <w:r>
              <w:rPr>
                <w:rFonts w:hint="eastAsia" w:ascii="宋体" w:hAnsi="宋体" w:cs="宋体"/>
                <w:color w:val="auto"/>
                <w:sz w:val="24"/>
                <w:highlight w:val="none"/>
              </w:rPr>
              <w:t>信创电脑</w:t>
            </w:r>
            <w:r>
              <w:rPr>
                <w:rFonts w:hint="eastAsia" w:ascii="宋体" w:hAnsi="宋体" w:cs="宋体"/>
                <w:color w:val="auto"/>
                <w:sz w:val="24"/>
                <w:highlight w:val="none"/>
                <w:lang w:eastAsia="zh-CN"/>
              </w:rPr>
              <w:t>（核心产品，</w:t>
            </w:r>
            <w:r>
              <w:rPr>
                <w:rFonts w:hint="eastAsia" w:ascii="宋体" w:hAnsi="宋体" w:cs="宋体"/>
                <w:color w:val="auto"/>
                <w:sz w:val="24"/>
                <w:highlight w:val="none"/>
                <w:lang w:val="en-US" w:eastAsia="zh-CN"/>
              </w:rPr>
              <w:t>320台</w:t>
            </w:r>
            <w:r>
              <w:rPr>
                <w:rFonts w:hint="eastAsia" w:ascii="宋体" w:hAnsi="宋体" w:cs="宋体"/>
                <w:color w:val="auto"/>
                <w:sz w:val="24"/>
                <w:highlight w:val="none"/>
                <w:lang w:eastAsia="zh-CN"/>
              </w:rPr>
              <w:t>）</w:t>
            </w:r>
          </w:p>
        </w:tc>
        <w:tc>
          <w:tcPr>
            <w:tcW w:w="7483" w:type="dxa"/>
          </w:tcPr>
          <w:p>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r>
              <w:rPr>
                <w:rFonts w:hint="eastAsia"/>
                <w:color w:val="auto"/>
                <w:highlight w:val="none"/>
              </w:rPr>
              <w:t>1、</w:t>
            </w:r>
            <w:r>
              <w:rPr>
                <w:rFonts w:hint="eastAsia" w:ascii="宋体" w:hAnsi="宋体" w:cs="宋体"/>
                <w:color w:val="auto"/>
                <w:kern w:val="0"/>
                <w:sz w:val="24"/>
                <w:highlight w:val="none"/>
                <w:u w:val="single"/>
              </w:rPr>
              <w:t>▲</w:t>
            </w:r>
            <w:r>
              <w:rPr>
                <w:rFonts w:hint="eastAsia"/>
                <w:color w:val="auto"/>
                <w:highlight w:val="none"/>
                <w:u w:val="single"/>
              </w:rPr>
              <w:t>CPU规格：≥国产CPU海光3350</w:t>
            </w:r>
            <w:r>
              <w:rPr>
                <w:rFonts w:hint="eastAsia"/>
                <w:color w:val="auto"/>
                <w:highlight w:val="none"/>
                <w:u w:val="single"/>
                <w:lang w:val="en-US" w:eastAsia="zh-CN"/>
              </w:rPr>
              <w:t>（或者提供性能同等或以上的其他品牌产品）</w:t>
            </w:r>
            <w:r>
              <w:rPr>
                <w:rFonts w:hint="eastAsia"/>
                <w:color w:val="auto"/>
                <w:highlight w:val="none"/>
                <w:u w:val="single"/>
              </w:rPr>
              <w:t>，主频≥2.8GHz，8核心16线程；</w:t>
            </w:r>
          </w:p>
          <w:p>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r>
              <w:rPr>
                <w:rFonts w:hint="eastAsia"/>
                <w:color w:val="auto"/>
                <w:highlight w:val="none"/>
              </w:rPr>
              <w:t>2、内存规格：≥16G内存DDR4提供4内存槽位,系统最高支持64GB；</w:t>
            </w:r>
          </w:p>
          <w:p>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r>
              <w:rPr>
                <w:rFonts w:hint="eastAsia"/>
                <w:color w:val="auto"/>
                <w:highlight w:val="none"/>
              </w:rPr>
              <w:t>3、主板内置PCIe插槽数量：支持PCIe插槽数量不少于2个。</w:t>
            </w:r>
          </w:p>
          <w:p>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r>
              <w:rPr>
                <w:rFonts w:hint="eastAsia"/>
                <w:color w:val="auto"/>
                <w:highlight w:val="none"/>
              </w:rPr>
              <w:t xml:space="preserve">4、硬盘规格：容量不小于M.2 PCIe 512GB固态硬盘≥1块； </w:t>
            </w:r>
          </w:p>
          <w:p>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r>
              <w:rPr>
                <w:rFonts w:hint="eastAsia"/>
                <w:color w:val="auto"/>
                <w:highlight w:val="none"/>
              </w:rPr>
              <w:t>5、显卡规格：独立显卡，显存位宽≥64位，显存容量≥2GB。</w:t>
            </w:r>
          </w:p>
          <w:p>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r>
              <w:rPr>
                <w:rFonts w:hint="eastAsia"/>
                <w:color w:val="auto"/>
                <w:highlight w:val="none"/>
              </w:rPr>
              <w:t>6、显卡接口：提供≥1个HDMI接口，≥1个VGA接口。</w:t>
            </w:r>
          </w:p>
          <w:p>
            <w:pPr>
              <w:keepNext w:val="0"/>
              <w:keepLines w:val="0"/>
              <w:pageBreakBefore w:val="0"/>
              <w:widowControl w:val="0"/>
              <w:kinsoku/>
              <w:wordWrap/>
              <w:overflowPunct/>
              <w:topLinePunct w:val="0"/>
              <w:autoSpaceDE/>
              <w:autoSpaceDN/>
              <w:bidi w:val="0"/>
              <w:snapToGrid/>
              <w:spacing w:line="460" w:lineRule="exact"/>
              <w:textAlignment w:val="auto"/>
              <w:rPr>
                <w:rFonts w:hint="eastAsia"/>
                <w:color w:val="auto"/>
                <w:highlight w:val="none"/>
              </w:rPr>
            </w:pPr>
            <w:r>
              <w:rPr>
                <w:rFonts w:hint="eastAsia"/>
                <w:color w:val="auto"/>
                <w:highlight w:val="none"/>
              </w:rPr>
              <w:t>7、</w:t>
            </w:r>
            <w:r>
              <w:rPr>
                <w:rFonts w:hint="eastAsia"/>
                <w:color w:val="auto"/>
                <w:highlight w:val="none"/>
                <w:u w:val="none"/>
              </w:rPr>
              <w:t>外部接口规格：机箱前面板应提供不少于2个USB3.0接口，不少于2个USB2.0接口， 1个麦克风接口，1个耳机接口；机箱后置原生USB 3.0接口≥6个，视频接口数量≥2，后置音频接口数量≥2</w:t>
            </w:r>
            <w:r>
              <w:rPr>
                <w:rFonts w:hint="eastAsia"/>
                <w:color w:val="auto"/>
                <w:highlight w:val="none"/>
                <w:u w:val="none"/>
                <w:lang w:val="en-US" w:eastAsia="zh-CN"/>
              </w:rPr>
              <w:t>;</w:t>
            </w:r>
          </w:p>
          <w:p>
            <w:pPr>
              <w:keepNext w:val="0"/>
              <w:keepLines w:val="0"/>
              <w:pageBreakBefore w:val="0"/>
              <w:widowControl w:val="0"/>
              <w:kinsoku/>
              <w:wordWrap/>
              <w:overflowPunct/>
              <w:topLinePunct w:val="0"/>
              <w:autoSpaceDE/>
              <w:autoSpaceDN/>
              <w:bidi w:val="0"/>
              <w:snapToGrid/>
              <w:spacing w:line="460" w:lineRule="exact"/>
              <w:textAlignment w:val="auto"/>
              <w:rPr>
                <w:rFonts w:hint="eastAsia" w:eastAsia="宋体"/>
                <w:color w:val="auto"/>
                <w:highlight w:val="none"/>
                <w:lang w:val="en-US" w:eastAsia="zh-CN"/>
              </w:rPr>
            </w:pPr>
            <w:r>
              <w:rPr>
                <w:rFonts w:hint="eastAsia"/>
                <w:color w:val="auto"/>
                <w:highlight w:val="none"/>
                <w:lang w:val="en-US" w:eastAsia="zh-CN"/>
              </w:rPr>
              <w:t>8、主机自带扬声器</w:t>
            </w:r>
          </w:p>
          <w:p>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r>
              <w:rPr>
                <w:rFonts w:hint="eastAsia"/>
                <w:color w:val="auto"/>
                <w:highlight w:val="none"/>
                <w:lang w:eastAsia="zh-CN"/>
              </w:rPr>
              <w:t>9</w:t>
            </w:r>
            <w:r>
              <w:rPr>
                <w:rFonts w:hint="eastAsia"/>
                <w:color w:val="auto"/>
                <w:highlight w:val="none"/>
              </w:rPr>
              <w:t>、网络设备规格：有线网卡数量≥1个，最高速率≥1000Mbps，支持10Mbps、100Mbps、1000Mbps速率自适应。</w:t>
            </w:r>
          </w:p>
          <w:p>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r>
              <w:rPr>
                <w:rFonts w:hint="eastAsia"/>
                <w:color w:val="auto"/>
                <w:highlight w:val="none"/>
                <w:lang w:eastAsia="zh-CN"/>
              </w:rPr>
              <w:t>1</w:t>
            </w:r>
            <w:r>
              <w:rPr>
                <w:rFonts w:hint="eastAsia"/>
                <w:color w:val="auto"/>
                <w:highlight w:val="none"/>
                <w:lang w:val="en-US" w:eastAsia="zh-CN"/>
              </w:rPr>
              <w:t>0</w:t>
            </w:r>
            <w:r>
              <w:rPr>
                <w:rFonts w:hint="eastAsia"/>
                <w:color w:val="auto"/>
                <w:highlight w:val="none"/>
              </w:rPr>
              <w:t>、键盘鼠标规格：有线键盘鼠标。</w:t>
            </w:r>
          </w:p>
          <w:p>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r>
              <w:rPr>
                <w:rFonts w:hint="eastAsia"/>
                <w:color w:val="auto"/>
                <w:highlight w:val="none"/>
              </w:rPr>
              <w:t>1</w:t>
            </w:r>
            <w:r>
              <w:rPr>
                <w:rFonts w:hint="eastAsia"/>
                <w:color w:val="auto"/>
                <w:highlight w:val="none"/>
                <w:lang w:eastAsia="zh-CN"/>
              </w:rPr>
              <w:t>1</w:t>
            </w:r>
            <w:r>
              <w:rPr>
                <w:rFonts w:hint="eastAsia"/>
                <w:color w:val="auto"/>
                <w:highlight w:val="none"/>
              </w:rPr>
              <w:t>、电源功率:≥200W电源</w:t>
            </w:r>
          </w:p>
          <w:p>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r>
              <w:rPr>
                <w:rFonts w:hint="eastAsia"/>
                <w:color w:val="auto"/>
                <w:highlight w:val="none"/>
              </w:rPr>
              <w:t>1</w:t>
            </w:r>
            <w:r>
              <w:rPr>
                <w:rFonts w:hint="eastAsia"/>
                <w:color w:val="auto"/>
                <w:highlight w:val="none"/>
                <w:lang w:eastAsia="zh-CN"/>
              </w:rPr>
              <w:t>2</w:t>
            </w:r>
            <w:r>
              <w:rPr>
                <w:rFonts w:hint="eastAsia"/>
                <w:color w:val="auto"/>
                <w:highlight w:val="none"/>
              </w:rPr>
              <w:t>、整机可靠性要求：MTBF≥40万小时。</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firstLine="0"/>
              <w:textAlignment w:val="auto"/>
              <w:rPr>
                <w:color w:val="auto"/>
                <w:highlight w:val="none"/>
              </w:rPr>
            </w:pPr>
            <w:r>
              <w:rPr>
                <w:rFonts w:hint="eastAsia"/>
                <w:color w:val="auto"/>
                <w:highlight w:val="none"/>
                <w:lang w:val="en-US" w:eastAsia="zh-CN"/>
              </w:rPr>
              <w:t>13、</w:t>
            </w:r>
            <w:r>
              <w:rPr>
                <w:rFonts w:hint="eastAsia"/>
                <w:color w:val="auto"/>
                <w:highlight w:val="none"/>
              </w:rPr>
              <w:t>显示屏颜色尺寸：，显示器≥23.8英寸。</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firstLine="0"/>
              <w:textAlignment w:val="auto"/>
              <w:rPr>
                <w:color w:val="auto"/>
                <w:highlight w:val="none"/>
              </w:rPr>
            </w:pPr>
            <w:r>
              <w:rPr>
                <w:rFonts w:hint="eastAsia"/>
                <w:color w:val="auto"/>
                <w:highlight w:val="none"/>
                <w:lang w:val="en-US" w:eastAsia="zh-CN"/>
              </w:rPr>
              <w:t>14、</w:t>
            </w:r>
            <w:r>
              <w:rPr>
                <w:rFonts w:hint="eastAsia"/>
                <w:color w:val="auto"/>
                <w:highlight w:val="none"/>
              </w:rPr>
              <w:t>显示屏分辨率：23.8英寸≥1920*1080。</w:t>
            </w:r>
          </w:p>
          <w:p>
            <w:pPr>
              <w:keepNext w:val="0"/>
              <w:keepLines w:val="0"/>
              <w:pageBreakBefore w:val="0"/>
              <w:widowControl w:val="0"/>
              <w:kinsoku/>
              <w:wordWrap/>
              <w:overflowPunct/>
              <w:topLinePunct w:val="0"/>
              <w:autoSpaceDE/>
              <w:autoSpaceDN/>
              <w:bidi w:val="0"/>
              <w:snapToGrid/>
              <w:spacing w:line="460" w:lineRule="exact"/>
              <w:textAlignment w:val="auto"/>
              <w:rPr>
                <w:color w:val="auto"/>
                <w:sz w:val="18"/>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 xml:space="preserve">显示屏其他规格：屏占比≥89.9%，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42" w:type="dxa"/>
            <w:vAlign w:val="center"/>
          </w:tcPr>
          <w:p>
            <w:pPr>
              <w:keepNext w:val="0"/>
              <w:keepLines w:val="0"/>
              <w:pageBreakBefore w:val="0"/>
              <w:widowControl w:val="0"/>
              <w:kinsoku/>
              <w:wordWrap/>
              <w:overflowPunct/>
              <w:topLinePunct w:val="0"/>
              <w:autoSpaceDE/>
              <w:autoSpaceDN/>
              <w:bidi w:val="0"/>
              <w:snapToGrid/>
              <w:spacing w:line="460" w:lineRule="exact"/>
              <w:jc w:val="center"/>
              <w:textAlignment w:val="auto"/>
              <w:rPr>
                <w:color w:val="auto"/>
                <w:highlight w:val="none"/>
              </w:rPr>
            </w:pPr>
            <w:r>
              <w:rPr>
                <w:rFonts w:hint="eastAsia" w:cs="宋体"/>
                <w:color w:val="auto"/>
                <w:highlight w:val="none"/>
              </w:rPr>
              <w:t>服务</w:t>
            </w:r>
          </w:p>
        </w:tc>
        <w:tc>
          <w:tcPr>
            <w:tcW w:w="7483" w:type="dxa"/>
          </w:tcPr>
          <w:p>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cs="宋体"/>
                <w:color w:val="auto"/>
                <w:szCs w:val="21"/>
                <w:highlight w:val="none"/>
              </w:rPr>
            </w:pPr>
            <w:r>
              <w:rPr>
                <w:rFonts w:hint="eastAsia" w:cs="宋体"/>
                <w:color w:val="auto"/>
                <w:szCs w:val="21"/>
                <w:highlight w:val="none"/>
                <w:lang w:val="en-US" w:eastAsia="zh-CN"/>
              </w:rPr>
              <w:t>1.</w:t>
            </w:r>
            <w:r>
              <w:rPr>
                <w:rFonts w:hint="eastAsia" w:cs="宋体"/>
                <w:color w:val="auto"/>
                <w:szCs w:val="21"/>
                <w:highlight w:val="none"/>
              </w:rPr>
              <w:t>所有产品都必须原厂生产并且是正规渠道货，产品号及型号都必须一致，供应商必须包含所有安装、调试及所需要的配件、材料。供货时提供的所有产品，可通过原厂质保商厂商的官方网站或400电话查询其设备保修为用户要求三年保修。</w:t>
            </w:r>
          </w:p>
          <w:p>
            <w:pPr>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cs="宋体"/>
                <w:color w:val="auto"/>
                <w:szCs w:val="21"/>
                <w:highlight w:val="none"/>
              </w:rPr>
            </w:pPr>
            <w:r>
              <w:rPr>
                <w:rFonts w:hint="eastAsia" w:cs="宋体"/>
                <w:color w:val="auto"/>
                <w:szCs w:val="21"/>
                <w:highlight w:val="none"/>
                <w:lang w:val="en-US" w:eastAsia="zh-CN"/>
              </w:rPr>
              <w:t>2.</w:t>
            </w:r>
            <w:r>
              <w:rPr>
                <w:rFonts w:hint="eastAsia" w:ascii="宋体" w:hAnsi="宋体" w:cs="宋体"/>
                <w:color w:val="auto"/>
                <w:kern w:val="0"/>
                <w:sz w:val="21"/>
                <w:szCs w:val="21"/>
                <w:highlight w:val="none"/>
                <w:u w:val="single"/>
                <w:lang w:eastAsia="zh-CN"/>
              </w:rPr>
              <w:t>★</w:t>
            </w:r>
            <w:r>
              <w:rPr>
                <w:rFonts w:hint="eastAsia" w:cs="宋体"/>
                <w:color w:val="auto"/>
                <w:szCs w:val="21"/>
                <w:highlight w:val="none"/>
                <w:u w:val="single"/>
              </w:rPr>
              <w:t>本批台式电脑为品牌机，所有配件须为原厂配置，要求出厂时就不带无线功能（品牌机拆除无线模块视为不能满足条件），内存如是两条，必须为同一品牌；主板须符合公安相关业务要求，兼容公安软件，出货前供货方需配合我局安装好各种特定软件，并配送至指定地点</w:t>
            </w:r>
            <w:r>
              <w:rPr>
                <w:rFonts w:hint="eastAsia"/>
                <w:sz w:val="21"/>
                <w:szCs w:val="21"/>
                <w:highlight w:val="none"/>
                <w:u w:val="single"/>
                <w:lang w:eastAsia="zh-CN"/>
              </w:rPr>
              <w:t>（提供相关承诺书并加盖投标供应商公章或</w:t>
            </w:r>
            <w:r>
              <w:rPr>
                <w:rFonts w:hint="eastAsia"/>
                <w:sz w:val="21"/>
                <w:szCs w:val="21"/>
                <w:highlight w:val="none"/>
                <w:u w:val="single"/>
                <w:lang w:val="en-US" w:eastAsia="zh-CN"/>
              </w:rPr>
              <w:t>CA章</w:t>
            </w:r>
            <w:r>
              <w:rPr>
                <w:rFonts w:hint="eastAsia"/>
                <w:sz w:val="21"/>
                <w:szCs w:val="21"/>
                <w:highlight w:val="none"/>
                <w:u w:val="single"/>
                <w:lang w:eastAsia="zh-CN"/>
              </w:rPr>
              <w:t>）</w:t>
            </w:r>
            <w:r>
              <w:rPr>
                <w:rFonts w:hint="eastAsia" w:cs="宋体"/>
                <w:color w:val="auto"/>
                <w:szCs w:val="21"/>
                <w:highlight w:val="none"/>
                <w:u w:val="single"/>
              </w:rPr>
              <w:t>；</w:t>
            </w:r>
          </w:p>
          <w:p>
            <w:pPr>
              <w:autoSpaceDE/>
              <w:autoSpaceDN/>
              <w:spacing w:line="460" w:lineRule="exact"/>
            </w:pPr>
            <w:r>
              <w:rPr>
                <w:rFonts w:hint="eastAsia" w:cs="宋体"/>
                <w:color w:val="auto"/>
                <w:highlight w:val="none"/>
                <w:lang w:val="en-US" w:eastAsia="zh-CN"/>
              </w:rPr>
              <w:t>3.</w:t>
            </w:r>
            <w:r>
              <w:rPr>
                <w:rFonts w:hint="eastAsia"/>
                <w:color w:val="auto"/>
                <w:sz w:val="22"/>
                <w:szCs w:val="22"/>
                <w:highlight w:val="none"/>
                <w:u w:val="single"/>
                <w:lang w:eastAsia="zh-CN"/>
              </w:rPr>
              <w:t>★</w:t>
            </w:r>
            <w:r>
              <w:rPr>
                <w:rFonts w:hint="eastAsia" w:cs="宋体"/>
                <w:color w:val="auto"/>
                <w:highlight w:val="none"/>
                <w:u w:val="single"/>
              </w:rPr>
              <w:t>售后：保修期内接到排除故障申请电话要求响应时间为4小时，响应方式为</w:t>
            </w:r>
            <w:r>
              <w:rPr>
                <w:rFonts w:hint="eastAsia" w:ascii="Times New Roman" w:cs="宋体"/>
                <w:color w:val="auto"/>
                <w:sz w:val="21"/>
                <w:highlight w:val="none"/>
                <w:u w:val="single"/>
              </w:rPr>
              <w:t>7*24小时免费上门维修服务</w:t>
            </w:r>
            <w:r>
              <w:rPr>
                <w:rFonts w:hint="eastAsia" w:cs="宋体"/>
                <w:color w:val="auto"/>
                <w:sz w:val="21"/>
                <w:highlight w:val="none"/>
                <w:u w:val="single"/>
                <w:lang w:eastAsia="zh-CN"/>
              </w:rPr>
              <w:t>，</w:t>
            </w:r>
            <w:r>
              <w:rPr>
                <w:rFonts w:hint="eastAsia" w:cs="宋体"/>
                <w:color w:val="auto"/>
                <w:highlight w:val="none"/>
                <w:u w:val="single"/>
              </w:rPr>
              <w:t>操作系统支持公安业务运行，符合相关保密要求</w:t>
            </w:r>
            <w:r>
              <w:rPr>
                <w:rFonts w:hint="eastAsia" w:cs="宋体"/>
                <w:color w:val="auto"/>
                <w:highlight w:val="none"/>
                <w:u w:val="single"/>
                <w:lang w:eastAsia="zh-CN"/>
              </w:rPr>
              <w:t>，</w:t>
            </w:r>
            <w:r>
              <w:rPr>
                <w:rFonts w:hint="eastAsia" w:cs="宋体"/>
                <w:color w:val="auto"/>
                <w:highlight w:val="none"/>
                <w:u w:val="single"/>
              </w:rPr>
              <w:t>各类硬盘损坏需采取无硬盘返还方式免费更换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keepNext w:val="0"/>
              <w:keepLines w:val="0"/>
              <w:pageBreakBefore w:val="0"/>
              <w:widowControl w:val="0"/>
              <w:kinsoku/>
              <w:wordWrap/>
              <w:overflowPunct/>
              <w:topLinePunct w:val="0"/>
              <w:autoSpaceDE/>
              <w:autoSpaceDN/>
              <w:bidi w:val="0"/>
              <w:snapToGrid/>
              <w:spacing w:line="460" w:lineRule="exact"/>
              <w:jc w:val="center"/>
              <w:textAlignment w:val="auto"/>
              <w:rPr>
                <w:color w:val="auto"/>
                <w:highlight w:val="none"/>
              </w:rPr>
            </w:pPr>
            <w:r>
              <w:rPr>
                <w:rFonts w:hint="eastAsia" w:cs="宋体"/>
                <w:color w:val="auto"/>
                <w:highlight w:val="none"/>
              </w:rPr>
              <w:t>其他</w:t>
            </w:r>
          </w:p>
        </w:tc>
        <w:tc>
          <w:tcPr>
            <w:tcW w:w="7483" w:type="dxa"/>
          </w:tcPr>
          <w:p>
            <w:pPr>
              <w:keepNext w:val="0"/>
              <w:keepLines w:val="0"/>
              <w:pageBreakBefore w:val="0"/>
              <w:widowControl w:val="0"/>
              <w:kinsoku/>
              <w:wordWrap/>
              <w:overflowPunct/>
              <w:topLinePunct w:val="0"/>
              <w:autoSpaceDE/>
              <w:autoSpaceDN/>
              <w:bidi w:val="0"/>
              <w:snapToGrid/>
              <w:spacing w:line="460" w:lineRule="exact"/>
              <w:textAlignment w:val="auto"/>
              <w:rPr>
                <w:rFonts w:cs="宋体"/>
                <w:color w:val="auto"/>
                <w:highlight w:val="none"/>
              </w:rPr>
            </w:pPr>
            <w:r>
              <w:rPr>
                <w:rFonts w:hint="eastAsia" w:cs="宋体"/>
                <w:color w:val="auto"/>
                <w:highlight w:val="none"/>
              </w:rPr>
              <w:t>1</w:t>
            </w:r>
            <w:r>
              <w:rPr>
                <w:rFonts w:cs="宋体"/>
                <w:color w:val="auto"/>
                <w:highlight w:val="none"/>
              </w:rPr>
              <w:t>.整机原装出厂，不接受拆改配第三方配件</w:t>
            </w:r>
            <w:r>
              <w:rPr>
                <w:rFonts w:hint="eastAsia" w:cs="宋体"/>
                <w:color w:val="auto"/>
                <w:highlight w:val="none"/>
              </w:rPr>
              <w:t>。</w:t>
            </w:r>
          </w:p>
          <w:p>
            <w:pPr>
              <w:keepNext w:val="0"/>
              <w:keepLines w:val="0"/>
              <w:pageBreakBefore w:val="0"/>
              <w:widowControl w:val="0"/>
              <w:kinsoku/>
              <w:wordWrap/>
              <w:overflowPunct/>
              <w:topLinePunct w:val="0"/>
              <w:autoSpaceDE/>
              <w:autoSpaceDN/>
              <w:bidi w:val="0"/>
              <w:snapToGrid/>
              <w:spacing w:line="460" w:lineRule="exact"/>
              <w:textAlignment w:val="auto"/>
              <w:rPr>
                <w:rFonts w:cs="宋体"/>
                <w:color w:val="auto"/>
                <w:highlight w:val="none"/>
              </w:rPr>
            </w:pPr>
            <w:r>
              <w:rPr>
                <w:rFonts w:cs="宋体"/>
                <w:color w:val="auto"/>
                <w:highlight w:val="none"/>
              </w:rPr>
              <w:t>2.</w:t>
            </w:r>
            <w:r>
              <w:rPr>
                <w:rFonts w:hint="eastAsia" w:cs="宋体"/>
                <w:color w:val="auto"/>
                <w:highlight w:val="none"/>
              </w:rPr>
              <w:t>所提供产品生产日期，必须是成交以后日期</w:t>
            </w:r>
            <w:r>
              <w:rPr>
                <w:rFonts w:cs="宋体"/>
                <w:color w:val="auto"/>
                <w:highlight w:val="none"/>
              </w:rPr>
              <w:t>（不接受</w:t>
            </w:r>
            <w:r>
              <w:rPr>
                <w:rFonts w:hint="eastAsia" w:cs="宋体"/>
                <w:color w:val="auto"/>
                <w:highlight w:val="none"/>
              </w:rPr>
              <w:t>库存机</w:t>
            </w:r>
            <w:r>
              <w:rPr>
                <w:rFonts w:cs="宋体"/>
                <w:color w:val="auto"/>
                <w:highlight w:val="none"/>
              </w:rPr>
              <w:t>）</w:t>
            </w:r>
            <w:r>
              <w:rPr>
                <w:rFonts w:hint="eastAsia" w:cs="宋体"/>
                <w:color w:val="auto"/>
                <w:highlight w:val="none"/>
              </w:rPr>
              <w:t>。</w:t>
            </w:r>
          </w:p>
          <w:p>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r>
              <w:rPr>
                <w:rFonts w:cs="宋体"/>
                <w:color w:val="auto"/>
                <w:highlight w:val="none"/>
              </w:rPr>
              <w:t>3.</w:t>
            </w:r>
            <w:r>
              <w:rPr>
                <w:rFonts w:hint="eastAsia" w:cs="宋体"/>
                <w:color w:val="auto"/>
                <w:highlight w:val="none"/>
              </w:rPr>
              <w:t>原厂资质工程师上门调试，定期进行设备巡检。</w:t>
            </w:r>
          </w:p>
        </w:tc>
      </w:tr>
    </w:tbl>
    <w:p>
      <w:pPr>
        <w:pStyle w:val="3"/>
        <w:spacing w:before="0" w:after="0"/>
        <w:rPr>
          <w:color w:val="auto"/>
          <w:highlight w:val="none"/>
        </w:rPr>
      </w:pPr>
      <w:r>
        <w:rPr>
          <w:rFonts w:hint="eastAsia"/>
          <w:color w:val="auto"/>
          <w:highlight w:val="none"/>
        </w:rPr>
        <w:t>操作系统</w:t>
      </w:r>
    </w:p>
    <w:tbl>
      <w:tblPr>
        <w:tblStyle w:val="63"/>
        <w:tblW w:w="52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10" w:type="dxa"/>
            <w:vAlign w:val="center"/>
          </w:tcPr>
          <w:p>
            <w:pPr>
              <w:widowControl/>
              <w:spacing w:line="46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操作系统</w:t>
            </w:r>
          </w:p>
        </w:tc>
        <w:tc>
          <w:tcPr>
            <w:tcW w:w="7303" w:type="dxa"/>
            <w:vAlign w:val="center"/>
          </w:tcPr>
          <w:p>
            <w:pPr>
              <w:spacing w:line="460" w:lineRule="exact"/>
              <w:rPr>
                <w:rFonts w:hint="eastAsia"/>
                <w:sz w:val="22"/>
                <w:szCs w:val="22"/>
                <w:highlight w:val="none"/>
              </w:rPr>
            </w:pPr>
            <w:r>
              <w:rPr>
                <w:rFonts w:hint="eastAsia"/>
                <w:sz w:val="22"/>
                <w:szCs w:val="22"/>
                <w:highlight w:val="none"/>
              </w:rPr>
              <w:t>1、操作系统同源兼容ARM、LoongArch、MIPS、SW64、x86等平台架构的CPU。</w:t>
            </w:r>
          </w:p>
          <w:p>
            <w:pPr>
              <w:spacing w:line="460" w:lineRule="exact"/>
              <w:rPr>
                <w:sz w:val="22"/>
                <w:szCs w:val="22"/>
                <w:highlight w:val="none"/>
              </w:rPr>
            </w:pPr>
            <w:r>
              <w:rPr>
                <w:rFonts w:hint="eastAsia"/>
                <w:sz w:val="22"/>
                <w:szCs w:val="22"/>
                <w:highlight w:val="none"/>
              </w:rPr>
              <w:t>2、</w:t>
            </w:r>
            <w:r>
              <w:rPr>
                <w:sz w:val="22"/>
                <w:szCs w:val="22"/>
                <w:highlight w:val="none"/>
              </w:rPr>
              <w:t>操作系统支持光盘、USB闪存盘和网络等安装方式</w:t>
            </w:r>
            <w:r>
              <w:rPr>
                <w:rFonts w:hint="eastAsia"/>
                <w:sz w:val="22"/>
                <w:szCs w:val="22"/>
                <w:highlight w:val="none"/>
              </w:rPr>
              <w:t>。</w:t>
            </w:r>
          </w:p>
          <w:p>
            <w:pPr>
              <w:spacing w:line="460" w:lineRule="exact"/>
              <w:rPr>
                <w:sz w:val="22"/>
                <w:szCs w:val="22"/>
                <w:highlight w:val="none"/>
              </w:rPr>
            </w:pPr>
            <w:r>
              <w:rPr>
                <w:rFonts w:hint="eastAsia"/>
                <w:sz w:val="22"/>
                <w:szCs w:val="22"/>
                <w:highlight w:val="none"/>
              </w:rPr>
              <w:t>3、系统兼容主流整机、外设和桌面生态软件。</w:t>
            </w:r>
          </w:p>
          <w:p>
            <w:pPr>
              <w:spacing w:line="460" w:lineRule="exact"/>
              <w:rPr>
                <w:sz w:val="22"/>
                <w:szCs w:val="22"/>
                <w:highlight w:val="none"/>
              </w:rPr>
            </w:pPr>
            <w:r>
              <w:rPr>
                <w:rFonts w:hint="eastAsia"/>
                <w:sz w:val="22"/>
                <w:szCs w:val="22"/>
                <w:highlight w:val="none"/>
              </w:rPr>
              <w:t>4、</w:t>
            </w:r>
            <w:r>
              <w:rPr>
                <w:sz w:val="22"/>
                <w:szCs w:val="22"/>
                <w:highlight w:val="none"/>
              </w:rPr>
              <w:t>具备文件管理器、设备管理、用户管理、个性化设置等基本功能</w:t>
            </w:r>
            <w:r>
              <w:rPr>
                <w:rFonts w:hint="eastAsia"/>
                <w:sz w:val="22"/>
                <w:szCs w:val="22"/>
                <w:highlight w:val="none"/>
              </w:rPr>
              <w:t>；</w:t>
            </w:r>
          </w:p>
          <w:p>
            <w:pPr>
              <w:spacing w:line="460" w:lineRule="exact"/>
              <w:rPr>
                <w:sz w:val="22"/>
                <w:szCs w:val="22"/>
                <w:highlight w:val="none"/>
              </w:rPr>
            </w:pPr>
            <w:r>
              <w:rPr>
                <w:rFonts w:hint="eastAsia"/>
                <w:sz w:val="22"/>
                <w:szCs w:val="22"/>
                <w:highlight w:val="none"/>
              </w:rPr>
              <w:t>5、</w:t>
            </w:r>
            <w:r>
              <w:rPr>
                <w:rFonts w:hint="eastAsia"/>
                <w:color w:val="auto"/>
                <w:sz w:val="22"/>
                <w:szCs w:val="22"/>
                <w:highlight w:val="none"/>
                <w:u w:val="single"/>
                <w:lang w:eastAsia="zh-CN"/>
              </w:rPr>
              <w:t>★</w:t>
            </w:r>
            <w:r>
              <w:rPr>
                <w:sz w:val="22"/>
                <w:szCs w:val="22"/>
                <w:highlight w:val="none"/>
                <w:u w:val="single"/>
              </w:rPr>
              <w:t>操作系统产品同时符合中国信息安全测评中心的安全可靠测评结果（2023年第1号）和安全可靠测评结果（2024年第1号），两次测评所提供的系统内核版本均不低于5.4，需提供测评公告链接和截图</w:t>
            </w:r>
            <w:r>
              <w:rPr>
                <w:rFonts w:hint="eastAsia"/>
                <w:sz w:val="22"/>
                <w:szCs w:val="22"/>
                <w:highlight w:val="none"/>
                <w:u w:val="single"/>
                <w:lang w:eastAsia="zh-CN"/>
              </w:rPr>
              <w:t>并加盖投标供应商公章或</w:t>
            </w:r>
            <w:r>
              <w:rPr>
                <w:rFonts w:hint="eastAsia"/>
                <w:sz w:val="22"/>
                <w:szCs w:val="22"/>
                <w:highlight w:val="none"/>
                <w:u w:val="single"/>
                <w:lang w:val="en-US" w:eastAsia="zh-CN"/>
              </w:rPr>
              <w:t>CA章</w:t>
            </w:r>
            <w:r>
              <w:rPr>
                <w:sz w:val="22"/>
                <w:szCs w:val="22"/>
                <w:highlight w:val="none"/>
                <w:u w:val="single"/>
              </w:rPr>
              <w:t>。</w:t>
            </w:r>
          </w:p>
          <w:p>
            <w:pPr>
              <w:spacing w:line="460" w:lineRule="exact"/>
              <w:rPr>
                <w:sz w:val="22"/>
                <w:szCs w:val="22"/>
                <w:highlight w:val="none"/>
              </w:rPr>
            </w:pPr>
            <w:r>
              <w:rPr>
                <w:rFonts w:hint="eastAsia"/>
                <w:sz w:val="22"/>
                <w:szCs w:val="22"/>
                <w:highlight w:val="none"/>
              </w:rPr>
              <w:t>6、</w:t>
            </w:r>
            <w:r>
              <w:rPr>
                <w:sz w:val="22"/>
                <w:szCs w:val="22"/>
                <w:highlight w:val="none"/>
                <w:u w:val="none"/>
              </w:rPr>
              <w:t>操作系统原厂商通过《软件服务商交付能力评估标准》(T/SIA009-2020)评估，达到一级交付能力</w:t>
            </w:r>
            <w:r>
              <w:rPr>
                <w:rFonts w:hint="eastAsia"/>
                <w:sz w:val="22"/>
                <w:szCs w:val="22"/>
                <w:highlight w:val="none"/>
                <w:u w:val="none"/>
              </w:rPr>
              <w:t>。</w:t>
            </w:r>
          </w:p>
          <w:p>
            <w:pPr>
              <w:spacing w:line="460" w:lineRule="exact"/>
              <w:rPr>
                <w:sz w:val="22"/>
                <w:szCs w:val="22"/>
                <w:highlight w:val="none"/>
              </w:rPr>
            </w:pPr>
            <w:r>
              <w:rPr>
                <w:rFonts w:hint="eastAsia"/>
                <w:sz w:val="22"/>
                <w:szCs w:val="22"/>
                <w:highlight w:val="none"/>
              </w:rPr>
              <w:t>7、</w:t>
            </w:r>
            <w:r>
              <w:rPr>
                <w:rFonts w:hint="eastAsia"/>
                <w:color w:val="auto"/>
                <w:sz w:val="22"/>
                <w:szCs w:val="22"/>
                <w:highlight w:val="none"/>
                <w:u w:val="single"/>
                <w:lang w:eastAsia="zh-CN"/>
              </w:rPr>
              <w:t>★</w:t>
            </w:r>
            <w:r>
              <w:rPr>
                <w:sz w:val="22"/>
                <w:szCs w:val="22"/>
                <w:highlight w:val="none"/>
                <w:u w:val="single"/>
              </w:rPr>
              <w:t>操作系统提供图形化操作界面，使用轻量级UKUI桌面环境，支持锁屏界面通过微信扫码、密码验证登方式登录操作系统，提供功能截图证明材料</w:t>
            </w:r>
            <w:r>
              <w:rPr>
                <w:rFonts w:hint="eastAsia"/>
                <w:sz w:val="22"/>
                <w:szCs w:val="22"/>
                <w:highlight w:val="none"/>
                <w:u w:val="single"/>
                <w:lang w:eastAsia="zh-CN"/>
              </w:rPr>
              <w:t>加盖投标供应商公章或</w:t>
            </w:r>
            <w:r>
              <w:rPr>
                <w:rFonts w:hint="eastAsia"/>
                <w:sz w:val="22"/>
                <w:szCs w:val="22"/>
                <w:highlight w:val="none"/>
                <w:u w:val="single"/>
                <w:lang w:val="en-US" w:eastAsia="zh-CN"/>
              </w:rPr>
              <w:t>CA章</w:t>
            </w:r>
          </w:p>
          <w:p>
            <w:pPr>
              <w:spacing w:line="460" w:lineRule="exact"/>
              <w:rPr>
                <w:rFonts w:hint="eastAsia"/>
                <w:sz w:val="22"/>
                <w:szCs w:val="22"/>
                <w:highlight w:val="none"/>
                <w:u w:val="none"/>
                <w:lang w:eastAsia="zh-CN"/>
              </w:rPr>
            </w:pPr>
            <w:r>
              <w:rPr>
                <w:rFonts w:hint="eastAsia"/>
                <w:sz w:val="22"/>
                <w:szCs w:val="22"/>
                <w:highlight w:val="none"/>
              </w:rPr>
              <w:t>8、</w:t>
            </w:r>
            <w:r>
              <w:rPr>
                <w:sz w:val="22"/>
                <w:szCs w:val="22"/>
                <w:highlight w:val="none"/>
                <w:u w:val="none"/>
              </w:rPr>
              <w:t>支持RPM软件包管理工具DNF，提供RPM到DEB包格式转换工具，提供RPM到DEB包管理器转换工具</w:t>
            </w:r>
            <w:r>
              <w:rPr>
                <w:rFonts w:hint="eastAsia"/>
                <w:sz w:val="22"/>
                <w:szCs w:val="22"/>
                <w:highlight w:val="none"/>
                <w:u w:val="none"/>
                <w:lang w:eastAsia="zh-CN"/>
              </w:rPr>
              <w:t>。</w:t>
            </w:r>
          </w:p>
          <w:p>
            <w:pPr>
              <w:spacing w:line="460" w:lineRule="exact"/>
              <w:rPr>
                <w:sz w:val="22"/>
                <w:szCs w:val="22"/>
                <w:highlight w:val="none"/>
              </w:rPr>
            </w:pPr>
            <w:r>
              <w:rPr>
                <w:rFonts w:hint="eastAsia"/>
                <w:sz w:val="22"/>
                <w:szCs w:val="22"/>
                <w:highlight w:val="none"/>
              </w:rPr>
              <w:t>9、</w:t>
            </w:r>
            <w:r>
              <w:rPr>
                <w:sz w:val="22"/>
                <w:szCs w:val="22"/>
                <w:highlight w:val="none"/>
              </w:rPr>
              <w:t>桌面操作系统产品为公安专版正版化桌面操作系统</w:t>
            </w:r>
            <w:r>
              <w:rPr>
                <w:rFonts w:hint="eastAsia"/>
                <w:sz w:val="22"/>
                <w:szCs w:val="22"/>
                <w:highlight w:val="none"/>
              </w:rPr>
              <w:t>；</w:t>
            </w:r>
          </w:p>
          <w:p>
            <w:pPr>
              <w:spacing w:line="460" w:lineRule="exact"/>
              <w:rPr>
                <w:rFonts w:hint="eastAsia" w:eastAsia="宋体"/>
                <w:sz w:val="22"/>
                <w:szCs w:val="22"/>
                <w:highlight w:val="none"/>
                <w:lang w:eastAsia="zh-CN"/>
              </w:rPr>
            </w:pPr>
            <w:r>
              <w:rPr>
                <w:rFonts w:hint="eastAsia"/>
                <w:sz w:val="22"/>
                <w:szCs w:val="22"/>
                <w:highlight w:val="none"/>
              </w:rPr>
              <w:t>10、</w:t>
            </w:r>
            <w:r>
              <w:rPr>
                <w:rFonts w:hint="eastAsia"/>
                <w:color w:val="auto"/>
                <w:sz w:val="22"/>
                <w:szCs w:val="22"/>
                <w:highlight w:val="none"/>
                <w:u w:val="single"/>
                <w:lang w:eastAsia="zh-CN"/>
              </w:rPr>
              <w:t>★</w:t>
            </w:r>
            <w:r>
              <w:rPr>
                <w:rFonts w:hint="eastAsia"/>
                <w:sz w:val="22"/>
                <w:szCs w:val="22"/>
                <w:highlight w:val="none"/>
                <w:u w:val="single"/>
                <w:lang w:eastAsia="zh-CN"/>
              </w:rPr>
              <w:t>投标供应商承诺中标后提供原厂</w:t>
            </w:r>
            <w:r>
              <w:rPr>
                <w:sz w:val="22"/>
                <w:szCs w:val="22"/>
                <w:highlight w:val="none"/>
                <w:u w:val="single"/>
              </w:rPr>
              <w:t>操作系统产品授权证书</w:t>
            </w:r>
            <w:r>
              <w:rPr>
                <w:rFonts w:hint="eastAsia"/>
                <w:sz w:val="22"/>
                <w:szCs w:val="22"/>
                <w:highlight w:val="none"/>
                <w:u w:val="single"/>
                <w:lang w:eastAsia="zh-CN"/>
              </w:rPr>
              <w:t>，</w:t>
            </w:r>
            <w:r>
              <w:rPr>
                <w:sz w:val="22"/>
                <w:szCs w:val="22"/>
                <w:highlight w:val="none"/>
                <w:u w:val="single"/>
              </w:rPr>
              <w:t>且授权对象为</w:t>
            </w:r>
            <w:r>
              <w:rPr>
                <w:rFonts w:hint="eastAsia"/>
                <w:sz w:val="22"/>
                <w:szCs w:val="22"/>
                <w:highlight w:val="none"/>
                <w:u w:val="single"/>
              </w:rPr>
              <w:t>温州市公安局鹿城区分局，</w:t>
            </w:r>
            <w:r>
              <w:rPr>
                <w:sz w:val="22"/>
                <w:szCs w:val="22"/>
                <w:highlight w:val="none"/>
                <w:u w:val="single"/>
              </w:rPr>
              <w:t>保障产品永久授权</w:t>
            </w:r>
            <w:r>
              <w:rPr>
                <w:rFonts w:hint="eastAsia"/>
                <w:sz w:val="22"/>
                <w:szCs w:val="22"/>
                <w:highlight w:val="none"/>
                <w:u w:val="single"/>
              </w:rPr>
              <w:t>。</w:t>
            </w:r>
            <w:r>
              <w:rPr>
                <w:rFonts w:hint="eastAsia"/>
                <w:sz w:val="22"/>
                <w:szCs w:val="22"/>
                <w:highlight w:val="none"/>
                <w:u w:val="single"/>
                <w:lang w:eastAsia="zh-CN"/>
              </w:rPr>
              <w:t>（提供相关承诺书并加盖投标供应商公章或</w:t>
            </w:r>
            <w:r>
              <w:rPr>
                <w:rFonts w:hint="eastAsia"/>
                <w:sz w:val="22"/>
                <w:szCs w:val="22"/>
                <w:highlight w:val="none"/>
                <w:u w:val="single"/>
                <w:lang w:val="en-US" w:eastAsia="zh-CN"/>
              </w:rPr>
              <w:t>CA章</w:t>
            </w:r>
            <w:r>
              <w:rPr>
                <w:rFonts w:hint="eastAsia"/>
                <w:sz w:val="22"/>
                <w:szCs w:val="22"/>
                <w:highlight w:val="none"/>
                <w:u w:val="single"/>
                <w:lang w:eastAsia="zh-CN"/>
              </w:rPr>
              <w:t>）</w:t>
            </w:r>
          </w:p>
        </w:tc>
      </w:tr>
    </w:tbl>
    <w:p>
      <w:pPr>
        <w:rPr>
          <w:color w:val="auto"/>
          <w:highlight w:val="none"/>
        </w:rPr>
      </w:pPr>
    </w:p>
    <w:p>
      <w:pPr>
        <w:pStyle w:val="20"/>
        <w:rPr>
          <w:color w:val="auto"/>
          <w:highlight w:val="none"/>
        </w:rPr>
      </w:pPr>
    </w:p>
    <w:p>
      <w:pPr>
        <w:rPr>
          <w:color w:val="auto"/>
          <w:highlight w:val="none"/>
        </w:rPr>
      </w:pPr>
    </w:p>
    <w:p>
      <w:pPr>
        <w:pStyle w:val="3"/>
        <w:spacing w:before="0" w:after="0"/>
        <w:rPr>
          <w:color w:val="auto"/>
          <w:highlight w:val="none"/>
        </w:rPr>
      </w:pPr>
      <w:r>
        <w:rPr>
          <w:rFonts w:hint="eastAsia"/>
          <w:color w:val="auto"/>
          <w:highlight w:val="none"/>
        </w:rPr>
        <w:t>应用虚拟化</w:t>
      </w:r>
    </w:p>
    <w:tbl>
      <w:tblPr>
        <w:tblStyle w:val="63"/>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66" w:type="dxa"/>
            <w:vAlign w:val="center"/>
          </w:tcPr>
          <w:p>
            <w:pPr>
              <w:widowControl/>
              <w:spacing w:line="46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应用虚拟化</w:t>
            </w:r>
          </w:p>
        </w:tc>
        <w:tc>
          <w:tcPr>
            <w:tcW w:w="7211" w:type="dxa"/>
            <w:vAlign w:val="center"/>
          </w:tcPr>
          <w:p>
            <w:pPr>
              <w:spacing w:line="460" w:lineRule="exact"/>
              <w:rPr>
                <w:sz w:val="22"/>
                <w:szCs w:val="22"/>
                <w:highlight w:val="none"/>
              </w:rPr>
            </w:pPr>
            <w:r>
              <w:rPr>
                <w:rFonts w:hint="eastAsia"/>
                <w:sz w:val="22"/>
                <w:szCs w:val="22"/>
                <w:highlight w:val="none"/>
              </w:rPr>
              <w:t>1、</w:t>
            </w:r>
            <w:r>
              <w:rPr>
                <w:sz w:val="22"/>
                <w:szCs w:val="22"/>
                <w:highlight w:val="none"/>
              </w:rPr>
              <w:t>根据用户使用过程中的需求，虚拟机创建完毕后，可随时对虚拟机资源进行调整，包含但不限于：CPU、内存、硬盘。</w:t>
            </w:r>
          </w:p>
          <w:p>
            <w:pPr>
              <w:spacing w:line="460" w:lineRule="exact"/>
              <w:rPr>
                <w:sz w:val="22"/>
                <w:szCs w:val="22"/>
                <w:highlight w:val="none"/>
              </w:rPr>
            </w:pPr>
            <w:r>
              <w:rPr>
                <w:rFonts w:hint="eastAsia"/>
                <w:sz w:val="22"/>
                <w:szCs w:val="22"/>
                <w:highlight w:val="none"/>
              </w:rPr>
              <w:t>2、</w:t>
            </w:r>
            <w:r>
              <w:rPr>
                <w:sz w:val="22"/>
                <w:szCs w:val="22"/>
                <w:highlight w:val="none"/>
              </w:rPr>
              <w:t>为面向多种网络安全场景，须提供两种网络管控模式，仅可访问列表内端口、IP或仅列表内端口、IP不可访问；为便于用户使用，用户可在设置栏直接手动输入端口或IP</w:t>
            </w:r>
            <w:r>
              <w:rPr>
                <w:rFonts w:hint="eastAsia"/>
                <w:sz w:val="22"/>
                <w:szCs w:val="22"/>
                <w:highlight w:val="none"/>
              </w:rPr>
              <w:t>；</w:t>
            </w:r>
          </w:p>
          <w:p>
            <w:pPr>
              <w:spacing w:line="460" w:lineRule="exact"/>
              <w:rPr>
                <w:rFonts w:hint="eastAsia"/>
                <w:sz w:val="22"/>
                <w:szCs w:val="22"/>
                <w:highlight w:val="none"/>
              </w:rPr>
            </w:pPr>
            <w:r>
              <w:rPr>
                <w:rFonts w:hint="eastAsia"/>
                <w:sz w:val="22"/>
                <w:szCs w:val="22"/>
                <w:highlight w:val="none"/>
              </w:rPr>
              <w:t>3、</w:t>
            </w:r>
            <w:r>
              <w:rPr>
                <w:sz w:val="22"/>
                <w:szCs w:val="22"/>
                <w:highlight w:val="none"/>
              </w:rPr>
              <w:t>提供网络端口管控功能，至少提供针对TCP\UDP\ICMP三种协议的管控手段</w:t>
            </w:r>
            <w:r>
              <w:rPr>
                <w:rFonts w:hint="eastAsia"/>
                <w:sz w:val="22"/>
                <w:szCs w:val="22"/>
                <w:highlight w:val="none"/>
                <w:lang w:eastAsia="zh-CN"/>
              </w:rPr>
              <w:t>。</w:t>
            </w:r>
          </w:p>
          <w:p>
            <w:pPr>
              <w:spacing w:line="460" w:lineRule="exact"/>
              <w:rPr>
                <w:sz w:val="22"/>
                <w:szCs w:val="22"/>
                <w:highlight w:val="none"/>
              </w:rPr>
            </w:pPr>
            <w:r>
              <w:rPr>
                <w:rFonts w:hint="eastAsia"/>
                <w:sz w:val="22"/>
                <w:szCs w:val="22"/>
                <w:highlight w:val="none"/>
              </w:rPr>
              <w:t>4、</w:t>
            </w:r>
            <w:r>
              <w:rPr>
                <w:rFonts w:hint="eastAsia"/>
                <w:color w:val="auto"/>
                <w:sz w:val="22"/>
                <w:szCs w:val="22"/>
                <w:highlight w:val="none"/>
                <w:u w:val="single"/>
                <w:lang w:eastAsia="zh-CN"/>
              </w:rPr>
              <w:t>★</w:t>
            </w:r>
            <w:r>
              <w:rPr>
                <w:sz w:val="22"/>
                <w:szCs w:val="22"/>
                <w:highlight w:val="none"/>
                <w:u w:val="single"/>
              </w:rPr>
              <w:t>为适应用户提供多样化的虚拟机操作系统办公场景，支持部署多台虚拟机系统，并以列表的形式展现给用户，系统之间数据相互隔离，提供功能截图证明材料</w:t>
            </w:r>
            <w:r>
              <w:rPr>
                <w:rFonts w:hint="eastAsia"/>
                <w:sz w:val="22"/>
                <w:szCs w:val="22"/>
                <w:highlight w:val="none"/>
                <w:u w:val="single"/>
                <w:lang w:eastAsia="zh-CN"/>
              </w:rPr>
              <w:t>加盖投标供应商公章或</w:t>
            </w:r>
            <w:r>
              <w:rPr>
                <w:rFonts w:hint="eastAsia"/>
                <w:sz w:val="22"/>
                <w:szCs w:val="22"/>
                <w:highlight w:val="none"/>
                <w:u w:val="single"/>
                <w:lang w:val="en-US" w:eastAsia="zh-CN"/>
              </w:rPr>
              <w:t>CA章</w:t>
            </w:r>
          </w:p>
          <w:p>
            <w:pPr>
              <w:spacing w:line="460" w:lineRule="exact"/>
              <w:rPr>
                <w:sz w:val="22"/>
                <w:szCs w:val="22"/>
                <w:highlight w:val="none"/>
              </w:rPr>
            </w:pPr>
            <w:r>
              <w:rPr>
                <w:rFonts w:hint="eastAsia"/>
                <w:sz w:val="22"/>
                <w:szCs w:val="22"/>
                <w:highlight w:val="none"/>
              </w:rPr>
              <w:t>5、</w:t>
            </w:r>
            <w:r>
              <w:rPr>
                <w:rFonts w:hint="eastAsia"/>
                <w:color w:val="auto"/>
                <w:sz w:val="22"/>
                <w:szCs w:val="22"/>
                <w:highlight w:val="none"/>
                <w:u w:val="single"/>
                <w:lang w:eastAsia="zh-CN"/>
              </w:rPr>
              <w:t>★</w:t>
            </w:r>
            <w:r>
              <w:rPr>
                <w:sz w:val="22"/>
                <w:szCs w:val="22"/>
                <w:highlight w:val="none"/>
                <w:u w:val="single"/>
              </w:rPr>
              <w:t>为便于用户使用，提供悬浮窗，用户可通过悬浮窗执行对虚拟机的操作，包含但不限于：主界面、运行环境界面、启动服务、停止服务、USB管理、隐藏悬浮窗等，提供功能截图证明材料</w:t>
            </w:r>
            <w:r>
              <w:rPr>
                <w:rFonts w:hint="eastAsia"/>
                <w:sz w:val="22"/>
                <w:szCs w:val="22"/>
                <w:highlight w:val="none"/>
                <w:u w:val="single"/>
                <w:lang w:eastAsia="zh-CN"/>
              </w:rPr>
              <w:t>加盖投标供应商公章或</w:t>
            </w:r>
            <w:r>
              <w:rPr>
                <w:rFonts w:hint="eastAsia"/>
                <w:sz w:val="22"/>
                <w:szCs w:val="22"/>
                <w:highlight w:val="none"/>
                <w:u w:val="single"/>
                <w:lang w:val="en-US" w:eastAsia="zh-CN"/>
              </w:rPr>
              <w:t>CA章</w:t>
            </w:r>
          </w:p>
          <w:p>
            <w:pPr>
              <w:spacing w:line="460" w:lineRule="exact"/>
              <w:rPr>
                <w:rFonts w:hint="default"/>
                <w:sz w:val="22"/>
                <w:szCs w:val="22"/>
                <w:highlight w:val="none"/>
                <w:lang w:val="en-US"/>
              </w:rPr>
            </w:pPr>
            <w:r>
              <w:rPr>
                <w:rFonts w:hint="eastAsia"/>
                <w:sz w:val="22"/>
                <w:szCs w:val="22"/>
                <w:highlight w:val="none"/>
              </w:rPr>
              <w:t>6、</w:t>
            </w:r>
            <w:r>
              <w:rPr>
                <w:rFonts w:hint="eastAsia"/>
                <w:color w:val="auto"/>
                <w:sz w:val="22"/>
                <w:szCs w:val="22"/>
                <w:highlight w:val="none"/>
                <w:u w:val="single"/>
                <w:lang w:eastAsia="zh-CN"/>
              </w:rPr>
              <w:t>★</w:t>
            </w:r>
            <w:r>
              <w:rPr>
                <w:rFonts w:hint="eastAsia"/>
                <w:sz w:val="22"/>
                <w:szCs w:val="22"/>
                <w:highlight w:val="none"/>
                <w:u w:val="single"/>
              </w:rPr>
              <w:t>为便于用户使用操作、运维，产品应至少具备应用模式和维护模式两种模式，且两种模式可以任意切换，不需要重启虚机再切换，提供功能截图证明材料</w:t>
            </w:r>
            <w:r>
              <w:rPr>
                <w:rFonts w:hint="eastAsia"/>
                <w:sz w:val="22"/>
                <w:szCs w:val="22"/>
                <w:highlight w:val="none"/>
                <w:u w:val="single"/>
                <w:lang w:eastAsia="zh-CN"/>
              </w:rPr>
              <w:t>加盖投标供应商公章或</w:t>
            </w:r>
            <w:r>
              <w:rPr>
                <w:rFonts w:hint="eastAsia"/>
                <w:sz w:val="22"/>
                <w:szCs w:val="22"/>
                <w:highlight w:val="none"/>
                <w:u w:val="single"/>
                <w:lang w:val="en-US" w:eastAsia="zh-CN"/>
              </w:rPr>
              <w:t>CA章</w:t>
            </w:r>
          </w:p>
        </w:tc>
      </w:tr>
    </w:tbl>
    <w:p>
      <w:pPr>
        <w:rPr>
          <w:color w:val="auto"/>
          <w:highlight w:val="none"/>
        </w:rPr>
      </w:pPr>
    </w:p>
    <w:p>
      <w:pPr>
        <w:rPr>
          <w:color w:val="auto"/>
          <w:highlight w:val="none"/>
        </w:rPr>
      </w:pPr>
    </w:p>
    <w:p>
      <w:pPr>
        <w:pStyle w:val="3"/>
        <w:spacing w:before="0" w:after="0"/>
        <w:rPr>
          <w:color w:val="auto"/>
          <w:highlight w:val="none"/>
        </w:rPr>
      </w:pPr>
      <w:r>
        <w:rPr>
          <w:rFonts w:hint="eastAsia"/>
          <w:color w:val="auto"/>
          <w:highlight w:val="none"/>
        </w:rPr>
        <w:t>远望</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75" w:type="dxa"/>
            <w:vAlign w:val="center"/>
          </w:tcPr>
          <w:p>
            <w:pPr>
              <w:keepNext w:val="0"/>
              <w:keepLines w:val="0"/>
              <w:pageBreakBefore w:val="0"/>
              <w:widowControl/>
              <w:kinsoku/>
              <w:wordWrap/>
              <w:overflowPunct/>
              <w:topLinePunct w:val="0"/>
              <w:autoSpaceDE/>
              <w:autoSpaceDN/>
              <w:bidi w:val="0"/>
              <w:snapToGrid/>
              <w:spacing w:line="460" w:lineRule="exact"/>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主机监控与审计系统（服务端、客户端）</w:t>
            </w:r>
          </w:p>
        </w:tc>
        <w:tc>
          <w:tcPr>
            <w:tcW w:w="6816" w:type="dxa"/>
            <w:vAlign w:val="center"/>
          </w:tcPr>
          <w:p>
            <w:pPr>
              <w:keepNext w:val="0"/>
              <w:keepLines w:val="0"/>
              <w:pageBreakBefore w:val="0"/>
              <w:numPr>
                <w:ilvl w:val="0"/>
                <w:numId w:val="4"/>
              </w:numPr>
              <w:kinsoku/>
              <w:wordWrap/>
              <w:overflowPunct/>
              <w:topLinePunct w:val="0"/>
              <w:autoSpaceDE/>
              <w:autoSpaceDN/>
              <w:bidi w:val="0"/>
              <w:adjustRightInd/>
              <w:snapToGrid/>
              <w:spacing w:line="460" w:lineRule="exact"/>
              <w:rPr>
                <w:color w:val="auto"/>
                <w:sz w:val="22"/>
                <w:szCs w:val="22"/>
                <w:highlight w:val="none"/>
              </w:rPr>
            </w:pPr>
            <w:r>
              <w:rPr>
                <w:rFonts w:hint="eastAsia"/>
                <w:color w:val="auto"/>
                <w:sz w:val="22"/>
                <w:szCs w:val="22"/>
                <w:highlight w:val="none"/>
              </w:rPr>
              <w:t>产品通过设备发现与识别、‌接入控制、‌外联管控、‌屏幕水印、‌操作审计、‌终端基础安全监管等功能；</w:t>
            </w:r>
          </w:p>
          <w:p>
            <w:pPr>
              <w:keepNext w:val="0"/>
              <w:keepLines w:val="0"/>
              <w:pageBreakBefore w:val="0"/>
              <w:kinsoku/>
              <w:wordWrap/>
              <w:overflowPunct/>
              <w:topLinePunct w:val="0"/>
              <w:autoSpaceDE/>
              <w:autoSpaceDN/>
              <w:bidi w:val="0"/>
              <w:snapToGrid/>
              <w:spacing w:line="460" w:lineRule="exact"/>
              <w:rPr>
                <w:color w:val="auto"/>
                <w:sz w:val="22"/>
                <w:szCs w:val="22"/>
                <w:highlight w:val="none"/>
              </w:rPr>
            </w:pPr>
            <w:r>
              <w:rPr>
                <w:rFonts w:hint="eastAsia"/>
                <w:color w:val="auto"/>
                <w:sz w:val="22"/>
                <w:szCs w:val="22"/>
                <w:highlight w:val="none"/>
              </w:rPr>
              <w:t>2、产品需提供</w:t>
            </w:r>
            <w:r>
              <w:rPr>
                <w:color w:val="auto"/>
                <w:sz w:val="22"/>
                <w:szCs w:val="22"/>
                <w:highlight w:val="none"/>
              </w:rPr>
              <w:t>需级联屏幕水印功能，外联加固功能，移动介质管控功能</w:t>
            </w:r>
            <w:r>
              <w:rPr>
                <w:rFonts w:hint="eastAsia"/>
                <w:color w:val="auto"/>
                <w:sz w:val="22"/>
                <w:szCs w:val="22"/>
                <w:highlight w:val="none"/>
              </w:rPr>
              <w:t>；</w:t>
            </w:r>
          </w:p>
          <w:p>
            <w:pPr>
              <w:keepNext w:val="0"/>
              <w:keepLines w:val="0"/>
              <w:pageBreakBefore w:val="0"/>
              <w:kinsoku/>
              <w:wordWrap/>
              <w:overflowPunct/>
              <w:topLinePunct w:val="0"/>
              <w:autoSpaceDE/>
              <w:autoSpaceDN/>
              <w:bidi w:val="0"/>
              <w:snapToGrid/>
              <w:spacing w:line="460" w:lineRule="exact"/>
              <w:rPr>
                <w:rFonts w:hint="eastAsia" w:eastAsia="宋体"/>
                <w:color w:val="auto"/>
                <w:sz w:val="22"/>
                <w:szCs w:val="22"/>
                <w:highlight w:val="none"/>
                <w:lang w:eastAsia="zh-CN"/>
              </w:rPr>
            </w:pPr>
            <w:r>
              <w:rPr>
                <w:rFonts w:hint="eastAsia"/>
                <w:color w:val="auto"/>
                <w:sz w:val="22"/>
                <w:szCs w:val="22"/>
                <w:highlight w:val="none"/>
              </w:rPr>
              <w:t>3、</w:t>
            </w:r>
            <w:r>
              <w:rPr>
                <w:rFonts w:hint="eastAsia"/>
                <w:color w:val="auto"/>
                <w:sz w:val="22"/>
                <w:szCs w:val="22"/>
                <w:highlight w:val="none"/>
                <w:u w:val="single"/>
                <w:lang w:eastAsia="zh-CN"/>
              </w:rPr>
              <w:t>★</w:t>
            </w:r>
            <w:r>
              <w:rPr>
                <w:rFonts w:hint="eastAsia"/>
                <w:color w:val="auto"/>
                <w:sz w:val="22"/>
                <w:szCs w:val="22"/>
                <w:highlight w:val="none"/>
                <w:u w:val="single"/>
              </w:rPr>
              <w:t>产品服务端</w:t>
            </w:r>
            <w:r>
              <w:rPr>
                <w:color w:val="auto"/>
                <w:sz w:val="22"/>
                <w:szCs w:val="22"/>
                <w:highlight w:val="none"/>
                <w:u w:val="single"/>
              </w:rPr>
              <w:t>需与现有安全监管平台无缝对接，</w:t>
            </w:r>
            <w:r>
              <w:rPr>
                <w:rFonts w:hint="eastAsia"/>
                <w:color w:val="auto"/>
                <w:sz w:val="22"/>
                <w:szCs w:val="22"/>
                <w:highlight w:val="none"/>
                <w:u w:val="single"/>
              </w:rPr>
              <w:t>需提供软件功能截图</w:t>
            </w:r>
            <w:r>
              <w:rPr>
                <w:color w:val="auto"/>
                <w:sz w:val="22"/>
                <w:szCs w:val="22"/>
                <w:highlight w:val="none"/>
                <w:u w:val="single"/>
              </w:rPr>
              <w:t>并加盖</w:t>
            </w:r>
            <w:r>
              <w:rPr>
                <w:rFonts w:hint="eastAsia"/>
                <w:color w:val="auto"/>
                <w:sz w:val="22"/>
                <w:szCs w:val="22"/>
                <w:highlight w:val="none"/>
                <w:u w:val="single"/>
                <w:lang w:eastAsia="zh-CN"/>
              </w:rPr>
              <w:t>投标供应商</w:t>
            </w:r>
            <w:r>
              <w:rPr>
                <w:color w:val="auto"/>
                <w:sz w:val="22"/>
                <w:szCs w:val="22"/>
                <w:highlight w:val="none"/>
                <w:u w:val="single"/>
              </w:rPr>
              <w:t>公章</w:t>
            </w:r>
            <w:r>
              <w:rPr>
                <w:rFonts w:hint="eastAsia"/>
                <w:sz w:val="22"/>
                <w:szCs w:val="22"/>
                <w:highlight w:val="none"/>
                <w:u w:val="single"/>
                <w:lang w:eastAsia="zh-CN"/>
              </w:rPr>
              <w:t>或</w:t>
            </w:r>
            <w:r>
              <w:rPr>
                <w:rFonts w:hint="eastAsia"/>
                <w:sz w:val="22"/>
                <w:szCs w:val="22"/>
                <w:highlight w:val="none"/>
                <w:u w:val="single"/>
                <w:lang w:val="en-US" w:eastAsia="zh-CN"/>
              </w:rPr>
              <w:t>CA章</w:t>
            </w:r>
            <w:r>
              <w:rPr>
                <w:rFonts w:hint="eastAsia"/>
                <w:color w:val="auto"/>
                <w:sz w:val="22"/>
                <w:szCs w:val="22"/>
                <w:highlight w:val="none"/>
                <w:u w:val="single"/>
                <w:lang w:eastAsia="zh-CN"/>
              </w:rPr>
              <w:t>。</w:t>
            </w:r>
          </w:p>
          <w:p>
            <w:pPr>
              <w:keepNext w:val="0"/>
              <w:keepLines w:val="0"/>
              <w:pageBreakBefore w:val="0"/>
              <w:kinsoku/>
              <w:wordWrap/>
              <w:overflowPunct/>
              <w:topLinePunct w:val="0"/>
              <w:autoSpaceDE/>
              <w:autoSpaceDN/>
              <w:bidi w:val="0"/>
              <w:snapToGrid/>
              <w:spacing w:line="460" w:lineRule="exact"/>
              <w:rPr>
                <w:rFonts w:ascii="宋体" w:hAnsi="宋体" w:cs="宋体"/>
                <w:color w:val="auto"/>
                <w:sz w:val="22"/>
                <w:szCs w:val="22"/>
                <w:highlight w:val="none"/>
              </w:rPr>
            </w:pPr>
            <w:r>
              <w:rPr>
                <w:rFonts w:hint="eastAsia"/>
                <w:color w:val="auto"/>
                <w:sz w:val="22"/>
                <w:szCs w:val="22"/>
                <w:highlight w:val="none"/>
              </w:rPr>
              <w:t>4、</w:t>
            </w:r>
            <w:r>
              <w:rPr>
                <w:rFonts w:hint="eastAsia"/>
                <w:color w:val="auto"/>
                <w:sz w:val="22"/>
                <w:szCs w:val="22"/>
                <w:highlight w:val="none"/>
                <w:u w:val="single"/>
                <w:lang w:eastAsia="zh-CN"/>
              </w:rPr>
              <w:t>★</w:t>
            </w:r>
            <w:r>
              <w:rPr>
                <w:rFonts w:hint="eastAsia"/>
                <w:color w:val="auto"/>
                <w:sz w:val="22"/>
                <w:szCs w:val="22"/>
                <w:highlight w:val="none"/>
                <w:u w:val="single"/>
              </w:rPr>
              <w:t>产品服务端</w:t>
            </w:r>
            <w:r>
              <w:rPr>
                <w:color w:val="auto"/>
                <w:sz w:val="22"/>
                <w:szCs w:val="22"/>
                <w:highlight w:val="none"/>
                <w:u w:val="single"/>
              </w:rPr>
              <w:t>需与公安网审计系统联动，提供终端行为审计日志</w:t>
            </w:r>
            <w:r>
              <w:rPr>
                <w:rFonts w:hint="eastAsia"/>
                <w:color w:val="auto"/>
                <w:sz w:val="22"/>
                <w:szCs w:val="22"/>
                <w:highlight w:val="none"/>
                <w:u w:val="single"/>
              </w:rPr>
              <w:t>，需提供软件功能截图</w:t>
            </w:r>
            <w:r>
              <w:rPr>
                <w:color w:val="auto"/>
                <w:sz w:val="22"/>
                <w:szCs w:val="22"/>
                <w:highlight w:val="none"/>
                <w:u w:val="single"/>
              </w:rPr>
              <w:t>并加盖</w:t>
            </w:r>
            <w:r>
              <w:rPr>
                <w:rFonts w:hint="eastAsia"/>
                <w:color w:val="auto"/>
                <w:sz w:val="22"/>
                <w:szCs w:val="22"/>
                <w:highlight w:val="none"/>
                <w:u w:val="single"/>
                <w:lang w:eastAsia="zh-CN"/>
              </w:rPr>
              <w:t>投标供应商</w:t>
            </w:r>
            <w:r>
              <w:rPr>
                <w:color w:val="auto"/>
                <w:sz w:val="22"/>
                <w:szCs w:val="22"/>
                <w:highlight w:val="none"/>
                <w:u w:val="single"/>
              </w:rPr>
              <w:t>公章</w:t>
            </w:r>
            <w:r>
              <w:rPr>
                <w:rFonts w:hint="eastAsia"/>
                <w:sz w:val="22"/>
                <w:szCs w:val="22"/>
                <w:highlight w:val="none"/>
                <w:u w:val="single"/>
                <w:lang w:eastAsia="zh-CN"/>
              </w:rPr>
              <w:t>或</w:t>
            </w:r>
            <w:r>
              <w:rPr>
                <w:rFonts w:hint="eastAsia"/>
                <w:sz w:val="22"/>
                <w:szCs w:val="22"/>
                <w:highlight w:val="none"/>
                <w:u w:val="single"/>
                <w:lang w:val="en-US" w:eastAsia="zh-CN"/>
              </w:rPr>
              <w:t>CA章。</w:t>
            </w:r>
          </w:p>
        </w:tc>
      </w:tr>
    </w:tbl>
    <w:p>
      <w:pPr>
        <w:rPr>
          <w:color w:val="auto"/>
          <w:sz w:val="24"/>
          <w:highlight w:val="none"/>
        </w:rPr>
      </w:pPr>
    </w:p>
    <w:p>
      <w:pPr>
        <w:rPr>
          <w:color w:val="auto"/>
          <w:highlight w:val="none"/>
        </w:rPr>
      </w:pPr>
    </w:p>
    <w:p>
      <w:pPr>
        <w:pStyle w:val="3"/>
        <w:spacing w:before="0" w:after="0"/>
        <w:rPr>
          <w:color w:val="auto"/>
          <w:highlight w:val="none"/>
        </w:rPr>
      </w:pPr>
      <w:r>
        <w:rPr>
          <w:rFonts w:hint="eastAsia"/>
          <w:color w:val="auto"/>
          <w:highlight w:val="none"/>
        </w:rPr>
        <w:t>终端杀毒软件</w:t>
      </w:r>
    </w:p>
    <w:p>
      <w:pPr>
        <w:rPr>
          <w:color w:val="auto"/>
          <w:highlight w:val="none"/>
        </w:rPr>
      </w:pPr>
    </w:p>
    <w:tbl>
      <w:tblPr>
        <w:tblStyle w:val="63"/>
        <w:tblW w:w="4996" w:type="pct"/>
        <w:jc w:val="center"/>
        <w:tblLayout w:type="fixed"/>
        <w:tblCellMar>
          <w:top w:w="0" w:type="dxa"/>
          <w:left w:w="108" w:type="dxa"/>
          <w:bottom w:w="0" w:type="dxa"/>
          <w:right w:w="108" w:type="dxa"/>
        </w:tblCellMar>
      </w:tblPr>
      <w:tblGrid>
        <w:gridCol w:w="1584"/>
        <w:gridCol w:w="6904"/>
      </w:tblGrid>
      <w:tr>
        <w:trPr>
          <w:trHeight w:val="499"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终端安全管理系统</w:t>
            </w:r>
          </w:p>
        </w:tc>
        <w:tc>
          <w:tcPr>
            <w:tcW w:w="5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5"/>
              </w:numPr>
              <w:kinsoku/>
              <w:wordWrap/>
              <w:overflowPunct/>
              <w:topLinePunct w:val="0"/>
              <w:autoSpaceDE/>
              <w:autoSpaceDN/>
              <w:bidi w:val="0"/>
              <w:adjustRightInd/>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产品要求：</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配置≥</w:t>
            </w:r>
            <w:r>
              <w:rPr>
                <w:rFonts w:hint="eastAsia" w:ascii="宋体" w:hAnsi="宋体" w:cs="宋体"/>
                <w:color w:val="auto"/>
                <w:kern w:val="0"/>
                <w:sz w:val="22"/>
                <w:szCs w:val="22"/>
                <w:highlight w:val="none"/>
                <w:u w:val="single"/>
                <w:lang w:eastAsia="zh-CN"/>
              </w:rPr>
              <w:t>3</w:t>
            </w:r>
            <w:r>
              <w:rPr>
                <w:rFonts w:hint="eastAsia" w:ascii="宋体" w:hAnsi="宋体" w:cs="宋体"/>
                <w:color w:val="auto"/>
                <w:kern w:val="0"/>
                <w:sz w:val="22"/>
                <w:szCs w:val="22"/>
                <w:highlight w:val="none"/>
                <w:u w:val="single"/>
                <w:lang w:val="en-US" w:eastAsia="zh-CN"/>
              </w:rPr>
              <w:t>20</w:t>
            </w:r>
            <w:r>
              <w:rPr>
                <w:rFonts w:hint="eastAsia" w:ascii="宋体" w:hAnsi="宋体" w:cs="宋体"/>
                <w:color w:val="auto"/>
                <w:kern w:val="0"/>
                <w:sz w:val="22"/>
                <w:szCs w:val="22"/>
                <w:highlight w:val="none"/>
                <w:u w:val="single"/>
              </w:rPr>
              <w:t>个点终端功能授权</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提供</w:t>
            </w:r>
            <w:r>
              <w:rPr>
                <w:rFonts w:hint="eastAsia"/>
                <w:sz w:val="22"/>
                <w:szCs w:val="22"/>
                <w:highlight w:val="none"/>
                <w:u w:val="single"/>
                <w:lang w:eastAsia="zh-CN"/>
              </w:rPr>
              <w:t>相关承诺书并加盖投标供应商公章或</w:t>
            </w:r>
            <w:r>
              <w:rPr>
                <w:rFonts w:hint="eastAsia"/>
                <w:sz w:val="22"/>
                <w:szCs w:val="22"/>
                <w:highlight w:val="none"/>
                <w:u w:val="single"/>
                <w:lang w:val="en-US" w:eastAsia="zh-CN"/>
              </w:rPr>
              <w:t>CA章</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国产化：支持部署国产化操作系统；</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3、系统级联：支持系统级联，定期上传防病毒信息、漏洞分析数据、终端信息，便于统一管理，提供功能截图；支持定期从终端安全管理系统获取最新病毒库、规则库、补丁库，减少本地运维工作；</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统一管理：支持与现有杀毒软件同台管理，无需额外增加控制平台，减少运维工作，提供功能截图</w:t>
            </w:r>
            <w:r>
              <w:rPr>
                <w:color w:val="auto"/>
                <w:sz w:val="22"/>
                <w:szCs w:val="22"/>
                <w:highlight w:val="none"/>
                <w:u w:val="single"/>
              </w:rPr>
              <w:t>并加盖</w:t>
            </w:r>
            <w:r>
              <w:rPr>
                <w:rFonts w:hint="eastAsia"/>
                <w:color w:val="auto"/>
                <w:sz w:val="22"/>
                <w:szCs w:val="22"/>
                <w:highlight w:val="none"/>
                <w:u w:val="single"/>
                <w:lang w:eastAsia="zh-CN"/>
              </w:rPr>
              <w:t>投标供应商</w:t>
            </w:r>
            <w:r>
              <w:rPr>
                <w:color w:val="auto"/>
                <w:sz w:val="22"/>
                <w:szCs w:val="22"/>
                <w:highlight w:val="none"/>
                <w:u w:val="single"/>
              </w:rPr>
              <w:t>公章</w:t>
            </w:r>
            <w:r>
              <w:rPr>
                <w:rFonts w:hint="eastAsia"/>
                <w:sz w:val="22"/>
                <w:szCs w:val="22"/>
                <w:highlight w:val="none"/>
                <w:u w:val="single"/>
                <w:lang w:eastAsia="zh-CN"/>
              </w:rPr>
              <w:t>或</w:t>
            </w:r>
            <w:r>
              <w:rPr>
                <w:rFonts w:hint="eastAsia"/>
                <w:sz w:val="22"/>
                <w:szCs w:val="22"/>
                <w:highlight w:val="none"/>
                <w:u w:val="single"/>
                <w:lang w:val="en-US" w:eastAsia="zh-CN"/>
              </w:rPr>
              <w:t>CA章</w:t>
            </w:r>
            <w:r>
              <w:rPr>
                <w:rFonts w:hint="eastAsia" w:ascii="宋体" w:hAnsi="宋体" w:cs="宋体"/>
                <w:color w:val="auto"/>
                <w:kern w:val="0"/>
                <w:sz w:val="22"/>
                <w:szCs w:val="22"/>
                <w:highlight w:val="none"/>
                <w:u w:val="single"/>
              </w:rPr>
              <w:t>；</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信息展示：支持单个页面展示在线终端数量、风险终端数量及占比、今日风险告警数、控制中心当前CPU、内存、硬盘使用百分比、终端在线率、终端正常率、终端平台统计、基线核查统计、病毒查杀趋势、感染病毒终端、漏洞补丁统计等信息，均可通过图形化展示；</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6、定时公告：可配置开机显示、周期显示和立即推送；</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客户端维护：支持对单个客户端进行维护，终端视角查看终端基本信息，包括计算机名、型号、IP、MAC地址、工作组、域信息、本次开机时间、上次关机时间、应用功能、在线状态、资产品牌、设备出厂日期；硬件信息展示，包括CPU、主板、内存、磁盘存储、显卡、显示器、声卡、网卡等信息；实时进程信息展示，包括进程名称、PID、进程用户名、命令行、占用内存、CPU占用、MD5等信息；网络信息展示，包括IP获取方式、IP地址、子网掩码、默认网关、DNS等信息；</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灰度更新：客户端主程序、病毒库版本支持按分组和多批次进行灰度更新，保持在低风险中完成终端能力更新。支持设置不同终端类型设置和每批次观察时长。当检测到新版本将从第一批次重新观察。提供功能截图</w:t>
            </w:r>
            <w:r>
              <w:rPr>
                <w:color w:val="auto"/>
                <w:sz w:val="22"/>
                <w:szCs w:val="22"/>
                <w:highlight w:val="none"/>
                <w:u w:val="single"/>
              </w:rPr>
              <w:t>并加盖</w:t>
            </w:r>
            <w:r>
              <w:rPr>
                <w:rFonts w:hint="eastAsia"/>
                <w:color w:val="auto"/>
                <w:sz w:val="22"/>
                <w:szCs w:val="22"/>
                <w:highlight w:val="none"/>
                <w:u w:val="single"/>
                <w:lang w:eastAsia="zh-CN"/>
              </w:rPr>
              <w:t>投标供应商</w:t>
            </w:r>
            <w:r>
              <w:rPr>
                <w:color w:val="auto"/>
                <w:sz w:val="22"/>
                <w:szCs w:val="22"/>
                <w:highlight w:val="none"/>
                <w:u w:val="single"/>
              </w:rPr>
              <w:t>公章</w:t>
            </w:r>
            <w:r>
              <w:rPr>
                <w:rFonts w:hint="eastAsia"/>
                <w:sz w:val="22"/>
                <w:szCs w:val="22"/>
                <w:highlight w:val="none"/>
                <w:u w:val="single"/>
                <w:lang w:eastAsia="zh-CN"/>
              </w:rPr>
              <w:t>或</w:t>
            </w:r>
            <w:r>
              <w:rPr>
                <w:rFonts w:hint="eastAsia"/>
                <w:sz w:val="22"/>
                <w:szCs w:val="22"/>
                <w:highlight w:val="none"/>
                <w:u w:val="single"/>
                <w:lang w:val="en-US" w:eastAsia="zh-CN"/>
              </w:rPr>
              <w:t>CA章</w:t>
            </w:r>
            <w:r>
              <w:rPr>
                <w:rFonts w:hint="eastAsia" w:ascii="宋体" w:hAnsi="宋体" w:cs="宋体"/>
                <w:color w:val="auto"/>
                <w:kern w:val="0"/>
                <w:sz w:val="22"/>
                <w:szCs w:val="22"/>
                <w:highlight w:val="none"/>
                <w:u w:val="single"/>
              </w:rPr>
              <w:t>；</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r>
              <w:rPr>
                <w:rFonts w:hint="eastAsia" w:ascii="宋体" w:hAnsi="宋体" w:cs="宋体"/>
                <w:color w:val="auto"/>
                <w:kern w:val="0"/>
                <w:sz w:val="22"/>
                <w:szCs w:val="22"/>
                <w:highlight w:val="none"/>
                <w:u w:val="none"/>
              </w:rPr>
              <w:t>设备管理：管理控制中心首页支持图形监测当前控制中心的CPU、内存、硬盘占用百分比。</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r>
              <w:rPr>
                <w:rFonts w:hint="eastAsia" w:ascii="宋体" w:hAnsi="宋体" w:cs="宋体"/>
                <w:color w:val="auto"/>
                <w:kern w:val="0"/>
                <w:sz w:val="22"/>
                <w:szCs w:val="22"/>
                <w:highlight w:val="none"/>
                <w:u w:val="none"/>
              </w:rPr>
              <w:t>终端密码保护：支持终端“防退出”密码保护、“防卸载”密码保护、防安装密码保护。支持设置自我保护功能，可有效防止客户端进程被恶意终止、注入、提高客户端进程、数据、配置的安全性。</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11、病毒防护概况：终端基础信息、病毒库版本、发现病毒数、未处理病毒数、最后查杀时间、文件防护状态、引擎使用状态、扩展病毒库版本；</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r>
              <w:rPr>
                <w:rFonts w:hint="eastAsia" w:ascii="宋体" w:hAnsi="宋体" w:cs="宋体"/>
                <w:color w:val="auto"/>
                <w:kern w:val="0"/>
                <w:sz w:val="22"/>
                <w:szCs w:val="22"/>
                <w:highlight w:val="none"/>
                <w:u w:val="none"/>
              </w:rPr>
              <w:t>、病毒查杀概况：最后一次全盘扫描时间，记录终端最后一次完成全盘扫描的时间提供功能截图；查杀未处理，一键处理指定终端上存在的被用户忽略的病毒，且不需要再次扫描。</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13、病毒防护日志：包含病毒查杀日志、查杀任务日志、系统防护日志、按分组、按终端、按时间；</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r>
              <w:rPr>
                <w:rFonts w:hint="eastAsia" w:ascii="宋体" w:hAnsi="宋体" w:cs="宋体"/>
                <w:color w:val="auto"/>
                <w:kern w:val="0"/>
                <w:sz w:val="22"/>
                <w:szCs w:val="22"/>
                <w:highlight w:val="none"/>
                <w:u w:val="none"/>
              </w:rPr>
              <w:t>病毒报表：支持病毒查杀趋势、扫描触发方式趋势、发现病毒趋势、终端感染趋势、病毒类型统计、病毒处理结果统计、病毒发现触、方式统计、趋势图表、按分组、按终端、按病毒名称。</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15、扫描分析：显示管理员下发、用户自主发起、第三方联动下发的全部扫描任务列表，且支持针对单个扫描任务提供完整病毒分析；</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16、实时防护分析：提供实时防护拦截病毒的完整分析；</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17、主动防御分析：提供主动防御细分类型的防御趋势，帮助管理员抓住重点问题；</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18、名单管理：支持手动导入、导出黑白名单，添加黑白名单。支持通过文件导入添加黑白名单；</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u w:val="none"/>
              </w:rPr>
            </w:pPr>
            <w:r>
              <w:rPr>
                <w:rFonts w:hint="eastAsia" w:ascii="宋体" w:hAnsi="宋体" w:cs="宋体"/>
                <w:color w:val="auto"/>
                <w:kern w:val="0"/>
                <w:sz w:val="22"/>
                <w:szCs w:val="22"/>
                <w:highlight w:val="none"/>
              </w:rPr>
              <w:t>19、</w:t>
            </w:r>
            <w:r>
              <w:rPr>
                <w:rFonts w:hint="eastAsia" w:ascii="宋体" w:hAnsi="宋体" w:cs="宋体"/>
                <w:color w:val="auto"/>
                <w:kern w:val="0"/>
                <w:sz w:val="22"/>
                <w:szCs w:val="22"/>
                <w:highlight w:val="none"/>
                <w:u w:val="none"/>
              </w:rPr>
              <w:t>信任设置：支持信任区设置，病毒扫描或实时防护时不扫描目录或文件。</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r>
              <w:rPr>
                <w:rFonts w:hint="eastAsia" w:ascii="宋体" w:hAnsi="宋体" w:cs="宋体"/>
                <w:color w:val="auto"/>
                <w:kern w:val="0"/>
                <w:sz w:val="22"/>
                <w:szCs w:val="22"/>
                <w:highlight w:val="none"/>
                <w:u w:val="none"/>
              </w:rPr>
              <w:t>扫描设置：病毒扫描支持扫描所有文件和仅扫描程序及文档文件设置，支持对压缩包文件设置最大扫描层数和大小，当发现压缩包内存在病毒时，还需继续扫描压缩包内其他文件。</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u w:val="none"/>
              </w:rPr>
            </w:pPr>
            <w:r>
              <w:rPr>
                <w:rFonts w:hint="eastAsia" w:ascii="宋体" w:hAnsi="宋体" w:cs="宋体"/>
                <w:color w:val="auto"/>
                <w:kern w:val="0"/>
                <w:sz w:val="22"/>
                <w:szCs w:val="22"/>
                <w:highlight w:val="none"/>
              </w:rPr>
              <w:t>21、</w:t>
            </w:r>
            <w:r>
              <w:rPr>
                <w:rFonts w:hint="eastAsia" w:ascii="宋体" w:hAnsi="宋体" w:cs="宋体"/>
                <w:color w:val="auto"/>
                <w:kern w:val="0"/>
                <w:sz w:val="22"/>
                <w:szCs w:val="22"/>
                <w:highlight w:val="none"/>
                <w:u w:val="none"/>
              </w:rPr>
              <w:t>病毒设置：支持对终端当扫描到感染型病毒、顽固木马时，可设置禁止终端用户管理路径或文件白名单、禁止终端用户管理扩展名白名单、扫描时不允许终端用户暂停或停止扫描任务。</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kern w:val="0"/>
                <w:sz w:val="22"/>
                <w:szCs w:val="22"/>
                <w:highlight w:val="none"/>
                <w:u w:val="none"/>
              </w:rPr>
            </w:pPr>
            <w:r>
              <w:rPr>
                <w:rFonts w:hint="eastAsia" w:ascii="宋体" w:hAnsi="宋体" w:cs="宋体"/>
                <w:color w:val="auto"/>
                <w:kern w:val="0"/>
                <w:sz w:val="22"/>
                <w:szCs w:val="22"/>
                <w:highlight w:val="none"/>
                <w:u w:val="none"/>
              </w:rPr>
              <w:t>22、压缩包查杀：支持对压缩包内的病毒扫描，支持多层压缩包的扫描，可自定义配置压缩包的扫描层数，至少大约10层模式下的扫描。</w:t>
            </w:r>
          </w:p>
          <w:p>
            <w:pPr>
              <w:keepNext w:val="0"/>
              <w:keepLines w:val="0"/>
              <w:pageBreakBefore w:val="0"/>
              <w:widowControl/>
              <w:kinsoku/>
              <w:wordWrap/>
              <w:overflowPunct/>
              <w:topLinePunct w:val="0"/>
              <w:autoSpaceDE/>
              <w:autoSpaceDN/>
              <w:bidi w:val="0"/>
              <w:snapToGrid/>
              <w:spacing w:line="46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u w:val="none"/>
              </w:rPr>
              <w:t>23、杀毒引擎：支持不少于二个杀毒引擎混合使用，提高病毒检出率。</w:t>
            </w:r>
          </w:p>
        </w:tc>
      </w:tr>
    </w:tbl>
    <w:p>
      <w:pPr>
        <w:widowControl/>
        <w:adjustRightInd/>
        <w:jc w:val="left"/>
        <w:rPr>
          <w:b/>
          <w:bCs/>
          <w:color w:val="auto"/>
          <w:sz w:val="48"/>
          <w:szCs w:val="56"/>
          <w:highlight w:val="none"/>
        </w:rPr>
      </w:pPr>
      <w:r>
        <w:rPr>
          <w:b/>
          <w:bCs/>
          <w:color w:val="auto"/>
          <w:sz w:val="48"/>
          <w:szCs w:val="56"/>
          <w:highlight w:val="none"/>
        </w:rPr>
        <w:br w:type="page"/>
      </w:r>
    </w:p>
    <w:p>
      <w:pPr>
        <w:rPr>
          <w:b/>
          <w:bCs/>
          <w:color w:val="auto"/>
          <w:sz w:val="10"/>
          <w:szCs w:val="10"/>
          <w:highlight w:val="none"/>
        </w:rPr>
      </w:pPr>
    </w:p>
    <w:p>
      <w:pPr>
        <w:numPr>
          <w:ilvl w:val="0"/>
          <w:numId w:val="3"/>
        </w:num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63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53"/>
        <w:gridCol w:w="4367"/>
        <w:gridCol w:w="91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color w:val="auto"/>
                <w:sz w:val="22"/>
                <w:szCs w:val="22"/>
                <w:highlight w:val="none"/>
              </w:rPr>
              <w:t>序号</w:t>
            </w:r>
          </w:p>
        </w:tc>
        <w:tc>
          <w:tcPr>
            <w:tcW w:w="1753" w:type="dxa"/>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color w:val="auto"/>
                <w:sz w:val="22"/>
                <w:szCs w:val="22"/>
                <w:highlight w:val="none"/>
              </w:rPr>
              <w:t>评标标准</w:t>
            </w:r>
          </w:p>
        </w:tc>
        <w:tc>
          <w:tcPr>
            <w:tcW w:w="4367" w:type="dxa"/>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color w:val="auto"/>
                <w:sz w:val="22"/>
                <w:szCs w:val="22"/>
                <w:highlight w:val="none"/>
              </w:rPr>
              <w:t>权重</w:t>
            </w:r>
          </w:p>
        </w:tc>
        <w:tc>
          <w:tcPr>
            <w:tcW w:w="915" w:type="dxa"/>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cs="仿宋_GB2312" w:asciiTheme="minorEastAsia" w:hAnsiTheme="minorEastAsia" w:eastAsiaTheme="minorEastAsia"/>
                <w:bCs/>
                <w:color w:val="auto"/>
                <w:sz w:val="22"/>
                <w:szCs w:val="22"/>
                <w:highlight w:val="none"/>
              </w:rPr>
            </w:pPr>
            <w:r>
              <w:rPr>
                <w:rFonts w:hint="eastAsia" w:cs="仿宋_GB2312" w:asciiTheme="minorEastAsia" w:hAnsiTheme="minorEastAsia" w:eastAsiaTheme="minorEastAsia"/>
                <w:bCs/>
                <w:color w:val="auto"/>
                <w:sz w:val="22"/>
                <w:szCs w:val="22"/>
                <w:highlight w:val="none"/>
              </w:rPr>
              <w:t>主观分/客观分属性</w:t>
            </w:r>
          </w:p>
        </w:tc>
        <w:tc>
          <w:tcPr>
            <w:tcW w:w="1845" w:type="dxa"/>
          </w:tcPr>
          <w:p>
            <w:pPr>
              <w:keepNext w:val="0"/>
              <w:keepLines w:val="0"/>
              <w:pageBreakBefore w:val="0"/>
              <w:kinsoku/>
              <w:wordWrap/>
              <w:overflowPunct/>
              <w:topLinePunct w:val="0"/>
              <w:bidi w:val="0"/>
              <w:adjustRightInd w:val="0"/>
              <w:snapToGrid w:val="0"/>
              <w:spacing w:line="460" w:lineRule="exact"/>
              <w:jc w:val="center"/>
              <w:textAlignment w:val="auto"/>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bCs/>
                <w:color w:val="auto"/>
                <w:sz w:val="22"/>
                <w:szCs w:val="22"/>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color w:val="auto"/>
                <w:sz w:val="22"/>
                <w:szCs w:val="22"/>
                <w:highlight w:val="none"/>
              </w:rPr>
              <w:t>1</w:t>
            </w:r>
          </w:p>
        </w:tc>
        <w:tc>
          <w:tcPr>
            <w:tcW w:w="1753"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b/>
                <w:color w:val="auto"/>
                <w:sz w:val="22"/>
                <w:szCs w:val="22"/>
                <w:highlight w:val="none"/>
              </w:rPr>
            </w:pPr>
            <w:r>
              <w:rPr>
                <w:rFonts w:hint="eastAsia" w:ascii="宋体" w:cs="Arial"/>
                <w:color w:val="auto"/>
                <w:sz w:val="22"/>
                <w:szCs w:val="22"/>
                <w:highlight w:val="none"/>
              </w:rPr>
              <w:t>供应商综合情况</w:t>
            </w:r>
          </w:p>
        </w:tc>
        <w:tc>
          <w:tcPr>
            <w:tcW w:w="4367" w:type="dxa"/>
            <w:vAlign w:val="center"/>
          </w:tcPr>
          <w:p>
            <w:pPr>
              <w:numPr>
                <w:ilvl w:val="-1"/>
                <w:numId w:val="0"/>
              </w:numPr>
              <w:autoSpaceDE w:val="0"/>
              <w:autoSpaceDN w:val="0"/>
              <w:adjustRightInd w:val="0"/>
              <w:spacing w:line="460" w:lineRule="exact"/>
              <w:jc w:val="left"/>
              <w:rPr>
                <w:rFonts w:ascii="宋体" w:hAnsi="宋体"/>
                <w:sz w:val="22"/>
                <w:highlight w:val="none"/>
              </w:rPr>
            </w:pPr>
            <w:r>
              <w:rPr>
                <w:rFonts w:hint="eastAsia" w:ascii="宋体" w:cs="Arial"/>
                <w:color w:val="auto"/>
                <w:sz w:val="22"/>
                <w:szCs w:val="22"/>
                <w:highlight w:val="none"/>
                <w:lang w:val="en-US" w:eastAsia="zh-CN"/>
              </w:rPr>
              <w:t>1.</w:t>
            </w:r>
            <w:r>
              <w:rPr>
                <w:rFonts w:hint="eastAsia" w:ascii="宋体" w:hAnsi="宋体"/>
                <w:sz w:val="22"/>
                <w:highlight w:val="none"/>
                <w:lang w:eastAsia="zh-CN"/>
              </w:rPr>
              <w:t>投标人</w:t>
            </w:r>
            <w:r>
              <w:rPr>
                <w:rFonts w:hint="eastAsia" w:ascii="宋体" w:hAnsi="宋体"/>
                <w:sz w:val="22"/>
                <w:highlight w:val="none"/>
              </w:rPr>
              <w:t>具有</w:t>
            </w:r>
            <w:r>
              <w:rPr>
                <w:rFonts w:hint="eastAsia" w:ascii="宋体" w:hAnsi="宋体"/>
                <w:sz w:val="22"/>
                <w:highlight w:val="none"/>
                <w:lang w:eastAsia="zh-CN"/>
              </w:rPr>
              <w:t>有效的</w:t>
            </w:r>
            <w:r>
              <w:rPr>
                <w:rFonts w:hint="eastAsia" w:ascii="宋体" w:cs="Arial"/>
                <w:color w:val="auto"/>
                <w:sz w:val="22"/>
                <w:szCs w:val="22"/>
                <w:highlight w:val="none"/>
              </w:rPr>
              <w:t>企业质量体系认证证书</w:t>
            </w:r>
            <w:r>
              <w:rPr>
                <w:rFonts w:hint="eastAsia" w:ascii="宋体" w:hAnsi="宋体"/>
                <w:sz w:val="22"/>
                <w:highlight w:val="none"/>
              </w:rPr>
              <w:t>的得</w:t>
            </w:r>
            <w:r>
              <w:rPr>
                <w:rFonts w:hint="eastAsia" w:ascii="宋体" w:hAnsi="宋体"/>
                <w:sz w:val="22"/>
                <w:highlight w:val="none"/>
                <w:lang w:val="en-US" w:eastAsia="zh-CN"/>
              </w:rPr>
              <w:t>2</w:t>
            </w:r>
            <w:r>
              <w:rPr>
                <w:rFonts w:hint="eastAsia" w:ascii="宋体" w:hAnsi="宋体"/>
                <w:sz w:val="22"/>
                <w:highlight w:val="none"/>
              </w:rPr>
              <w:t>分</w:t>
            </w:r>
          </w:p>
          <w:p>
            <w:pPr>
              <w:autoSpaceDE w:val="0"/>
              <w:autoSpaceDN w:val="0"/>
              <w:spacing w:line="460" w:lineRule="exact"/>
              <w:jc w:val="left"/>
              <w:rPr>
                <w:rFonts w:hint="eastAsia" w:ascii="宋体" w:hAnsi="宋体"/>
                <w:sz w:val="22"/>
                <w:highlight w:val="none"/>
              </w:rPr>
            </w:pPr>
            <w:r>
              <w:rPr>
                <w:rFonts w:hint="eastAsia" w:ascii="宋体" w:hAnsi="宋体"/>
                <w:sz w:val="22"/>
                <w:highlight w:val="none"/>
              </w:rPr>
              <w:t>2、</w:t>
            </w:r>
            <w:r>
              <w:rPr>
                <w:rFonts w:hint="eastAsia" w:ascii="宋体" w:hAnsi="宋体"/>
                <w:sz w:val="22"/>
                <w:highlight w:val="none"/>
                <w:lang w:eastAsia="zh-CN"/>
              </w:rPr>
              <w:t>投标人</w:t>
            </w:r>
            <w:r>
              <w:rPr>
                <w:rFonts w:hint="eastAsia" w:ascii="宋体" w:hAnsi="宋体"/>
                <w:sz w:val="22"/>
                <w:highlight w:val="none"/>
              </w:rPr>
              <w:t>具有</w:t>
            </w:r>
            <w:r>
              <w:rPr>
                <w:rFonts w:hint="eastAsia" w:ascii="宋体" w:hAnsi="宋体"/>
                <w:sz w:val="22"/>
                <w:highlight w:val="none"/>
                <w:lang w:eastAsia="zh-CN"/>
              </w:rPr>
              <w:t>有效的</w:t>
            </w:r>
            <w:r>
              <w:rPr>
                <w:rFonts w:hint="eastAsia" w:ascii="宋体" w:cs="Arial"/>
                <w:color w:val="auto"/>
                <w:sz w:val="22"/>
                <w:szCs w:val="22"/>
                <w:highlight w:val="none"/>
              </w:rPr>
              <w:t>职业健康安全管理体系认证证书</w:t>
            </w:r>
            <w:r>
              <w:rPr>
                <w:rFonts w:hint="eastAsia" w:ascii="宋体" w:hAnsi="宋体"/>
                <w:sz w:val="22"/>
                <w:highlight w:val="none"/>
              </w:rPr>
              <w:t>的得</w:t>
            </w:r>
            <w:r>
              <w:rPr>
                <w:rFonts w:hint="eastAsia" w:ascii="宋体" w:hAnsi="宋体"/>
                <w:sz w:val="22"/>
                <w:highlight w:val="none"/>
                <w:lang w:val="en-US" w:eastAsia="zh-CN"/>
              </w:rPr>
              <w:t>2</w:t>
            </w:r>
            <w:r>
              <w:rPr>
                <w:rFonts w:hint="eastAsia" w:ascii="宋体" w:hAnsi="宋体"/>
                <w:sz w:val="22"/>
                <w:highlight w:val="none"/>
              </w:rPr>
              <w:t>分</w:t>
            </w:r>
          </w:p>
          <w:p>
            <w:pPr>
              <w:autoSpaceDE w:val="0"/>
              <w:autoSpaceDN w:val="0"/>
              <w:spacing w:line="460" w:lineRule="exact"/>
              <w:jc w:val="left"/>
              <w:rPr>
                <w:rFonts w:hint="eastAsia" w:ascii="宋体" w:hAnsi="宋体"/>
                <w:sz w:val="22"/>
                <w:highlight w:val="none"/>
              </w:rPr>
            </w:pPr>
            <w:r>
              <w:rPr>
                <w:rFonts w:hint="eastAsia" w:ascii="宋体" w:hAnsi="宋体"/>
                <w:sz w:val="22"/>
                <w:highlight w:val="none"/>
              </w:rPr>
              <w:t>3、</w:t>
            </w:r>
            <w:r>
              <w:rPr>
                <w:rFonts w:hint="eastAsia" w:ascii="宋体" w:hAnsi="宋体"/>
                <w:sz w:val="22"/>
                <w:highlight w:val="none"/>
                <w:lang w:eastAsia="zh-CN"/>
              </w:rPr>
              <w:t>投标人</w:t>
            </w:r>
            <w:r>
              <w:rPr>
                <w:rFonts w:hint="eastAsia" w:ascii="宋体" w:hAnsi="宋体"/>
                <w:sz w:val="22"/>
                <w:highlight w:val="none"/>
              </w:rPr>
              <w:t>具有</w:t>
            </w:r>
            <w:r>
              <w:rPr>
                <w:rFonts w:hint="eastAsia" w:ascii="宋体" w:hAnsi="宋体"/>
                <w:sz w:val="22"/>
                <w:highlight w:val="none"/>
                <w:lang w:eastAsia="zh-CN"/>
              </w:rPr>
              <w:t>有效的</w:t>
            </w:r>
            <w:r>
              <w:rPr>
                <w:rFonts w:hint="eastAsia" w:ascii="宋体" w:cs="Arial"/>
                <w:color w:val="auto"/>
                <w:sz w:val="22"/>
                <w:szCs w:val="22"/>
                <w:highlight w:val="none"/>
              </w:rPr>
              <w:t>信息安全管理体系认证证书</w:t>
            </w:r>
            <w:r>
              <w:rPr>
                <w:rFonts w:hint="eastAsia" w:ascii="宋体" w:hAnsi="宋体"/>
                <w:sz w:val="22"/>
                <w:highlight w:val="none"/>
              </w:rPr>
              <w:t>的得</w:t>
            </w:r>
            <w:r>
              <w:rPr>
                <w:rFonts w:hint="eastAsia" w:ascii="宋体" w:hAnsi="宋体" w:cs="Times New Roman"/>
                <w:sz w:val="22"/>
                <w:highlight w:val="none"/>
                <w:lang w:val="en-US" w:eastAsia="zh-CN"/>
              </w:rPr>
              <w:t>2</w:t>
            </w:r>
            <w:r>
              <w:rPr>
                <w:rFonts w:hint="eastAsia" w:ascii="宋体" w:hAnsi="宋体"/>
                <w:sz w:val="22"/>
                <w:highlight w:val="none"/>
              </w:rPr>
              <w:t>分</w:t>
            </w:r>
          </w:p>
          <w:p>
            <w:pPr>
              <w:keepNext w:val="0"/>
              <w:keepLines w:val="0"/>
              <w:pageBreakBefore w:val="0"/>
              <w:kinsoku/>
              <w:wordWrap/>
              <w:overflowPunct/>
              <w:topLinePunct w:val="0"/>
              <w:autoSpaceDE w:val="0"/>
              <w:autoSpaceDN w:val="0"/>
              <w:bidi w:val="0"/>
              <w:adjustRightInd w:val="0"/>
              <w:spacing w:line="460" w:lineRule="exact"/>
              <w:textAlignment w:val="auto"/>
              <w:rPr>
                <w:rFonts w:ascii="宋体" w:cs="Arial"/>
                <w:b/>
                <w:color w:val="auto"/>
                <w:sz w:val="22"/>
                <w:szCs w:val="22"/>
                <w:highlight w:val="none"/>
              </w:rPr>
            </w:pPr>
            <w:r>
              <w:rPr>
                <w:rFonts w:hint="eastAsia" w:ascii="新宋体" w:hAnsi="新宋体" w:eastAsia="新宋体"/>
                <w:b/>
                <w:bCs/>
                <w:color w:val="000000" w:themeColor="text1"/>
              </w:rPr>
              <w:t>备注：提供相关证书扫描件并加盖投标人公章，若认证证书规定需年检才有效，需提供年检标志或网站链接，否则为无效证书不得分（新证未满一年无需年检）；资料提供不齐全不得分。</w:t>
            </w:r>
          </w:p>
        </w:tc>
        <w:tc>
          <w:tcPr>
            <w:tcW w:w="91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cs="Arial"/>
                <w:b/>
                <w:color w:val="auto"/>
                <w:sz w:val="22"/>
                <w:szCs w:val="22"/>
                <w:highlight w:val="none"/>
              </w:rPr>
            </w:pPr>
            <w:r>
              <w:rPr>
                <w:rFonts w:hint="eastAsia" w:ascii="宋体" w:cs="Arial"/>
                <w:color w:val="auto"/>
                <w:sz w:val="22"/>
                <w:szCs w:val="22"/>
                <w:highlight w:val="none"/>
              </w:rPr>
              <w:t>6</w:t>
            </w:r>
          </w:p>
        </w:tc>
        <w:tc>
          <w:tcPr>
            <w:tcW w:w="184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color w:val="auto"/>
                <w:sz w:val="22"/>
                <w:szCs w:val="22"/>
                <w:highlight w:val="none"/>
              </w:rPr>
            </w:pPr>
            <w:r>
              <w:rPr>
                <w:rFonts w:hint="eastAsia" w:ascii="宋体" w:cs="Arial"/>
                <w:color w:val="auto"/>
                <w:sz w:val="22"/>
                <w:szCs w:val="22"/>
                <w:highlight w:val="none"/>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color w:val="auto"/>
                <w:sz w:val="22"/>
                <w:szCs w:val="22"/>
                <w:highlight w:val="none"/>
              </w:rPr>
              <w:t>2</w:t>
            </w:r>
          </w:p>
        </w:tc>
        <w:tc>
          <w:tcPr>
            <w:tcW w:w="1753"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b/>
                <w:bCs/>
                <w:color w:val="auto"/>
                <w:sz w:val="22"/>
                <w:szCs w:val="22"/>
                <w:highlight w:val="none"/>
              </w:rPr>
            </w:pPr>
            <w:r>
              <w:rPr>
                <w:rFonts w:hint="eastAsia" w:ascii="宋体" w:cs="Arial"/>
                <w:color w:val="auto"/>
                <w:sz w:val="22"/>
                <w:szCs w:val="22"/>
                <w:highlight w:val="none"/>
              </w:rPr>
              <w:t>产品性能的吻合程度</w:t>
            </w:r>
          </w:p>
        </w:tc>
        <w:tc>
          <w:tcPr>
            <w:tcW w:w="4367" w:type="dxa"/>
            <w:vAlign w:val="center"/>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lang w:eastAsia="zh-CN"/>
              </w:rPr>
              <w:t>根据投标人</w:t>
            </w:r>
            <w:r>
              <w:rPr>
                <w:rFonts w:hint="eastAsia" w:ascii="宋体" w:cs="Arial"/>
                <w:color w:val="auto"/>
                <w:sz w:val="22"/>
                <w:szCs w:val="22"/>
                <w:highlight w:val="none"/>
              </w:rPr>
              <w:t>提供的产品系统技术指标响应</w:t>
            </w:r>
            <w:r>
              <w:rPr>
                <w:rFonts w:hint="eastAsia" w:ascii="宋体" w:cs="Arial"/>
                <w:color w:val="auto"/>
                <w:sz w:val="22"/>
                <w:szCs w:val="22"/>
                <w:highlight w:val="none"/>
                <w:lang w:eastAsia="zh-CN"/>
              </w:rPr>
              <w:t>情况</w:t>
            </w:r>
            <w:r>
              <w:rPr>
                <w:rFonts w:hint="eastAsia" w:ascii="宋体" w:cs="Arial"/>
                <w:color w:val="auto"/>
                <w:sz w:val="22"/>
                <w:szCs w:val="22"/>
                <w:highlight w:val="none"/>
              </w:rPr>
              <w:t>，针对产品整体性能的符合性、先进性的情况进行综合打分</w:t>
            </w:r>
            <w:r>
              <w:rPr>
                <w:rFonts w:hint="eastAsia" w:ascii="宋体" w:cs="Arial"/>
                <w:color w:val="auto"/>
                <w:sz w:val="22"/>
                <w:szCs w:val="22"/>
                <w:highlight w:val="none"/>
                <w:lang w:eastAsia="zh-CN"/>
              </w:rPr>
              <w:t>（标</w:t>
            </w:r>
            <w:r>
              <w:rPr>
                <w:rFonts w:hint="eastAsia" w:ascii="宋体" w:cs="Arial"/>
                <w:color w:val="auto"/>
                <w:sz w:val="22"/>
                <w:szCs w:val="22"/>
                <w:highlight w:val="none"/>
                <w:u w:val="none"/>
              </w:rPr>
              <w:t>▲</w:t>
            </w:r>
            <w:r>
              <w:rPr>
                <w:rFonts w:hint="eastAsia" w:ascii="宋体" w:cs="Arial"/>
                <w:color w:val="auto"/>
                <w:sz w:val="22"/>
                <w:szCs w:val="22"/>
                <w:highlight w:val="none"/>
                <w:u w:val="none"/>
                <w:lang w:eastAsia="zh-CN"/>
              </w:rPr>
              <w:t>的实质性条款</w:t>
            </w:r>
            <w:r>
              <w:rPr>
                <w:rFonts w:hint="eastAsia" w:ascii="宋体" w:cs="Arial"/>
                <w:color w:val="auto"/>
                <w:sz w:val="22"/>
                <w:szCs w:val="22"/>
                <w:highlight w:val="none"/>
                <w:lang w:eastAsia="zh-CN"/>
              </w:rPr>
              <w:t>除</w:t>
            </w:r>
            <w:r>
              <w:rPr>
                <w:rFonts w:hint="eastAsia" w:ascii="宋体" w:cs="Arial"/>
                <w:color w:val="auto"/>
                <w:sz w:val="22"/>
                <w:szCs w:val="22"/>
                <w:highlight w:val="none"/>
                <w:u w:val="none"/>
                <w:lang w:eastAsia="zh-CN"/>
              </w:rPr>
              <w:t>外</w:t>
            </w:r>
            <w:r>
              <w:rPr>
                <w:rFonts w:hint="eastAsia" w:ascii="宋体" w:cs="Arial"/>
                <w:color w:val="auto"/>
                <w:sz w:val="22"/>
                <w:szCs w:val="22"/>
                <w:highlight w:val="none"/>
                <w:lang w:eastAsia="zh-CN"/>
              </w:rPr>
              <w:t>）</w:t>
            </w:r>
            <w:r>
              <w:rPr>
                <w:rFonts w:ascii="宋体" w:cs="Arial"/>
                <w:color w:val="auto"/>
                <w:sz w:val="22"/>
                <w:szCs w:val="22"/>
                <w:highlight w:val="none"/>
              </w:rPr>
              <w:t>。</w:t>
            </w:r>
          </w:p>
          <w:p>
            <w:pPr>
              <w:keepNext w:val="0"/>
              <w:keepLines w:val="0"/>
              <w:pageBreakBefore w:val="0"/>
              <w:kinsoku/>
              <w:wordWrap/>
              <w:overflowPunct/>
              <w:topLinePunct w:val="0"/>
              <w:autoSpaceDE w:val="0"/>
              <w:autoSpaceDN w:val="0"/>
              <w:bidi w:val="0"/>
              <w:adjustRightInd w:val="0"/>
              <w:spacing w:line="460" w:lineRule="exact"/>
              <w:textAlignment w:val="auto"/>
              <w:rPr>
                <w:rFonts w:ascii="宋体" w:cs="Arial"/>
                <w:b/>
                <w:bCs/>
                <w:color w:val="auto"/>
                <w:sz w:val="22"/>
                <w:szCs w:val="22"/>
                <w:highlight w:val="none"/>
              </w:rPr>
            </w:pPr>
            <w:r>
              <w:rPr>
                <w:rFonts w:hint="eastAsia" w:ascii="宋体" w:hAnsi="宋体" w:cs="宋体"/>
                <w:color w:val="auto"/>
                <w:kern w:val="0"/>
                <w:sz w:val="22"/>
                <w:szCs w:val="22"/>
                <w:highlight w:val="none"/>
              </w:rPr>
              <w:t>1、带</w:t>
            </w:r>
            <w:r>
              <w:rPr>
                <w:rFonts w:hint="eastAsia" w:ascii="宋体" w:hAnsi="宋体" w:cs="宋体"/>
                <w:color w:val="auto"/>
                <w:kern w:val="0"/>
                <w:sz w:val="22"/>
                <w:szCs w:val="22"/>
                <w:highlight w:val="none"/>
                <w:lang w:eastAsia="zh-CN"/>
              </w:rPr>
              <w:t>★的</w:t>
            </w:r>
            <w:r>
              <w:rPr>
                <w:rFonts w:hint="eastAsia" w:ascii="宋体" w:hAnsi="宋体" w:cs="宋体"/>
                <w:color w:val="auto"/>
                <w:kern w:val="0"/>
                <w:sz w:val="22"/>
                <w:szCs w:val="22"/>
                <w:highlight w:val="none"/>
              </w:rPr>
              <w:t>技术指标项不满足或负偏离的每项扣</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分，扣完为止；</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2、非带</w:t>
            </w:r>
            <w:r>
              <w:rPr>
                <w:rFonts w:hint="eastAsia" w:ascii="宋体" w:hAnsi="宋体" w:cs="宋体"/>
                <w:color w:val="auto"/>
                <w:kern w:val="0"/>
                <w:sz w:val="22"/>
                <w:szCs w:val="22"/>
                <w:highlight w:val="none"/>
                <w:lang w:eastAsia="zh-CN"/>
              </w:rPr>
              <w:t>★的</w:t>
            </w:r>
            <w:r>
              <w:rPr>
                <w:rFonts w:hint="eastAsia" w:ascii="宋体" w:hAnsi="宋体" w:cs="宋体"/>
                <w:color w:val="auto"/>
                <w:kern w:val="0"/>
                <w:sz w:val="22"/>
                <w:szCs w:val="22"/>
                <w:highlight w:val="none"/>
              </w:rPr>
              <w:t>技术指标项不满足或负偏离</w:t>
            </w:r>
            <w:r>
              <w:rPr>
                <w:rFonts w:hint="eastAsia" w:ascii="宋体" w:hAnsi="宋体" w:cs="宋体"/>
                <w:color w:val="auto"/>
                <w:kern w:val="0"/>
                <w:sz w:val="22"/>
                <w:szCs w:val="22"/>
                <w:highlight w:val="none"/>
                <w:lang w:eastAsia="zh-CN"/>
              </w:rPr>
              <w:t>的</w:t>
            </w:r>
            <w:r>
              <w:rPr>
                <w:rFonts w:hint="eastAsia" w:ascii="宋体" w:hAnsi="宋体" w:cs="宋体"/>
                <w:color w:val="auto"/>
                <w:kern w:val="0"/>
                <w:sz w:val="22"/>
                <w:szCs w:val="22"/>
                <w:highlight w:val="none"/>
              </w:rPr>
              <w:t>每项扣</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分，扣完为止；</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注：</w:t>
            </w:r>
            <w:r>
              <w:rPr>
                <w:rFonts w:hint="eastAsia" w:ascii="宋体" w:hAnsi="宋体" w:cs="宋体"/>
                <w:color w:val="auto"/>
                <w:kern w:val="0"/>
                <w:sz w:val="22"/>
                <w:szCs w:val="22"/>
                <w:highlight w:val="none"/>
                <w:lang w:eastAsia="zh-CN"/>
              </w:rPr>
              <w:t>重点参考投标人提供的</w:t>
            </w:r>
            <w:r>
              <w:rPr>
                <w:rFonts w:hint="eastAsia" w:ascii="宋体" w:cs="Arial"/>
                <w:color w:val="auto"/>
                <w:sz w:val="22"/>
                <w:szCs w:val="22"/>
                <w:highlight w:val="none"/>
                <w:lang w:eastAsia="zh-CN"/>
              </w:rPr>
              <w:t>《商务技术偏离表》进行打分，</w:t>
            </w:r>
            <w:r>
              <w:rPr>
                <w:rFonts w:hint="eastAsia" w:ascii="宋体" w:hAnsi="宋体" w:cs="宋体"/>
                <w:color w:val="auto"/>
                <w:kern w:val="0"/>
                <w:sz w:val="22"/>
                <w:szCs w:val="22"/>
                <w:highlight w:val="none"/>
              </w:rPr>
              <w:t>技术指标项如有要求</w:t>
            </w:r>
            <w:r>
              <w:rPr>
                <w:rFonts w:hint="eastAsia" w:ascii="宋体" w:hAnsi="宋体" w:cs="宋体"/>
                <w:color w:val="auto"/>
                <w:kern w:val="0"/>
                <w:sz w:val="22"/>
                <w:szCs w:val="22"/>
                <w:highlight w:val="none"/>
                <w:lang w:eastAsia="zh-CN"/>
              </w:rPr>
              <w:t>相关证明</w:t>
            </w:r>
            <w:r>
              <w:rPr>
                <w:rFonts w:hint="eastAsia" w:ascii="宋体" w:hAnsi="宋体" w:cs="宋体"/>
                <w:color w:val="auto"/>
                <w:kern w:val="0"/>
                <w:sz w:val="22"/>
                <w:szCs w:val="22"/>
                <w:highlight w:val="none"/>
              </w:rPr>
              <w:t>资料的，</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未提供，视为不满足或负偏离。</w:t>
            </w:r>
          </w:p>
        </w:tc>
        <w:tc>
          <w:tcPr>
            <w:tcW w:w="91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eastAsia="宋体" w:cs="Arial"/>
                <w:b/>
                <w:bCs/>
                <w:color w:val="auto"/>
                <w:sz w:val="22"/>
                <w:szCs w:val="22"/>
                <w:highlight w:val="none"/>
                <w:lang w:eastAsia="zh-CN"/>
              </w:rPr>
            </w:pPr>
            <w:r>
              <w:rPr>
                <w:rFonts w:hint="eastAsia" w:ascii="宋体" w:cs="Arial"/>
                <w:color w:val="auto"/>
                <w:sz w:val="22"/>
                <w:szCs w:val="22"/>
                <w:highlight w:val="none"/>
              </w:rPr>
              <w:t>3</w:t>
            </w:r>
            <w:r>
              <w:rPr>
                <w:rFonts w:hint="eastAsia" w:ascii="宋体" w:cs="Arial"/>
                <w:color w:val="auto"/>
                <w:sz w:val="22"/>
                <w:szCs w:val="22"/>
                <w:highlight w:val="none"/>
                <w:lang w:val="en-US" w:eastAsia="zh-CN"/>
              </w:rPr>
              <w:t>8</w:t>
            </w:r>
          </w:p>
        </w:tc>
        <w:tc>
          <w:tcPr>
            <w:tcW w:w="184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color w:val="auto"/>
                <w:sz w:val="22"/>
                <w:szCs w:val="22"/>
                <w:highlight w:val="none"/>
              </w:rPr>
            </w:pPr>
            <w:r>
              <w:rPr>
                <w:rFonts w:hint="eastAsia" w:ascii="宋体" w:cs="Arial"/>
                <w:color w:val="auto"/>
                <w:sz w:val="22"/>
                <w:szCs w:val="22"/>
                <w:highlight w:val="none"/>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color w:val="auto"/>
                <w:sz w:val="22"/>
                <w:szCs w:val="22"/>
                <w:highlight w:val="none"/>
              </w:rPr>
              <w:t>3</w:t>
            </w:r>
          </w:p>
        </w:tc>
        <w:tc>
          <w:tcPr>
            <w:tcW w:w="1753"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b/>
                <w:color w:val="auto"/>
                <w:sz w:val="22"/>
                <w:szCs w:val="22"/>
                <w:highlight w:val="none"/>
              </w:rPr>
            </w:pPr>
            <w:r>
              <w:rPr>
                <w:rFonts w:hint="eastAsia" w:ascii="宋体" w:cs="Arial"/>
                <w:color w:val="auto"/>
                <w:sz w:val="22"/>
                <w:szCs w:val="22"/>
                <w:highlight w:val="none"/>
              </w:rPr>
              <w:t>整体实施方案</w:t>
            </w:r>
          </w:p>
        </w:tc>
        <w:tc>
          <w:tcPr>
            <w:tcW w:w="4367" w:type="dxa"/>
            <w:vAlign w:val="center"/>
          </w:tcPr>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cs="Arial"/>
                <w:color w:val="auto"/>
                <w:sz w:val="22"/>
                <w:szCs w:val="22"/>
                <w:highlight w:val="none"/>
              </w:rPr>
            </w:pPr>
            <w:r>
              <w:rPr>
                <w:rFonts w:hint="eastAsia" w:ascii="宋体" w:cs="Arial"/>
                <w:color w:val="auto"/>
                <w:sz w:val="22"/>
                <w:szCs w:val="22"/>
                <w:highlight w:val="none"/>
              </w:rPr>
              <w:t>根据针对本项目的施工组织方案、进度计划、安全保证措施、质量保证措施和环境保证措施等情况由评委进行打分。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整体实施方案优于采购需求的得8分；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整体实施方案完全满足采购需求的得6分；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整体实施方案基本满足采购需求的得4分；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整体实施方案大部分不满足采购需求的得2分；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整体实施方案完全不满足采购需求的得0分；</w:t>
            </w:r>
          </w:p>
        </w:tc>
        <w:tc>
          <w:tcPr>
            <w:tcW w:w="91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cs="Arial"/>
                <w:b/>
                <w:color w:val="auto"/>
                <w:sz w:val="22"/>
                <w:szCs w:val="22"/>
                <w:highlight w:val="none"/>
              </w:rPr>
            </w:pPr>
            <w:r>
              <w:rPr>
                <w:rFonts w:hint="eastAsia" w:ascii="宋体" w:cs="Arial"/>
                <w:color w:val="auto"/>
                <w:sz w:val="22"/>
                <w:szCs w:val="22"/>
                <w:highlight w:val="none"/>
              </w:rPr>
              <w:t>8</w:t>
            </w:r>
          </w:p>
        </w:tc>
        <w:tc>
          <w:tcPr>
            <w:tcW w:w="184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color w:val="auto"/>
                <w:sz w:val="22"/>
                <w:szCs w:val="22"/>
                <w:highlight w:val="none"/>
              </w:rPr>
            </w:pPr>
            <w:r>
              <w:rPr>
                <w:rFonts w:hint="eastAsia" w:ascii="宋体" w:cs="Arial"/>
                <w:color w:val="auto"/>
                <w:sz w:val="22"/>
                <w:szCs w:val="22"/>
                <w:highlight w:val="none"/>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color w:val="auto"/>
                <w:sz w:val="22"/>
                <w:szCs w:val="22"/>
                <w:highlight w:val="none"/>
              </w:rPr>
              <w:t>4</w:t>
            </w:r>
          </w:p>
        </w:tc>
        <w:tc>
          <w:tcPr>
            <w:tcW w:w="1753"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b/>
                <w:color w:val="auto"/>
                <w:sz w:val="22"/>
                <w:szCs w:val="22"/>
                <w:highlight w:val="none"/>
              </w:rPr>
            </w:pPr>
            <w:r>
              <w:rPr>
                <w:rFonts w:hint="eastAsia" w:ascii="宋体" w:cs="Arial"/>
                <w:color w:val="auto"/>
                <w:sz w:val="22"/>
                <w:szCs w:val="22"/>
                <w:highlight w:val="none"/>
              </w:rPr>
              <w:t>同类项目业绩</w:t>
            </w:r>
          </w:p>
        </w:tc>
        <w:tc>
          <w:tcPr>
            <w:tcW w:w="4367" w:type="dxa"/>
            <w:vAlign w:val="center"/>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cs="Arial"/>
                <w:color w:val="auto"/>
                <w:sz w:val="22"/>
                <w:szCs w:val="22"/>
                <w:highlight w:val="none"/>
                <w:lang w:val="zh-CN"/>
              </w:rPr>
            </w:pPr>
            <w:r>
              <w:rPr>
                <w:rFonts w:hint="eastAsia" w:ascii="宋体" w:cs="Arial"/>
                <w:color w:val="auto"/>
                <w:sz w:val="22"/>
                <w:szCs w:val="22"/>
                <w:highlight w:val="none"/>
                <w:lang w:val="zh-CN"/>
              </w:rPr>
              <w:t>投标人自202</w:t>
            </w:r>
            <w:r>
              <w:rPr>
                <w:rFonts w:hint="eastAsia" w:ascii="宋体" w:cs="Arial"/>
                <w:color w:val="auto"/>
                <w:sz w:val="22"/>
                <w:szCs w:val="22"/>
                <w:highlight w:val="none"/>
              </w:rPr>
              <w:t>2</w:t>
            </w:r>
            <w:r>
              <w:rPr>
                <w:rFonts w:hint="eastAsia" w:ascii="宋体" w:cs="Arial"/>
                <w:color w:val="auto"/>
                <w:sz w:val="22"/>
                <w:szCs w:val="22"/>
                <w:highlight w:val="none"/>
                <w:lang w:val="zh-CN"/>
              </w:rPr>
              <w:t>年1月1日以来（以合同签订时间为准）具有一份同类业绩的得</w:t>
            </w:r>
            <w:r>
              <w:rPr>
                <w:rFonts w:hint="eastAsia" w:ascii="宋体" w:cs="Arial"/>
                <w:color w:val="auto"/>
                <w:sz w:val="22"/>
                <w:szCs w:val="22"/>
                <w:highlight w:val="none"/>
                <w:lang w:val="en-US" w:eastAsia="zh-CN"/>
              </w:rPr>
              <w:t>1.5</w:t>
            </w:r>
            <w:r>
              <w:rPr>
                <w:rFonts w:hint="eastAsia" w:ascii="宋体" w:cs="Arial"/>
                <w:color w:val="auto"/>
                <w:sz w:val="22"/>
                <w:szCs w:val="22"/>
                <w:highlight w:val="none"/>
                <w:lang w:val="zh-CN"/>
              </w:rPr>
              <w:t>分，最高得</w:t>
            </w:r>
            <w:r>
              <w:rPr>
                <w:rFonts w:hint="eastAsia" w:ascii="宋体" w:cs="Arial"/>
                <w:color w:val="auto"/>
                <w:sz w:val="22"/>
                <w:szCs w:val="22"/>
                <w:highlight w:val="none"/>
                <w:lang w:val="en-US" w:eastAsia="zh-CN"/>
              </w:rPr>
              <w:t>3</w:t>
            </w:r>
            <w:r>
              <w:rPr>
                <w:rFonts w:hint="eastAsia" w:ascii="宋体" w:cs="Arial"/>
                <w:color w:val="auto"/>
                <w:sz w:val="22"/>
                <w:szCs w:val="22"/>
                <w:highlight w:val="none"/>
                <w:lang w:val="zh-CN"/>
              </w:rPr>
              <w:t>分。</w:t>
            </w:r>
          </w:p>
          <w:p>
            <w:pPr>
              <w:keepNext w:val="0"/>
              <w:keepLines w:val="0"/>
              <w:pageBreakBefore w:val="0"/>
              <w:kinsoku/>
              <w:wordWrap/>
              <w:overflowPunct/>
              <w:topLinePunct w:val="0"/>
              <w:autoSpaceDE w:val="0"/>
              <w:autoSpaceDN w:val="0"/>
              <w:bidi w:val="0"/>
              <w:adjustRightInd w:val="0"/>
              <w:spacing w:line="460" w:lineRule="exact"/>
              <w:textAlignment w:val="auto"/>
              <w:rPr>
                <w:rFonts w:ascii="宋体" w:cs="Arial"/>
                <w:color w:val="auto"/>
                <w:sz w:val="22"/>
                <w:szCs w:val="22"/>
                <w:highlight w:val="none"/>
                <w:lang w:val="zh-CN"/>
              </w:rPr>
            </w:pPr>
            <w:r>
              <w:rPr>
                <w:rFonts w:hint="eastAsia" w:ascii="宋体" w:cs="Arial"/>
                <w:color w:val="auto"/>
                <w:sz w:val="22"/>
                <w:szCs w:val="22"/>
                <w:highlight w:val="none"/>
                <w:lang w:val="zh-CN"/>
              </w:rPr>
              <w:t>（提供客户联系方式、采购合同及验收报告扫描件加盖投标人公章，资料提供不齐全不得分；只计算供应商业绩，其子公司、母公司业绩不计分; 业绩的有效性由评委认定。）</w:t>
            </w:r>
          </w:p>
          <w:p>
            <w:pPr>
              <w:keepNext w:val="0"/>
              <w:keepLines w:val="0"/>
              <w:pageBreakBefore w:val="0"/>
              <w:kinsoku/>
              <w:wordWrap/>
              <w:overflowPunct/>
              <w:topLinePunct w:val="0"/>
              <w:autoSpaceDE w:val="0"/>
              <w:autoSpaceDN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lang w:val="zh-CN"/>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需提供证明材料。</w:t>
            </w:r>
          </w:p>
        </w:tc>
        <w:tc>
          <w:tcPr>
            <w:tcW w:w="91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b/>
                <w:color w:val="auto"/>
                <w:sz w:val="22"/>
                <w:szCs w:val="22"/>
                <w:highlight w:val="none"/>
              </w:rPr>
            </w:pPr>
            <w:r>
              <w:rPr>
                <w:rFonts w:ascii="宋体" w:cs="Arial"/>
                <w:color w:val="auto"/>
                <w:sz w:val="22"/>
                <w:szCs w:val="22"/>
                <w:highlight w:val="none"/>
              </w:rPr>
              <w:t>3</w:t>
            </w:r>
          </w:p>
        </w:tc>
        <w:tc>
          <w:tcPr>
            <w:tcW w:w="184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color w:val="auto"/>
                <w:sz w:val="22"/>
                <w:szCs w:val="22"/>
                <w:highlight w:val="none"/>
              </w:rPr>
            </w:pPr>
            <w:r>
              <w:rPr>
                <w:rFonts w:hint="eastAsia" w:ascii="宋体" w:cs="Arial"/>
                <w:color w:val="auto"/>
                <w:sz w:val="22"/>
                <w:szCs w:val="22"/>
                <w:highlight w:val="none"/>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eastAsia" w:cs="仿宋_GB2312" w:asciiTheme="minorEastAsia" w:hAnsiTheme="minorEastAsia" w:eastAsiaTheme="minorEastAsia"/>
                <w:color w:val="auto"/>
                <w:sz w:val="22"/>
                <w:szCs w:val="22"/>
                <w:highlight w:val="none"/>
                <w:lang w:eastAsia="zh-CN"/>
              </w:rPr>
            </w:pPr>
            <w:r>
              <w:rPr>
                <w:rFonts w:hint="eastAsia" w:cs="仿宋_GB2312" w:asciiTheme="minorEastAsia" w:hAnsiTheme="minorEastAsia" w:eastAsiaTheme="minorEastAsia"/>
                <w:color w:val="auto"/>
                <w:sz w:val="22"/>
                <w:szCs w:val="22"/>
                <w:highlight w:val="none"/>
                <w:lang w:val="en-US" w:eastAsia="zh-CN"/>
              </w:rPr>
              <w:t>5</w:t>
            </w:r>
          </w:p>
        </w:tc>
        <w:tc>
          <w:tcPr>
            <w:tcW w:w="1753"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b/>
                <w:color w:val="auto"/>
                <w:sz w:val="22"/>
                <w:szCs w:val="22"/>
                <w:highlight w:val="none"/>
              </w:rPr>
            </w:pPr>
            <w:r>
              <w:rPr>
                <w:rFonts w:hint="eastAsia" w:ascii="宋体" w:cs="Arial"/>
                <w:color w:val="auto"/>
                <w:sz w:val="22"/>
                <w:szCs w:val="22"/>
                <w:highlight w:val="none"/>
              </w:rPr>
              <w:t>本项目拟派人员情况</w:t>
            </w:r>
          </w:p>
        </w:tc>
        <w:tc>
          <w:tcPr>
            <w:tcW w:w="4367" w:type="dxa"/>
            <w:vAlign w:val="center"/>
          </w:tcPr>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cs="Arial"/>
                <w:color w:val="auto"/>
                <w:sz w:val="22"/>
                <w:szCs w:val="22"/>
                <w:highlight w:val="none"/>
              </w:rPr>
            </w:pPr>
            <w:r>
              <w:rPr>
                <w:rFonts w:hint="eastAsia" w:ascii="宋体" w:cs="Arial"/>
                <w:color w:val="auto"/>
                <w:sz w:val="22"/>
                <w:szCs w:val="22"/>
                <w:highlight w:val="none"/>
              </w:rPr>
              <w:t>投标人项目人员配置、现场实施人员配置，根据人员资质、职称及是否具备所投品牌实施售后服务能力,是否满足项目需求等酌情打分;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项目拟派人员优于采购需求的得5分；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项目拟派人员完全满足采购需求的得4分；</w:t>
            </w:r>
          </w:p>
          <w:p>
            <w:pPr>
              <w:keepNext w:val="0"/>
              <w:keepLines w:val="0"/>
              <w:pageBreakBefore w:val="0"/>
              <w:kinsoku/>
              <w:wordWrap/>
              <w:overflowPunct/>
              <w:topLinePunct w:val="0"/>
              <w:bidi w:val="0"/>
              <w:adjustRightInd w:val="0"/>
              <w:spacing w:line="460" w:lineRule="exact"/>
              <w:textAlignment w:val="auto"/>
              <w:rPr>
                <w:rFonts w:hint="eastAsia" w:ascii="宋体" w:cs="Arial"/>
                <w:color w:val="auto"/>
                <w:sz w:val="22"/>
                <w:szCs w:val="22"/>
                <w:highlight w:val="none"/>
              </w:rPr>
            </w:pPr>
            <w:r>
              <w:rPr>
                <w:rFonts w:hint="eastAsia" w:ascii="宋体" w:cs="Arial"/>
                <w:color w:val="auto"/>
                <w:sz w:val="22"/>
                <w:szCs w:val="22"/>
                <w:highlight w:val="none"/>
              </w:rPr>
              <w:t>项目拟派人员基本满足采购需求的得3分；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项目拟派人员较满足采购需求的得2分；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项目拟派人员大部分不满足采购需求的得1分；</w:t>
            </w:r>
          </w:p>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cs="Arial"/>
                <w:color w:val="auto"/>
                <w:sz w:val="22"/>
                <w:szCs w:val="22"/>
                <w:highlight w:val="none"/>
              </w:rPr>
            </w:pPr>
            <w:r>
              <w:rPr>
                <w:rFonts w:hint="eastAsia" w:ascii="宋体" w:cs="Arial"/>
                <w:color w:val="auto"/>
                <w:sz w:val="22"/>
                <w:szCs w:val="22"/>
                <w:highlight w:val="none"/>
              </w:rPr>
              <w:t xml:space="preserve">项目拟派人员完全不满足采购需求的得0分； </w:t>
            </w:r>
          </w:p>
          <w:p>
            <w:pPr>
              <w:keepNext w:val="0"/>
              <w:keepLines w:val="0"/>
              <w:pageBreakBefore w:val="0"/>
              <w:kinsoku/>
              <w:wordWrap/>
              <w:overflowPunct/>
              <w:topLinePunct w:val="0"/>
              <w:autoSpaceDE w:val="0"/>
              <w:autoSpaceDN w:val="0"/>
              <w:bidi w:val="0"/>
              <w:adjustRightInd w:val="0"/>
              <w:spacing w:line="460" w:lineRule="exact"/>
              <w:textAlignment w:val="auto"/>
              <w:rPr>
                <w:rFonts w:ascii="宋体" w:cs="Arial"/>
                <w:b/>
                <w:bCs/>
                <w:color w:val="auto"/>
                <w:sz w:val="22"/>
                <w:szCs w:val="22"/>
                <w:highlight w:val="none"/>
              </w:rPr>
            </w:pPr>
            <w:r>
              <w:rPr>
                <w:rFonts w:hint="eastAsia" w:ascii="宋体" w:cs="Arial"/>
                <w:b/>
                <w:color w:val="auto"/>
                <w:sz w:val="22"/>
                <w:szCs w:val="22"/>
                <w:highlight w:val="none"/>
              </w:rPr>
              <w:t>注：项目拟派人员</w:t>
            </w:r>
            <w:r>
              <w:rPr>
                <w:rFonts w:hint="eastAsia" w:ascii="宋体" w:cs="Arial"/>
                <w:b/>
                <w:color w:val="auto"/>
                <w:sz w:val="22"/>
                <w:szCs w:val="22"/>
                <w:highlight w:val="none"/>
                <w:lang w:eastAsia="zh-CN"/>
              </w:rPr>
              <w:t>需</w:t>
            </w:r>
            <w:r>
              <w:rPr>
                <w:rFonts w:hint="eastAsia" w:ascii="新宋体" w:hAnsi="新宋体" w:eastAsia="新宋体" w:cs="宋体"/>
                <w:b/>
                <w:bCs/>
                <w:szCs w:val="21"/>
              </w:rPr>
              <w:t>提供在本单位2024年</w:t>
            </w:r>
            <w:r>
              <w:rPr>
                <w:rFonts w:hint="eastAsia" w:ascii="新宋体" w:hAnsi="新宋体" w:eastAsia="新宋体" w:cs="宋体"/>
                <w:b/>
                <w:bCs/>
                <w:szCs w:val="21"/>
                <w:lang w:val="en-US" w:eastAsia="zh-CN"/>
              </w:rPr>
              <w:t>6</w:t>
            </w:r>
            <w:r>
              <w:rPr>
                <w:rFonts w:hint="eastAsia" w:ascii="新宋体" w:hAnsi="新宋体" w:eastAsia="新宋体" w:cs="宋体"/>
                <w:b/>
                <w:bCs/>
                <w:szCs w:val="21"/>
              </w:rPr>
              <w:t>月1日至今任意一月缴费情况（个人参保证明以已到账为准、单位参保证明以养老保险参保为准）的社会险参保证明，否则不得分。</w:t>
            </w:r>
          </w:p>
        </w:tc>
        <w:tc>
          <w:tcPr>
            <w:tcW w:w="91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cs="Arial"/>
                <w:b/>
                <w:color w:val="auto"/>
                <w:sz w:val="22"/>
                <w:szCs w:val="22"/>
                <w:highlight w:val="none"/>
              </w:rPr>
            </w:pPr>
            <w:r>
              <w:rPr>
                <w:rFonts w:hint="eastAsia" w:ascii="宋体" w:cs="Arial"/>
                <w:color w:val="auto"/>
                <w:sz w:val="22"/>
                <w:szCs w:val="22"/>
                <w:highlight w:val="none"/>
              </w:rPr>
              <w:t>5</w:t>
            </w:r>
          </w:p>
        </w:tc>
        <w:tc>
          <w:tcPr>
            <w:tcW w:w="184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color w:val="auto"/>
                <w:sz w:val="22"/>
                <w:szCs w:val="22"/>
                <w:highlight w:val="none"/>
              </w:rPr>
            </w:pPr>
            <w:r>
              <w:rPr>
                <w:rFonts w:hint="eastAsia" w:ascii="宋体" w:cs="Arial"/>
                <w:color w:val="auto"/>
                <w:sz w:val="22"/>
                <w:szCs w:val="22"/>
                <w:highlight w:val="none"/>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eastAsia" w:cs="仿宋_GB2312" w:asciiTheme="minorEastAsia" w:hAnsiTheme="minorEastAsia" w:eastAsiaTheme="minorEastAsia"/>
                <w:color w:val="auto"/>
                <w:sz w:val="22"/>
                <w:szCs w:val="22"/>
                <w:highlight w:val="none"/>
                <w:lang w:val="en-US" w:eastAsia="zh-CN"/>
              </w:rPr>
            </w:pPr>
            <w:r>
              <w:rPr>
                <w:rFonts w:hint="eastAsia" w:cs="仿宋_GB2312" w:asciiTheme="minorEastAsia" w:hAnsiTheme="minorEastAsia" w:eastAsiaTheme="minorEastAsia"/>
                <w:color w:val="auto"/>
                <w:sz w:val="22"/>
                <w:szCs w:val="22"/>
                <w:highlight w:val="none"/>
                <w:lang w:val="en-US" w:eastAsia="zh-CN"/>
              </w:rPr>
              <w:t>6</w:t>
            </w:r>
          </w:p>
        </w:tc>
        <w:tc>
          <w:tcPr>
            <w:tcW w:w="1753"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b/>
                <w:color w:val="auto"/>
                <w:sz w:val="22"/>
                <w:szCs w:val="22"/>
                <w:highlight w:val="none"/>
              </w:rPr>
            </w:pPr>
            <w:r>
              <w:rPr>
                <w:rFonts w:hint="eastAsia" w:ascii="宋体" w:cs="Arial"/>
                <w:color w:val="auto"/>
                <w:sz w:val="22"/>
                <w:szCs w:val="22"/>
                <w:highlight w:val="none"/>
              </w:rPr>
              <w:t>售后服务</w:t>
            </w:r>
          </w:p>
        </w:tc>
        <w:tc>
          <w:tcPr>
            <w:tcW w:w="4367" w:type="dxa"/>
            <w:vAlign w:val="center"/>
          </w:tcPr>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cs="Arial"/>
                <w:color w:val="auto"/>
                <w:sz w:val="22"/>
                <w:szCs w:val="22"/>
                <w:highlight w:val="none"/>
              </w:rPr>
            </w:pPr>
            <w:r>
              <w:rPr>
                <w:rFonts w:hint="eastAsia" w:ascii="宋体" w:cs="Arial"/>
                <w:color w:val="auto"/>
                <w:sz w:val="22"/>
                <w:szCs w:val="22"/>
                <w:highlight w:val="none"/>
              </w:rPr>
              <w:t>根据售后服务方案包括售后服务承诺、响应时间、响应程度、服务网点分布等）合理性、完整性、服务能力等情况，进行综合打分。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售后服务方案优于采购需求的得10分；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售后服务方案完全满足采购需求的得8分；</w:t>
            </w:r>
          </w:p>
          <w:p>
            <w:pPr>
              <w:keepNext w:val="0"/>
              <w:keepLines w:val="0"/>
              <w:pageBreakBefore w:val="0"/>
              <w:kinsoku/>
              <w:wordWrap/>
              <w:overflowPunct/>
              <w:topLinePunct w:val="0"/>
              <w:bidi w:val="0"/>
              <w:adjustRightInd w:val="0"/>
              <w:spacing w:line="460" w:lineRule="exact"/>
              <w:textAlignment w:val="auto"/>
              <w:rPr>
                <w:rFonts w:hint="eastAsia" w:ascii="宋体" w:cs="Arial"/>
                <w:color w:val="auto"/>
                <w:sz w:val="22"/>
                <w:szCs w:val="22"/>
                <w:highlight w:val="none"/>
              </w:rPr>
            </w:pPr>
            <w:r>
              <w:rPr>
                <w:rFonts w:hint="eastAsia" w:ascii="宋体" w:cs="Arial"/>
                <w:color w:val="auto"/>
                <w:sz w:val="22"/>
                <w:szCs w:val="22"/>
                <w:highlight w:val="none"/>
              </w:rPr>
              <w:t>售后服务方案基本满足采购需求的得6分；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售后服务方案较满足采购需求的得4分；</w:t>
            </w:r>
          </w:p>
          <w:p>
            <w:pPr>
              <w:keepNext w:val="0"/>
              <w:keepLines w:val="0"/>
              <w:pageBreakBefore w:val="0"/>
              <w:kinsoku/>
              <w:wordWrap/>
              <w:overflowPunct/>
              <w:topLinePunct w:val="0"/>
              <w:bidi w:val="0"/>
              <w:adjustRightInd w:val="0"/>
              <w:spacing w:line="460" w:lineRule="exact"/>
              <w:textAlignment w:val="auto"/>
              <w:rPr>
                <w:rFonts w:ascii="宋体" w:cs="Arial"/>
                <w:color w:val="auto"/>
                <w:sz w:val="22"/>
                <w:szCs w:val="22"/>
                <w:highlight w:val="none"/>
              </w:rPr>
            </w:pPr>
            <w:r>
              <w:rPr>
                <w:rFonts w:hint="eastAsia" w:ascii="宋体" w:cs="Arial"/>
                <w:color w:val="auto"/>
                <w:sz w:val="22"/>
                <w:szCs w:val="22"/>
                <w:highlight w:val="none"/>
              </w:rPr>
              <w:t>售后服务方案大部分不满足采购需求的得2分；</w:t>
            </w:r>
          </w:p>
          <w:p>
            <w:pPr>
              <w:pStyle w:val="2"/>
              <w:keepNext w:val="0"/>
              <w:keepLines w:val="0"/>
              <w:pageBreakBefore w:val="0"/>
              <w:kinsoku/>
              <w:wordWrap/>
              <w:overflowPunct/>
              <w:topLinePunct w:val="0"/>
              <w:bidi w:val="0"/>
              <w:adjustRightInd w:val="0"/>
              <w:spacing w:line="460" w:lineRule="exact"/>
              <w:textAlignment w:val="auto"/>
              <w:rPr>
                <w:color w:val="auto"/>
                <w:sz w:val="22"/>
                <w:szCs w:val="22"/>
                <w:highlight w:val="none"/>
                <w:lang w:val="en-US"/>
              </w:rPr>
            </w:pPr>
            <w:r>
              <w:rPr>
                <w:rFonts w:hint="eastAsia"/>
                <w:color w:val="auto"/>
                <w:sz w:val="22"/>
                <w:szCs w:val="22"/>
                <w:highlight w:val="none"/>
              </w:rPr>
              <w:t>售后服务方案完全不满足采购需求的得0分；</w:t>
            </w:r>
          </w:p>
        </w:tc>
        <w:tc>
          <w:tcPr>
            <w:tcW w:w="91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cs="Arial"/>
                <w:b/>
                <w:color w:val="auto"/>
                <w:sz w:val="22"/>
                <w:szCs w:val="22"/>
                <w:highlight w:val="none"/>
              </w:rPr>
            </w:pPr>
            <w:r>
              <w:rPr>
                <w:rFonts w:hint="eastAsia" w:ascii="宋体" w:cs="Arial"/>
                <w:color w:val="auto"/>
                <w:sz w:val="22"/>
                <w:szCs w:val="22"/>
                <w:highlight w:val="none"/>
              </w:rPr>
              <w:t>10</w:t>
            </w:r>
          </w:p>
        </w:tc>
        <w:tc>
          <w:tcPr>
            <w:tcW w:w="1845"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cs="Arial"/>
                <w:color w:val="auto"/>
                <w:sz w:val="22"/>
                <w:szCs w:val="22"/>
                <w:highlight w:val="none"/>
              </w:rPr>
            </w:pPr>
            <w:r>
              <w:rPr>
                <w:rFonts w:hint="eastAsia" w:ascii="宋体" w:cs="Arial"/>
                <w:color w:val="auto"/>
                <w:sz w:val="22"/>
                <w:szCs w:val="22"/>
                <w:highlight w:val="none"/>
              </w:rPr>
              <w:t>主观评分</w:t>
            </w:r>
          </w:p>
        </w:tc>
      </w:tr>
    </w:tbl>
    <w:p>
      <w:pPr>
        <w:widowControl/>
        <w:adjustRightInd/>
        <w:jc w:val="left"/>
        <w:rPr>
          <w:color w:val="auto"/>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widowControl/>
        <w:adjustRightInd/>
        <w:jc w:val="left"/>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3.4.5对于未预留份额专门面向中小企业的政府采购项目，以及预留份额政府采购项目中的非预留部分标项，对小型和微型企业的投标报价给予10%-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8"/>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8"/>
        <w:snapToGrid w:val="0"/>
        <w:spacing w:line="360" w:lineRule="auto"/>
        <w:rPr>
          <w:rFonts w:cs="宋体"/>
          <w:color w:val="auto"/>
          <w:highlight w:val="none"/>
        </w:rPr>
      </w:pPr>
      <w:r>
        <w:rPr>
          <w:rFonts w:hint="eastAsia" w:cs="宋体"/>
          <w:color w:val="auto"/>
          <w:highlight w:val="none"/>
        </w:rPr>
        <w:t>5.4因重大变故，采购任务取消的。</w:t>
      </w:r>
    </w:p>
    <w:p>
      <w:pPr>
        <w:pStyle w:val="28"/>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8"/>
        <w:snapToGrid w:val="0"/>
        <w:spacing w:line="360" w:lineRule="auto"/>
        <w:rPr>
          <w:rFonts w:cs="宋体"/>
          <w:color w:val="auto"/>
          <w:highlight w:val="none"/>
        </w:rPr>
      </w:pPr>
    </w:p>
    <w:p>
      <w:pPr>
        <w:pStyle w:val="28"/>
        <w:snapToGrid w:val="0"/>
        <w:spacing w:line="360" w:lineRule="auto"/>
        <w:rPr>
          <w:rFonts w:cs="宋体"/>
          <w:color w:val="auto"/>
          <w:highlight w:val="none"/>
        </w:rPr>
      </w:pPr>
    </w:p>
    <w:p>
      <w:pPr>
        <w:pStyle w:val="28"/>
        <w:snapToGrid w:val="0"/>
        <w:spacing w:line="360" w:lineRule="auto"/>
        <w:rPr>
          <w:rFonts w:cs="宋体"/>
          <w:color w:val="auto"/>
          <w:highlight w:val="none"/>
        </w:rPr>
      </w:pPr>
    </w:p>
    <w:p>
      <w:pPr>
        <w:pStyle w:val="28"/>
        <w:snapToGrid w:val="0"/>
        <w:spacing w:line="360" w:lineRule="auto"/>
        <w:rPr>
          <w:rFonts w:cs="宋体"/>
          <w:color w:val="auto"/>
          <w:highlight w:val="none"/>
        </w:rPr>
      </w:pPr>
    </w:p>
    <w:p>
      <w:pPr>
        <w:pStyle w:val="28"/>
        <w:snapToGrid w:val="0"/>
        <w:spacing w:line="360" w:lineRule="auto"/>
        <w:ind w:firstLine="0" w:firstLineChars="0"/>
        <w:rPr>
          <w:rFonts w:cs="宋体"/>
          <w:color w:val="auto"/>
          <w:highlight w:val="none"/>
        </w:rPr>
      </w:pPr>
    </w:p>
    <w:bookmarkEnd w:id="13"/>
    <w:p>
      <w:pPr>
        <w:rPr>
          <w:rFonts w:ascii="宋体" w:hAnsi="宋体" w:cs="宋体"/>
          <w:b/>
          <w:color w:val="auto"/>
          <w:sz w:val="36"/>
          <w:szCs w:val="36"/>
          <w:highlight w:val="none"/>
        </w:rPr>
      </w:pPr>
      <w:bookmarkStart w:id="26" w:name="第五部分"/>
      <w:bookmarkStart w:id="27" w:name="_Toc86217003"/>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color w:val="auto"/>
          <w:highlight w:val="none"/>
        </w:rPr>
      </w:pPr>
      <w:r>
        <w:rPr>
          <w:rFonts w:hint="eastAsia" w:ascii="宋体" w:hAnsi="宋体" w:cs="宋体"/>
          <w:b/>
          <w:color w:val="auto"/>
          <w:sz w:val="36"/>
          <w:szCs w:val="36"/>
          <w:highlight w:val="none"/>
        </w:rPr>
        <w:t>（货物类）</w:t>
      </w: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4"/>
        <w:rPr>
          <w:color w:val="auto"/>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项目名称：</w:t>
      </w: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签订日期：年月日</w:t>
      </w:r>
    </w:p>
    <w:p>
      <w:pPr>
        <w:widowControl/>
        <w:jc w:val="left"/>
        <w:rPr>
          <w:rFonts w:ascii="宋体" w:hAnsi="宋体" w:cs="宋体"/>
          <w:color w:val="auto"/>
          <w:kern w:val="0"/>
          <w:sz w:val="24"/>
          <w:highlight w:val="none"/>
        </w:rPr>
        <w:sectPr>
          <w:headerReference r:id="rId8" w:type="default"/>
          <w:footerReference r:id="rId9" w:type="default"/>
          <w:pgSz w:w="11907" w:h="16840"/>
          <w:pgMar w:top="1134" w:right="1814" w:bottom="1474" w:left="1814" w:header="851" w:footer="851" w:gutter="0"/>
          <w:cols w:space="720" w:num="1"/>
        </w:sectPr>
      </w:pPr>
    </w:p>
    <w:p>
      <w:pPr>
        <w:spacing w:line="276" w:lineRule="auto"/>
        <w:rPr>
          <w:rFonts w:ascii="宋体" w:hAnsi="宋体" w:cs="宋体"/>
          <w:b/>
          <w:color w:val="auto"/>
          <w:sz w:val="24"/>
          <w:highlight w:val="none"/>
        </w:rPr>
      </w:pP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年月日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pageBreakBefore w:val="0"/>
        <w:kinsoku/>
        <w:wordWrap/>
        <w:overflowPunct/>
        <w:topLinePunct w:val="0"/>
        <w:bidi w:val="0"/>
        <w:snapToGrid/>
        <w:spacing w:line="460" w:lineRule="exact"/>
        <w:ind w:firstLine="482" w:firstLineChars="200"/>
        <w:textAlignment w:val="auto"/>
        <w:outlineLvl w:val="0"/>
        <w:rPr>
          <w:rFonts w:ascii="宋体" w:hAnsi="宋体"/>
          <w:color w:val="auto"/>
          <w:sz w:val="24"/>
          <w:highlight w:val="none"/>
        </w:rPr>
      </w:pPr>
      <w:bookmarkStart w:id="28" w:name="_Toc15367"/>
      <w:bookmarkStart w:id="29" w:name="_Toc19273"/>
      <w:bookmarkStart w:id="30" w:name="_Toc22967"/>
      <w:bookmarkStart w:id="31" w:name="_Toc20421"/>
      <w:bookmarkStart w:id="32"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28"/>
      <w:bookmarkEnd w:id="29"/>
      <w:bookmarkEnd w:id="30"/>
      <w:bookmarkEnd w:id="31"/>
      <w:bookmarkEnd w:id="32"/>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bookmarkStart w:id="33" w:name="_Toc2918"/>
      <w:bookmarkStart w:id="34" w:name="_Toc6311"/>
      <w:bookmarkStart w:id="35" w:name="_Toc22185"/>
      <w:bookmarkStart w:id="36" w:name="_Toc18585"/>
      <w:bookmarkStart w:id="37" w:name="_Toc6773"/>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 中标或者成交通知书；</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1.1.5 其他相关采购文件。</w:t>
      </w:r>
    </w:p>
    <w:p>
      <w:pPr>
        <w:pageBreakBefore w:val="0"/>
        <w:kinsoku/>
        <w:wordWrap/>
        <w:overflowPunct/>
        <w:topLinePunct w:val="0"/>
        <w:bidi w:val="0"/>
        <w:snapToGrid/>
        <w:spacing w:line="460" w:lineRule="exact"/>
        <w:ind w:firstLine="482" w:firstLineChars="200"/>
        <w:textAlignment w:val="auto"/>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bookmarkEnd w:id="33"/>
      <w:bookmarkEnd w:id="34"/>
      <w:bookmarkEnd w:id="35"/>
      <w:bookmarkEnd w:id="36"/>
      <w:bookmarkEnd w:id="37"/>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u w:val="single"/>
        </w:rPr>
      </w:pPr>
      <w:bookmarkStart w:id="38" w:name="_Toc21124"/>
      <w:bookmarkStart w:id="39" w:name="_Toc13918"/>
      <w:bookmarkStart w:id="40" w:name="_Toc1386"/>
      <w:bookmarkStart w:id="41" w:name="_Toc5635"/>
      <w:bookmarkStart w:id="42" w:name="_Toc4929"/>
      <w:r>
        <w:rPr>
          <w:rFonts w:hint="eastAsia" w:ascii="宋体" w:hAnsi="宋体" w:cs="宋体"/>
          <w:color w:val="auto"/>
          <w:sz w:val="24"/>
          <w:highlight w:val="none"/>
        </w:rPr>
        <w:t>1.2.1 货物名称、品牌、规格型号、花色：；</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1.2.2 货物数量：；</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pageBreakBefore w:val="0"/>
        <w:kinsoku/>
        <w:wordWrap/>
        <w:overflowPunct/>
        <w:topLinePunct w:val="0"/>
        <w:bidi w:val="0"/>
        <w:snapToGrid/>
        <w:spacing w:line="460" w:lineRule="exact"/>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1.3 价款</w:t>
      </w:r>
      <w:bookmarkEnd w:id="38"/>
      <w:bookmarkEnd w:id="39"/>
      <w:bookmarkEnd w:id="40"/>
      <w:bookmarkEnd w:id="41"/>
      <w:bookmarkEnd w:id="42"/>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bookmarkStart w:id="43" w:name="_Toc1814"/>
      <w:bookmarkStart w:id="44" w:name="_Toc22618"/>
      <w:bookmarkStart w:id="45" w:name="_Toc10340"/>
      <w:bookmarkStart w:id="46" w:name="_Toc8772"/>
      <w:bookmarkStart w:id="47" w:name="_Toc4760"/>
      <w:bookmarkStart w:id="48" w:name="_Toc31421"/>
      <w:bookmarkStart w:id="49" w:name="_Toc11108"/>
      <w:bookmarkStart w:id="50" w:name="_Toc3625"/>
      <w:r>
        <w:rPr>
          <w:rFonts w:hint="eastAsia" w:ascii="宋体" w:hAnsi="宋体" w:cs="宋体"/>
          <w:color w:val="auto"/>
          <w:sz w:val="24"/>
          <w:highlight w:val="none"/>
        </w:rPr>
        <w:t>本合同总价（含税）为：￥元（大写：元人民币）。</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jc w:val="center"/>
              <w:textAlignment w:val="auto"/>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jc w:val="center"/>
              <w:textAlignment w:val="auto"/>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pageBreakBefore w:val="0"/>
              <w:kinsoku/>
              <w:wordWrap/>
              <w:overflowPunct/>
              <w:topLinePunct w:val="0"/>
              <w:bidi w:val="0"/>
              <w:snapToGrid/>
              <w:spacing w:line="460" w:lineRule="exact"/>
              <w:ind w:firstLine="200"/>
              <w:jc w:val="center"/>
              <w:textAlignment w:val="auto"/>
              <w:rPr>
                <w:rFonts w:hAnsi="宋体" w:cs="宋体"/>
                <w:color w:val="auto"/>
                <w:sz w:val="24"/>
                <w:szCs w:val="24"/>
                <w:highlight w:val="none"/>
              </w:rPr>
            </w:pPr>
          </w:p>
        </w:tc>
      </w:tr>
    </w:tbl>
    <w:p>
      <w:pPr>
        <w:pStyle w:val="958"/>
        <w:pageBreakBefore w:val="0"/>
        <w:kinsoku/>
        <w:wordWrap/>
        <w:overflowPunct/>
        <w:topLinePunct w:val="0"/>
        <w:bidi w:val="0"/>
        <w:snapToGrid/>
        <w:spacing w:before="0" w:beforeAutospacing="0" w:after="0" w:afterAutospacing="0" w:line="460" w:lineRule="exact"/>
        <w:ind w:firstLine="480"/>
        <w:textAlignment w:val="auto"/>
        <w:rPr>
          <w:b/>
          <w:color w:val="auto"/>
          <w:highlight w:val="none"/>
        </w:rPr>
      </w:pPr>
      <w:r>
        <w:rPr>
          <w:rFonts w:hint="eastAsia"/>
          <w:b/>
          <w:color w:val="auto"/>
          <w:highlight w:val="none"/>
        </w:rPr>
        <w:t>1.4履约保证金</w:t>
      </w:r>
    </w:p>
    <w:p>
      <w:pPr>
        <w:pStyle w:val="958"/>
        <w:pageBreakBefore w:val="0"/>
        <w:kinsoku/>
        <w:wordWrap/>
        <w:overflowPunct/>
        <w:topLinePunct w:val="0"/>
        <w:bidi w:val="0"/>
        <w:snapToGrid/>
        <w:spacing w:before="0" w:beforeAutospacing="0" w:after="0" w:afterAutospacing="0" w:line="460" w:lineRule="exact"/>
        <w:ind w:firstLine="480"/>
        <w:textAlignment w:val="auto"/>
        <w:rPr>
          <w:color w:val="auto"/>
          <w:highlight w:val="none"/>
        </w:rPr>
      </w:pPr>
      <w:r>
        <w:rPr>
          <w:rFonts w:hint="eastAsia"/>
          <w:color w:val="auto"/>
          <w:highlight w:val="none"/>
        </w:rPr>
        <w:t>乙方（否）需要支付履约保证金。若需要支付履约保证金的，则：</w:t>
      </w:r>
    </w:p>
    <w:p>
      <w:pPr>
        <w:pageBreakBefore w:val="0"/>
        <w:kinsoku/>
        <w:wordWrap/>
        <w:overflowPunct/>
        <w:topLinePunct w:val="0"/>
        <w:bidi w:val="0"/>
        <w:snapToGrid/>
        <w:spacing w:line="4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p>
    <w:p>
      <w:pPr>
        <w:pageBreakBefore w:val="0"/>
        <w:kinsoku/>
        <w:wordWrap/>
        <w:overflowPunct/>
        <w:topLinePunct w:val="0"/>
        <w:bidi w:val="0"/>
        <w:snapToGrid/>
        <w:spacing w:line="4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4"/>
        <w:pageBreakBefore w:val="0"/>
        <w:tabs>
          <w:tab w:val="left" w:pos="0"/>
          <w:tab w:val="clear" w:pos="432"/>
        </w:tabs>
        <w:kinsoku/>
        <w:wordWrap/>
        <w:overflowPunct/>
        <w:topLinePunct w:val="0"/>
        <w:bidi w:val="0"/>
        <w:snapToGrid/>
        <w:spacing w:line="460" w:lineRule="exact"/>
        <w:ind w:left="0" w:firstLine="480" w:firstLineChars="200"/>
        <w:textAlignment w:val="auto"/>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bidi w:val="0"/>
        <w:snapToGrid/>
        <w:spacing w:line="460" w:lineRule="exact"/>
        <w:ind w:firstLine="480" w:firstLineChars="200"/>
        <w:textAlignment w:val="auto"/>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pageBreakBefore w:val="0"/>
        <w:kinsoku/>
        <w:wordWrap/>
        <w:overflowPunct/>
        <w:topLinePunct w:val="0"/>
        <w:bidi w:val="0"/>
        <w:snapToGrid/>
        <w:spacing w:line="460" w:lineRule="exac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43"/>
      <w:bookmarkEnd w:id="44"/>
      <w:bookmarkEnd w:id="45"/>
      <w:r>
        <w:rPr>
          <w:rFonts w:hint="eastAsia" w:ascii="宋体" w:hAnsi="宋体" w:cs="宋体"/>
          <w:b/>
          <w:color w:val="auto"/>
          <w:sz w:val="24"/>
          <w:highlight w:val="none"/>
        </w:rPr>
        <w:t>预付款</w:t>
      </w:r>
    </w:p>
    <w:p>
      <w:pPr>
        <w:pStyle w:val="958"/>
        <w:pageBreakBefore w:val="0"/>
        <w:kinsoku/>
        <w:wordWrap/>
        <w:overflowPunct/>
        <w:topLinePunct w:val="0"/>
        <w:bidi w:val="0"/>
        <w:snapToGrid/>
        <w:spacing w:before="0" w:beforeAutospacing="0" w:after="0" w:afterAutospacing="0" w:line="460" w:lineRule="exact"/>
        <w:ind w:firstLine="480"/>
        <w:textAlignment w:val="auto"/>
        <w:rPr>
          <w:color w:val="auto"/>
          <w:highlight w:val="none"/>
        </w:rPr>
      </w:pPr>
      <w:r>
        <w:rPr>
          <w:rFonts w:hint="eastAsia"/>
          <w:color w:val="auto"/>
          <w:highlight w:val="none"/>
        </w:rPr>
        <w:t>甲方（是）需要支付预付款。若需要支付预付款的，则：</w:t>
      </w:r>
    </w:p>
    <w:p>
      <w:pPr>
        <w:pageBreakBefore w:val="0"/>
        <w:kinsoku/>
        <w:wordWrap/>
        <w:overflowPunct/>
        <w:topLinePunct w:val="0"/>
        <w:bidi w:val="0"/>
        <w:snapToGrid/>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958"/>
        <w:pageBreakBefore w:val="0"/>
        <w:kinsoku/>
        <w:wordWrap/>
        <w:overflowPunct/>
        <w:topLinePunct w:val="0"/>
        <w:bidi w:val="0"/>
        <w:snapToGrid/>
        <w:spacing w:before="0" w:beforeAutospacing="0" w:after="0" w:afterAutospacing="0" w:line="460" w:lineRule="exact"/>
        <w:ind w:firstLine="480"/>
        <w:textAlignment w:val="auto"/>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pPr>
        <w:pStyle w:val="958"/>
        <w:pageBreakBefore w:val="0"/>
        <w:kinsoku/>
        <w:wordWrap/>
        <w:overflowPunct/>
        <w:topLinePunct w:val="0"/>
        <w:bidi w:val="0"/>
        <w:snapToGrid/>
        <w:spacing w:before="0" w:beforeAutospacing="0" w:after="0" w:afterAutospacing="0" w:line="460" w:lineRule="exact"/>
        <w:ind w:firstLine="480"/>
        <w:textAlignment w:val="auto"/>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pPr>
        <w:pStyle w:val="958"/>
        <w:pageBreakBefore w:val="0"/>
        <w:kinsoku/>
        <w:wordWrap/>
        <w:overflowPunct/>
        <w:topLinePunct w:val="0"/>
        <w:bidi w:val="0"/>
        <w:snapToGrid/>
        <w:spacing w:before="0" w:beforeAutospacing="0" w:after="0" w:afterAutospacing="0" w:line="460" w:lineRule="exact"/>
        <w:ind w:firstLine="480"/>
        <w:textAlignment w:val="auto"/>
        <w:rPr>
          <w:b/>
          <w:bCs/>
          <w:color w:val="auto"/>
          <w:highlight w:val="none"/>
        </w:rPr>
      </w:pPr>
      <w:r>
        <w:rPr>
          <w:rFonts w:hint="eastAsia"/>
          <w:b/>
          <w:bCs/>
          <w:color w:val="auto"/>
          <w:highlight w:val="none"/>
        </w:rPr>
        <w:t>1.6资金支付</w:t>
      </w:r>
    </w:p>
    <w:p>
      <w:pPr>
        <w:pStyle w:val="958"/>
        <w:pageBreakBefore w:val="0"/>
        <w:kinsoku/>
        <w:wordWrap/>
        <w:overflowPunct/>
        <w:topLinePunct w:val="0"/>
        <w:bidi w:val="0"/>
        <w:snapToGrid/>
        <w:spacing w:before="0" w:beforeAutospacing="0" w:after="0" w:afterAutospacing="0" w:line="460" w:lineRule="exact"/>
        <w:ind w:firstLine="480"/>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ageBreakBefore w:val="0"/>
        <w:kinsoku/>
        <w:wordWrap/>
        <w:overflowPunct/>
        <w:topLinePunct w:val="0"/>
        <w:bidi w:val="0"/>
        <w:snapToGrid/>
        <w:spacing w:line="460" w:lineRule="exact"/>
        <w:ind w:firstLine="480" w:firstLineChars="200"/>
        <w:textAlignment w:val="auto"/>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bidi w:val="0"/>
        <w:snapToGrid/>
        <w:spacing w:line="460" w:lineRule="exact"/>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6"/>
      <w:bookmarkEnd w:id="47"/>
      <w:bookmarkEnd w:id="48"/>
      <w:bookmarkEnd w:id="49"/>
      <w:bookmarkEnd w:id="50"/>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u w:val="single"/>
        </w:rPr>
      </w:pPr>
      <w:bookmarkStart w:id="51" w:name="_Toc5698"/>
      <w:bookmarkStart w:id="52" w:name="_Toc2375"/>
      <w:bookmarkStart w:id="53" w:name="_Toc3079"/>
      <w:bookmarkStart w:id="54" w:name="_Toc8586"/>
      <w:bookmarkStart w:id="55" w:name="_Toc24662"/>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bidi w:val="0"/>
        <w:snapToGrid/>
        <w:spacing w:line="460" w:lineRule="exact"/>
        <w:ind w:firstLine="482" w:firstLineChars="200"/>
        <w:textAlignment w:val="auto"/>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51"/>
      <w:bookmarkEnd w:id="52"/>
      <w:bookmarkEnd w:id="53"/>
      <w:bookmarkEnd w:id="54"/>
      <w:bookmarkEnd w:id="55"/>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bookmarkStart w:id="56" w:name="_Toc28375"/>
      <w:bookmarkStart w:id="57" w:name="_Toc16021"/>
      <w:bookmarkStart w:id="58" w:name="_Toc15583"/>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bidi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pageBreakBefore w:val="0"/>
        <w:kinsoku/>
        <w:wordWrap/>
        <w:overflowPunct/>
        <w:topLinePunct w:val="0"/>
        <w:bidi w:val="0"/>
        <w:snapToGrid/>
        <w:spacing w:line="460" w:lineRule="exact"/>
        <w:ind w:left="-420" w:leftChars="-200" w:right="-420" w:rightChars="-200" w:firstLine="960" w:firstLineChars="400"/>
        <w:textAlignment w:val="auto"/>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pageBreakBefore w:val="0"/>
        <w:kinsoku/>
        <w:wordWrap/>
        <w:overflowPunct/>
        <w:topLinePunct w:val="0"/>
        <w:bidi w:val="0"/>
        <w:snapToGrid/>
        <w:spacing w:line="460" w:lineRule="exac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bookmarkEnd w:id="56"/>
      <w:bookmarkEnd w:id="57"/>
      <w:bookmarkEnd w:id="58"/>
    </w:p>
    <w:p>
      <w:pPr>
        <w:pageBreakBefore w:val="0"/>
        <w:kinsoku/>
        <w:wordWrap/>
        <w:overflowPunct/>
        <w:topLinePunct w:val="0"/>
        <w:bidi w:val="0"/>
        <w:snapToGrid/>
        <w:spacing w:line="460" w:lineRule="exact"/>
        <w:ind w:left="-61" w:leftChars="-29" w:right="-420" w:rightChars="-200" w:firstLine="240" w:firstLineChars="100"/>
        <w:textAlignment w:val="auto"/>
        <w:rPr>
          <w:rFonts w:ascii="宋体" w:hAnsi="宋体" w:cs="宋体"/>
          <w:color w:val="auto"/>
          <w:sz w:val="24"/>
          <w:highlight w:val="none"/>
        </w:rPr>
      </w:pPr>
      <w:bookmarkStart w:id="59" w:name="_Toc11173"/>
      <w:bookmarkStart w:id="60" w:name="_Toc7245"/>
      <w:bookmarkStart w:id="61" w:name="_Toc15322"/>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pPr>
        <w:pageBreakBefore w:val="0"/>
        <w:kinsoku/>
        <w:wordWrap/>
        <w:overflowPunct/>
        <w:topLinePunct w:val="0"/>
        <w:bidi w:val="0"/>
        <w:snapToGrid/>
        <w:spacing w:line="460" w:lineRule="exact"/>
        <w:ind w:left="-420" w:leftChars="-200" w:right="-420" w:rightChars="-200"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pageBreakBefore w:val="0"/>
        <w:kinsoku/>
        <w:wordWrap/>
        <w:overflowPunct/>
        <w:topLinePunct w:val="0"/>
        <w:bidi w:val="0"/>
        <w:snapToGrid/>
        <w:spacing w:line="460" w:lineRule="exact"/>
        <w:ind w:left="-420" w:leftChars="-200" w:right="-420" w:rightChars="-200"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pageBreakBefore w:val="0"/>
        <w:kinsoku/>
        <w:wordWrap/>
        <w:overflowPunct/>
        <w:topLinePunct w:val="0"/>
        <w:bidi w:val="0"/>
        <w:snapToGrid/>
        <w:spacing w:line="460" w:lineRule="exac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2.0 合同生效</w:t>
      </w:r>
      <w:bookmarkEnd w:id="59"/>
      <w:bookmarkEnd w:id="60"/>
      <w:bookmarkEnd w:id="61"/>
    </w:p>
    <w:p>
      <w:pPr>
        <w:pageBreakBefore w:val="0"/>
        <w:kinsoku/>
        <w:wordWrap/>
        <w:overflowPunct/>
        <w:topLinePunct w:val="0"/>
        <w:bidi w:val="0"/>
        <w:snapToGrid/>
        <w:spacing w:line="460" w:lineRule="exact"/>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r>
        <w:rPr>
          <w:rFonts w:hint="eastAsia" w:ascii="宋体" w:hAnsi="宋体"/>
          <w:color w:val="auto"/>
          <w:sz w:val="24"/>
          <w:highlight w:val="none"/>
          <w:lang w:val="zh-CN"/>
        </w:rPr>
        <w:t>住所： 住所：</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r>
        <w:rPr>
          <w:rFonts w:hint="eastAsia" w:ascii="宋体" w:hAnsi="宋体"/>
          <w:color w:val="auto"/>
          <w:sz w:val="24"/>
          <w:highlight w:val="none"/>
          <w:lang w:val="zh-CN"/>
        </w:rPr>
        <w:t>法定代表人或 法定代表人或</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r>
        <w:rPr>
          <w:rFonts w:hint="eastAsia" w:ascii="宋体" w:hAnsi="宋体"/>
          <w:color w:val="auto"/>
          <w:sz w:val="24"/>
          <w:highlight w:val="none"/>
          <w:lang w:val="zh-CN"/>
        </w:rPr>
        <w:t>联系人： 联系人：</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r>
        <w:rPr>
          <w:rFonts w:hint="eastAsia" w:ascii="宋体" w:hAnsi="宋体"/>
          <w:color w:val="auto"/>
          <w:sz w:val="24"/>
          <w:highlight w:val="none"/>
          <w:lang w:val="zh-CN"/>
        </w:rPr>
        <w:t>邮政编码： 邮政编码：</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rPr>
      </w:pPr>
      <w:r>
        <w:rPr>
          <w:rFonts w:hint="eastAsia" w:ascii="宋体" w:hAnsi="宋体"/>
          <w:color w:val="auto"/>
          <w:sz w:val="24"/>
          <w:highlight w:val="none"/>
          <w:lang w:val="zh-CN"/>
        </w:rPr>
        <w:t>电子邮箱： 电子邮箱：</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pageBreakBefore w:val="0"/>
        <w:kinsoku/>
        <w:wordWrap/>
        <w:overflowPunct/>
        <w:topLinePunct w:val="0"/>
        <w:autoSpaceDE w:val="0"/>
        <w:autoSpaceDN w:val="0"/>
        <w:bidi w:val="0"/>
        <w:snapToGrid/>
        <w:spacing w:line="460" w:lineRule="exact"/>
        <w:textAlignment w:val="auto"/>
        <w:rPr>
          <w:rFonts w:ascii="宋体" w:hAnsi="宋体"/>
          <w:color w:val="auto"/>
          <w:sz w:val="24"/>
          <w:highlight w:val="none"/>
        </w:rPr>
      </w:pPr>
      <w:r>
        <w:rPr>
          <w:rFonts w:hint="eastAsia" w:ascii="宋体" w:hAnsi="宋体"/>
          <w:color w:val="auto"/>
          <w:sz w:val="24"/>
          <w:highlight w:val="none"/>
        </w:rPr>
        <w:t>开户账号：</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62" w:name="_Toc279701240"/>
      <w:bookmarkStart w:id="63" w:name="_Ref467379195"/>
      <w:bookmarkStart w:id="64" w:name="_Ref467379205"/>
      <w:bookmarkStart w:id="65" w:name="_Ref467378463"/>
      <w:bookmarkStart w:id="66" w:name="_Toc16917"/>
      <w:bookmarkStart w:id="67" w:name="_Ref467379101"/>
      <w:bookmarkStart w:id="68" w:name="_Ref467378404"/>
      <w:bookmarkStart w:id="69" w:name="_Toc19614"/>
      <w:bookmarkStart w:id="70" w:name="_Toc259093669"/>
      <w:bookmarkStart w:id="71" w:name="_Toc487900349"/>
      <w:bookmarkStart w:id="72" w:name="_Toc28763"/>
      <w:bookmarkStart w:id="73" w:name="_Ref467379214"/>
      <w:bookmarkStart w:id="74" w:name="_Ref467378499"/>
      <w:bookmarkStart w:id="75" w:name="_Ref467379094"/>
      <w:bookmarkStart w:id="76" w:name="_Ref467379109"/>
      <w:bookmarkStart w:id="77" w:name="_Ref467379225"/>
      <w:r>
        <w:rPr>
          <w:rFonts w:hint="eastAsia" w:ascii="宋体" w:hAnsi="宋体" w:cs="宋体"/>
          <w:b/>
          <w:color w:val="auto"/>
          <w:sz w:val="24"/>
          <w:highlight w:val="none"/>
        </w:rPr>
        <w:t>2.1 定义</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78" w:name="_Ref467378840"/>
      <w:r>
        <w:rPr>
          <w:rFonts w:hint="eastAsia" w:ascii="宋体" w:hAnsi="宋体" w:cs="宋体"/>
          <w:color w:val="auto"/>
          <w:sz w:val="24"/>
          <w:highlight w:val="none"/>
        </w:rPr>
        <w:t>2.1.4 “甲方”系指与中标或成交供应商签署合同的采购人</w:t>
      </w:r>
      <w:bookmarkEnd w:id="78"/>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79" w:name="_Ref467379400"/>
      <w:r>
        <w:rPr>
          <w:rFonts w:hint="eastAsia" w:ascii="宋体" w:hAnsi="宋体" w:cs="宋体"/>
          <w:color w:val="auto"/>
          <w:sz w:val="24"/>
          <w:highlight w:val="none"/>
        </w:rPr>
        <w:t>2.1.5 “乙方”系指根据合同约定交付货物的中标或成交供应商</w:t>
      </w:r>
      <w:bookmarkEnd w:id="79"/>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80" w:name="_Ref467379436"/>
      <w:r>
        <w:rPr>
          <w:rFonts w:hint="eastAsia" w:ascii="宋体" w:hAnsi="宋体" w:cs="宋体"/>
          <w:color w:val="auto"/>
          <w:sz w:val="24"/>
          <w:highlight w:val="none"/>
        </w:rPr>
        <w:t>2.1.6 “现场”系指合同约定货物将要运至或者安装的地点。</w:t>
      </w:r>
      <w:bookmarkEnd w:id="80"/>
    </w:p>
    <w:p>
      <w:pPr>
        <w:spacing w:line="560" w:lineRule="exact"/>
        <w:ind w:firstLine="482" w:firstLineChars="200"/>
        <w:outlineLvl w:val="0"/>
        <w:rPr>
          <w:rFonts w:ascii="宋体" w:hAnsi="宋体" w:cs="宋体"/>
          <w:b/>
          <w:color w:val="auto"/>
          <w:sz w:val="24"/>
          <w:highlight w:val="none"/>
        </w:rPr>
      </w:pPr>
      <w:bookmarkStart w:id="81" w:name="_Toc27635"/>
      <w:bookmarkStart w:id="82" w:name="_Toc32504"/>
      <w:bookmarkStart w:id="83" w:name="_Toc487900350"/>
      <w:bookmarkStart w:id="84" w:name="_Toc279701241"/>
      <w:bookmarkStart w:id="85" w:name="_Toc13336"/>
      <w:bookmarkStart w:id="86" w:name="_Toc259093670"/>
      <w:r>
        <w:rPr>
          <w:rFonts w:hint="eastAsia" w:ascii="宋体" w:hAnsi="宋体" w:cs="宋体"/>
          <w:b/>
          <w:color w:val="auto"/>
          <w:sz w:val="24"/>
          <w:highlight w:val="none"/>
        </w:rPr>
        <w:t>2.2 技术规范</w:t>
      </w:r>
      <w:bookmarkEnd w:id="81"/>
      <w:bookmarkEnd w:id="82"/>
      <w:bookmarkEnd w:id="83"/>
      <w:bookmarkEnd w:id="84"/>
      <w:bookmarkEnd w:id="85"/>
      <w:bookmarkEnd w:id="8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87" w:name="_Toc9829"/>
      <w:bookmarkStart w:id="88" w:name="_Toc31634"/>
      <w:bookmarkStart w:id="89" w:name="_Toc279701242"/>
      <w:bookmarkStart w:id="90" w:name="_Toc259093671"/>
      <w:bookmarkStart w:id="91" w:name="_Toc27853"/>
      <w:bookmarkStart w:id="92" w:name="_Toc487900351"/>
      <w:r>
        <w:rPr>
          <w:rFonts w:hint="eastAsia" w:ascii="宋体" w:hAnsi="宋体" w:cs="宋体"/>
          <w:b/>
          <w:color w:val="auto"/>
          <w:sz w:val="24"/>
          <w:highlight w:val="none"/>
        </w:rPr>
        <w:t>2.3 知识产权</w:t>
      </w:r>
      <w:bookmarkEnd w:id="87"/>
      <w:bookmarkEnd w:id="88"/>
      <w:bookmarkEnd w:id="89"/>
      <w:bookmarkEnd w:id="90"/>
      <w:bookmarkEnd w:id="91"/>
      <w:bookmarkEnd w:id="9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93" w:name="_Toc4194"/>
      <w:bookmarkStart w:id="94" w:name="_Toc11932"/>
      <w:bookmarkStart w:id="95" w:name="_Toc29149"/>
      <w:r>
        <w:rPr>
          <w:rFonts w:hint="eastAsia" w:ascii="宋体" w:hAnsi="宋体" w:cs="宋体"/>
          <w:b/>
          <w:color w:val="auto"/>
          <w:sz w:val="24"/>
          <w:highlight w:val="none"/>
        </w:rPr>
        <w:t>2.4 包装和装运</w:t>
      </w:r>
      <w:bookmarkEnd w:id="93"/>
      <w:bookmarkEnd w:id="94"/>
      <w:bookmarkEnd w:id="9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96" w:name="_Ref467379542"/>
      <w:bookmarkStart w:id="97" w:name="_Ref467378591"/>
      <w:bookmarkStart w:id="98" w:name="_Ref467379527"/>
      <w:bookmarkStart w:id="99" w:name="_Toc487900354"/>
      <w:bookmarkStart w:id="100" w:name="_Toc279701245"/>
      <w:bookmarkStart w:id="101" w:name="_Toc259093674"/>
      <w:bookmarkStart w:id="102" w:name="_Ref467379536"/>
      <w:bookmarkStart w:id="103" w:name="_Ref467378541"/>
      <w:bookmarkStart w:id="104" w:name="_Toc19074"/>
      <w:bookmarkStart w:id="105" w:name="_Toc26182"/>
      <w:bookmarkStart w:id="106" w:name="_Toc30272"/>
      <w:r>
        <w:rPr>
          <w:rFonts w:hint="eastAsia" w:ascii="宋体" w:hAnsi="宋体" w:cs="宋体"/>
          <w:b/>
          <w:color w:val="auto"/>
          <w:sz w:val="24"/>
          <w:highlight w:val="none"/>
        </w:rPr>
        <w:t>2.</w:t>
      </w:r>
      <w:bookmarkEnd w:id="96"/>
      <w:bookmarkEnd w:id="97"/>
      <w:bookmarkEnd w:id="98"/>
      <w:bookmarkEnd w:id="99"/>
      <w:bookmarkEnd w:id="100"/>
      <w:bookmarkEnd w:id="101"/>
      <w:bookmarkEnd w:id="102"/>
      <w:bookmarkEnd w:id="103"/>
      <w:r>
        <w:rPr>
          <w:rFonts w:hint="eastAsia" w:ascii="宋体" w:hAnsi="宋体" w:cs="宋体"/>
          <w:b/>
          <w:color w:val="auto"/>
          <w:sz w:val="24"/>
          <w:highlight w:val="none"/>
        </w:rPr>
        <w:t>5 履约检查和问题反馈</w:t>
      </w:r>
      <w:bookmarkEnd w:id="104"/>
      <w:bookmarkEnd w:id="105"/>
      <w:bookmarkEnd w:id="106"/>
    </w:p>
    <w:p>
      <w:pPr>
        <w:spacing w:line="560" w:lineRule="exact"/>
        <w:ind w:firstLine="480" w:firstLineChars="200"/>
        <w:rPr>
          <w:rFonts w:ascii="宋体" w:hAnsi="宋体" w:cs="宋体"/>
          <w:color w:val="auto"/>
          <w:sz w:val="24"/>
          <w:highlight w:val="none"/>
        </w:rPr>
      </w:pPr>
      <w:bookmarkStart w:id="107" w:name="_Ref467379657"/>
      <w:r>
        <w:rPr>
          <w:rFonts w:hint="eastAsia" w:ascii="宋体" w:hAnsi="宋体" w:cs="宋体"/>
          <w:color w:val="auto"/>
          <w:sz w:val="24"/>
          <w:highlight w:val="none"/>
        </w:rPr>
        <w:t>2.5.1</w:t>
      </w:r>
      <w:bookmarkEnd w:id="107"/>
      <w:bookmarkStart w:id="108" w:name="_Toc186431854"/>
      <w:bookmarkStart w:id="109" w:name="_Ref467379793"/>
      <w:bookmarkStart w:id="110" w:name="_Toc259093676"/>
      <w:bookmarkStart w:id="111" w:name="_Toc279701247"/>
      <w:bookmarkStart w:id="112" w:name="_Toc487900357"/>
      <w:bookmarkStart w:id="113"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08"/>
      <w:bookmarkStart w:id="114" w:name="_Toc186431855"/>
      <w:r>
        <w:rPr>
          <w:rFonts w:hint="eastAsia" w:ascii="宋体" w:hAnsi="宋体" w:cs="宋体"/>
          <w:color w:val="auto"/>
          <w:sz w:val="24"/>
          <w:highlight w:val="none"/>
        </w:rPr>
        <w:t>。</w:t>
      </w:r>
    </w:p>
    <w:bookmarkEnd w:id="109"/>
    <w:bookmarkEnd w:id="110"/>
    <w:bookmarkEnd w:id="111"/>
    <w:bookmarkEnd w:id="112"/>
    <w:bookmarkEnd w:id="113"/>
    <w:bookmarkEnd w:id="114"/>
    <w:p>
      <w:pPr>
        <w:spacing w:line="560" w:lineRule="exact"/>
        <w:ind w:firstLine="482" w:firstLineChars="200"/>
        <w:outlineLvl w:val="0"/>
        <w:rPr>
          <w:rFonts w:ascii="宋体" w:hAnsi="宋体" w:cs="宋体"/>
          <w:b/>
          <w:color w:val="auto"/>
          <w:sz w:val="24"/>
          <w:highlight w:val="none"/>
        </w:rPr>
      </w:pPr>
      <w:bookmarkStart w:id="115" w:name="_Ref467379863"/>
      <w:bookmarkStart w:id="116" w:name="_Toc259093677"/>
      <w:bookmarkStart w:id="117" w:name="_Toc279701248"/>
      <w:bookmarkStart w:id="118" w:name="_Ref467379923"/>
      <w:bookmarkStart w:id="119" w:name="_Ref467379852"/>
      <w:bookmarkStart w:id="120" w:name="_Toc487900358"/>
      <w:bookmarkStart w:id="121" w:name="_Toc774"/>
      <w:bookmarkStart w:id="122" w:name="_Toc16110"/>
      <w:bookmarkStart w:id="123" w:name="_Toc3225"/>
      <w:r>
        <w:rPr>
          <w:rFonts w:hint="eastAsia" w:ascii="宋体" w:hAnsi="宋体" w:cs="宋体"/>
          <w:b/>
          <w:color w:val="auto"/>
          <w:sz w:val="24"/>
          <w:highlight w:val="none"/>
        </w:rPr>
        <w:t>2.6 技术资料</w:t>
      </w:r>
      <w:bookmarkEnd w:id="115"/>
      <w:bookmarkEnd w:id="116"/>
      <w:bookmarkEnd w:id="117"/>
      <w:bookmarkEnd w:id="118"/>
      <w:bookmarkEnd w:id="119"/>
      <w:bookmarkEnd w:id="120"/>
      <w:r>
        <w:rPr>
          <w:rFonts w:hint="eastAsia" w:ascii="宋体" w:hAnsi="宋体" w:cs="宋体"/>
          <w:b/>
          <w:color w:val="auto"/>
          <w:sz w:val="24"/>
          <w:highlight w:val="none"/>
        </w:rPr>
        <w:t>和保密义务</w:t>
      </w:r>
      <w:bookmarkEnd w:id="121"/>
      <w:bookmarkEnd w:id="122"/>
      <w:bookmarkEnd w:id="12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124" w:name="_Toc7860"/>
      <w:r>
        <w:rPr>
          <w:rFonts w:hint="eastAsia" w:ascii="宋体" w:hAnsi="宋体" w:cs="宋体"/>
          <w:b/>
          <w:color w:val="auto"/>
          <w:sz w:val="24"/>
          <w:highlight w:val="none"/>
        </w:rPr>
        <w:t>2.7 质量保证</w:t>
      </w:r>
      <w:bookmarkEnd w:id="12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125" w:name="_Toc17244"/>
      <w:bookmarkStart w:id="126" w:name="_Toc487900362"/>
      <w:bookmarkStart w:id="127" w:name="_Toc279701252"/>
      <w:bookmarkStart w:id="128" w:name="_Toc259093681"/>
      <w:r>
        <w:rPr>
          <w:rFonts w:hint="eastAsia" w:ascii="宋体" w:hAnsi="宋体" w:cs="宋体"/>
          <w:b/>
          <w:color w:val="auto"/>
          <w:sz w:val="24"/>
          <w:highlight w:val="none"/>
        </w:rPr>
        <w:t>2.8 货物的风险负担</w:t>
      </w:r>
      <w:bookmarkEnd w:id="125"/>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129" w:name="_Toc14055"/>
      <w:r>
        <w:rPr>
          <w:rFonts w:hint="eastAsia" w:ascii="宋体" w:hAnsi="宋体" w:cs="宋体"/>
          <w:b/>
          <w:color w:val="auto"/>
          <w:sz w:val="24"/>
          <w:highlight w:val="none"/>
        </w:rPr>
        <w:t>2.9 延迟交货</w:t>
      </w:r>
      <w:bookmarkEnd w:id="126"/>
      <w:bookmarkEnd w:id="127"/>
      <w:bookmarkEnd w:id="128"/>
      <w:bookmarkEnd w:id="129"/>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130" w:name="_Toc7502"/>
      <w:bookmarkStart w:id="131" w:name="_Ref467378121"/>
      <w:bookmarkStart w:id="132" w:name="_Toc279701254"/>
      <w:bookmarkStart w:id="133" w:name="_Toc487900364"/>
      <w:bookmarkStart w:id="134" w:name="_Toc259093683"/>
      <w:r>
        <w:rPr>
          <w:rFonts w:hint="eastAsia" w:ascii="宋体" w:hAnsi="宋体" w:cs="宋体"/>
          <w:b/>
          <w:color w:val="auto"/>
          <w:sz w:val="24"/>
          <w:highlight w:val="none"/>
        </w:rPr>
        <w:t>2.10 合同变更</w:t>
      </w:r>
      <w:bookmarkEnd w:id="13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5" w:name="_Toc487900369"/>
      <w:bookmarkStart w:id="136" w:name="_Toc259093688"/>
      <w:bookmarkStart w:id="137" w:name="_Toc279701259"/>
    </w:p>
    <w:p>
      <w:pPr>
        <w:spacing w:line="560" w:lineRule="exact"/>
        <w:ind w:firstLine="482" w:firstLineChars="200"/>
        <w:outlineLvl w:val="0"/>
        <w:rPr>
          <w:rFonts w:ascii="宋体" w:hAnsi="宋体" w:cs="宋体"/>
          <w:b/>
          <w:color w:val="auto"/>
          <w:sz w:val="24"/>
          <w:highlight w:val="none"/>
        </w:rPr>
      </w:pPr>
      <w:bookmarkStart w:id="138" w:name="_Toc15237"/>
      <w:bookmarkStart w:id="139" w:name="_Toc10366"/>
      <w:bookmarkStart w:id="140" w:name="_Toc22955"/>
      <w:r>
        <w:rPr>
          <w:rFonts w:hint="eastAsia" w:ascii="宋体" w:hAnsi="宋体" w:cs="宋体"/>
          <w:b/>
          <w:color w:val="auto"/>
          <w:sz w:val="24"/>
          <w:highlight w:val="none"/>
        </w:rPr>
        <w:t>2.11 合同转让</w:t>
      </w:r>
      <w:bookmarkEnd w:id="135"/>
      <w:bookmarkEnd w:id="136"/>
      <w:bookmarkEnd w:id="137"/>
      <w:r>
        <w:rPr>
          <w:rFonts w:hint="eastAsia" w:ascii="宋体" w:hAnsi="宋体" w:cs="宋体"/>
          <w:b/>
          <w:color w:val="auto"/>
          <w:sz w:val="24"/>
          <w:highlight w:val="none"/>
        </w:rPr>
        <w:t>和分包</w:t>
      </w:r>
      <w:bookmarkEnd w:id="138"/>
      <w:bookmarkEnd w:id="139"/>
      <w:bookmarkEnd w:id="14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141" w:name="_Toc16508"/>
      <w:bookmarkStart w:id="142" w:name="_Toc14066"/>
      <w:bookmarkStart w:id="143" w:name="_Toc13566"/>
      <w:r>
        <w:rPr>
          <w:rFonts w:hint="eastAsia" w:ascii="宋体" w:hAnsi="宋体" w:cs="宋体"/>
          <w:b/>
          <w:color w:val="auto"/>
          <w:sz w:val="24"/>
          <w:highlight w:val="none"/>
        </w:rPr>
        <w:t>2.12 不可抗力</w:t>
      </w:r>
      <w:bookmarkEnd w:id="141"/>
      <w:bookmarkEnd w:id="142"/>
      <w:bookmarkEnd w:id="14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144" w:name="_Toc259093684"/>
      <w:bookmarkStart w:id="145" w:name="_Toc689"/>
      <w:bookmarkStart w:id="146" w:name="_Toc279701255"/>
      <w:bookmarkStart w:id="147" w:name="_Toc6969"/>
      <w:bookmarkStart w:id="148" w:name="_Toc30676"/>
      <w:bookmarkStart w:id="149" w:name="_Toc487900365"/>
      <w:r>
        <w:rPr>
          <w:rFonts w:hint="eastAsia" w:ascii="宋体" w:hAnsi="宋体" w:cs="宋体"/>
          <w:b/>
          <w:color w:val="auto"/>
          <w:sz w:val="24"/>
          <w:highlight w:val="none"/>
        </w:rPr>
        <w:t>2.13 税费</w:t>
      </w:r>
      <w:bookmarkEnd w:id="144"/>
      <w:bookmarkEnd w:id="145"/>
      <w:bookmarkEnd w:id="146"/>
      <w:bookmarkEnd w:id="147"/>
      <w:bookmarkEnd w:id="148"/>
      <w:bookmarkEnd w:id="14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150" w:name="_Toc8298"/>
      <w:bookmarkStart w:id="151" w:name="_Toc259093687"/>
      <w:bookmarkStart w:id="152" w:name="_Toc7102"/>
      <w:bookmarkStart w:id="153" w:name="_Toc279701258"/>
      <w:bookmarkStart w:id="154" w:name="_Toc487900368"/>
      <w:bookmarkStart w:id="155" w:name="_Toc16959"/>
      <w:r>
        <w:rPr>
          <w:rFonts w:hint="eastAsia" w:ascii="宋体" w:hAnsi="宋体" w:cs="宋体"/>
          <w:b/>
          <w:color w:val="auto"/>
          <w:sz w:val="24"/>
          <w:highlight w:val="none"/>
        </w:rPr>
        <w:t>2.14乙方破产</w:t>
      </w:r>
      <w:bookmarkEnd w:id="150"/>
      <w:bookmarkEnd w:id="151"/>
      <w:bookmarkEnd w:id="152"/>
      <w:bookmarkEnd w:id="153"/>
      <w:bookmarkEnd w:id="154"/>
      <w:bookmarkEnd w:id="15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156" w:name="_Toc29333"/>
      <w:bookmarkStart w:id="157" w:name="_Toc15387"/>
      <w:bookmarkStart w:id="158" w:name="_Toc6134"/>
      <w:r>
        <w:rPr>
          <w:rFonts w:hint="eastAsia" w:ascii="宋体" w:hAnsi="宋体" w:cs="宋体"/>
          <w:b/>
          <w:color w:val="auto"/>
          <w:sz w:val="24"/>
          <w:highlight w:val="none"/>
        </w:rPr>
        <w:t>2.15 合同中止、终止</w:t>
      </w:r>
      <w:bookmarkEnd w:id="156"/>
      <w:bookmarkEnd w:id="157"/>
      <w:bookmarkEnd w:id="15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159" w:name="_Toc6596"/>
      <w:bookmarkStart w:id="160" w:name="_Toc14563"/>
      <w:bookmarkStart w:id="161" w:name="_Toc1125"/>
      <w:r>
        <w:rPr>
          <w:rFonts w:hint="eastAsia" w:ascii="宋体" w:hAnsi="宋体" w:cs="宋体"/>
          <w:b/>
          <w:color w:val="auto"/>
          <w:sz w:val="24"/>
          <w:highlight w:val="none"/>
        </w:rPr>
        <w:t>2.16检验和验收</w:t>
      </w:r>
      <w:bookmarkEnd w:id="159"/>
      <w:bookmarkEnd w:id="160"/>
      <w:bookmarkEnd w:id="161"/>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31"/>
    <w:bookmarkEnd w:id="132"/>
    <w:bookmarkEnd w:id="133"/>
    <w:bookmarkEnd w:id="134"/>
    <w:p>
      <w:pPr>
        <w:spacing w:line="560" w:lineRule="exact"/>
        <w:ind w:firstLine="482" w:firstLineChars="200"/>
        <w:outlineLvl w:val="0"/>
        <w:rPr>
          <w:rFonts w:ascii="宋体" w:hAnsi="宋体" w:cs="宋体"/>
          <w:b/>
          <w:color w:val="auto"/>
          <w:sz w:val="24"/>
          <w:highlight w:val="none"/>
        </w:rPr>
      </w:pPr>
      <w:bookmarkStart w:id="162" w:name="_Toc487900371"/>
      <w:bookmarkStart w:id="163" w:name="_Toc279701261"/>
      <w:bookmarkStart w:id="164" w:name="_Toc259093690"/>
      <w:bookmarkStart w:id="165" w:name="_Toc19604"/>
      <w:bookmarkStart w:id="166" w:name="_Toc11284"/>
      <w:bookmarkStart w:id="167" w:name="_Toc25182"/>
      <w:r>
        <w:rPr>
          <w:rFonts w:hint="eastAsia" w:ascii="宋体" w:hAnsi="宋体" w:cs="宋体"/>
          <w:b/>
          <w:color w:val="auto"/>
          <w:sz w:val="24"/>
          <w:highlight w:val="none"/>
        </w:rPr>
        <w:t>2.17 通知</w:t>
      </w:r>
      <w:bookmarkEnd w:id="162"/>
      <w:bookmarkEnd w:id="163"/>
      <w:bookmarkEnd w:id="164"/>
      <w:r>
        <w:rPr>
          <w:rFonts w:hint="eastAsia" w:ascii="宋体" w:hAnsi="宋体" w:cs="宋体"/>
          <w:b/>
          <w:color w:val="auto"/>
          <w:sz w:val="24"/>
          <w:highlight w:val="none"/>
        </w:rPr>
        <w:t>和送达</w:t>
      </w:r>
      <w:bookmarkEnd w:id="165"/>
      <w:bookmarkEnd w:id="166"/>
      <w:bookmarkEnd w:id="167"/>
    </w:p>
    <w:p>
      <w:pPr>
        <w:spacing w:line="560" w:lineRule="exact"/>
        <w:ind w:firstLine="480" w:firstLineChars="200"/>
        <w:rPr>
          <w:rFonts w:ascii="宋体" w:hAnsi="宋体" w:cs="宋体"/>
          <w:color w:val="auto"/>
          <w:sz w:val="24"/>
          <w:highlight w:val="none"/>
        </w:rPr>
      </w:pPr>
      <w:bookmarkStart w:id="168" w:name="_Toc6698"/>
      <w:bookmarkStart w:id="169" w:name="_Toc3135"/>
      <w:bookmarkStart w:id="170" w:name="_Toc279701262"/>
      <w:bookmarkStart w:id="171" w:name="_Toc259093691"/>
      <w:bookmarkStart w:id="172" w:name="_Toc487900372"/>
      <w:r>
        <w:rPr>
          <w:rFonts w:hint="eastAsia" w:ascii="宋体" w:hAnsi="宋体" w:cs="宋体"/>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168"/>
      <w:bookmarkEnd w:id="169"/>
    </w:p>
    <w:p>
      <w:pPr>
        <w:spacing w:line="560" w:lineRule="exact"/>
        <w:ind w:firstLine="480" w:firstLineChars="200"/>
        <w:rPr>
          <w:rFonts w:ascii="宋体" w:hAnsi="宋体" w:cs="宋体"/>
          <w:color w:val="auto"/>
          <w:sz w:val="24"/>
          <w:highlight w:val="none"/>
        </w:rPr>
      </w:pPr>
      <w:bookmarkStart w:id="173" w:name="_Toc23128"/>
      <w:bookmarkStart w:id="174"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3"/>
      <w:bookmarkEnd w:id="174"/>
    </w:p>
    <w:p>
      <w:pPr>
        <w:spacing w:line="560" w:lineRule="exact"/>
        <w:ind w:firstLine="482" w:firstLineChars="200"/>
        <w:outlineLvl w:val="0"/>
        <w:rPr>
          <w:rFonts w:ascii="宋体" w:hAnsi="宋体" w:cs="宋体"/>
          <w:b/>
          <w:color w:val="auto"/>
          <w:sz w:val="24"/>
          <w:highlight w:val="none"/>
        </w:rPr>
      </w:pPr>
      <w:bookmarkStart w:id="175" w:name="_Toc18540"/>
      <w:bookmarkStart w:id="176" w:name="_Toc30599"/>
      <w:bookmarkStart w:id="177" w:name="_Toc4355"/>
      <w:r>
        <w:rPr>
          <w:rFonts w:hint="eastAsia" w:ascii="宋体" w:hAnsi="宋体" w:cs="宋体"/>
          <w:b/>
          <w:color w:val="auto"/>
          <w:sz w:val="24"/>
          <w:highlight w:val="none"/>
        </w:rPr>
        <w:t>2.18 计量单位</w:t>
      </w:r>
      <w:bookmarkEnd w:id="170"/>
      <w:bookmarkEnd w:id="171"/>
      <w:bookmarkEnd w:id="172"/>
      <w:bookmarkEnd w:id="175"/>
      <w:bookmarkEnd w:id="176"/>
      <w:bookmarkEnd w:id="17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178" w:name="_Toc12773"/>
      <w:bookmarkStart w:id="179" w:name="_Toc259093692"/>
      <w:bookmarkStart w:id="180" w:name="_Toc18567"/>
      <w:bookmarkStart w:id="181" w:name="_Toc487900373"/>
      <w:bookmarkStart w:id="182" w:name="_Toc279701263"/>
      <w:bookmarkStart w:id="183" w:name="_Toc10330"/>
      <w:r>
        <w:rPr>
          <w:rFonts w:hint="eastAsia" w:ascii="宋体" w:hAnsi="宋体" w:cs="宋体"/>
          <w:b/>
          <w:color w:val="auto"/>
          <w:sz w:val="24"/>
          <w:highlight w:val="none"/>
        </w:rPr>
        <w:t>2.19 合同使用的文字和适用的法律</w:t>
      </w:r>
      <w:bookmarkEnd w:id="178"/>
      <w:bookmarkEnd w:id="179"/>
      <w:bookmarkEnd w:id="180"/>
      <w:bookmarkEnd w:id="181"/>
      <w:bookmarkEnd w:id="182"/>
      <w:bookmarkEnd w:id="18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184" w:name="_Toc14001"/>
      <w:bookmarkStart w:id="185" w:name="_Toc19890"/>
      <w:bookmarkStart w:id="186" w:name="_Toc6885"/>
      <w:r>
        <w:rPr>
          <w:rFonts w:hint="eastAsia" w:ascii="宋体" w:hAnsi="宋体" w:cs="宋体"/>
          <w:b/>
          <w:color w:val="auto"/>
          <w:sz w:val="24"/>
          <w:highlight w:val="none"/>
        </w:rPr>
        <w:t>2.20 合同份数</w:t>
      </w:r>
      <w:bookmarkEnd w:id="184"/>
      <w:bookmarkEnd w:id="185"/>
      <w:bookmarkEnd w:id="18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187" w:name="_Toc331685784"/>
      <w:bookmarkEnd w:id="187"/>
      <w:r>
        <w:rPr>
          <w:rFonts w:hint="eastAsia" w:ascii="宋体" w:hAnsi="宋体" w:cs="宋体"/>
          <w:b/>
          <w:color w:val="auto"/>
          <w:sz w:val="24"/>
          <w:highlight w:val="none"/>
        </w:rPr>
        <w:t>第三部分  合同专用条款</w:t>
      </w:r>
    </w:p>
    <w:p>
      <w:pPr>
        <w:keepNext w:val="0"/>
        <w:keepLines w:val="0"/>
        <w:pageBreakBefore w:val="0"/>
        <w:kinsoku/>
        <w:wordWrap/>
        <w:overflowPunct/>
        <w:topLinePunct w:val="0"/>
        <w:bidi w:val="0"/>
        <w:adjustRightInd w:val="0"/>
        <w:spacing w:line="4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4466" w:type="pct"/>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1.4.2</w:t>
            </w:r>
          </w:p>
        </w:tc>
        <w:tc>
          <w:tcPr>
            <w:tcW w:w="4466" w:type="pct"/>
            <w:vAlign w:val="center"/>
          </w:tcPr>
          <w:p>
            <w:pPr>
              <w:keepNext w:val="0"/>
              <w:keepLines w:val="0"/>
              <w:pageBreakBefore w:val="0"/>
              <w:kinsoku/>
              <w:wordWrap/>
              <w:overflowPunct/>
              <w:topLinePunct w:val="0"/>
              <w:bidi w:val="0"/>
              <w:adjustRightInd w:val="0"/>
              <w:spacing w:line="46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不收取履约金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1.5.1</w:t>
            </w:r>
          </w:p>
        </w:tc>
        <w:tc>
          <w:tcPr>
            <w:tcW w:w="4466" w:type="pct"/>
            <w:vAlign w:val="center"/>
          </w:tcPr>
          <w:p>
            <w:pPr>
              <w:keepNext w:val="0"/>
              <w:keepLines w:val="0"/>
              <w:pageBreakBefore w:val="0"/>
              <w:widowControl/>
              <w:kinsoku/>
              <w:wordWrap/>
              <w:overflowPunct/>
              <w:topLinePunct w:val="0"/>
              <w:autoSpaceDE w:val="0"/>
              <w:autoSpaceDN w:val="0"/>
              <w:bidi w:val="0"/>
              <w:adjustRightInd w:val="0"/>
              <w:spacing w:line="460" w:lineRule="exact"/>
              <w:textAlignment w:val="bottom"/>
              <w:rPr>
                <w:rFonts w:hint="eastAsia" w:ascii="宋体" w:hAnsi="宋体" w:eastAsia="宋体" w:cs="宋体"/>
                <w:color w:val="000000" w:themeColor="text1"/>
                <w:szCs w:val="21"/>
                <w:highlight w:val="none"/>
              </w:rPr>
            </w:pPr>
            <w:r>
              <w:rPr>
                <w:rFonts w:hint="eastAsia" w:ascii="宋体" w:hAnsi="宋体" w:cs="宋体"/>
                <w:b w:val="0"/>
                <w:bCs w:val="0"/>
                <w:color w:val="000000" w:themeColor="text1"/>
                <w:sz w:val="21"/>
                <w:szCs w:val="21"/>
                <w:highlight w:val="none"/>
                <w:u w:val="none"/>
              </w:rPr>
              <w:t>在合同生效以及具备实施条件后</w:t>
            </w:r>
            <w:r>
              <w:rPr>
                <w:rFonts w:hint="eastAsia" w:ascii="宋体" w:hAnsi="宋体" w:cs="宋体"/>
                <w:b w:val="0"/>
                <w:bCs w:val="0"/>
                <w:color w:val="000000" w:themeColor="text1"/>
                <w:sz w:val="21"/>
                <w:szCs w:val="21"/>
                <w:highlight w:val="none"/>
                <w:u w:val="none"/>
                <w:lang w:eastAsia="zh-CN"/>
              </w:rPr>
              <w:t>，</w:t>
            </w:r>
            <w:r>
              <w:rPr>
                <w:rFonts w:hint="eastAsia" w:ascii="宋体" w:hAnsi="宋体" w:cs="宋体"/>
                <w:b w:val="0"/>
                <w:bCs w:val="0"/>
                <w:color w:val="000000" w:themeColor="text1"/>
                <w:sz w:val="21"/>
                <w:szCs w:val="21"/>
                <w:highlight w:val="none"/>
                <w:u w:val="none"/>
              </w:rPr>
              <w:t xml:space="preserve"> </w:t>
            </w:r>
            <w:r>
              <w:rPr>
                <w:rFonts w:hint="eastAsia" w:ascii="宋体" w:hAnsi="宋体" w:cs="宋体"/>
                <w:b w:val="0"/>
                <w:bCs w:val="0"/>
                <w:color w:val="000000" w:themeColor="text1"/>
                <w:sz w:val="21"/>
                <w:szCs w:val="21"/>
                <w:highlight w:val="none"/>
                <w:u w:val="none"/>
                <w:lang w:val="en-US" w:eastAsia="zh-CN"/>
              </w:rPr>
              <w:t>甲方</w:t>
            </w:r>
            <w:r>
              <w:rPr>
                <w:rFonts w:hint="eastAsia" w:ascii="宋体" w:hAnsi="宋体" w:cs="宋体"/>
                <w:b w:val="0"/>
                <w:bCs w:val="0"/>
                <w:color w:val="000000" w:themeColor="text1"/>
                <w:sz w:val="21"/>
                <w:szCs w:val="21"/>
                <w:highlight w:val="none"/>
                <w:u w:val="none"/>
              </w:rPr>
              <w:t>自收到发票后5个工作日内向</w:t>
            </w:r>
            <w:r>
              <w:rPr>
                <w:rFonts w:hint="eastAsia" w:ascii="宋体" w:hAnsi="宋体" w:cs="宋体"/>
                <w:b w:val="0"/>
                <w:bCs w:val="0"/>
                <w:color w:val="000000" w:themeColor="text1"/>
                <w:sz w:val="21"/>
                <w:szCs w:val="21"/>
                <w:highlight w:val="none"/>
                <w:u w:val="none"/>
                <w:lang w:val="en-US" w:eastAsia="zh-CN"/>
              </w:rPr>
              <w:t>乙方</w:t>
            </w:r>
            <w:r>
              <w:rPr>
                <w:rFonts w:hint="eastAsia" w:ascii="宋体" w:hAnsi="宋体" w:cs="宋体"/>
                <w:b w:val="0"/>
                <w:bCs w:val="0"/>
                <w:color w:val="000000" w:themeColor="text1"/>
                <w:sz w:val="21"/>
                <w:szCs w:val="21"/>
                <w:highlight w:val="none"/>
                <w:u w:val="none"/>
              </w:rPr>
              <w:t>支付合同总额50%的预付款（</w:t>
            </w:r>
            <w:r>
              <w:rPr>
                <w:rFonts w:hint="eastAsia" w:ascii="宋体" w:hAnsi="宋体" w:cs="宋体"/>
                <w:b w:val="0"/>
                <w:bCs w:val="0"/>
                <w:color w:val="000000" w:themeColor="text1"/>
                <w:sz w:val="21"/>
                <w:szCs w:val="21"/>
                <w:highlight w:val="none"/>
                <w:u w:val="none"/>
                <w:lang w:val="en-US" w:eastAsia="zh-CN"/>
              </w:rPr>
              <w:t>乙方必须</w:t>
            </w:r>
            <w:r>
              <w:rPr>
                <w:rFonts w:hint="eastAsia" w:ascii="宋体" w:hAnsi="宋体" w:cs="宋体"/>
                <w:b w:val="0"/>
                <w:bCs w:val="0"/>
                <w:color w:val="000000" w:themeColor="text1"/>
                <w:sz w:val="21"/>
                <w:szCs w:val="21"/>
                <w:highlight w:val="none"/>
                <w:u w:val="none"/>
              </w:rPr>
              <w:t>开具正式税务发票）。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1.5.2</w:t>
            </w:r>
          </w:p>
        </w:tc>
        <w:tc>
          <w:tcPr>
            <w:tcW w:w="4466" w:type="pct"/>
            <w:vAlign w:val="center"/>
          </w:tcPr>
          <w:p>
            <w:pPr>
              <w:keepNext w:val="0"/>
              <w:keepLines w:val="0"/>
              <w:pageBreakBefore w:val="0"/>
              <w:kinsoku/>
              <w:wordWrap/>
              <w:overflowPunct/>
              <w:topLinePunct w:val="0"/>
              <w:bidi w:val="0"/>
              <w:adjustRightInd w:val="0"/>
              <w:spacing w:line="460" w:lineRule="exac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1.5.3</w:t>
            </w:r>
          </w:p>
        </w:tc>
        <w:tc>
          <w:tcPr>
            <w:tcW w:w="4466" w:type="pct"/>
            <w:vAlign w:val="center"/>
          </w:tcPr>
          <w:p>
            <w:pPr>
              <w:keepNext w:val="0"/>
              <w:keepLines w:val="0"/>
              <w:pageBreakBefore w:val="0"/>
              <w:kinsoku/>
              <w:wordWrap/>
              <w:overflowPunct/>
              <w:topLinePunct w:val="0"/>
              <w:bidi w:val="0"/>
              <w:adjustRightInd w:val="0"/>
              <w:spacing w:line="460" w:lineRule="exac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1.6.2</w:t>
            </w:r>
          </w:p>
        </w:tc>
        <w:tc>
          <w:tcPr>
            <w:tcW w:w="4466" w:type="pct"/>
            <w:vAlign w:val="center"/>
          </w:tcPr>
          <w:p>
            <w:pPr>
              <w:keepNext w:val="0"/>
              <w:keepLines w:val="0"/>
              <w:pageBreakBefore w:val="0"/>
              <w:widowControl/>
              <w:kinsoku/>
              <w:wordWrap/>
              <w:overflowPunct/>
              <w:topLinePunct w:val="0"/>
              <w:autoSpaceDE w:val="0"/>
              <w:autoSpaceDN w:val="0"/>
              <w:bidi w:val="0"/>
              <w:adjustRightInd w:val="0"/>
              <w:spacing w:line="460" w:lineRule="exact"/>
              <w:textAlignment w:val="bottom"/>
              <w:rPr>
                <w:rFonts w:hint="eastAsia" w:ascii="宋体" w:hAnsi="宋体" w:eastAsia="宋体" w:cs="宋体"/>
                <w:color w:val="000000" w:themeColor="text1"/>
                <w:szCs w:val="21"/>
                <w:highlight w:val="none"/>
              </w:rPr>
            </w:pPr>
            <w:r>
              <w:rPr>
                <w:rFonts w:hint="eastAsia" w:ascii="宋体" w:hAnsi="宋体" w:cs="宋体"/>
                <w:b w:val="0"/>
                <w:bCs w:val="0"/>
                <w:color w:val="000000" w:themeColor="text1"/>
                <w:sz w:val="21"/>
                <w:szCs w:val="21"/>
                <w:highlight w:val="none"/>
                <w:u w:val="none"/>
                <w:lang w:val="en-US" w:eastAsia="zh-CN"/>
              </w:rPr>
              <w:t>乙方</w:t>
            </w:r>
            <w:r>
              <w:rPr>
                <w:rFonts w:hint="eastAsia" w:ascii="宋体" w:hAnsi="宋体" w:cs="宋体"/>
                <w:b w:val="0"/>
                <w:bCs w:val="0"/>
                <w:color w:val="000000" w:themeColor="text1"/>
                <w:sz w:val="21"/>
                <w:szCs w:val="21"/>
                <w:highlight w:val="none"/>
                <w:u w:val="none"/>
              </w:rPr>
              <w:t>完成所有电脑安装调试并验收合格后，</w:t>
            </w:r>
            <w:r>
              <w:rPr>
                <w:rFonts w:hint="eastAsia" w:ascii="宋体" w:hAnsi="宋体" w:cs="宋体"/>
                <w:b w:val="0"/>
                <w:bCs w:val="0"/>
                <w:color w:val="000000" w:themeColor="text1"/>
                <w:sz w:val="21"/>
                <w:szCs w:val="21"/>
                <w:highlight w:val="none"/>
                <w:u w:val="none"/>
                <w:lang w:val="en-US" w:eastAsia="zh-CN"/>
              </w:rPr>
              <w:t>甲方</w:t>
            </w:r>
            <w:r>
              <w:rPr>
                <w:rFonts w:hint="eastAsia" w:ascii="宋体" w:hAnsi="宋体" w:cs="宋体"/>
                <w:b w:val="0"/>
                <w:bCs w:val="0"/>
                <w:color w:val="000000" w:themeColor="text1"/>
                <w:sz w:val="21"/>
                <w:szCs w:val="21"/>
                <w:highlight w:val="none"/>
                <w:u w:val="none"/>
              </w:rPr>
              <w:t>自收到发票后5个工作日内向</w:t>
            </w:r>
            <w:r>
              <w:rPr>
                <w:rFonts w:hint="eastAsia" w:ascii="宋体" w:hAnsi="宋体" w:cs="宋体"/>
                <w:b w:val="0"/>
                <w:bCs w:val="0"/>
                <w:color w:val="000000" w:themeColor="text1"/>
                <w:sz w:val="21"/>
                <w:szCs w:val="21"/>
                <w:highlight w:val="none"/>
                <w:u w:val="none"/>
                <w:lang w:val="en-US" w:eastAsia="zh-CN"/>
              </w:rPr>
              <w:t>乙方</w:t>
            </w:r>
            <w:r>
              <w:rPr>
                <w:rFonts w:hint="eastAsia" w:ascii="宋体" w:hAnsi="宋体" w:cs="宋体"/>
                <w:b w:val="0"/>
                <w:bCs w:val="0"/>
                <w:color w:val="000000" w:themeColor="text1"/>
                <w:sz w:val="21"/>
                <w:szCs w:val="21"/>
                <w:highlight w:val="none"/>
                <w:u w:val="none"/>
              </w:rPr>
              <w:t>支付合同总额的50%。本项目运行维护期限为三年，采购的设备质量保证期为三年。设备质保期和运行维护期起始日均以本合同项目所有内容验收合格移交之日为准。项目验收后要进行结算，涉及核减费用在第二次付款中结算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1.7.1</w:t>
            </w:r>
          </w:p>
        </w:tc>
        <w:tc>
          <w:tcPr>
            <w:tcW w:w="4466" w:type="pct"/>
            <w:vAlign w:val="center"/>
          </w:tcPr>
          <w:p>
            <w:pPr>
              <w:keepNext w:val="0"/>
              <w:keepLines w:val="0"/>
              <w:pageBreakBefore w:val="0"/>
              <w:kinsoku/>
              <w:wordWrap/>
              <w:overflowPunct/>
              <w:topLinePunct w:val="0"/>
              <w:bidi w:val="0"/>
              <w:adjustRightInd w:val="0"/>
              <w:spacing w:line="4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合同签订后的七个工作日内提供电脑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1.7.2</w:t>
            </w:r>
          </w:p>
        </w:tc>
        <w:tc>
          <w:tcPr>
            <w:tcW w:w="4466" w:type="pct"/>
            <w:vAlign w:val="center"/>
          </w:tcPr>
          <w:p>
            <w:pPr>
              <w:keepNext w:val="0"/>
              <w:keepLines w:val="0"/>
              <w:pageBreakBefore w:val="0"/>
              <w:kinsoku/>
              <w:wordWrap/>
              <w:overflowPunct/>
              <w:topLinePunct w:val="0"/>
              <w:bidi w:val="0"/>
              <w:adjustRightInd w:val="0"/>
              <w:spacing w:line="4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采购人指定地点，</w:t>
            </w:r>
            <w:r>
              <w:rPr>
                <w:rFonts w:hint="eastAsia" w:cs="宋体" w:asciiTheme="minorEastAsia" w:hAnsiTheme="minorEastAsia" w:eastAsiaTheme="minorEastAsia"/>
                <w:color w:val="auto"/>
                <w:szCs w:val="21"/>
                <w:highlight w:val="none"/>
              </w:rPr>
              <w:t>拟派的各个单位部门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1.7.3</w:t>
            </w:r>
          </w:p>
        </w:tc>
        <w:tc>
          <w:tcPr>
            <w:tcW w:w="4466" w:type="pct"/>
            <w:vAlign w:val="center"/>
          </w:tcPr>
          <w:p>
            <w:pPr>
              <w:keepNext w:val="0"/>
              <w:keepLines w:val="0"/>
              <w:pageBreakBefore w:val="0"/>
              <w:kinsoku/>
              <w:wordWrap/>
              <w:overflowPunct/>
              <w:topLinePunct w:val="0"/>
              <w:bidi w:val="0"/>
              <w:adjustRightInd w:val="0"/>
              <w:spacing w:line="46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送货上门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1.8.6</w:t>
            </w:r>
          </w:p>
        </w:tc>
        <w:tc>
          <w:tcPr>
            <w:tcW w:w="4466" w:type="pct"/>
            <w:vAlign w:val="center"/>
          </w:tcPr>
          <w:p>
            <w:pPr>
              <w:keepNext w:val="0"/>
              <w:keepLines w:val="0"/>
              <w:pageBreakBefore w:val="0"/>
              <w:kinsoku/>
              <w:wordWrap/>
              <w:overflowPunct/>
              <w:topLinePunct w:val="0"/>
              <w:bidi w:val="0"/>
              <w:adjustRightInd w:val="0"/>
              <w:snapToGrid w:val="0"/>
              <w:spacing w:line="4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1、在甲方对乙方违约而采取的任何补救措施不受影响的情况下，甲方可在下列情况下向乙方发出书面通知书，提出终止部分或全部合同。</w:t>
            </w:r>
          </w:p>
          <w:p>
            <w:pPr>
              <w:keepNext w:val="0"/>
              <w:keepLines w:val="0"/>
              <w:pageBreakBefore w:val="0"/>
              <w:kinsoku/>
              <w:wordWrap/>
              <w:overflowPunct/>
              <w:topLinePunct w:val="0"/>
              <w:bidi w:val="0"/>
              <w:adjustRightInd w:val="0"/>
              <w:snapToGrid w:val="0"/>
              <w:spacing w:line="4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（1）乙方提供的产品质量、配置不符合国家规定和承诺的标准；</w:t>
            </w:r>
          </w:p>
          <w:p>
            <w:pPr>
              <w:keepNext w:val="0"/>
              <w:keepLines w:val="0"/>
              <w:pageBreakBefore w:val="0"/>
              <w:kinsoku/>
              <w:wordWrap/>
              <w:overflowPunct/>
              <w:topLinePunct w:val="0"/>
              <w:bidi w:val="0"/>
              <w:adjustRightInd w:val="0"/>
              <w:snapToGrid w:val="0"/>
              <w:spacing w:line="4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（2）乙方没有按承诺的时间供货、维修或提供其他服务；</w:t>
            </w:r>
          </w:p>
          <w:p>
            <w:pPr>
              <w:keepNext w:val="0"/>
              <w:keepLines w:val="0"/>
              <w:pageBreakBefore w:val="0"/>
              <w:kinsoku/>
              <w:wordWrap/>
              <w:overflowPunct/>
              <w:topLinePunct w:val="0"/>
              <w:bidi w:val="0"/>
              <w:adjustRightInd w:val="0"/>
              <w:snapToGrid w:val="0"/>
              <w:spacing w:line="4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（3）乙方没有按承诺的价格或优惠率签订合同并供货；</w:t>
            </w:r>
          </w:p>
          <w:p>
            <w:pPr>
              <w:keepNext w:val="0"/>
              <w:keepLines w:val="0"/>
              <w:pageBreakBefore w:val="0"/>
              <w:kinsoku/>
              <w:wordWrap/>
              <w:overflowPunct/>
              <w:topLinePunct w:val="0"/>
              <w:bidi w:val="0"/>
              <w:adjustRightInd w:val="0"/>
              <w:snapToGrid w:val="0"/>
              <w:spacing w:line="4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keepNext w:val="0"/>
              <w:keepLines w:val="0"/>
              <w:pageBreakBefore w:val="0"/>
              <w:kinsoku/>
              <w:wordWrap/>
              <w:overflowPunct/>
              <w:topLinePunct w:val="0"/>
              <w:bidi w:val="0"/>
              <w:adjustRightInd w:val="0"/>
              <w:snapToGrid w:val="0"/>
              <w:spacing w:line="460" w:lineRule="exact"/>
              <w:jc w:val="left"/>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rPr>
              <w:t>3、乙方未能按照响应文件承诺通过验收，造成甲方换货、退货的，可以视为乙方提供虚假</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资料谋求</w:t>
            </w:r>
            <w:r>
              <w:rPr>
                <w:rFonts w:hint="eastAsia" w:ascii="宋体" w:hAnsi="宋体" w:cs="宋体"/>
                <w:color w:val="auto"/>
                <w:sz w:val="21"/>
                <w:szCs w:val="21"/>
                <w:highlight w:val="none"/>
                <w:lang w:val="en-US" w:eastAsia="zh-CN"/>
              </w:rPr>
              <w:t>中标</w:t>
            </w:r>
            <w:r>
              <w:rPr>
                <w:rFonts w:hint="eastAsia" w:ascii="宋体" w:hAnsi="宋体" w:cs="宋体"/>
                <w:color w:val="auto"/>
                <w:sz w:val="21"/>
                <w:szCs w:val="21"/>
                <w:highlight w:val="none"/>
              </w:rPr>
              <w:t>，甲方可以上报财政管理部门，由财政部门予以处理。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1.9.1</w:t>
            </w:r>
          </w:p>
        </w:tc>
        <w:tc>
          <w:tcPr>
            <w:tcW w:w="4466" w:type="pct"/>
            <w:vAlign w:val="center"/>
          </w:tcPr>
          <w:p>
            <w:pPr>
              <w:keepNext w:val="0"/>
              <w:keepLines w:val="0"/>
              <w:pageBreakBefore w:val="0"/>
              <w:kinsoku/>
              <w:wordWrap/>
              <w:overflowPunct/>
              <w:topLinePunct w:val="0"/>
              <w:bidi w:val="0"/>
              <w:adjustRightInd w:val="0"/>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1.9.2</w:t>
            </w:r>
          </w:p>
        </w:tc>
        <w:tc>
          <w:tcPr>
            <w:tcW w:w="4466" w:type="pct"/>
            <w:vAlign w:val="center"/>
          </w:tcPr>
          <w:p>
            <w:pPr>
              <w:keepNext w:val="0"/>
              <w:keepLines w:val="0"/>
              <w:pageBreakBefore w:val="0"/>
              <w:kinsoku/>
              <w:wordWrap/>
              <w:overflowPunct/>
              <w:topLinePunct w:val="0"/>
              <w:bidi w:val="0"/>
              <w:adjustRightInd w:val="0"/>
              <w:spacing w:line="4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2.3.2</w:t>
            </w:r>
          </w:p>
        </w:tc>
        <w:tc>
          <w:tcPr>
            <w:tcW w:w="4466" w:type="pct"/>
            <w:vAlign w:val="center"/>
          </w:tcPr>
          <w:p>
            <w:pPr>
              <w:keepNext w:val="0"/>
              <w:keepLines w:val="0"/>
              <w:pageBreakBefore w:val="0"/>
              <w:kinsoku/>
              <w:wordWrap/>
              <w:overflowPunct/>
              <w:topLinePunct w:val="0"/>
              <w:bidi w:val="0"/>
              <w:adjustRightInd w:val="0"/>
              <w:snapToGrid w:val="0"/>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1、乙方保证对其出售的货物享有合法的权利。</w:t>
            </w:r>
          </w:p>
          <w:p>
            <w:pPr>
              <w:keepNext w:val="0"/>
              <w:keepLines w:val="0"/>
              <w:pageBreakBefore w:val="0"/>
              <w:kinsoku/>
              <w:wordWrap/>
              <w:overflowPunct/>
              <w:topLinePunct w:val="0"/>
              <w:bidi w:val="0"/>
              <w:adjustRightInd w:val="0"/>
              <w:snapToGrid w:val="0"/>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2、乙方保证在其出售的货物上不存在任何未曾向甲方透露的担保物权，如抵押权、质押权、留置权等。</w:t>
            </w:r>
          </w:p>
          <w:p>
            <w:pPr>
              <w:keepNext w:val="0"/>
              <w:keepLines w:val="0"/>
              <w:pageBreakBefore w:val="0"/>
              <w:kinsoku/>
              <w:wordWrap/>
              <w:overflowPunct/>
              <w:topLinePunct w:val="0"/>
              <w:bidi w:val="0"/>
              <w:adjustRightInd w:val="0"/>
              <w:snapToGrid w:val="0"/>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3、乙方保证其所出售的货物没有侵犯任何第三人的知识产权和商业秘密等权利。</w:t>
            </w:r>
          </w:p>
          <w:p>
            <w:pPr>
              <w:pStyle w:val="36"/>
              <w:keepNext w:val="0"/>
              <w:keepLines w:val="0"/>
              <w:pageBreakBefore w:val="0"/>
              <w:kinsoku/>
              <w:wordWrap/>
              <w:overflowPunct/>
              <w:topLinePunct w:val="0"/>
              <w:bidi w:val="0"/>
              <w:adjustRightInd w:val="0"/>
              <w:snapToGrid w:val="0"/>
              <w:spacing w:line="460" w:lineRule="exact"/>
              <w:rPr>
                <w:rFonts w:hint="eastAsia" w:ascii="宋体" w:hAnsi="宋体" w:eastAsia="宋体" w:cs="宋体"/>
                <w:color w:val="auto"/>
                <w:szCs w:val="21"/>
                <w:highlight w:val="none"/>
              </w:rPr>
            </w:pPr>
            <w:r>
              <w:rPr>
                <w:rFonts w:hint="eastAsia" w:hAnsi="宋体" w:cs="宋体"/>
                <w:color w:val="auto"/>
                <w:sz w:val="21"/>
                <w:szCs w:val="21"/>
                <w:highlight w:val="none"/>
              </w:rPr>
              <w:t>4、如甲方使用该货物构成上述侵权的，则由乙方承担全部责任。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w:t>
            </w:r>
          </w:p>
        </w:tc>
        <w:tc>
          <w:tcPr>
            <w:tcW w:w="4466" w:type="pct"/>
            <w:vAlign w:val="center"/>
          </w:tcPr>
          <w:p>
            <w:pPr>
              <w:keepNext w:val="0"/>
              <w:keepLines w:val="0"/>
              <w:pageBreakBefore w:val="0"/>
              <w:kinsoku/>
              <w:wordWrap/>
              <w:overflowPunct/>
              <w:topLinePunct w:val="0"/>
              <w:bidi w:val="0"/>
              <w:adjustRightInd w:val="0"/>
              <w:snapToGrid w:val="0"/>
              <w:spacing w:line="460" w:lineRule="exact"/>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rPr>
              <w:t>无</w:t>
            </w:r>
            <w:r>
              <w:rPr>
                <w:rFonts w:hint="eastAsia" w:ascii="宋体" w:hAnsi="宋体" w:cs="宋体"/>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w:t>
            </w:r>
          </w:p>
        </w:tc>
        <w:tc>
          <w:tcPr>
            <w:tcW w:w="4466" w:type="pct"/>
            <w:vAlign w:val="center"/>
          </w:tcPr>
          <w:p>
            <w:pPr>
              <w:keepNext w:val="0"/>
              <w:keepLines w:val="0"/>
              <w:pageBreakBefore w:val="0"/>
              <w:kinsoku/>
              <w:wordWrap/>
              <w:overflowPunct/>
              <w:topLinePunct w:val="0"/>
              <w:bidi w:val="0"/>
              <w:adjustRightInd w:val="0"/>
              <w:snapToGrid w:val="0"/>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1、乙方所出售的全部货物均应按标准保护措施进行包装，这类包装应适应于远距离运输、防潮、防震、防锈和防野蛮装卸等要求，以确保货物安全无损地运抵指定现场。</w:t>
            </w:r>
          </w:p>
          <w:p>
            <w:pPr>
              <w:pStyle w:val="36"/>
              <w:keepNext w:val="0"/>
              <w:keepLines w:val="0"/>
              <w:pageBreakBefore w:val="0"/>
              <w:kinsoku/>
              <w:wordWrap/>
              <w:overflowPunct/>
              <w:topLinePunct w:val="0"/>
              <w:bidi w:val="0"/>
              <w:adjustRightInd w:val="0"/>
              <w:snapToGrid w:val="0"/>
              <w:spacing w:line="460" w:lineRule="exact"/>
              <w:rPr>
                <w:rFonts w:hint="eastAsia" w:ascii="宋体" w:hAnsi="宋体" w:eastAsia="宋体" w:cs="宋体"/>
                <w:color w:val="auto"/>
                <w:szCs w:val="21"/>
                <w:highlight w:val="none"/>
              </w:rPr>
            </w:pPr>
            <w:r>
              <w:rPr>
                <w:rFonts w:hint="eastAsia" w:hAnsi="宋体" w:cs="宋体"/>
                <w:color w:val="auto"/>
                <w:sz w:val="21"/>
                <w:szCs w:val="21"/>
                <w:highlight w:val="none"/>
              </w:rPr>
              <w:t>2、每一个包装箱内应附一份详细装箱单、质量证书和保修保养证书。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2.8</w:t>
            </w:r>
          </w:p>
        </w:tc>
        <w:tc>
          <w:tcPr>
            <w:tcW w:w="4466" w:type="pct"/>
          </w:tcPr>
          <w:p>
            <w:pPr>
              <w:keepNext w:val="0"/>
              <w:keepLines w:val="0"/>
              <w:pageBreakBefore w:val="0"/>
              <w:kinsoku/>
              <w:wordWrap/>
              <w:overflowPunct/>
              <w:topLinePunct w:val="0"/>
              <w:bidi w:val="0"/>
              <w:adjustRightInd w:val="0"/>
              <w:spacing w:line="4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由买受人承担</w:t>
            </w:r>
            <w:r>
              <w:rPr>
                <w:rFonts w:hint="eastAsia" w:ascii="宋体" w:hAnsi="宋体" w:cs="宋体"/>
                <w:color w:val="auto"/>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2.12.3</w:t>
            </w:r>
          </w:p>
        </w:tc>
        <w:tc>
          <w:tcPr>
            <w:tcW w:w="4466" w:type="pct"/>
            <w:vAlign w:val="center"/>
          </w:tcPr>
          <w:p>
            <w:pPr>
              <w:keepNext w:val="0"/>
              <w:keepLines w:val="0"/>
              <w:pageBreakBefore w:val="0"/>
              <w:kinsoku/>
              <w:wordWrap/>
              <w:overflowPunct/>
              <w:topLinePunct w:val="0"/>
              <w:bidi w:val="0"/>
              <w:adjustRightInd w:val="0"/>
              <w:spacing w:line="460" w:lineRule="exact"/>
              <w:rPr>
                <w:rFonts w:hint="eastAsia" w:ascii="宋体" w:hAnsi="宋体" w:eastAsia="宋体" w:cs="宋体"/>
                <w:color w:val="auto"/>
                <w:szCs w:val="21"/>
                <w:highlight w:val="none"/>
              </w:rPr>
            </w:pPr>
            <w:r>
              <w:rPr>
                <w:rFonts w:hint="eastAsia" w:ascii="宋体" w:hAnsi="宋体" w:cs="宋体"/>
                <w:color w:val="auto"/>
                <w:sz w:val="21"/>
                <w:szCs w:val="21"/>
                <w:highlight w:val="none"/>
              </w:rPr>
              <w:t>如果合同各方因不可抗力而导致合同实施延误或不能履行合同义务的话，不应该承担误期赔偿或不能履行合同义务的责任。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50"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2.12.4</w:t>
            </w:r>
          </w:p>
        </w:tc>
        <w:tc>
          <w:tcPr>
            <w:tcW w:w="4466" w:type="pct"/>
            <w:vAlign w:val="center"/>
          </w:tcPr>
          <w:p>
            <w:pPr>
              <w:keepNext w:val="0"/>
              <w:keepLines w:val="0"/>
              <w:pageBreakBefore w:val="0"/>
              <w:kinsoku/>
              <w:wordWrap/>
              <w:overflowPunct/>
              <w:topLinePunct w:val="0"/>
              <w:bidi w:val="0"/>
              <w:adjustRightInd w:val="0"/>
              <w:spacing w:line="460" w:lineRule="exact"/>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r>
              <w:rPr>
                <w:rFonts w:hint="eastAsia" w:ascii="宋体" w:hAnsi="宋体" w:cs="宋体"/>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2.16.1</w:t>
            </w:r>
          </w:p>
        </w:tc>
        <w:tc>
          <w:tcPr>
            <w:tcW w:w="4466" w:type="pct"/>
            <w:vAlign w:val="center"/>
          </w:tcPr>
          <w:p>
            <w:pPr>
              <w:keepNext w:val="0"/>
              <w:keepLines w:val="0"/>
              <w:pageBreakBefore w:val="0"/>
              <w:kinsoku/>
              <w:wordWrap/>
              <w:overflowPunct/>
              <w:topLinePunct w:val="0"/>
              <w:bidi w:val="0"/>
              <w:adjustRightInd w:val="0"/>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收到乙方验收申请后五个工作日内。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2.16.3</w:t>
            </w:r>
          </w:p>
        </w:tc>
        <w:tc>
          <w:tcPr>
            <w:tcW w:w="4466" w:type="pct"/>
            <w:vAlign w:val="center"/>
          </w:tcPr>
          <w:p>
            <w:pPr>
              <w:keepNext w:val="0"/>
              <w:keepLines w:val="0"/>
              <w:pageBreakBefore w:val="0"/>
              <w:kinsoku/>
              <w:wordWrap/>
              <w:overflowPunct/>
              <w:topLinePunct w:val="0"/>
              <w:bidi w:val="0"/>
              <w:adjustRightInd w:val="0"/>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本项目验收程序参照温州市财政局关于印发《温州市政府采购履约验收办法》的通知（温财采〔2020〕6号）文件执行</w:t>
            </w:r>
            <w:r>
              <w:rPr>
                <w:rFonts w:hint="eastAsia" w:ascii="宋体" w:hAnsi="宋体" w:eastAsia="宋体" w:cs="宋体"/>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keepNext w:val="0"/>
              <w:keepLines w:val="0"/>
              <w:pageBreakBefore w:val="0"/>
              <w:kinsoku/>
              <w:wordWrap/>
              <w:overflowPunct/>
              <w:topLinePunct w:val="0"/>
              <w:bidi w:val="0"/>
              <w:adjustRightInd w:val="0"/>
              <w:spacing w:line="4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2.20</w:t>
            </w:r>
          </w:p>
        </w:tc>
        <w:tc>
          <w:tcPr>
            <w:tcW w:w="4466" w:type="pct"/>
            <w:vAlign w:val="center"/>
          </w:tcPr>
          <w:p>
            <w:pPr>
              <w:keepNext w:val="0"/>
              <w:keepLines w:val="0"/>
              <w:pageBreakBefore w:val="0"/>
              <w:kinsoku/>
              <w:wordWrap/>
              <w:overflowPunct/>
              <w:topLinePunct w:val="0"/>
              <w:bidi w:val="0"/>
              <w:adjustRightInd w:val="0"/>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一式</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份，甲方</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份、乙方贰份</w:t>
            </w:r>
            <w:r>
              <w:rPr>
                <w:rFonts w:hint="eastAsia" w:ascii="宋体" w:hAnsi="宋体" w:eastAsia="宋体" w:cs="宋体"/>
                <w:color w:val="auto"/>
                <w:sz w:val="21"/>
                <w:szCs w:val="21"/>
                <w:highlight w:val="none"/>
                <w:lang w:eastAsia="zh-CN"/>
              </w:rPr>
              <w:t>。</w:t>
            </w:r>
          </w:p>
        </w:tc>
      </w:tr>
    </w:tbl>
    <w:p>
      <w:pPr>
        <w:spacing w:line="276" w:lineRule="auto"/>
        <w:rPr>
          <w:color w:val="auto"/>
          <w:highlight w:val="none"/>
        </w:rPr>
      </w:pPr>
    </w:p>
    <w:p>
      <w:pPr>
        <w:rPr>
          <w:color w:val="auto"/>
          <w:highlight w:val="none"/>
        </w:rPr>
      </w:pPr>
    </w:p>
    <w:bookmarkEnd w:id="26"/>
    <w:bookmarkEnd w:id="27"/>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 履约验收方案</w:t>
      </w:r>
    </w:p>
    <w:p>
      <w:pPr>
        <w:pStyle w:val="2"/>
        <w:rPr>
          <w:color w:val="auto"/>
          <w:highlight w:val="none"/>
        </w:rPr>
      </w:pPr>
    </w:p>
    <w:p>
      <w:pPr>
        <w:widowControl/>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依据《财政部关于进一步加强政府采购需求和履约验收管理的指导意见》（财库[2016]205号）、《浙江省政府采购合同暂行办法》（浙财采监[2017]11号）、《温州市政府采购履约验收办法》（温财采[2020]6号）规定，合同履约达到验收条件时，中标人按照合同约定向采购人书面发起验收申请。采购人依法组织履约验收工作。制定验收方案，成立验收小组，按照验收方案开展验收，出具验收书，并按规定公告与存档。履约验收产生的检验（监测）费、劳务报酬等费用支出，由中标人支付。履约验收方案如下：</w:t>
      </w:r>
    </w:p>
    <w:p>
      <w:pPr>
        <w:pStyle w:val="31"/>
        <w:widowControl/>
        <w:numPr>
          <w:ilvl w:val="0"/>
          <w:numId w:val="6"/>
        </w:numPr>
        <w:spacing w:line="360" w:lineRule="auto"/>
        <w:ind w:left="0" w:leftChars="0" w:right="-252" w:rightChars="-120" w:firstLine="420" w:firstLineChars="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项目基本情况</w:t>
      </w:r>
    </w:p>
    <w:p>
      <w:pPr>
        <w:pStyle w:val="31"/>
        <w:spacing w:line="360" w:lineRule="auto"/>
        <w:ind w:left="0" w:leftChars="0" w:right="-512"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Style w:val="31"/>
        <w:spacing w:line="360" w:lineRule="auto"/>
        <w:ind w:right="-5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pPr>
        <w:pStyle w:val="31"/>
        <w:spacing w:line="360" w:lineRule="auto"/>
        <w:ind w:right="-5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中标供应商名称：</w:t>
      </w:r>
    </w:p>
    <w:p>
      <w:pPr>
        <w:pStyle w:val="31"/>
        <w:spacing w:line="360" w:lineRule="auto"/>
        <w:ind w:right="-5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验收时间及地点：</w:t>
      </w:r>
    </w:p>
    <w:p>
      <w:pPr>
        <w:pStyle w:val="31"/>
        <w:widowControl/>
        <w:numPr>
          <w:ilvl w:val="0"/>
          <w:numId w:val="6"/>
        </w:numPr>
        <w:spacing w:line="360" w:lineRule="auto"/>
        <w:ind w:left="0" w:leftChars="0" w:right="-252" w:rightChars="-120" w:firstLine="420" w:firstLineChars="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验收方式与方法</w:t>
      </w:r>
    </w:p>
    <w:p>
      <w:pPr>
        <w:pStyle w:val="31"/>
        <w:spacing w:line="360" w:lineRule="auto"/>
        <w:ind w:left="0" w:leftChars="0" w:right="-512"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（1）本项目采用</w:t>
      </w:r>
      <w:r>
        <w:rPr>
          <w:rFonts w:hint="eastAsia" w:ascii="宋体" w:hAnsi="宋体" w:eastAsia="宋体" w:cs="宋体"/>
          <w:color w:val="auto"/>
          <w:sz w:val="24"/>
          <w:szCs w:val="24"/>
          <w:highlight w:val="none"/>
        </w:rPr>
        <w:t>__</w:t>
      </w:r>
      <w:r>
        <w:rPr>
          <w:rFonts w:hint="eastAsia" w:ascii="宋体" w:hAnsi="宋体" w:eastAsia="宋体" w:cs="宋体"/>
          <w:bCs/>
          <w:color w:val="auto"/>
          <w:sz w:val="24"/>
          <w:szCs w:val="24"/>
          <w:highlight w:val="none"/>
          <w:u w:val="single"/>
        </w:rPr>
        <w:t xml:space="preserve">简易程序验收 </w:t>
      </w:r>
      <w:r>
        <w:rPr>
          <w:rFonts w:hint="eastAsia" w:ascii="宋体" w:hAnsi="宋体" w:eastAsia="宋体" w:cs="宋体"/>
          <w:color w:val="auto"/>
          <w:sz w:val="24"/>
          <w:szCs w:val="24"/>
          <w:highlight w:val="none"/>
        </w:rPr>
        <w:t>，采取_</w:t>
      </w:r>
      <w:r>
        <w:rPr>
          <w:rFonts w:hint="eastAsia" w:ascii="宋体" w:hAnsi="宋体" w:eastAsia="宋体" w:cs="宋体"/>
          <w:color w:val="auto"/>
          <w:sz w:val="24"/>
          <w:szCs w:val="24"/>
          <w:highlight w:val="none"/>
          <w:u w:val="single"/>
        </w:rPr>
        <w:t>一次性验收</w:t>
      </w:r>
      <w:r>
        <w:rPr>
          <w:rFonts w:hint="eastAsia" w:ascii="宋体" w:hAnsi="宋体" w:eastAsia="宋体" w:cs="宋体"/>
          <w:color w:val="auto"/>
          <w:sz w:val="24"/>
          <w:szCs w:val="24"/>
          <w:highlight w:val="none"/>
        </w:rPr>
        <w:t>_，</w:t>
      </w:r>
      <w:r>
        <w:rPr>
          <w:rFonts w:hint="eastAsia" w:ascii="宋体" w:hAnsi="宋体" w:eastAsia="宋体" w:cs="宋体"/>
          <w:bCs/>
          <w:color w:val="auto"/>
          <w:sz w:val="24"/>
          <w:szCs w:val="24"/>
          <w:highlight w:val="none"/>
        </w:rPr>
        <w:t>采购人</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自行组织</w:t>
      </w:r>
      <w:r>
        <w:rPr>
          <w:rFonts w:hint="eastAsia" w:ascii="宋体" w:hAnsi="宋体" w:eastAsia="宋体" w:cs="宋体"/>
          <w:color w:val="auto"/>
          <w:sz w:val="24"/>
          <w:szCs w:val="24"/>
          <w:highlight w:val="none"/>
        </w:rPr>
        <w:t>__</w:t>
      </w:r>
      <w:r>
        <w:rPr>
          <w:rFonts w:hint="eastAsia" w:ascii="宋体" w:hAnsi="宋体" w:eastAsia="宋体" w:cs="宋体"/>
          <w:bCs/>
          <w:color w:val="auto"/>
          <w:sz w:val="24"/>
          <w:szCs w:val="24"/>
          <w:highlight w:val="none"/>
        </w:rPr>
        <w:t>验收 。</w:t>
      </w:r>
    </w:p>
    <w:p>
      <w:pPr>
        <w:pStyle w:val="31"/>
        <w:spacing w:line="360" w:lineRule="auto"/>
        <w:ind w:left="0" w:leftChars="0" w:right="-5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（2）采购人按项目实际情况需邀请第三方参与验收情形（如有）：</w:t>
      </w:r>
    </w:p>
    <w:p>
      <w:pPr>
        <w:pStyle w:val="31"/>
        <w:spacing w:line="360" w:lineRule="auto"/>
        <w:ind w:left="0" w:leftChars="0" w:right="-512"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1）本项目属于大型或复杂项目，采购人邀请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参与验收。</w:t>
      </w:r>
    </w:p>
    <w:p>
      <w:pPr>
        <w:pStyle w:val="31"/>
        <w:widowControl/>
        <w:numPr>
          <w:ilvl w:val="0"/>
          <w:numId w:val="6"/>
        </w:numPr>
        <w:spacing w:line="360" w:lineRule="auto"/>
        <w:ind w:left="0" w:leftChars="0" w:right="-252" w:rightChars="-120" w:firstLine="420" w:firstLineChars="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组织验收</w:t>
      </w:r>
    </w:p>
    <w:p>
      <w:pPr>
        <w:pStyle w:val="31"/>
        <w:spacing w:line="360" w:lineRule="auto"/>
        <w:ind w:right="-512"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中标人提供项目验收相关技术资料、合格证明以及验收所必须具备的其他材料，并协助采购人开展验收。采购人准备采购文件、投标文件、采购合同、封存样品</w:t>
      </w:r>
      <w:r>
        <w:rPr>
          <w:rFonts w:hint="eastAsia" w:ascii="宋体" w:hAnsi="宋体" w:eastAsia="宋体" w:cs="宋体"/>
          <w:b/>
          <w:color w:val="auto"/>
          <w:sz w:val="24"/>
          <w:szCs w:val="24"/>
          <w:highlight w:val="none"/>
        </w:rPr>
        <w:t>（如有）</w:t>
      </w:r>
      <w:r>
        <w:rPr>
          <w:rFonts w:hint="eastAsia" w:ascii="宋体" w:hAnsi="宋体" w:eastAsia="宋体" w:cs="宋体"/>
          <w:bCs/>
          <w:color w:val="auto"/>
          <w:sz w:val="24"/>
          <w:szCs w:val="24"/>
          <w:highlight w:val="none"/>
        </w:rPr>
        <w:t>，根据验收方案组织现场查验。验收小组根据验收资料、验收内容及标准开展验收工作。</w:t>
      </w:r>
    </w:p>
    <w:p>
      <w:pPr>
        <w:pStyle w:val="31"/>
        <w:spacing w:line="360" w:lineRule="auto"/>
        <w:ind w:right="-512"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验收内容：(1)有关技术方面的验收内容：详细内容见招标文件第三部分采购需求。</w:t>
      </w:r>
    </w:p>
    <w:p>
      <w:pPr>
        <w:pStyle w:val="31"/>
        <w:spacing w:line="360" w:lineRule="auto"/>
        <w:ind w:right="-512" w:firstLine="480" w:firstLineChars="20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(2)有关商务方面的验收内容：付款条件满足情况等。</w:t>
      </w:r>
    </w:p>
    <w:p>
      <w:pPr>
        <w:pStyle w:val="31"/>
        <w:spacing w:line="360" w:lineRule="auto"/>
        <w:ind w:right="-512"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验收标准：采购人按照招标文件、投标文件、采购合同等约定的服务要求设置验收指标及其标准进行验收。</w:t>
      </w:r>
      <w:r>
        <w:rPr>
          <w:rFonts w:hint="eastAsia" w:ascii="宋体" w:hAnsi="宋体" w:eastAsia="宋体" w:cs="宋体"/>
          <w:b/>
          <w:color w:val="auto"/>
          <w:sz w:val="24"/>
          <w:szCs w:val="24"/>
          <w:highlight w:val="none"/>
        </w:rPr>
        <w:t>（具体验收内容详见招标文件、投标文件、采购合同等相关资料。）</w:t>
      </w:r>
    </w:p>
    <w:p>
      <w:pPr>
        <w:pStyle w:val="31"/>
        <w:widowControl/>
        <w:numPr>
          <w:ilvl w:val="0"/>
          <w:numId w:val="6"/>
        </w:numPr>
        <w:spacing w:line="360" w:lineRule="auto"/>
        <w:ind w:left="0" w:leftChars="0" w:right="-252" w:rightChars="-120" w:firstLine="420" w:firstLineChars="0"/>
        <w:jc w:val="left"/>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出具验收书：验收小组完成验收后，出具验收书，列明各项验收内容情况，明确验收结论，并在验收书签字确认。</w:t>
      </w:r>
      <w:r>
        <w:rPr>
          <w:rFonts w:hint="eastAsia" w:ascii="宋体" w:hAnsi="宋体" w:eastAsia="宋体" w:cs="宋体"/>
          <w:b/>
          <w:color w:val="auto"/>
          <w:sz w:val="24"/>
          <w:szCs w:val="24"/>
          <w:highlight w:val="none"/>
        </w:rPr>
        <w:t>（参考政府采购履约验收书模板）</w:t>
      </w:r>
    </w:p>
    <w:p>
      <w:pPr>
        <w:pStyle w:val="31"/>
        <w:spacing w:line="360" w:lineRule="auto"/>
        <w:ind w:right="-512"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文件、采购合同等约定服务要求设置验收指标及其标准进行验收。</w:t>
      </w:r>
      <w:r>
        <w:rPr>
          <w:rFonts w:hint="eastAsia" w:ascii="宋体" w:hAnsi="宋体" w:eastAsia="宋体" w:cs="宋体"/>
          <w:b/>
          <w:color w:val="auto"/>
          <w:sz w:val="24"/>
          <w:szCs w:val="24"/>
          <w:highlight w:val="none"/>
        </w:rPr>
        <w:t>（具体验收内容详见招标文件、投标文件、采购合同等相关资料。）</w:t>
      </w:r>
    </w:p>
    <w:p>
      <w:pPr>
        <w:pStyle w:val="31"/>
        <w:widowControl/>
        <w:numPr>
          <w:ilvl w:val="0"/>
          <w:numId w:val="6"/>
        </w:numPr>
        <w:spacing w:line="360" w:lineRule="auto"/>
        <w:ind w:left="0" w:leftChars="0" w:right="-252" w:rightChars="-120" w:firstLine="420" w:firstLineChars="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验收结果公告：采购人依据验收书和中标人其他履约情况，对验收项目作出整体评价和分类评价，形成验收结果。采购人在评价后 2个工作日内在浙江政府采购网发布验收结果。</w:t>
      </w:r>
    </w:p>
    <w:p>
      <w:pPr>
        <w:pStyle w:val="31"/>
        <w:widowControl/>
        <w:numPr>
          <w:ilvl w:val="0"/>
          <w:numId w:val="6"/>
        </w:numPr>
        <w:spacing w:line="360" w:lineRule="auto"/>
        <w:ind w:left="0" w:leftChars="0" w:right="-252" w:rightChars="-120" w:firstLine="420" w:firstLineChars="0"/>
        <w:jc w:val="lef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验收资料归档：采购项目完成验收后，采购人将验收原始记录、验收报告等验收资料作为该采购项目档案封存并妥善保管。</w:t>
      </w:r>
    </w:p>
    <w:p>
      <w:pPr>
        <w:pStyle w:val="31"/>
        <w:widowControl/>
        <w:numPr>
          <w:ilvl w:val="0"/>
          <w:numId w:val="6"/>
        </w:numPr>
        <w:spacing w:line="360" w:lineRule="auto"/>
        <w:ind w:left="0" w:leftChars="0" w:right="-252" w:rightChars="-120" w:firstLine="420" w:firstLineChars="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验收不合格的，采购人应责令中标人采取补救措施，向中标人发出整改通知书，并依法及时处理。中标人收到整改通知书后天内按要求进行整改，整改结束后，由中标人通知采购人重新验收。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widowControl/>
        <w:adjustRightInd/>
        <w:jc w:val="center"/>
        <w:rPr>
          <w:rFonts w:cs="宋体"/>
          <w:b/>
          <w:color w:val="auto"/>
          <w:highlight w:val="none"/>
        </w:rPr>
      </w:pPr>
      <w:r>
        <w:rPr>
          <w:rFonts w:hint="eastAsia" w:cs="宋体"/>
          <w:b/>
          <w:color w:val="auto"/>
          <w:sz w:val="36"/>
          <w:highlight w:val="none"/>
        </w:rPr>
        <w:t>政府采购履约验收书</w:t>
      </w:r>
    </w:p>
    <w:p>
      <w:pPr>
        <w:pStyle w:val="968"/>
        <w:spacing w:line="360" w:lineRule="auto"/>
        <w:ind w:firstLine="0" w:firstLineChars="0"/>
        <w:jc w:val="center"/>
        <w:rPr>
          <w:rFonts w:ascii="Cambria" w:hAnsi="Cambria" w:eastAsia="宋体" w:cs="Times New Roman"/>
          <w:b/>
          <w:bCs/>
          <w:color w:val="auto"/>
          <w:sz w:val="28"/>
          <w:szCs w:val="32"/>
          <w:highlight w:val="none"/>
        </w:rPr>
      </w:pPr>
      <w:r>
        <w:rPr>
          <w:rFonts w:hint="eastAsia" w:ascii="Cambria" w:hAnsi="Cambria" w:eastAsia="宋体" w:cs="Times New Roman"/>
          <w:b/>
          <w:bCs/>
          <w:color w:val="auto"/>
          <w:sz w:val="28"/>
          <w:szCs w:val="32"/>
          <w:highlight w:val="none"/>
        </w:rPr>
        <w:t>（参考模板）</w:t>
      </w:r>
    </w:p>
    <w:tbl>
      <w:tblPr>
        <w:tblStyle w:val="6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7"/>
        <w:gridCol w:w="826"/>
        <w:gridCol w:w="995"/>
        <w:gridCol w:w="33"/>
        <w:gridCol w:w="891"/>
        <w:gridCol w:w="118"/>
        <w:gridCol w:w="661"/>
        <w:gridCol w:w="341"/>
        <w:gridCol w:w="63"/>
        <w:gridCol w:w="1321"/>
        <w:gridCol w:w="533"/>
        <w:gridCol w:w="440"/>
        <w:gridCol w:w="456"/>
        <w:gridCol w:w="8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r>
              <w:rPr>
                <w:rFonts w:hint="eastAsia" w:ascii="宋体" w:hAnsi="宋体" w:cs="宋体"/>
                <w:color w:val="auto"/>
                <w:szCs w:val="21"/>
                <w:highlight w:val="none"/>
              </w:rPr>
              <w:t>一、验收方案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r>
              <w:rPr>
                <w:rFonts w:hint="eastAsia" w:ascii="宋体" w:hAnsi="宋体" w:cs="宋体"/>
                <w:color w:val="auto"/>
                <w:szCs w:val="21"/>
                <w:highlight w:val="none"/>
              </w:rPr>
              <w:t>（一）项目基本情况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jc w:val="center"/>
              <w:rPr>
                <w:rFonts w:ascii="宋体" w:hAnsi="宋体" w:cs="宋体"/>
                <w:color w:val="auto"/>
                <w:szCs w:val="21"/>
                <w:highlight w:val="none"/>
              </w:rPr>
            </w:pPr>
            <w:r>
              <w:rPr>
                <w:rFonts w:hint="eastAsia" w:ascii="宋体" w:hAnsi="宋体" w:cs="宋体"/>
                <w:color w:val="auto"/>
                <w:szCs w:val="21"/>
                <w:highlight w:val="none"/>
              </w:rPr>
              <w:t>供应商名称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合同编号</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合同签订时间</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项目类型</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□货物/□服务</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合同金额</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r>
              <w:rPr>
                <w:rFonts w:hint="eastAsia" w:ascii="宋体" w:hAnsi="宋体" w:cs="宋体"/>
                <w:color w:val="auto"/>
                <w:szCs w:val="21"/>
                <w:highlight w:val="none"/>
              </w:rPr>
              <w:t>（二）验收方式与方法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验收组织方式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□自行组织/□委托代理</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代理机构名称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验收方式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□一般验收程序/□简易验收程序</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验收方法</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□一次性验收/□分段验收/□分期验收</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大型或复杂项目</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jc w:val="center"/>
              <w:rPr>
                <w:rFonts w:ascii="宋体" w:hAnsi="宋体" w:cs="宋体"/>
                <w:color w:val="auto"/>
                <w:szCs w:val="21"/>
                <w:highlight w:val="none"/>
              </w:rPr>
            </w:pPr>
            <w:r>
              <w:rPr>
                <w:rFonts w:hint="eastAsia" w:ascii="宋体" w:hAnsi="宋体" w:cs="宋体"/>
                <w:color w:val="auto"/>
                <w:szCs w:val="21"/>
                <w:highlight w:val="none"/>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r>
              <w:rPr>
                <w:rFonts w:hint="eastAsia" w:ascii="宋体" w:hAnsi="宋体" w:cs="宋体"/>
                <w:color w:val="auto"/>
                <w:szCs w:val="21"/>
                <w:highlight w:val="none"/>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auto"/>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rPr>
                <w:rFonts w:ascii="宋体" w:hAnsi="宋体" w:cs="宋体"/>
                <w:color w:val="auto"/>
                <w:szCs w:val="21"/>
                <w:highlight w:val="none"/>
              </w:rPr>
            </w:pPr>
            <w:r>
              <w:rPr>
                <w:rFonts w:hint="eastAsia" w:ascii="宋体" w:hAnsi="宋体" w:cs="宋体"/>
                <w:color w:val="auto"/>
                <w:szCs w:val="21"/>
                <w:highlight w:val="none"/>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jc w:val="center"/>
              <w:rPr>
                <w:rFonts w:ascii="宋体" w:hAnsi="宋体" w:cs="宋体"/>
                <w:color w:val="auto"/>
                <w:szCs w:val="21"/>
                <w:highlight w:val="none"/>
              </w:rPr>
            </w:pPr>
            <w:r>
              <w:rPr>
                <w:rFonts w:hint="eastAsia" w:ascii="宋体" w:hAnsi="宋体" w:cs="宋体"/>
                <w:color w:val="auto"/>
                <w:szCs w:val="21"/>
                <w:highlight w:val="none"/>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使用单位名称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r>
              <w:rPr>
                <w:rFonts w:hint="eastAsia" w:ascii="宋体" w:hAnsi="宋体" w:cs="宋体"/>
                <w:color w:val="auto"/>
                <w:szCs w:val="21"/>
                <w:highlight w:val="none"/>
              </w:rPr>
              <w:t>（三）验收人员组成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验收小组总人数</w:t>
            </w:r>
          </w:p>
        </w:tc>
        <w:tc>
          <w:tcPr>
            <w:tcW w:w="1028"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p>
        </w:tc>
        <w:tc>
          <w:tcPr>
            <w:tcW w:w="1009"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p>
        </w:tc>
        <w:tc>
          <w:tcPr>
            <w:tcW w:w="1384"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实际使用人人数（如有）</w:t>
            </w:r>
          </w:p>
        </w:tc>
        <w:tc>
          <w:tcPr>
            <w:tcW w:w="533"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c>
          <w:tcPr>
            <w:tcW w:w="896"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其他验收人员数量</w:t>
            </w:r>
          </w:p>
        </w:tc>
        <w:tc>
          <w:tcPr>
            <w:tcW w:w="8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rPr>
                <w:rFonts w:ascii="宋体" w:hAnsi="宋体" w:cs="宋体"/>
                <w:color w:val="auto"/>
                <w:szCs w:val="21"/>
                <w:highlight w:val="none"/>
              </w:rPr>
            </w:pPr>
            <w:r>
              <w:rPr>
                <w:rFonts w:hint="eastAsia" w:ascii="宋体" w:hAnsi="宋体" w:cs="宋体"/>
                <w:color w:val="auto"/>
                <w:szCs w:val="21"/>
                <w:highlight w:val="none"/>
              </w:rPr>
              <w:t>验收人员姓名</w:t>
            </w:r>
          </w:p>
        </w:tc>
        <w:tc>
          <w:tcPr>
            <w:tcW w:w="2037"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r>
              <w:rPr>
                <w:rFonts w:hint="eastAsia" w:ascii="宋体" w:hAnsi="宋体" w:cs="宋体"/>
                <w:color w:val="auto"/>
                <w:szCs w:val="21"/>
                <w:highlight w:val="none"/>
              </w:rPr>
              <w:t>工作单位</w:t>
            </w:r>
          </w:p>
        </w:tc>
        <w:tc>
          <w:tcPr>
            <w:tcW w:w="2386"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职  称（专业）</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rPr>
                <w:rFonts w:ascii="宋体" w:hAnsi="宋体" w:cs="宋体"/>
                <w:color w:val="auto"/>
                <w:szCs w:val="21"/>
                <w:highlight w:val="none"/>
              </w:rPr>
            </w:pPr>
            <w:r>
              <w:rPr>
                <w:rFonts w:hint="eastAsia" w:ascii="宋体" w:hAnsi="宋体" w:cs="宋体"/>
                <w:color w:val="auto"/>
                <w:szCs w:val="21"/>
                <w:highlight w:val="none"/>
              </w:rPr>
              <w:t>联系方式</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auto"/>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auto"/>
                <w:szCs w:val="21"/>
                <w:highlight w:val="none"/>
              </w:rPr>
            </w:pPr>
            <w:r>
              <w:rPr>
                <w:rFonts w:hint="eastAsia" w:ascii="宋体" w:hAnsi="宋体" w:cs="宋体"/>
                <w:color w:val="auto"/>
                <w:szCs w:val="21"/>
                <w:highlight w:val="none"/>
              </w:rPr>
              <w:t>（四）验收主要指标和标准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26"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2" w:firstLineChars="1"/>
              <w:jc w:val="center"/>
              <w:rPr>
                <w:rFonts w:ascii="宋体" w:hAnsi="宋体" w:cs="宋体"/>
                <w:color w:val="auto"/>
                <w:szCs w:val="21"/>
                <w:highlight w:val="none"/>
              </w:rPr>
            </w:pPr>
            <w:r>
              <w:rPr>
                <w:rFonts w:hint="eastAsia" w:ascii="宋体" w:hAnsi="宋体" w:cs="宋体"/>
                <w:color w:val="auto"/>
                <w:szCs w:val="21"/>
                <w:highlight w:val="none"/>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2" w:firstLineChars="1"/>
              <w:jc w:val="center"/>
              <w:rPr>
                <w:rFonts w:ascii="宋体" w:hAnsi="宋体" w:cs="宋体"/>
                <w:color w:val="auto"/>
                <w:szCs w:val="21"/>
                <w:highlight w:val="none"/>
              </w:rPr>
            </w:pPr>
            <w:r>
              <w:rPr>
                <w:rFonts w:hint="eastAsia" w:ascii="宋体" w:hAnsi="宋体" w:cs="宋体"/>
                <w:color w:val="auto"/>
                <w:szCs w:val="21"/>
                <w:highlight w:val="none"/>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2" w:firstLineChars="201"/>
              <w:rPr>
                <w:rFonts w:ascii="宋体" w:hAnsi="宋体" w:cs="宋体"/>
                <w:color w:val="auto"/>
                <w:szCs w:val="21"/>
                <w:highlight w:val="none"/>
              </w:rPr>
            </w:pPr>
            <w:r>
              <w:rPr>
                <w:rFonts w:hint="eastAsia" w:ascii="宋体" w:hAnsi="宋体" w:cs="宋体"/>
                <w:color w:val="auto"/>
                <w:szCs w:val="21"/>
                <w:highlight w:val="none"/>
              </w:rPr>
              <w:t>数量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2" w:firstLineChars="1"/>
              <w:jc w:val="center"/>
              <w:rPr>
                <w:rFonts w:ascii="宋体" w:hAnsi="宋体" w:cs="宋体"/>
                <w:color w:val="auto"/>
                <w:szCs w:val="21"/>
                <w:highlight w:val="none"/>
              </w:rPr>
            </w:pPr>
            <w:r>
              <w:rPr>
                <w:rFonts w:hint="eastAsia" w:ascii="宋体" w:hAnsi="宋体" w:cs="宋体"/>
                <w:color w:val="auto"/>
                <w:szCs w:val="21"/>
                <w:highlight w:val="none"/>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left"/>
              <w:rPr>
                <w:rFonts w:ascii="宋体" w:hAnsi="宋体" w:cs="宋体"/>
                <w:color w:val="auto"/>
                <w:szCs w:val="21"/>
                <w:highlight w:val="none"/>
              </w:rPr>
            </w:pPr>
            <w:r>
              <w:rPr>
                <w:rFonts w:hint="eastAsia" w:ascii="宋体" w:hAnsi="宋体" w:cs="宋体"/>
                <w:color w:val="auto"/>
                <w:szCs w:val="21"/>
                <w:highlight w:val="none"/>
              </w:rPr>
              <w:t xml:space="preserve">     </w:t>
            </w:r>
          </w:p>
        </w:tc>
        <w:tc>
          <w:tcPr>
            <w:tcW w:w="826"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c>
          <w:tcPr>
            <w:tcW w:w="826"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c>
          <w:tcPr>
            <w:tcW w:w="826"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p>
        </w:tc>
        <w:tc>
          <w:tcPr>
            <w:tcW w:w="826"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二、验收情况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r>
              <w:rPr>
                <w:rFonts w:hint="eastAsia" w:ascii="宋体" w:hAnsi="宋体" w:cs="宋体"/>
                <w:color w:val="auto"/>
                <w:szCs w:val="21"/>
                <w:highlight w:val="none"/>
              </w:rPr>
              <w:t>分期情况</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r>
              <w:rPr>
                <w:rFonts w:hint="eastAsia" w:ascii="宋体" w:hAnsi="宋体" w:cs="宋体"/>
                <w:color w:val="auto"/>
                <w:szCs w:val="21"/>
                <w:highlight w:val="none"/>
              </w:rPr>
              <w:t>共分   期，此为第   期验收</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r>
              <w:rPr>
                <w:rFonts w:hint="eastAsia" w:ascii="宋体" w:hAnsi="宋体" w:cs="宋体"/>
                <w:color w:val="auto"/>
                <w:szCs w:val="21"/>
                <w:highlight w:val="none"/>
              </w:rPr>
              <w:t>分段情况</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r>
              <w:rPr>
                <w:rFonts w:hint="eastAsia" w:ascii="宋体" w:hAnsi="宋体" w:cs="宋体"/>
                <w:color w:val="auto"/>
                <w:szCs w:val="21"/>
                <w:highlight w:val="none"/>
              </w:rPr>
              <w:t>共分  段，此为      阶段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r>
              <w:rPr>
                <w:rFonts w:hint="eastAsia" w:ascii="宋体" w:hAnsi="宋体" w:cs="宋体"/>
                <w:color w:val="auto"/>
                <w:szCs w:val="21"/>
                <w:highlight w:val="none"/>
              </w:rPr>
              <w:t>第三方参考情况说明</w:t>
            </w: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rPr>
                <w:rFonts w:ascii="宋体" w:hAnsi="宋体" w:cs="宋体"/>
                <w:color w:val="auto"/>
                <w:szCs w:val="21"/>
                <w:highlight w:val="none"/>
              </w:rPr>
            </w:pPr>
            <w:r>
              <w:rPr>
                <w:rFonts w:hint="eastAsia" w:ascii="宋体" w:hAnsi="宋体" w:cs="宋体"/>
                <w:color w:val="auto"/>
                <w:szCs w:val="21"/>
                <w:highlight w:val="none"/>
              </w:rPr>
              <w:t>评价对象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评价结果</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理由</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r>
              <w:rPr>
                <w:rFonts w:hint="eastAsia" w:ascii="宋体" w:hAnsi="宋体" w:cs="宋体"/>
                <w:color w:val="auto"/>
                <w:szCs w:val="21"/>
                <w:highlight w:val="none"/>
              </w:rPr>
              <w:t>检测机构</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r>
              <w:rPr>
                <w:rFonts w:hint="eastAsia" w:ascii="宋体" w:hAnsi="宋体" w:cs="宋体"/>
                <w:color w:val="auto"/>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r>
              <w:rPr>
                <w:rFonts w:hint="eastAsia" w:ascii="宋体" w:hAnsi="宋体" w:cs="宋体"/>
                <w:color w:val="auto"/>
                <w:szCs w:val="21"/>
                <w:highlight w:val="none"/>
              </w:rPr>
              <w:t>其他供应商</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r>
              <w:rPr>
                <w:rFonts w:hint="eastAsia" w:ascii="宋体" w:hAnsi="宋体" w:cs="宋体"/>
                <w:color w:val="auto"/>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r>
              <w:rPr>
                <w:rFonts w:hint="eastAsia" w:ascii="宋体" w:hAnsi="宋体" w:cs="宋体"/>
                <w:color w:val="auto"/>
                <w:szCs w:val="21"/>
                <w:highlight w:val="none"/>
              </w:rPr>
              <w:t>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r>
              <w:rPr>
                <w:rFonts w:hint="eastAsia" w:ascii="宋体" w:hAnsi="宋体" w:cs="宋体"/>
                <w:color w:val="auto"/>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货物类验收内容及验收情况</w:t>
            </w: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货物清单</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w:t>
            </w:r>
          </w:p>
          <w:p>
            <w:pPr>
              <w:snapToGrid w:val="0"/>
              <w:spacing w:before="100" w:beforeAutospacing="1" w:after="100" w:afterAutospacing="1" w:line="360" w:lineRule="exact"/>
              <w:ind w:firstLine="39" w:firstLineChars="19"/>
              <w:jc w:val="center"/>
              <w:rPr>
                <w:rFonts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技术、性能指标</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w:t>
            </w:r>
          </w:p>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质量证明文件</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售后服务承诺</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w:t>
            </w:r>
          </w:p>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安全标准</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w:t>
            </w:r>
          </w:p>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rPr>
                <w:rFonts w:ascii="宋体" w:hAnsi="宋体" w:cs="宋体"/>
                <w:color w:val="auto"/>
                <w:szCs w:val="21"/>
                <w:highlight w:val="none"/>
              </w:rPr>
            </w:pPr>
            <w:r>
              <w:rPr>
                <w:rFonts w:hint="eastAsia" w:ascii="宋体" w:hAnsi="宋体" w:cs="宋体"/>
                <w:color w:val="auto"/>
                <w:szCs w:val="21"/>
                <w:highlight w:val="none"/>
              </w:rPr>
              <w:t>服务类验收内容及结果</w:t>
            </w: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auto"/>
                <w:szCs w:val="21"/>
                <w:highlight w:val="none"/>
              </w:rPr>
            </w:pPr>
            <w:r>
              <w:rPr>
                <w:rFonts w:hint="eastAsia" w:ascii="宋体" w:hAnsi="宋体" w:cs="宋体"/>
                <w:color w:val="auto"/>
                <w:szCs w:val="21"/>
                <w:highlight w:val="none"/>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服务质量</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服务进度</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6"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人员、设备</w:t>
            </w:r>
          </w:p>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配备情况</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安全标准</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服务承诺实现</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  格</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三、验收结论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6" w:hRule="atLeast"/>
          <w:jc w:val="center"/>
        </w:trPr>
        <w:tc>
          <w:tcPr>
            <w:tcW w:w="147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60" w:lineRule="exact"/>
              <w:jc w:val="left"/>
              <w:rPr>
                <w:rFonts w:ascii="宋体" w:hAnsi="宋体" w:cs="宋体"/>
                <w:color w:val="auto"/>
                <w:szCs w:val="21"/>
                <w:highlight w:val="none"/>
              </w:rPr>
            </w:pPr>
          </w:p>
          <w:p>
            <w:pPr>
              <w:snapToGrid w:val="0"/>
              <w:spacing w:before="100" w:beforeAutospacing="1" w:after="100" w:afterAutospacing="1" w:line="360" w:lineRule="exact"/>
              <w:jc w:val="left"/>
              <w:rPr>
                <w:rFonts w:ascii="宋体" w:hAnsi="宋体" w:cs="宋体"/>
                <w:color w:val="auto"/>
                <w:szCs w:val="21"/>
                <w:highlight w:val="none"/>
              </w:rPr>
            </w:pPr>
          </w:p>
          <w:p>
            <w:pPr>
              <w:snapToGrid w:val="0"/>
              <w:spacing w:before="100" w:beforeAutospacing="1" w:after="100" w:afterAutospacing="1" w:line="360" w:lineRule="exact"/>
              <w:jc w:val="left"/>
              <w:rPr>
                <w:rFonts w:ascii="宋体" w:hAnsi="宋体" w:cs="宋体"/>
                <w:color w:val="auto"/>
                <w:szCs w:val="21"/>
                <w:highlight w:val="none"/>
              </w:rPr>
            </w:pPr>
          </w:p>
          <w:p>
            <w:pPr>
              <w:snapToGrid w:val="0"/>
              <w:spacing w:before="100" w:beforeAutospacing="1" w:after="100" w:afterAutospacing="1" w:line="360" w:lineRule="exact"/>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42"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验收小组</w:t>
            </w:r>
          </w:p>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意见</w:t>
            </w:r>
          </w:p>
        </w:tc>
        <w:tc>
          <w:tcPr>
            <w:tcW w:w="6747" w:type="dxa"/>
            <w:gridSpan w:val="12"/>
            <w:tcBorders>
              <w:top w:val="single" w:color="auto" w:sz="8" w:space="0"/>
              <w:left w:val="single" w:color="auto" w:sz="8" w:space="0"/>
              <w:bottom w:val="single" w:color="auto" w:sz="4" w:space="0"/>
              <w:right w:val="single" w:color="auto" w:sz="8" w:space="0"/>
            </w:tcBorders>
            <w:vAlign w:val="center"/>
          </w:tcPr>
          <w:p>
            <w:pPr>
              <w:spacing w:before="100" w:beforeAutospacing="1" w:after="100" w:afterAutospacing="1" w:line="360" w:lineRule="exact"/>
              <w:jc w:val="left"/>
              <w:rPr>
                <w:rFonts w:ascii="宋体" w:hAnsi="宋体" w:cs="宋体"/>
                <w:color w:val="auto"/>
                <w:szCs w:val="21"/>
                <w:highlight w:val="none"/>
              </w:rPr>
            </w:pPr>
            <w:r>
              <w:rPr>
                <w:rFonts w:hint="eastAsia" w:ascii="宋体" w:hAnsi="宋体" w:cs="宋体"/>
                <w:color w:val="auto"/>
                <w:szCs w:val="21"/>
                <w:highlight w:val="none"/>
              </w:rPr>
              <w:t>验收结论性意见：  □合  格        □不合格</w:t>
            </w:r>
          </w:p>
          <w:p>
            <w:pPr>
              <w:spacing w:before="100" w:beforeAutospacing="1" w:after="100" w:afterAutospacing="1" w:line="360" w:lineRule="exact"/>
              <w:jc w:val="left"/>
              <w:rPr>
                <w:rFonts w:ascii="宋体" w:hAnsi="宋体" w:cs="宋体"/>
                <w:color w:val="auto"/>
                <w:szCs w:val="21"/>
                <w:highlight w:val="none"/>
              </w:rPr>
            </w:pPr>
            <w:r>
              <w:rPr>
                <w:rFonts w:hint="eastAsia" w:ascii="宋体" w:hAnsi="宋体" w:cs="宋体"/>
                <w:color w:val="auto"/>
                <w:szCs w:val="21"/>
                <w:highlight w:val="none"/>
              </w:rPr>
              <w:t>其他需要说明的事项：</w:t>
            </w:r>
          </w:p>
          <w:p>
            <w:pPr>
              <w:spacing w:before="100" w:beforeAutospacing="1" w:after="100" w:afterAutospacing="1" w:line="360" w:lineRule="exact"/>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szCs w:val="21"/>
                <w:highlight w:val="none"/>
              </w:rPr>
            </w:pPr>
          </w:p>
        </w:tc>
        <w:tc>
          <w:tcPr>
            <w:tcW w:w="6747" w:type="dxa"/>
            <w:gridSpan w:val="12"/>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60" w:lineRule="exact"/>
              <w:jc w:val="left"/>
              <w:rPr>
                <w:rFonts w:ascii="宋体" w:hAnsi="宋体" w:cs="宋体"/>
                <w:color w:val="auto"/>
                <w:szCs w:val="21"/>
                <w:highlight w:val="none"/>
              </w:rPr>
            </w:pPr>
            <w:r>
              <w:rPr>
                <w:rFonts w:hint="eastAsia" w:ascii="宋体" w:hAnsi="宋体" w:cs="宋体"/>
                <w:color w:val="auto"/>
                <w:szCs w:val="21"/>
                <w:highlight w:val="none"/>
              </w:rPr>
              <w:t>有异议的意见和说明理由：</w:t>
            </w:r>
          </w:p>
          <w:p>
            <w:pPr>
              <w:spacing w:before="100" w:beforeAutospacing="1" w:after="100" w:afterAutospacing="1" w:line="360" w:lineRule="exact"/>
              <w:jc w:val="left"/>
              <w:rPr>
                <w:rFonts w:ascii="宋体" w:hAnsi="宋体" w:cs="宋体"/>
                <w:color w:val="auto"/>
                <w:szCs w:val="21"/>
                <w:highlight w:val="none"/>
              </w:rPr>
            </w:pPr>
          </w:p>
          <w:p>
            <w:pPr>
              <w:spacing w:before="100" w:beforeAutospacing="1" w:after="100" w:afterAutospacing="1" w:line="360" w:lineRule="exact"/>
              <w:ind w:firstLine="4515" w:firstLineChars="2150"/>
              <w:jc w:val="left"/>
              <w:rPr>
                <w:rFonts w:ascii="宋体" w:hAnsi="宋体" w:cs="宋体"/>
                <w:color w:val="auto"/>
                <w:szCs w:val="21"/>
                <w:highlight w:val="none"/>
              </w:rPr>
            </w:pPr>
            <w:r>
              <w:rPr>
                <w:rFonts w:hint="eastAsia" w:ascii="宋体" w:hAnsi="宋体" w:cs="宋体"/>
                <w:color w:val="auto"/>
                <w:szCs w:val="21"/>
                <w:highlight w:val="none"/>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60" w:lineRule="exact"/>
              <w:rPr>
                <w:rFonts w:ascii="宋体" w:hAnsi="宋体" w:cs="宋体"/>
                <w:color w:val="auto"/>
                <w:szCs w:val="21"/>
                <w:highlight w:val="none"/>
              </w:rPr>
            </w:pPr>
            <w:r>
              <w:rPr>
                <w:rFonts w:hint="eastAsia" w:ascii="宋体" w:hAnsi="宋体" w:cs="宋体"/>
                <w:color w:val="auto"/>
                <w:szCs w:val="21"/>
                <w:highlight w:val="none"/>
              </w:rPr>
              <w:t>验收小组成员签字：</w:t>
            </w:r>
          </w:p>
          <w:p>
            <w:pPr>
              <w:spacing w:before="100" w:beforeAutospacing="1" w:after="100" w:afterAutospacing="1" w:line="360" w:lineRule="exact"/>
              <w:jc w:val="left"/>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5" w:hRule="atLeast"/>
          <w:jc w:val="center"/>
        </w:trPr>
        <w:tc>
          <w:tcPr>
            <w:tcW w:w="4171"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60" w:lineRule="exact"/>
              <w:jc w:val="left"/>
              <w:rPr>
                <w:rFonts w:ascii="宋体" w:hAnsi="宋体" w:cs="宋体"/>
                <w:color w:val="auto"/>
                <w:szCs w:val="21"/>
                <w:highlight w:val="none"/>
              </w:rPr>
            </w:pPr>
            <w:r>
              <w:rPr>
                <w:rFonts w:hint="eastAsia" w:ascii="宋体" w:hAnsi="宋体" w:cs="宋体"/>
                <w:color w:val="auto"/>
                <w:szCs w:val="21"/>
                <w:highlight w:val="none"/>
              </w:rPr>
              <w:t>采购人意见：</w:t>
            </w:r>
          </w:p>
          <w:p>
            <w:pPr>
              <w:spacing w:before="100" w:beforeAutospacing="1" w:after="100" w:afterAutospacing="1" w:line="360" w:lineRule="exact"/>
              <w:jc w:val="left"/>
              <w:rPr>
                <w:rFonts w:ascii="宋体" w:hAnsi="宋体" w:cs="宋体"/>
                <w:color w:val="auto"/>
                <w:szCs w:val="21"/>
                <w:highlight w:val="none"/>
              </w:rPr>
            </w:pPr>
          </w:p>
          <w:p>
            <w:pPr>
              <w:spacing w:before="100" w:beforeAutospacing="1" w:after="100" w:afterAutospacing="1" w:line="360" w:lineRule="exact"/>
              <w:jc w:val="left"/>
              <w:rPr>
                <w:rFonts w:ascii="宋体" w:hAnsi="宋体" w:cs="宋体"/>
                <w:color w:val="auto"/>
                <w:szCs w:val="21"/>
                <w:highlight w:val="none"/>
              </w:rPr>
            </w:pPr>
          </w:p>
          <w:p>
            <w:pPr>
              <w:spacing w:before="100" w:beforeAutospacing="1" w:after="100" w:afterAutospacing="1" w:line="360" w:lineRule="exact"/>
              <w:jc w:val="left"/>
              <w:rPr>
                <w:rFonts w:ascii="宋体" w:hAnsi="宋体" w:cs="宋体"/>
                <w:color w:val="auto"/>
                <w:szCs w:val="21"/>
                <w:highlight w:val="none"/>
              </w:rPr>
            </w:pPr>
          </w:p>
          <w:p>
            <w:pPr>
              <w:spacing w:before="100" w:beforeAutospacing="1" w:after="100" w:afterAutospacing="1" w:line="360" w:lineRule="exact"/>
              <w:jc w:val="left"/>
              <w:rPr>
                <w:rFonts w:ascii="宋体" w:hAnsi="宋体" w:cs="宋体"/>
                <w:color w:val="auto"/>
                <w:szCs w:val="21"/>
                <w:highlight w:val="none"/>
              </w:rPr>
            </w:pPr>
            <w:r>
              <w:rPr>
                <w:rFonts w:hint="eastAsia" w:ascii="宋体" w:hAnsi="宋体" w:cs="宋体"/>
                <w:color w:val="auto"/>
                <w:szCs w:val="21"/>
                <w:highlight w:val="none"/>
              </w:rPr>
              <w:t>经办人：     负责人：      （盖章）</w:t>
            </w:r>
          </w:p>
          <w:p>
            <w:pPr>
              <w:spacing w:before="100" w:beforeAutospacing="1" w:after="100" w:afterAutospacing="1"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供应商确认：</w:t>
            </w:r>
          </w:p>
          <w:p>
            <w:pPr>
              <w:spacing w:before="100" w:beforeAutospacing="1" w:after="100" w:afterAutospacing="1" w:line="360" w:lineRule="exact"/>
              <w:jc w:val="left"/>
              <w:rPr>
                <w:rFonts w:ascii="宋体" w:hAnsi="宋体" w:cs="宋体"/>
                <w:color w:val="auto"/>
                <w:szCs w:val="21"/>
                <w:highlight w:val="none"/>
              </w:rPr>
            </w:pPr>
          </w:p>
          <w:p>
            <w:pPr>
              <w:spacing w:before="100" w:beforeAutospacing="1" w:after="100" w:afterAutospacing="1" w:line="360" w:lineRule="exact"/>
              <w:jc w:val="left"/>
              <w:rPr>
                <w:rFonts w:ascii="宋体" w:hAnsi="宋体" w:cs="宋体"/>
                <w:color w:val="auto"/>
                <w:szCs w:val="21"/>
                <w:highlight w:val="none"/>
              </w:rPr>
            </w:pPr>
          </w:p>
          <w:p>
            <w:pPr>
              <w:spacing w:before="100" w:beforeAutospacing="1" w:after="100" w:afterAutospacing="1" w:line="360" w:lineRule="exact"/>
              <w:jc w:val="left"/>
              <w:rPr>
                <w:rFonts w:ascii="宋体" w:hAnsi="宋体" w:cs="宋体"/>
                <w:color w:val="auto"/>
                <w:szCs w:val="21"/>
                <w:highlight w:val="none"/>
              </w:rPr>
            </w:pPr>
          </w:p>
          <w:p>
            <w:pPr>
              <w:spacing w:before="100" w:beforeAutospacing="1" w:after="100" w:afterAutospacing="1" w:line="360" w:lineRule="exact"/>
              <w:ind w:left="1680" w:hanging="1680" w:hangingChars="800"/>
              <w:jc w:val="left"/>
              <w:rPr>
                <w:rFonts w:ascii="宋体" w:hAnsi="宋体" w:cs="宋体"/>
                <w:color w:val="auto"/>
                <w:szCs w:val="21"/>
                <w:highlight w:val="none"/>
              </w:rPr>
            </w:pPr>
            <w:r>
              <w:rPr>
                <w:rFonts w:hint="eastAsia" w:ascii="宋体" w:hAnsi="宋体" w:cs="宋体"/>
                <w:color w:val="auto"/>
                <w:szCs w:val="21"/>
                <w:highlight w:val="none"/>
              </w:rPr>
              <w:t>供应商盖章或授权代表签字：</w:t>
            </w:r>
          </w:p>
          <w:p>
            <w:pPr>
              <w:spacing w:before="100" w:beforeAutospacing="1" w:after="100" w:afterAutospacing="1" w:line="360" w:lineRule="exact"/>
              <w:ind w:left="1680" w:hanging="1680" w:hangingChars="800"/>
              <w:jc w:val="left"/>
              <w:rPr>
                <w:rFonts w:ascii="宋体" w:hAnsi="宋体" w:cs="宋体"/>
                <w:color w:val="auto"/>
                <w:szCs w:val="21"/>
                <w:highlight w:val="none"/>
              </w:rPr>
            </w:pPr>
            <w:r>
              <w:rPr>
                <w:rFonts w:hint="eastAsia" w:ascii="宋体" w:hAnsi="宋体" w:cs="宋体"/>
                <w:color w:val="auto"/>
                <w:szCs w:val="21"/>
                <w:highlight w:val="none"/>
              </w:rPr>
              <w:t xml:space="preserve">     联系电话：                 </w:t>
            </w:r>
          </w:p>
          <w:p>
            <w:pPr>
              <w:spacing w:before="100" w:beforeAutospacing="1" w:after="100" w:afterAutospacing="1" w:line="360" w:lineRule="exact"/>
              <w:ind w:left="1680" w:hanging="1680" w:hangingChars="800"/>
              <w:jc w:val="lef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bl>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注：该表为履约验收书的综合性参考模板，采购人可以根据工作实际进行调整。</w:t>
      </w:r>
    </w:p>
    <w:p>
      <w:pPr>
        <w:rPr>
          <w:rFonts w:ascii="宋体" w:hAnsi="宋体" w:cs="宋体"/>
          <w:color w:val="auto"/>
          <w:szCs w:val="21"/>
          <w:highlight w:val="none"/>
        </w:rPr>
      </w:pPr>
    </w:p>
    <w:p>
      <w:pPr>
        <w:pStyle w:val="31"/>
        <w:widowControl/>
        <w:spacing w:line="360" w:lineRule="auto"/>
        <w:ind w:left="420" w:leftChars="0" w:right="-252" w:rightChars="-120" w:firstLine="0" w:firstLineChars="0"/>
        <w:jc w:val="left"/>
        <w:rPr>
          <w:rFonts w:ascii="宋体" w:hAnsi="宋体" w:eastAsia="宋体" w:cs="宋体"/>
          <w:bCs/>
          <w:color w:val="auto"/>
          <w:sz w:val="24"/>
          <w:szCs w:val="24"/>
          <w:highlight w:val="none"/>
        </w:rPr>
      </w:pPr>
    </w:p>
    <w:p>
      <w:pPr>
        <w:rPr>
          <w:rFonts w:ascii="宋体" w:hAnsi="宋体" w:cs="宋体"/>
          <w:b/>
          <w:color w:val="auto"/>
          <w:sz w:val="36"/>
          <w:szCs w:val="20"/>
          <w:highlight w:val="none"/>
        </w:rPr>
      </w:pPr>
    </w:p>
    <w:p>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第七部分 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【招标编号：____________（采购编号）】政府采购活动，郑重承诺：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（二）符合《中华人民共和国政府采购法》第二十二条规定的供应商资格要求及项目特定资格要求（如有）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pStyle w:val="4"/>
        <w:rPr>
          <w:rFonts w:ascii="宋体" w:hAnsi="宋体" w:cs="宋体"/>
          <w:color w:val="auto"/>
          <w:kern w:val="0"/>
          <w:sz w:val="24"/>
          <w:highlight w:val="none"/>
        </w:rPr>
      </w:pPr>
    </w:p>
    <w:p>
      <w:pPr>
        <w:rPr>
          <w:color w:val="auto"/>
          <w:highlight w:val="none"/>
        </w:rPr>
      </w:pPr>
    </w:p>
    <w:p>
      <w:pPr>
        <w:snapToGrid w:val="0"/>
        <w:spacing w:line="360" w:lineRule="auto"/>
        <w:ind w:right="480" w:firstLine="360" w:firstLineChars="200"/>
        <w:jc w:val="left"/>
        <w:rPr>
          <w:rFonts w:ascii="宋体" w:hAnsi="宋体" w:cs="宋体"/>
          <w:b/>
          <w:color w:val="auto"/>
          <w:kern w:val="0"/>
          <w:sz w:val="18"/>
          <w:szCs w:val="18"/>
          <w:highlight w:val="none"/>
        </w:rPr>
      </w:pPr>
      <w:r>
        <w:rPr>
          <w:rFonts w:hint="eastAsia" w:cs="仿宋_GB2312" w:asciiTheme="minorEastAsia" w:hAnsiTheme="minorEastAsia" w:eastAsiaTheme="minorEastAsia"/>
          <w:color w:val="auto"/>
          <w:sz w:val="18"/>
          <w:szCs w:val="18"/>
          <w:highlight w:val="none"/>
        </w:rPr>
        <w:t>注：根据《</w:t>
      </w:r>
      <w:r>
        <w:rPr>
          <w:rFonts w:cs="仿宋_GB2312" w:asciiTheme="minorEastAsia" w:hAnsiTheme="minorEastAsia" w:eastAsiaTheme="minorEastAsia"/>
          <w:color w:val="auto"/>
          <w:sz w:val="18"/>
          <w:szCs w:val="18"/>
          <w:highlight w:val="none"/>
        </w:rPr>
        <w:t>关于规范政府采购供应商资格设定及资格审查的通知</w:t>
      </w:r>
      <w:r>
        <w:rPr>
          <w:rFonts w:hint="eastAsia" w:cs="仿宋_GB2312" w:asciiTheme="minorEastAsia" w:hAnsiTheme="minorEastAsia" w:eastAsiaTheme="minorEastAsia"/>
          <w:color w:val="auto"/>
          <w:sz w:val="18"/>
          <w:szCs w:val="18"/>
          <w:highlight w:val="none"/>
        </w:rPr>
        <w:t>》（</w:t>
      </w:r>
      <w:r>
        <w:rPr>
          <w:rFonts w:cs="仿宋_GB2312" w:asciiTheme="minorEastAsia" w:hAnsiTheme="minorEastAsia" w:eastAsiaTheme="minorEastAsia"/>
          <w:color w:val="auto"/>
          <w:sz w:val="18"/>
          <w:szCs w:val="18"/>
          <w:highlight w:val="none"/>
        </w:rPr>
        <w:t>浙财采监[2013]24号</w:t>
      </w:r>
      <w:r>
        <w:rPr>
          <w:rFonts w:hint="eastAsia" w:cs="仿宋_GB2312" w:asciiTheme="minorEastAsia" w:hAnsiTheme="minorEastAsia" w:eastAsiaTheme="minorEastAsia"/>
          <w:color w:val="auto"/>
          <w:sz w:val="18"/>
          <w:szCs w:val="18"/>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.专门面向中小企业，货物由中小企业制造，即货物由中小企业生产且使用该中小企业商号或者注册商标；提供相应的中小企业声明函（附件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firstLine="480" w:firstLineChars="200"/>
        <w:rPr>
          <w:rFonts w:cs="仿宋" w:asciiTheme="minorEastAsia" w:hAnsiTheme="minorEastAsia"/>
          <w:color w:val="auto"/>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8</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认为需要的其他文件资料或说明…………………………………………（页码）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（采购人）、（采购代理机构）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           （采购编号）</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90</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88" w:name="_Hlk101257010"/>
      <w:r>
        <w:rPr>
          <w:rFonts w:hint="eastAsia" w:ascii="宋体" w:hAnsi="宋体" w:cs="宋体"/>
          <w:color w:val="auto"/>
          <w:sz w:val="24"/>
          <w:highlight w:val="none"/>
        </w:rPr>
        <w:t>（如果有)</w:t>
      </w:r>
      <w:bookmarkEnd w:id="188"/>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pStyle w:val="2"/>
        <w:ind w:firstLine="960" w:firstLineChars="400"/>
        <w:rPr>
          <w:color w:val="auto"/>
          <w:highlight w:val="none"/>
          <w:lang w:val="en-US"/>
        </w:rPr>
      </w:pPr>
      <w:r>
        <w:rPr>
          <w:rFonts w:hint="eastAsia" w:hAnsi="宋体" w:cs="宋体"/>
          <w:color w:val="auto"/>
          <w:highlight w:val="none"/>
          <w:lang w:val="en-US"/>
        </w:rPr>
        <w:t>2.2.8认为需要的其他文件资料或说明；</w:t>
      </w:r>
    </w:p>
    <w:p>
      <w:pPr>
        <w:snapToGrid w:val="0"/>
        <w:spacing w:line="360" w:lineRule="auto"/>
        <w:ind w:left="420" w:leftChars="200" w:firstLine="480" w:firstLineChars="200"/>
        <w:rPr>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 xml:space="preserve">           （采购人）、（采购代理机构）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 xml:space="preserve">         （项目名称）【招标编号：           （采购编号）】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lang w:val="zh-CN"/>
        </w:rPr>
      </w:pPr>
    </w:p>
    <w:p>
      <w:pPr>
        <w:snapToGrid w:val="0"/>
        <w:spacing w:line="360" w:lineRule="auto"/>
        <w:ind w:firstLine="6000" w:firstLineChars="25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 xml:space="preserve">           （采购人）、（采购代理机构）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865"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677"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865"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投标文件按照招标文件要求需签署、盖章的（如法人授权委托书、廉洁自律承诺书、投标标的清单等）</w:t>
            </w:r>
          </w:p>
        </w:tc>
        <w:tc>
          <w:tcPr>
            <w:tcW w:w="3677" w:type="dxa"/>
            <w:vAlign w:val="center"/>
          </w:tcPr>
          <w:p>
            <w:pPr>
              <w:rPr>
                <w:rFonts w:ascii="宋体" w:hAnsi="宋体" w:cs="宋体"/>
                <w:color w:val="auto"/>
                <w:sz w:val="24"/>
                <w:highlight w:val="none"/>
              </w:rPr>
            </w:pPr>
            <w:r>
              <w:rPr>
                <w:rFonts w:hint="eastAsia" w:ascii="宋体" w:hAnsi="宋体" w:cs="宋体"/>
                <w:color w:val="auto"/>
                <w:sz w:val="24"/>
                <w:highlight w:val="none"/>
              </w:rPr>
              <w:t>提供需要使用电子签名或者签字盖章的投标文件的组成部分（法人授权委托书、廉洁自律承诺书、投标标的清单等是否均已签署、盖章）</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3865"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677"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865"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投标文件满足招标文件第三部分采购需求参数里的其它实质性要求（如有）。</w:t>
            </w:r>
          </w:p>
        </w:tc>
        <w:tc>
          <w:tcPr>
            <w:tcW w:w="3677"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提供招标文件需求参数里的其它实质性要求相应的材料（“▲且加下线部分”系指实质性要求条款，招标文件无其它实质性要求的，无需提供）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（按招标文件第四部分评标办法前附表中“投标文件中评标标准相应的商务技术资料目录”提供资料。）【格式自拟】</w:t>
      </w:r>
    </w:p>
    <w:p>
      <w:pPr>
        <w:snapToGrid w:val="0"/>
        <w:spacing w:line="360" w:lineRule="auto"/>
        <w:jc w:val="left"/>
        <w:rPr>
          <w:rFonts w:ascii="宋体" w:hAnsi="宋体" w:cs="宋体"/>
          <w:b/>
          <w:color w:val="auto"/>
          <w:sz w:val="24"/>
          <w:highlight w:val="none"/>
        </w:rPr>
      </w:pPr>
    </w:p>
    <w:p>
      <w:pPr>
        <w:snapToGrid w:val="0"/>
        <w:spacing w:line="360" w:lineRule="auto"/>
        <w:jc w:val="left"/>
        <w:rPr>
          <w:rFonts w:ascii="宋体" w:hAnsi="宋体" w:cs="宋体"/>
          <w:b/>
          <w:color w:val="auto"/>
          <w:sz w:val="24"/>
          <w:highlight w:val="none"/>
        </w:rPr>
      </w:pPr>
    </w:p>
    <w:p>
      <w:pPr>
        <w:pStyle w:val="4"/>
        <w:rPr>
          <w:rFonts w:ascii="宋体" w:hAnsi="宋体" w:cs="宋体"/>
          <w:color w:val="auto"/>
          <w:sz w:val="24"/>
          <w:highlight w:val="none"/>
          <w:lang w:val="en-US"/>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3585"/>
        <w:gridCol w:w="1477"/>
        <w:gridCol w:w="1260"/>
        <w:gridCol w:w="82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5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5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5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ind w:firstLine="576"/>
        <w:jc w:val="center"/>
        <w:rPr>
          <w:rFonts w:ascii="宋体" w:hAnsi="宋体" w:cs="宋体"/>
          <w:color w:val="auto"/>
          <w:kern w:val="0"/>
          <w:sz w:val="24"/>
          <w:highlight w:val="none"/>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投标人名称(电子签名)：                              </w:t>
      </w:r>
    </w:p>
    <w:p>
      <w:pPr>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pStyle w:val="4"/>
        <w:rPr>
          <w:rFonts w:ascii="宋体" w:hAnsi="宋体" w:cs="宋体"/>
          <w:color w:val="auto"/>
          <w:kern w:val="0"/>
          <w:highlight w:val="none"/>
        </w:rPr>
      </w:pPr>
    </w:p>
    <w:p>
      <w:pPr>
        <w:rPr>
          <w:rFonts w:ascii="宋体" w:hAnsi="宋体" w:cs="宋体"/>
          <w:color w:val="auto"/>
          <w:kern w:val="0"/>
          <w:highlight w:val="none"/>
        </w:rPr>
      </w:pPr>
    </w:p>
    <w:p>
      <w:pPr>
        <w:pStyle w:val="2"/>
        <w:rPr>
          <w:rFonts w:ascii="宋体" w:hAnsi="宋体" w:cs="宋体"/>
          <w:color w:val="auto"/>
          <w:kern w:val="0"/>
          <w:highlight w:val="none"/>
        </w:rPr>
      </w:pPr>
    </w:p>
    <w:p>
      <w:pPr>
        <w:rPr>
          <w:rFonts w:ascii="宋体" w:hAnsi="宋体" w:cs="宋体"/>
          <w:color w:val="auto"/>
          <w:kern w:val="0"/>
          <w:highlight w:val="none"/>
        </w:rPr>
      </w:pPr>
    </w:p>
    <w:p>
      <w:pPr>
        <w:pStyle w:val="2"/>
        <w:rPr>
          <w:rFonts w:ascii="宋体" w:hAnsi="宋体" w:cs="宋体"/>
          <w:color w:val="auto"/>
          <w:kern w:val="0"/>
          <w:highlight w:val="none"/>
        </w:rPr>
      </w:pPr>
    </w:p>
    <w:p>
      <w:pPr>
        <w:rPr>
          <w:rFonts w:ascii="宋体" w:hAnsi="宋体" w:cs="宋体"/>
          <w:color w:val="auto"/>
          <w:kern w:val="0"/>
          <w:highlight w:val="none"/>
        </w:rPr>
      </w:pPr>
    </w:p>
    <w:p>
      <w:pPr>
        <w:pStyle w:val="2"/>
        <w:rPr>
          <w:rFonts w:ascii="宋体" w:hAnsi="宋体" w:cs="宋体"/>
          <w:color w:val="auto"/>
          <w:kern w:val="0"/>
          <w:highlight w:val="none"/>
        </w:rPr>
      </w:pPr>
    </w:p>
    <w:p>
      <w:pPr>
        <w:rPr>
          <w:rFonts w:ascii="宋体" w:hAnsi="宋体" w:cs="宋体"/>
          <w:color w:val="auto"/>
          <w:kern w:val="0"/>
          <w:highlight w:val="none"/>
        </w:rPr>
      </w:pPr>
    </w:p>
    <w:p>
      <w:pPr>
        <w:pStyle w:val="2"/>
        <w:rPr>
          <w:rFonts w:ascii="宋体" w:hAnsi="宋体" w:cs="宋体"/>
          <w:color w:val="auto"/>
          <w:kern w:val="0"/>
          <w:highlight w:val="none"/>
        </w:rPr>
      </w:pPr>
    </w:p>
    <w:p>
      <w:pPr>
        <w:rPr>
          <w:rFonts w:ascii="宋体" w:hAnsi="宋体" w:cs="宋体"/>
          <w:color w:val="auto"/>
          <w:kern w:val="0"/>
          <w:highlight w:val="none"/>
        </w:rPr>
      </w:pPr>
    </w:p>
    <w:p>
      <w:pPr>
        <w:pStyle w:val="2"/>
        <w:rPr>
          <w:rFonts w:ascii="宋体" w:hAnsi="宋体" w:cs="宋体"/>
          <w:color w:val="auto"/>
          <w:kern w:val="0"/>
          <w:highlight w:val="none"/>
        </w:rPr>
      </w:pPr>
    </w:p>
    <w:p>
      <w:pPr>
        <w:rPr>
          <w:rFonts w:ascii="宋体" w:hAnsi="宋体" w:cs="宋体"/>
          <w:color w:val="auto"/>
          <w:kern w:val="0"/>
          <w:highlight w:val="none"/>
        </w:rPr>
      </w:pPr>
    </w:p>
    <w:p>
      <w:pPr>
        <w:pStyle w:val="2"/>
      </w:pPr>
    </w:p>
    <w:p>
      <w:pPr>
        <w:rPr>
          <w:color w:val="auto"/>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numPr>
          <w:ilvl w:val="0"/>
          <w:numId w:val="7"/>
        </w:numPr>
        <w:spacing w:line="380" w:lineRule="exact"/>
        <w:rPr>
          <w:rFonts w:ascii="楷体" w:hAnsi="楷体" w:eastAsia="楷体" w:cs="Arial"/>
          <w:color w:val="auto"/>
          <w:sz w:val="24"/>
          <w:highlight w:val="none"/>
          <w:u w:val="single"/>
        </w:rPr>
      </w:pPr>
      <w:r>
        <w:rPr>
          <w:rFonts w:hint="eastAsia" w:ascii="楷体" w:hAnsi="楷体" w:eastAsia="楷体"/>
          <w:bCs/>
          <w:color w:val="auto"/>
          <w:sz w:val="24"/>
          <w:highlight w:val="none"/>
          <w:u w:val="single"/>
        </w:rPr>
        <w:t>▲</w:t>
      </w:r>
      <w:r>
        <w:rPr>
          <w:rFonts w:hint="eastAsia" w:ascii="楷体" w:hAnsi="楷体" w:eastAsia="楷体" w:cs="Arial"/>
          <w:color w:val="auto"/>
          <w:sz w:val="24"/>
          <w:highlight w:val="none"/>
          <w:u w:val="single"/>
        </w:rPr>
        <w:t>没有填写此表视为完全满足招标文件的实质性要求；（必须提供）</w:t>
      </w:r>
    </w:p>
    <w:p>
      <w:pPr>
        <w:numPr>
          <w:ilvl w:val="0"/>
          <w:numId w:val="7"/>
        </w:numPr>
        <w:spacing w:line="380" w:lineRule="exact"/>
        <w:rPr>
          <w:rFonts w:ascii="楷体" w:hAnsi="楷体" w:eastAsia="楷体" w:cs="Arial"/>
          <w:color w:val="auto"/>
          <w:sz w:val="24"/>
          <w:highlight w:val="none"/>
        </w:rPr>
      </w:pPr>
      <w:r>
        <w:rPr>
          <w:rFonts w:hint="eastAsia" w:ascii="楷体" w:hAnsi="楷体" w:eastAsia="楷体" w:cs="Arial"/>
          <w:color w:val="auto"/>
          <w:sz w:val="24"/>
          <w:highlight w:val="none"/>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hAnsi="宋体" w:cs="宋体"/>
          <w:b/>
          <w:bCs/>
          <w:color w:val="auto"/>
          <w:sz w:val="32"/>
          <w:szCs w:val="32"/>
          <w:highlight w:val="none"/>
        </w:rPr>
      </w:pPr>
      <w:r>
        <w:rPr>
          <w:rFonts w:hint="eastAsia" w:ascii="楷体" w:hAnsi="楷体" w:eastAsia="楷体"/>
          <w:color w:val="auto"/>
          <w:sz w:val="24"/>
          <w:highlight w:val="none"/>
        </w:rPr>
        <w:t>3.</w:t>
      </w:r>
      <w:r>
        <w:rPr>
          <w:rFonts w:hint="eastAsia" w:ascii="楷体" w:hAnsi="楷体" w:eastAsia="楷体"/>
          <w:bCs/>
          <w:color w:val="auto"/>
          <w:sz w:val="24"/>
          <w:highlight w:val="none"/>
        </w:rPr>
        <w:t xml:space="preserve"> 投标人可按以上表格形式进行复制。</w:t>
      </w:r>
    </w:p>
    <w:p>
      <w:pPr>
        <w:ind w:firstLine="1911" w:firstLineChars="595"/>
        <w:rPr>
          <w:rFonts w:ascii="宋体" w:hAnsi="宋体" w:cs="宋体"/>
          <w:b/>
          <w:bCs/>
          <w:color w:val="auto"/>
          <w:sz w:val="32"/>
          <w:szCs w:val="32"/>
          <w:highlight w:val="none"/>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pStyle w:val="2"/>
        <w:rPr>
          <w:rFonts w:hAnsi="宋体" w:cs="宋体"/>
          <w:b/>
          <w:bCs/>
          <w:color w:val="auto"/>
          <w:highlight w:val="none"/>
        </w:rPr>
      </w:pPr>
    </w:p>
    <w:p>
      <w:pPr>
        <w:ind w:firstLine="1911" w:firstLineChars="595"/>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八、认为需要的其他文件资料或说明</w:t>
      </w:r>
    </w:p>
    <w:p>
      <w:pPr>
        <w:jc w:val="center"/>
        <w:rPr>
          <w:rFonts w:cs="仿宋" w:asciiTheme="minorEastAsia" w:hAnsiTheme="minorEastAsia" w:eastAsiaTheme="minorEastAsia"/>
          <w:color w:val="auto"/>
          <w:sz w:val="24"/>
          <w:highlight w:val="none"/>
        </w:rPr>
      </w:pPr>
      <w:r>
        <w:rPr>
          <w:rFonts w:hint="eastAsia" w:cs="仿宋" w:asciiTheme="minorEastAsia" w:hAnsiTheme="minorEastAsia"/>
          <w:color w:val="auto"/>
          <w:sz w:val="24"/>
          <w:highlight w:val="none"/>
        </w:rPr>
        <w:t>（由投标人根据采购需求自行编制）</w:t>
      </w:r>
    </w:p>
    <w:p>
      <w:pPr>
        <w:ind w:firstLine="1911" w:firstLineChars="595"/>
        <w:rPr>
          <w:rFonts w:cs="仿宋" w:asciiTheme="minorEastAsia" w:hAnsiTheme="minorEastAsia"/>
          <w:b/>
          <w:color w:val="auto"/>
          <w:kern w:val="0"/>
          <w:sz w:val="32"/>
          <w:szCs w:val="32"/>
          <w:highlight w:val="none"/>
        </w:rPr>
      </w:pPr>
    </w:p>
    <w:p>
      <w:pPr>
        <w:ind w:firstLine="5520" w:firstLineChars="2300"/>
        <w:rPr>
          <w:rFonts w:cs="仿宋" w:asciiTheme="minorEastAsia" w:hAnsiTheme="minorEastAsia"/>
          <w:b/>
          <w:color w:val="auto"/>
          <w:kern w:val="0"/>
          <w:sz w:val="32"/>
          <w:szCs w:val="32"/>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名称(电子签名)：</w:t>
      </w:r>
    </w:p>
    <w:p>
      <w:pPr>
        <w:ind w:firstLine="5743" w:firstLineChars="239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4"/>
        <w:rPr>
          <w:rFonts w:ascii="宋体" w:hAnsi="宋体" w:cs="宋体"/>
          <w:color w:val="auto"/>
          <w:kern w:val="0"/>
          <w:sz w:val="24"/>
          <w:highlight w:val="none"/>
        </w:rPr>
      </w:pPr>
    </w:p>
    <w:p>
      <w:pPr>
        <w:rPr>
          <w:rFonts w:ascii="宋体" w:hAnsi="宋体" w:cs="宋体"/>
          <w:color w:val="auto"/>
          <w:kern w:val="0"/>
          <w:sz w:val="24"/>
          <w:highlight w:val="none"/>
          <w:lang w:val="zh-CN"/>
        </w:rPr>
      </w:pPr>
    </w:p>
    <w:p>
      <w:pPr>
        <w:pStyle w:val="4"/>
        <w:rPr>
          <w:rFonts w:ascii="宋体" w:hAnsi="宋体" w:cs="宋体"/>
          <w:color w:val="auto"/>
          <w:kern w:val="0"/>
          <w:sz w:val="24"/>
          <w:highlight w:val="none"/>
        </w:rPr>
      </w:pPr>
    </w:p>
    <w:p>
      <w:pPr>
        <w:rPr>
          <w:rFonts w:ascii="宋体" w:hAnsi="宋体" w:cs="宋体"/>
          <w:color w:val="auto"/>
          <w:kern w:val="0"/>
          <w:sz w:val="24"/>
          <w:highlight w:val="none"/>
          <w:lang w:val="zh-CN"/>
        </w:rPr>
      </w:pPr>
    </w:p>
    <w:p>
      <w:pPr>
        <w:pStyle w:val="4"/>
        <w:rPr>
          <w:rFonts w:ascii="宋体" w:hAnsi="宋体" w:cs="宋体"/>
          <w:color w:val="auto"/>
          <w:kern w:val="0"/>
          <w:sz w:val="24"/>
          <w:highlight w:val="none"/>
        </w:rPr>
      </w:pPr>
    </w:p>
    <w:p>
      <w:pPr>
        <w:rPr>
          <w:rFonts w:ascii="宋体" w:hAnsi="宋体" w:cs="宋体"/>
          <w:color w:val="auto"/>
          <w:kern w:val="0"/>
          <w:sz w:val="24"/>
          <w:highlight w:val="none"/>
          <w:lang w:val="zh-CN"/>
        </w:rPr>
      </w:pPr>
    </w:p>
    <w:p>
      <w:pPr>
        <w:pStyle w:val="4"/>
        <w:rPr>
          <w:rFonts w:ascii="宋体" w:hAnsi="宋体" w:cs="宋体"/>
          <w:color w:val="auto"/>
          <w:kern w:val="0"/>
          <w:sz w:val="24"/>
          <w:highlight w:val="none"/>
        </w:rPr>
      </w:pPr>
    </w:p>
    <w:p>
      <w:pPr>
        <w:rPr>
          <w:rFonts w:ascii="宋体" w:hAnsi="宋体" w:cs="宋体"/>
          <w:color w:val="auto"/>
          <w:kern w:val="0"/>
          <w:sz w:val="24"/>
          <w:highlight w:val="none"/>
          <w:lang w:val="zh-CN"/>
        </w:rPr>
      </w:pPr>
    </w:p>
    <w:p>
      <w:pPr>
        <w:pStyle w:val="4"/>
        <w:rPr>
          <w:rFonts w:ascii="宋体" w:hAnsi="宋体" w:cs="宋体"/>
          <w:color w:val="auto"/>
          <w:kern w:val="0"/>
          <w:sz w:val="24"/>
          <w:highlight w:val="none"/>
        </w:rPr>
      </w:pPr>
    </w:p>
    <w:p>
      <w:pPr>
        <w:rPr>
          <w:rFonts w:ascii="宋体" w:hAnsi="宋体" w:cs="宋体"/>
          <w:color w:val="auto"/>
          <w:kern w:val="0"/>
          <w:sz w:val="24"/>
          <w:highlight w:val="none"/>
          <w:lang w:val="zh-CN"/>
        </w:rPr>
      </w:pPr>
    </w:p>
    <w:p>
      <w:pPr>
        <w:pStyle w:val="4"/>
        <w:rPr>
          <w:rFonts w:ascii="宋体" w:hAnsi="宋体" w:cs="宋体"/>
          <w:color w:val="auto"/>
          <w:kern w:val="0"/>
          <w:sz w:val="24"/>
          <w:highlight w:val="none"/>
        </w:rPr>
      </w:pPr>
    </w:p>
    <w:p>
      <w:pPr>
        <w:rPr>
          <w:rFonts w:ascii="宋体" w:hAnsi="宋体" w:cs="宋体"/>
          <w:color w:val="auto"/>
          <w:kern w:val="0"/>
          <w:sz w:val="24"/>
          <w:highlight w:val="none"/>
          <w:lang w:val="zh-CN"/>
        </w:rPr>
      </w:pPr>
    </w:p>
    <w:p>
      <w:pPr>
        <w:pStyle w:val="4"/>
        <w:rPr>
          <w:rFonts w:ascii="宋体" w:hAnsi="宋体" w:cs="宋体"/>
          <w:color w:val="auto"/>
          <w:kern w:val="0"/>
          <w:sz w:val="24"/>
          <w:highlight w:val="none"/>
        </w:rPr>
      </w:pPr>
    </w:p>
    <w:p>
      <w:pPr>
        <w:rPr>
          <w:rFonts w:ascii="宋体" w:hAnsi="宋体" w:cs="宋体"/>
          <w:color w:val="auto"/>
          <w:kern w:val="0"/>
          <w:sz w:val="24"/>
          <w:highlight w:val="none"/>
          <w:lang w:val="zh-CN"/>
        </w:rPr>
      </w:pPr>
    </w:p>
    <w:p>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九、</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u w:val="single"/>
        </w:rPr>
      </w:pPr>
      <w:r>
        <w:rPr>
          <w:rFonts w:hint="eastAsia" w:ascii="宋体" w:hAnsi="宋体" w:cs="宋体"/>
          <w:color w:val="auto"/>
          <w:sz w:val="24"/>
          <w:highlight w:val="none"/>
          <w:u w:val="single"/>
        </w:rPr>
        <w:t xml:space="preserve">           （采购人）、（采购代理机构）</w:t>
      </w:r>
      <w:r>
        <w:rPr>
          <w:rFonts w:hint="eastAsia" w:ascii="宋体" w:hAnsi="宋体" w:cs="宋体"/>
          <w:color w:val="auto"/>
          <w:kern w:val="0"/>
          <w:sz w:val="24"/>
          <w:highlight w:val="none"/>
          <w:u w:val="singl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b/>
          <w:bCs/>
          <w:color w:val="auto"/>
          <w:sz w:val="24"/>
          <w:highlight w:val="none"/>
        </w:rPr>
      </w:pPr>
      <w:r>
        <w:rPr>
          <w:rFonts w:hint="eastAsia" w:ascii="宋体" w:hAnsi="宋体" w:cs="宋体"/>
          <w:color w:val="auto"/>
          <w:sz w:val="24"/>
          <w:highlight w:val="none"/>
        </w:rPr>
        <w:t>注：按本格式和要求提供。</w:t>
      </w:r>
    </w:p>
    <w:p>
      <w:pPr>
        <w:rPr>
          <w:rFonts w:ascii="宋体" w:hAnsi="宋体" w:cs="宋体"/>
          <w:b/>
          <w:bCs/>
          <w:color w:val="auto"/>
          <w:sz w:val="24"/>
          <w:highlight w:val="none"/>
        </w:rPr>
      </w:pPr>
    </w:p>
    <w:p>
      <w:pPr>
        <w:pStyle w:val="4"/>
        <w:rPr>
          <w:rFonts w:ascii="宋体" w:hAnsi="宋体" w:cs="宋体"/>
          <w:color w:val="auto"/>
          <w:sz w:val="24"/>
          <w:highlight w:val="none"/>
        </w:rPr>
      </w:pPr>
    </w:p>
    <w:p>
      <w:pPr>
        <w:rPr>
          <w:rFonts w:ascii="宋体" w:hAnsi="宋体" w:cs="宋体"/>
          <w:b/>
          <w:bCs/>
          <w:color w:val="auto"/>
          <w:sz w:val="24"/>
          <w:highlight w:val="none"/>
        </w:rPr>
      </w:pPr>
    </w:p>
    <w:p>
      <w:pPr>
        <w:pStyle w:val="4"/>
        <w:rPr>
          <w:rFonts w:ascii="宋体" w:hAnsi="宋体" w:cs="宋体"/>
          <w:color w:val="auto"/>
          <w:sz w:val="24"/>
          <w:highlight w:val="none"/>
        </w:rPr>
      </w:pPr>
    </w:p>
    <w:p>
      <w:pPr>
        <w:rPr>
          <w:rFonts w:ascii="宋体" w:hAnsi="宋体" w:cs="宋体"/>
          <w:b/>
          <w:bCs/>
          <w:color w:val="auto"/>
          <w:sz w:val="24"/>
          <w:highlight w:val="none"/>
        </w:rPr>
      </w:pPr>
    </w:p>
    <w:p>
      <w:pPr>
        <w:pStyle w:val="4"/>
        <w:rPr>
          <w:color w:val="auto"/>
          <w:highlight w:val="none"/>
        </w:rPr>
      </w:pPr>
    </w:p>
    <w:p>
      <w:pPr>
        <w:pStyle w:val="2"/>
        <w:rPr>
          <w:rFonts w:hAnsi="宋体" w:cs="宋体"/>
          <w:b/>
          <w:bCs/>
          <w:color w:val="auto"/>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 xml:space="preserve">           （采购人）、（采购代理机构）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 xml:space="preserve">         （项目名称）</w:t>
      </w:r>
      <w:r>
        <w:rPr>
          <w:rFonts w:hint="eastAsia" w:ascii="宋体" w:hAnsi="宋体" w:cs="宋体"/>
          <w:color w:val="auto"/>
          <w:kern w:val="0"/>
          <w:sz w:val="24"/>
          <w:highlight w:val="none"/>
          <w:u w:val="single"/>
          <w:lang w:val="zh-CN"/>
        </w:rPr>
        <w:t>【招标编号：           （采购编号）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5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0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212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5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0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52" w:type="dxa"/>
            <w:vAlign w:val="center"/>
          </w:tcPr>
          <w:p>
            <w:pPr>
              <w:snapToGrid w:val="0"/>
              <w:spacing w:line="360" w:lineRule="auto"/>
              <w:jc w:val="center"/>
              <w:rPr>
                <w:rFonts w:ascii="宋体" w:hAnsi="宋体" w:cs="宋体"/>
                <w:color w:val="auto"/>
                <w:sz w:val="24"/>
                <w:highlight w:val="none"/>
              </w:rPr>
            </w:pPr>
          </w:p>
        </w:tc>
        <w:tc>
          <w:tcPr>
            <w:tcW w:w="180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52" w:type="dxa"/>
            <w:vAlign w:val="center"/>
          </w:tcPr>
          <w:p>
            <w:pPr>
              <w:snapToGrid w:val="0"/>
              <w:spacing w:line="360" w:lineRule="auto"/>
              <w:jc w:val="center"/>
              <w:rPr>
                <w:rFonts w:ascii="宋体" w:hAnsi="宋体" w:cs="宋体"/>
                <w:color w:val="auto"/>
                <w:sz w:val="24"/>
                <w:highlight w:val="none"/>
              </w:rPr>
            </w:pPr>
          </w:p>
        </w:tc>
        <w:tc>
          <w:tcPr>
            <w:tcW w:w="180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snapToGrid w:val="0"/>
        <w:spacing w:line="360" w:lineRule="auto"/>
        <w:ind w:firstLine="576"/>
        <w:jc w:val="center"/>
        <w:rPr>
          <w:rFonts w:ascii="宋体" w:hAnsi="宋体" w:cs="宋体"/>
          <w:color w:val="auto"/>
          <w:kern w:val="0"/>
          <w:sz w:val="24"/>
          <w:highlight w:val="none"/>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中小企业声明函（如需）</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189" w:name="OLE_LINK13"/>
      <w:bookmarkStart w:id="190" w:name="OLE_LINK14"/>
      <w:r>
        <w:rPr>
          <w:rFonts w:hint="eastAsia" w:ascii="宋体" w:hAnsi="宋体" w:cs="宋体"/>
          <w:b/>
          <w:color w:val="auto"/>
          <w:spacing w:val="6"/>
          <w:sz w:val="32"/>
          <w:szCs w:val="32"/>
          <w:highlight w:val="none"/>
        </w:rPr>
        <w:t>残疾人福利性单位声明函</w:t>
      </w:r>
    </w:p>
    <w:bookmarkEnd w:id="189"/>
    <w:bookmarkEnd w:id="19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项目名称）</w:t>
      </w:r>
      <w:r>
        <w:rPr>
          <w:rFonts w:hint="eastAsia" w:ascii="宋体" w:hAnsi="宋体" w:cs="宋体"/>
          <w:color w:val="auto"/>
          <w:kern w:val="0"/>
          <w:sz w:val="24"/>
          <w:highlight w:val="none"/>
          <w:u w:val="single"/>
          <w:lang w:val="zh-CN"/>
        </w:rPr>
        <w:t>【招标编号：       （采购编号）</w:t>
      </w:r>
      <w:r>
        <w:rPr>
          <w:rFonts w:hint="eastAsia" w:ascii="宋体" w:hAnsi="宋体" w:cs="宋体"/>
          <w:color w:val="auto"/>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pStyle w:val="4"/>
        <w:rPr>
          <w:color w:val="auto"/>
          <w:highlight w:val="none"/>
        </w:rPr>
      </w:pPr>
    </w:p>
    <w:p>
      <w:pPr>
        <w:rPr>
          <w:color w:val="auto"/>
          <w:highlight w:val="none"/>
        </w:rPr>
      </w:pPr>
    </w:p>
    <w:p>
      <w:pPr>
        <w:spacing w:line="360" w:lineRule="auto"/>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4"/>
        <w:rPr>
          <w:color w:val="auto"/>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联合协议（如需）</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 xml:space="preserve">        （联合体所有成员名称）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kern w:val="0"/>
          <w:sz w:val="24"/>
          <w:highlight w:val="none"/>
        </w:rPr>
        <w:t>_____</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kern w:val="0"/>
          <w:sz w:val="24"/>
          <w:highlight w:val="none"/>
        </w:rPr>
        <w:t>_____</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9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9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提供的服务由小微企业承接，其合同份额占到合同总金额_____%以上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9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92"/>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93" w:name="_Hlk101133173"/>
      <w:r>
        <w:rPr>
          <w:rFonts w:hint="eastAsia" w:ascii="宋体" w:hAnsi="宋体" w:cs="宋体"/>
          <w:color w:val="auto"/>
          <w:sz w:val="24"/>
          <w:highlight w:val="none"/>
        </w:rPr>
        <w:t>中小企业合同金额达到</w:t>
      </w:r>
      <w:r>
        <w:rPr>
          <w:rFonts w:hint="eastAsia" w:ascii="宋体" w:hAnsi="宋体" w:cs="宋体"/>
          <w:color w:val="auto"/>
          <w:kern w:val="0"/>
          <w:sz w:val="24"/>
          <w:highlight w:val="none"/>
        </w:rPr>
        <w:t>___</w:t>
      </w:r>
      <w:r>
        <w:rPr>
          <w:rFonts w:hint="eastAsia" w:ascii="宋体" w:hAnsi="宋体" w:cs="宋体"/>
          <w:color w:val="auto"/>
          <w:sz w:val="24"/>
          <w:highlight w:val="none"/>
        </w:rPr>
        <w:t>%，小微企业合同金额达到</w:t>
      </w:r>
      <w:r>
        <w:rPr>
          <w:rFonts w:hint="eastAsia" w:ascii="宋体" w:hAnsi="宋体" w:cs="宋体"/>
          <w:color w:val="auto"/>
          <w:kern w:val="0"/>
          <w:sz w:val="24"/>
          <w:highlight w:val="none"/>
        </w:rPr>
        <w:t>___</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93"/>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4"/>
        <w:rPr>
          <w:color w:val="auto"/>
          <w:highlight w:val="none"/>
        </w:rPr>
      </w:pPr>
    </w:p>
    <w:p>
      <w:pPr>
        <w:rPr>
          <w:color w:val="auto"/>
          <w:highlight w:val="none"/>
        </w:rPr>
      </w:pPr>
    </w:p>
    <w:p>
      <w:pPr>
        <w:pStyle w:val="4"/>
        <w:rPr>
          <w:color w:val="auto"/>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分包意向协议（如需）</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4"/>
        <w:rPr>
          <w:rFonts w:ascii="宋体" w:hAnsi="宋体" w:cs="宋体"/>
          <w:color w:val="auto"/>
          <w:spacing w:val="6"/>
          <w:highlight w:val="none"/>
        </w:rPr>
      </w:pPr>
    </w:p>
    <w:p>
      <w:pPr>
        <w:rPr>
          <w:color w:val="auto"/>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：中小企业声明函（如需）</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           （采购人）</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（采购编号）</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720" w:firstLineChars="300"/>
        <w:rPr>
          <w:rFonts w:ascii="宋体" w:hAnsi="宋体" w:cs="宋体"/>
          <w:color w:val="auto"/>
          <w:sz w:val="24"/>
          <w:highlight w:val="none"/>
        </w:rPr>
      </w:pP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194" w:name="_Toc91899912"/>
    <w:bookmarkStart w:id="195" w:name="_Toc131845147"/>
    <w:bookmarkStart w:id="196" w:name="_Toc164085800"/>
    <w:bookmarkStart w:id="197" w:name="_Toc36110187"/>
    <w:r>
      <w:rPr>
        <w:rFonts w:hint="eastAsia" w:ascii="仿宋_GB2312" w:eastAsia="仿宋_GB2312"/>
        <w:kern w:val="0"/>
        <w:szCs w:val="21"/>
      </w:rPr>
      <w:t xml:space="preserve"> 页</w:t>
    </w:r>
    <w:bookmarkEnd w:id="194"/>
    <w:bookmarkEnd w:id="195"/>
    <w:bookmarkEnd w:id="196"/>
    <w:bookmarkEnd w:id="1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温</w:t>
    </w:r>
    <w:r>
      <w:t>州市</w:t>
    </w:r>
    <w:r>
      <w:rPr>
        <w:rFonts w:hint="eastAsia"/>
      </w:rPr>
      <w:t>鹿城区</w:t>
    </w:r>
    <w:r>
      <w:t>政府采购公开招标文件</w:t>
    </w:r>
  </w:p>
  <w:p>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温</w:t>
    </w:r>
    <w:r>
      <w:t>州市</w:t>
    </w:r>
    <w:r>
      <w:rPr>
        <w:rFonts w:hint="eastAsia"/>
      </w:rPr>
      <w:t>鹿城区</w:t>
    </w:r>
    <w:r>
      <w:t>政府采购公开招标文件</w:t>
    </w:r>
  </w:p>
  <w:p>
    <w:pPr>
      <w:pStyle w:val="60"/>
      <w:tabs>
        <w:tab w:val="center" w:pos="4535"/>
        <w:tab w:val="right" w:pos="9070"/>
      </w:tabs>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b/>
        <w:i/>
        <w:u w:val="single"/>
      </w:rPr>
    </w:pPr>
    <w:r>
      <w:t></w:t>
    </w:r>
    <w:r>
      <w:rPr>
        <w:rFonts w:hint="eastAsia"/>
      </w:rPr>
      <w:t xml:space="preserve"> 温州市鹿城区政府采购公开招标文件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rPr>
        <w:rFonts w:hint="eastAsia"/>
      </w:rPr>
      <w:t xml:space="preserve"> 温州市鹿城区政府采购公开招标文件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u w:val="single"/>
      </w:rPr>
    </w:pPr>
    <w:r>
      <w:rPr>
        <w:rFonts w:hint="eastAsia"/>
      </w:rPr>
      <w:t xml:space="preserve"> 温州市鹿城区政府采购公开招标文件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温州市鹿城区政府采购公开招标文件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温</w:t>
    </w:r>
    <w:r>
      <w:t>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温州市鹿城区政府采购公开招标文件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F1B1B0D9"/>
    <w:multiLevelType w:val="singleLevel"/>
    <w:tmpl w:val="F1B1B0D9"/>
    <w:lvl w:ilvl="0" w:tentative="0">
      <w:start w:val="1"/>
      <w:numFmt w:val="decimal"/>
      <w:suff w:val="space"/>
      <w:lvlText w:val="%1."/>
      <w:lvlJc w:val="left"/>
      <w:rPr>
        <w:rFonts w:hint="default" w:ascii="Times New Roman" w:hAnsi="Times New Roman" w:cs="Times New Roman"/>
        <w:b w:val="0"/>
        <w:bCs w:val="0"/>
        <w:sz w:val="21"/>
        <w:szCs w:val="21"/>
      </w:rPr>
    </w:lvl>
  </w:abstractNum>
  <w:abstractNum w:abstractNumId="2">
    <w:nsid w:val="F6720CDC"/>
    <w:multiLevelType w:val="singleLevel"/>
    <w:tmpl w:val="F6720CDC"/>
    <w:lvl w:ilvl="0" w:tentative="0">
      <w:start w:val="5"/>
      <w:numFmt w:val="decimal"/>
      <w:suff w:val="space"/>
      <w:lvlText w:val="%1."/>
      <w:lvlJc w:val="left"/>
    </w:lvl>
  </w:abstractNum>
  <w:abstractNum w:abstractNumId="3">
    <w:nsid w:val="19C31724"/>
    <w:multiLevelType w:val="singleLevel"/>
    <w:tmpl w:val="19C31724"/>
    <w:lvl w:ilvl="0" w:tentative="0">
      <w:start w:val="3"/>
      <w:numFmt w:val="chineseCounting"/>
      <w:suff w:val="space"/>
      <w:lvlText w:val="第%1部分"/>
      <w:lvlJc w:val="left"/>
      <w:rPr>
        <w:rFonts w:hint="eastAsia"/>
      </w:rPr>
    </w:lvl>
  </w:abstractNum>
  <w:abstractNum w:abstractNumId="4">
    <w:nsid w:val="342A2736"/>
    <w:multiLevelType w:val="singleLevel"/>
    <w:tmpl w:val="342A2736"/>
    <w:lvl w:ilvl="0" w:tentative="0">
      <w:start w:val="1"/>
      <w:numFmt w:val="chineseCounting"/>
      <w:suff w:val="nothing"/>
      <w:lvlText w:val="%1、"/>
      <w:lvlJc w:val="left"/>
      <w:rPr>
        <w:rFonts w:hint="eastAsia"/>
      </w:rPr>
    </w:lvl>
  </w:abstractNum>
  <w:abstractNum w:abstractNumId="5">
    <w:nsid w:val="4304201C"/>
    <w:multiLevelType w:val="singleLevel"/>
    <w:tmpl w:val="4304201C"/>
    <w:lvl w:ilvl="0" w:tentative="0">
      <w:start w:val="1"/>
      <w:numFmt w:val="decimal"/>
      <w:suff w:val="nothing"/>
      <w:lvlText w:val="%1、"/>
      <w:lvlJc w:val="left"/>
    </w:lvl>
  </w:abstractNum>
  <w:abstractNum w:abstractNumId="6">
    <w:nsid w:val="643DC037"/>
    <w:multiLevelType w:val="singleLevel"/>
    <w:tmpl w:val="643DC03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czYjI1NWY3MzllMTdiMWM0ODVlYTJjMDFkZTBiNGYifQ=="/>
  </w:docVars>
  <w:rsids>
    <w:rsidRoot w:val="00172A27"/>
    <w:rsid w:val="00000451"/>
    <w:rsid w:val="0000108B"/>
    <w:rsid w:val="0000133D"/>
    <w:rsid w:val="00001509"/>
    <w:rsid w:val="00001E3F"/>
    <w:rsid w:val="00002113"/>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BE5"/>
    <w:rsid w:val="0002207B"/>
    <w:rsid w:val="0002211A"/>
    <w:rsid w:val="00022454"/>
    <w:rsid w:val="000232FD"/>
    <w:rsid w:val="00023323"/>
    <w:rsid w:val="000233E4"/>
    <w:rsid w:val="00023495"/>
    <w:rsid w:val="000234EC"/>
    <w:rsid w:val="00023777"/>
    <w:rsid w:val="00024130"/>
    <w:rsid w:val="00024584"/>
    <w:rsid w:val="00024962"/>
    <w:rsid w:val="000249AA"/>
    <w:rsid w:val="00025350"/>
    <w:rsid w:val="000253E5"/>
    <w:rsid w:val="000254C4"/>
    <w:rsid w:val="00025776"/>
    <w:rsid w:val="00026EAC"/>
    <w:rsid w:val="000270F2"/>
    <w:rsid w:val="00027540"/>
    <w:rsid w:val="00030572"/>
    <w:rsid w:val="00030A97"/>
    <w:rsid w:val="00030CB3"/>
    <w:rsid w:val="0003206A"/>
    <w:rsid w:val="0003223D"/>
    <w:rsid w:val="000326A7"/>
    <w:rsid w:val="00032EA0"/>
    <w:rsid w:val="000331B0"/>
    <w:rsid w:val="000336D4"/>
    <w:rsid w:val="00033CE4"/>
    <w:rsid w:val="00034FA7"/>
    <w:rsid w:val="0003533D"/>
    <w:rsid w:val="000357E4"/>
    <w:rsid w:val="00035ACA"/>
    <w:rsid w:val="00036F6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5B9"/>
    <w:rsid w:val="00051B00"/>
    <w:rsid w:val="00051C72"/>
    <w:rsid w:val="00052192"/>
    <w:rsid w:val="0005238F"/>
    <w:rsid w:val="00052787"/>
    <w:rsid w:val="00052BB8"/>
    <w:rsid w:val="0005417A"/>
    <w:rsid w:val="00054D39"/>
    <w:rsid w:val="0005501B"/>
    <w:rsid w:val="000550F5"/>
    <w:rsid w:val="00055337"/>
    <w:rsid w:val="000554C7"/>
    <w:rsid w:val="000559B0"/>
    <w:rsid w:val="00055A6B"/>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4"/>
    <w:rsid w:val="000808C1"/>
    <w:rsid w:val="00080970"/>
    <w:rsid w:val="00081671"/>
    <w:rsid w:val="00082AD4"/>
    <w:rsid w:val="00083E07"/>
    <w:rsid w:val="00084A3E"/>
    <w:rsid w:val="00084D27"/>
    <w:rsid w:val="00084ED6"/>
    <w:rsid w:val="00085539"/>
    <w:rsid w:val="0008580E"/>
    <w:rsid w:val="00085A0E"/>
    <w:rsid w:val="00085C4F"/>
    <w:rsid w:val="00086EFD"/>
    <w:rsid w:val="00086F8A"/>
    <w:rsid w:val="00087031"/>
    <w:rsid w:val="00090243"/>
    <w:rsid w:val="0009036C"/>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6A9"/>
    <w:rsid w:val="000A3D58"/>
    <w:rsid w:val="000A3FE3"/>
    <w:rsid w:val="000A47B0"/>
    <w:rsid w:val="000A47C9"/>
    <w:rsid w:val="000A4851"/>
    <w:rsid w:val="000A49BB"/>
    <w:rsid w:val="000A4F22"/>
    <w:rsid w:val="000A5674"/>
    <w:rsid w:val="000A5A46"/>
    <w:rsid w:val="000A6702"/>
    <w:rsid w:val="000A7299"/>
    <w:rsid w:val="000A7528"/>
    <w:rsid w:val="000A752E"/>
    <w:rsid w:val="000B0E04"/>
    <w:rsid w:val="000B1D51"/>
    <w:rsid w:val="000B1FCE"/>
    <w:rsid w:val="000B268D"/>
    <w:rsid w:val="000B291B"/>
    <w:rsid w:val="000B456C"/>
    <w:rsid w:val="000B45B9"/>
    <w:rsid w:val="000B47CE"/>
    <w:rsid w:val="000B4B56"/>
    <w:rsid w:val="000B4C62"/>
    <w:rsid w:val="000B541D"/>
    <w:rsid w:val="000B54C1"/>
    <w:rsid w:val="000B5553"/>
    <w:rsid w:val="000B5FE8"/>
    <w:rsid w:val="000B666E"/>
    <w:rsid w:val="000C0A43"/>
    <w:rsid w:val="000C0BB9"/>
    <w:rsid w:val="000C0CB1"/>
    <w:rsid w:val="000C1411"/>
    <w:rsid w:val="000C1ADE"/>
    <w:rsid w:val="000C1C38"/>
    <w:rsid w:val="000C21DC"/>
    <w:rsid w:val="000C2264"/>
    <w:rsid w:val="000C256B"/>
    <w:rsid w:val="000C3970"/>
    <w:rsid w:val="000C3B1A"/>
    <w:rsid w:val="000C4727"/>
    <w:rsid w:val="000C47AE"/>
    <w:rsid w:val="000C49A7"/>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3EB"/>
    <w:rsid w:val="000D6C9F"/>
    <w:rsid w:val="000D6E3B"/>
    <w:rsid w:val="000D6F30"/>
    <w:rsid w:val="000D74E4"/>
    <w:rsid w:val="000D7C9D"/>
    <w:rsid w:val="000D7CE0"/>
    <w:rsid w:val="000E058F"/>
    <w:rsid w:val="000E2785"/>
    <w:rsid w:val="000E27BB"/>
    <w:rsid w:val="000E2AEB"/>
    <w:rsid w:val="000E3153"/>
    <w:rsid w:val="000E3484"/>
    <w:rsid w:val="000E386F"/>
    <w:rsid w:val="000E4051"/>
    <w:rsid w:val="000E4139"/>
    <w:rsid w:val="000E4765"/>
    <w:rsid w:val="000E5B51"/>
    <w:rsid w:val="000E5B7E"/>
    <w:rsid w:val="000E5FF9"/>
    <w:rsid w:val="000E6AE1"/>
    <w:rsid w:val="000E7142"/>
    <w:rsid w:val="000E751E"/>
    <w:rsid w:val="000E7632"/>
    <w:rsid w:val="000E7737"/>
    <w:rsid w:val="000E7739"/>
    <w:rsid w:val="000E77EE"/>
    <w:rsid w:val="000F1604"/>
    <w:rsid w:val="000F287A"/>
    <w:rsid w:val="000F2940"/>
    <w:rsid w:val="000F2AB3"/>
    <w:rsid w:val="000F3D08"/>
    <w:rsid w:val="000F4495"/>
    <w:rsid w:val="000F4524"/>
    <w:rsid w:val="000F4667"/>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26B"/>
    <w:rsid w:val="0011383E"/>
    <w:rsid w:val="00113EE3"/>
    <w:rsid w:val="00114847"/>
    <w:rsid w:val="0011585B"/>
    <w:rsid w:val="00115B1A"/>
    <w:rsid w:val="001160FF"/>
    <w:rsid w:val="001163B4"/>
    <w:rsid w:val="001164F4"/>
    <w:rsid w:val="001168F8"/>
    <w:rsid w:val="001176FF"/>
    <w:rsid w:val="00117C94"/>
    <w:rsid w:val="0012153F"/>
    <w:rsid w:val="0012159D"/>
    <w:rsid w:val="00121804"/>
    <w:rsid w:val="00121EC9"/>
    <w:rsid w:val="001224FE"/>
    <w:rsid w:val="001231D3"/>
    <w:rsid w:val="001232A7"/>
    <w:rsid w:val="00123F7C"/>
    <w:rsid w:val="0012419E"/>
    <w:rsid w:val="001248EF"/>
    <w:rsid w:val="00124958"/>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D4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E3E"/>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7BF"/>
    <w:rsid w:val="00194BB1"/>
    <w:rsid w:val="00194BC6"/>
    <w:rsid w:val="00194DE5"/>
    <w:rsid w:val="00194EFC"/>
    <w:rsid w:val="00195070"/>
    <w:rsid w:val="00195245"/>
    <w:rsid w:val="0019526D"/>
    <w:rsid w:val="0019553F"/>
    <w:rsid w:val="001956BE"/>
    <w:rsid w:val="00195731"/>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4A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2F1"/>
    <w:rsid w:val="001C08DB"/>
    <w:rsid w:val="001C10BD"/>
    <w:rsid w:val="001C1F01"/>
    <w:rsid w:val="001C2092"/>
    <w:rsid w:val="001C232F"/>
    <w:rsid w:val="001C2544"/>
    <w:rsid w:val="001C2A17"/>
    <w:rsid w:val="001C31F5"/>
    <w:rsid w:val="001C35BF"/>
    <w:rsid w:val="001C6047"/>
    <w:rsid w:val="001C6099"/>
    <w:rsid w:val="001C6698"/>
    <w:rsid w:val="001C6C5B"/>
    <w:rsid w:val="001C70A4"/>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6B9"/>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9DC"/>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587"/>
    <w:rsid w:val="00227214"/>
    <w:rsid w:val="00227DDC"/>
    <w:rsid w:val="0023079F"/>
    <w:rsid w:val="00231135"/>
    <w:rsid w:val="002317C6"/>
    <w:rsid w:val="00231B0B"/>
    <w:rsid w:val="00232555"/>
    <w:rsid w:val="0023329F"/>
    <w:rsid w:val="00233538"/>
    <w:rsid w:val="00234248"/>
    <w:rsid w:val="0023449F"/>
    <w:rsid w:val="002344F5"/>
    <w:rsid w:val="0023454D"/>
    <w:rsid w:val="00234679"/>
    <w:rsid w:val="002359FC"/>
    <w:rsid w:val="002361C8"/>
    <w:rsid w:val="00236675"/>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74F"/>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BBB"/>
    <w:rsid w:val="00275D6E"/>
    <w:rsid w:val="00277196"/>
    <w:rsid w:val="002775ED"/>
    <w:rsid w:val="002778AB"/>
    <w:rsid w:val="002802A5"/>
    <w:rsid w:val="00280CFB"/>
    <w:rsid w:val="00280D24"/>
    <w:rsid w:val="002814A6"/>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CCB"/>
    <w:rsid w:val="00294012"/>
    <w:rsid w:val="002945B0"/>
    <w:rsid w:val="0029499D"/>
    <w:rsid w:val="00294A13"/>
    <w:rsid w:val="00294B10"/>
    <w:rsid w:val="00294DF9"/>
    <w:rsid w:val="00295073"/>
    <w:rsid w:val="00295468"/>
    <w:rsid w:val="00296C32"/>
    <w:rsid w:val="002975CF"/>
    <w:rsid w:val="002977CE"/>
    <w:rsid w:val="00297AF5"/>
    <w:rsid w:val="00297E7A"/>
    <w:rsid w:val="002A02D6"/>
    <w:rsid w:val="002A07C4"/>
    <w:rsid w:val="002A0921"/>
    <w:rsid w:val="002A0CB3"/>
    <w:rsid w:val="002A1887"/>
    <w:rsid w:val="002A2001"/>
    <w:rsid w:val="002A22B4"/>
    <w:rsid w:val="002A4060"/>
    <w:rsid w:val="002A41AB"/>
    <w:rsid w:val="002A4868"/>
    <w:rsid w:val="002A4A05"/>
    <w:rsid w:val="002A4EB3"/>
    <w:rsid w:val="002A51D9"/>
    <w:rsid w:val="002A525A"/>
    <w:rsid w:val="002A5968"/>
    <w:rsid w:val="002A5CAB"/>
    <w:rsid w:val="002A5D40"/>
    <w:rsid w:val="002A622E"/>
    <w:rsid w:val="002A6424"/>
    <w:rsid w:val="002A64E7"/>
    <w:rsid w:val="002A68D8"/>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1E3"/>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2FA"/>
    <w:rsid w:val="002C5D5E"/>
    <w:rsid w:val="002C6116"/>
    <w:rsid w:val="002C643D"/>
    <w:rsid w:val="002C66B8"/>
    <w:rsid w:val="002C70E7"/>
    <w:rsid w:val="002D01BA"/>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6E"/>
    <w:rsid w:val="002D7DB2"/>
    <w:rsid w:val="002D7DBD"/>
    <w:rsid w:val="002D7EA8"/>
    <w:rsid w:val="002E00E1"/>
    <w:rsid w:val="002E0102"/>
    <w:rsid w:val="002E03AE"/>
    <w:rsid w:val="002E0542"/>
    <w:rsid w:val="002E05F2"/>
    <w:rsid w:val="002E0E87"/>
    <w:rsid w:val="002E12FA"/>
    <w:rsid w:val="002E13CF"/>
    <w:rsid w:val="002E1D81"/>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713"/>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07F"/>
    <w:rsid w:val="0031752D"/>
    <w:rsid w:val="00317709"/>
    <w:rsid w:val="00317F7F"/>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493"/>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9EE"/>
    <w:rsid w:val="0035005C"/>
    <w:rsid w:val="00350896"/>
    <w:rsid w:val="00350C31"/>
    <w:rsid w:val="00350C9F"/>
    <w:rsid w:val="00351391"/>
    <w:rsid w:val="003519CD"/>
    <w:rsid w:val="00351A3A"/>
    <w:rsid w:val="0035455F"/>
    <w:rsid w:val="00354A88"/>
    <w:rsid w:val="00355D75"/>
    <w:rsid w:val="00355D8F"/>
    <w:rsid w:val="00356A73"/>
    <w:rsid w:val="00356E48"/>
    <w:rsid w:val="00356FF0"/>
    <w:rsid w:val="003577EF"/>
    <w:rsid w:val="0035799C"/>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AFE"/>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23"/>
    <w:rsid w:val="00396831"/>
    <w:rsid w:val="00396FBC"/>
    <w:rsid w:val="003971A1"/>
    <w:rsid w:val="003A03D0"/>
    <w:rsid w:val="003A0F6B"/>
    <w:rsid w:val="003A12B6"/>
    <w:rsid w:val="003A1C44"/>
    <w:rsid w:val="003A20D5"/>
    <w:rsid w:val="003A24CC"/>
    <w:rsid w:val="003A2512"/>
    <w:rsid w:val="003A2A53"/>
    <w:rsid w:val="003A2EE8"/>
    <w:rsid w:val="003A373C"/>
    <w:rsid w:val="003A38DA"/>
    <w:rsid w:val="003A4494"/>
    <w:rsid w:val="003A5378"/>
    <w:rsid w:val="003A553C"/>
    <w:rsid w:val="003A56DF"/>
    <w:rsid w:val="003A6008"/>
    <w:rsid w:val="003A703F"/>
    <w:rsid w:val="003A7E2B"/>
    <w:rsid w:val="003A7E40"/>
    <w:rsid w:val="003B0336"/>
    <w:rsid w:val="003B0A3A"/>
    <w:rsid w:val="003B0D79"/>
    <w:rsid w:val="003B2930"/>
    <w:rsid w:val="003B31A7"/>
    <w:rsid w:val="003B400A"/>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55B"/>
    <w:rsid w:val="003C3292"/>
    <w:rsid w:val="003C3C1E"/>
    <w:rsid w:val="003C3D88"/>
    <w:rsid w:val="003C4134"/>
    <w:rsid w:val="003C435B"/>
    <w:rsid w:val="003C4EBE"/>
    <w:rsid w:val="003C5648"/>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02"/>
    <w:rsid w:val="003D4685"/>
    <w:rsid w:val="003D4A41"/>
    <w:rsid w:val="003D4CDF"/>
    <w:rsid w:val="003D514A"/>
    <w:rsid w:val="003D5ADB"/>
    <w:rsid w:val="003D6448"/>
    <w:rsid w:val="003D646C"/>
    <w:rsid w:val="003D663E"/>
    <w:rsid w:val="003D664B"/>
    <w:rsid w:val="003D6793"/>
    <w:rsid w:val="003D6B03"/>
    <w:rsid w:val="003D75D8"/>
    <w:rsid w:val="003E006E"/>
    <w:rsid w:val="003E0726"/>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0"/>
    <w:rsid w:val="003F7425"/>
    <w:rsid w:val="003F765B"/>
    <w:rsid w:val="003F7CB8"/>
    <w:rsid w:val="00400CB4"/>
    <w:rsid w:val="00401386"/>
    <w:rsid w:val="004013E6"/>
    <w:rsid w:val="00401E31"/>
    <w:rsid w:val="00402BBA"/>
    <w:rsid w:val="00403457"/>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4C4D"/>
    <w:rsid w:val="00415034"/>
    <w:rsid w:val="00415B1A"/>
    <w:rsid w:val="00415DFD"/>
    <w:rsid w:val="00416208"/>
    <w:rsid w:val="0041690F"/>
    <w:rsid w:val="004169D3"/>
    <w:rsid w:val="00416C2B"/>
    <w:rsid w:val="00416D41"/>
    <w:rsid w:val="00416E70"/>
    <w:rsid w:val="00417264"/>
    <w:rsid w:val="0041729B"/>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5D6"/>
    <w:rsid w:val="00432ECA"/>
    <w:rsid w:val="00434054"/>
    <w:rsid w:val="00434A87"/>
    <w:rsid w:val="0043554E"/>
    <w:rsid w:val="004355D4"/>
    <w:rsid w:val="004357B1"/>
    <w:rsid w:val="00435821"/>
    <w:rsid w:val="0043583E"/>
    <w:rsid w:val="00436185"/>
    <w:rsid w:val="00436CCE"/>
    <w:rsid w:val="00436EAD"/>
    <w:rsid w:val="004375E1"/>
    <w:rsid w:val="00437A2F"/>
    <w:rsid w:val="00440262"/>
    <w:rsid w:val="004406BF"/>
    <w:rsid w:val="00440814"/>
    <w:rsid w:val="004408AE"/>
    <w:rsid w:val="00440C4F"/>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A49"/>
    <w:rsid w:val="0045277C"/>
    <w:rsid w:val="00453507"/>
    <w:rsid w:val="00453592"/>
    <w:rsid w:val="004543AB"/>
    <w:rsid w:val="004545EC"/>
    <w:rsid w:val="00454D32"/>
    <w:rsid w:val="00455967"/>
    <w:rsid w:val="0045598D"/>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35A"/>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77D07"/>
    <w:rsid w:val="0048055E"/>
    <w:rsid w:val="00480958"/>
    <w:rsid w:val="00480C2B"/>
    <w:rsid w:val="00480DC5"/>
    <w:rsid w:val="00480FD9"/>
    <w:rsid w:val="0048131D"/>
    <w:rsid w:val="00481D0B"/>
    <w:rsid w:val="004824A9"/>
    <w:rsid w:val="00483091"/>
    <w:rsid w:val="00483140"/>
    <w:rsid w:val="00483984"/>
    <w:rsid w:val="00483BC7"/>
    <w:rsid w:val="00483CF0"/>
    <w:rsid w:val="004847E7"/>
    <w:rsid w:val="00484D4D"/>
    <w:rsid w:val="00486516"/>
    <w:rsid w:val="0048664F"/>
    <w:rsid w:val="004868AD"/>
    <w:rsid w:val="00486D00"/>
    <w:rsid w:val="00487FE1"/>
    <w:rsid w:val="00490310"/>
    <w:rsid w:val="00490707"/>
    <w:rsid w:val="00490815"/>
    <w:rsid w:val="0049117E"/>
    <w:rsid w:val="00492503"/>
    <w:rsid w:val="004925C8"/>
    <w:rsid w:val="00492AF9"/>
    <w:rsid w:val="00492B76"/>
    <w:rsid w:val="0049333E"/>
    <w:rsid w:val="0049418F"/>
    <w:rsid w:val="004951B7"/>
    <w:rsid w:val="0049570D"/>
    <w:rsid w:val="00495C48"/>
    <w:rsid w:val="00495DC6"/>
    <w:rsid w:val="00496711"/>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75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C19"/>
    <w:rsid w:val="004C4F8F"/>
    <w:rsid w:val="004C5F4B"/>
    <w:rsid w:val="004C612E"/>
    <w:rsid w:val="004C61B8"/>
    <w:rsid w:val="004C69FE"/>
    <w:rsid w:val="004C6C0A"/>
    <w:rsid w:val="004C6C6D"/>
    <w:rsid w:val="004C77FF"/>
    <w:rsid w:val="004C7DB0"/>
    <w:rsid w:val="004C7FFC"/>
    <w:rsid w:val="004D0223"/>
    <w:rsid w:val="004D036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0DF4"/>
    <w:rsid w:val="004E0E1D"/>
    <w:rsid w:val="004E109C"/>
    <w:rsid w:val="004E1D6F"/>
    <w:rsid w:val="004E1DF3"/>
    <w:rsid w:val="004E2393"/>
    <w:rsid w:val="004E3117"/>
    <w:rsid w:val="004E3A2A"/>
    <w:rsid w:val="004E3A48"/>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B18"/>
    <w:rsid w:val="004F0D1F"/>
    <w:rsid w:val="004F0E82"/>
    <w:rsid w:val="004F1523"/>
    <w:rsid w:val="004F1847"/>
    <w:rsid w:val="004F1CE1"/>
    <w:rsid w:val="004F1F9E"/>
    <w:rsid w:val="004F2CB6"/>
    <w:rsid w:val="004F2E6E"/>
    <w:rsid w:val="004F3015"/>
    <w:rsid w:val="004F313F"/>
    <w:rsid w:val="004F367F"/>
    <w:rsid w:val="004F3B5A"/>
    <w:rsid w:val="004F3EEF"/>
    <w:rsid w:val="004F43A7"/>
    <w:rsid w:val="004F447B"/>
    <w:rsid w:val="004F497C"/>
    <w:rsid w:val="004F4FAC"/>
    <w:rsid w:val="004F4FE8"/>
    <w:rsid w:val="004F531B"/>
    <w:rsid w:val="004F560C"/>
    <w:rsid w:val="004F5DBB"/>
    <w:rsid w:val="004F60B4"/>
    <w:rsid w:val="004F61A3"/>
    <w:rsid w:val="004F628C"/>
    <w:rsid w:val="004F6874"/>
    <w:rsid w:val="004F7922"/>
    <w:rsid w:val="004F7A1F"/>
    <w:rsid w:val="004F7B47"/>
    <w:rsid w:val="0050079C"/>
    <w:rsid w:val="0050106A"/>
    <w:rsid w:val="005010BC"/>
    <w:rsid w:val="00501848"/>
    <w:rsid w:val="00502B31"/>
    <w:rsid w:val="0050434C"/>
    <w:rsid w:val="0050537D"/>
    <w:rsid w:val="0050585D"/>
    <w:rsid w:val="0050591C"/>
    <w:rsid w:val="005059BD"/>
    <w:rsid w:val="00505E7E"/>
    <w:rsid w:val="005060AE"/>
    <w:rsid w:val="00506FF6"/>
    <w:rsid w:val="00507317"/>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FED"/>
    <w:rsid w:val="00516069"/>
    <w:rsid w:val="00517AC8"/>
    <w:rsid w:val="00517C3E"/>
    <w:rsid w:val="005202EF"/>
    <w:rsid w:val="005207D8"/>
    <w:rsid w:val="0052091D"/>
    <w:rsid w:val="005212F4"/>
    <w:rsid w:val="005213C7"/>
    <w:rsid w:val="00521908"/>
    <w:rsid w:val="005224BC"/>
    <w:rsid w:val="00522791"/>
    <w:rsid w:val="00522928"/>
    <w:rsid w:val="00522FF1"/>
    <w:rsid w:val="005235D8"/>
    <w:rsid w:val="005238F3"/>
    <w:rsid w:val="00523946"/>
    <w:rsid w:val="0052397A"/>
    <w:rsid w:val="00523AA6"/>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1C3"/>
    <w:rsid w:val="005324D7"/>
    <w:rsid w:val="005326F0"/>
    <w:rsid w:val="00532764"/>
    <w:rsid w:val="00532AA5"/>
    <w:rsid w:val="00532C5F"/>
    <w:rsid w:val="00533233"/>
    <w:rsid w:val="005335A2"/>
    <w:rsid w:val="00533D13"/>
    <w:rsid w:val="00533DEC"/>
    <w:rsid w:val="00534026"/>
    <w:rsid w:val="00534D55"/>
    <w:rsid w:val="00535B53"/>
    <w:rsid w:val="005360C7"/>
    <w:rsid w:val="00536B03"/>
    <w:rsid w:val="00537456"/>
    <w:rsid w:val="0053790C"/>
    <w:rsid w:val="00537B3D"/>
    <w:rsid w:val="00540346"/>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6FFD"/>
    <w:rsid w:val="00547BA2"/>
    <w:rsid w:val="00550AC5"/>
    <w:rsid w:val="00550B7E"/>
    <w:rsid w:val="00551052"/>
    <w:rsid w:val="005524B9"/>
    <w:rsid w:val="005524ED"/>
    <w:rsid w:val="00552D07"/>
    <w:rsid w:val="00553F91"/>
    <w:rsid w:val="00554007"/>
    <w:rsid w:val="00554C03"/>
    <w:rsid w:val="00554C58"/>
    <w:rsid w:val="00554D5D"/>
    <w:rsid w:val="005550F9"/>
    <w:rsid w:val="00556338"/>
    <w:rsid w:val="00556441"/>
    <w:rsid w:val="00556961"/>
    <w:rsid w:val="00557031"/>
    <w:rsid w:val="00557F87"/>
    <w:rsid w:val="00560841"/>
    <w:rsid w:val="005609E8"/>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043"/>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132"/>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12E"/>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E03"/>
    <w:rsid w:val="005A4F48"/>
    <w:rsid w:val="005A54F1"/>
    <w:rsid w:val="005A57B8"/>
    <w:rsid w:val="005A5DDE"/>
    <w:rsid w:val="005A64A8"/>
    <w:rsid w:val="005A65C5"/>
    <w:rsid w:val="005A6875"/>
    <w:rsid w:val="005A7016"/>
    <w:rsid w:val="005A7A32"/>
    <w:rsid w:val="005A7F85"/>
    <w:rsid w:val="005B00DD"/>
    <w:rsid w:val="005B03B1"/>
    <w:rsid w:val="005B07D5"/>
    <w:rsid w:val="005B0A29"/>
    <w:rsid w:val="005B0E0B"/>
    <w:rsid w:val="005B1A8A"/>
    <w:rsid w:val="005B1AAB"/>
    <w:rsid w:val="005B2578"/>
    <w:rsid w:val="005B2930"/>
    <w:rsid w:val="005B2B87"/>
    <w:rsid w:val="005B2FAA"/>
    <w:rsid w:val="005B33C8"/>
    <w:rsid w:val="005B387B"/>
    <w:rsid w:val="005B3B01"/>
    <w:rsid w:val="005B4333"/>
    <w:rsid w:val="005B48BE"/>
    <w:rsid w:val="005B4B75"/>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00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03C"/>
    <w:rsid w:val="005D4854"/>
    <w:rsid w:val="005D4CED"/>
    <w:rsid w:val="005D5BCF"/>
    <w:rsid w:val="005D65BF"/>
    <w:rsid w:val="005D6D84"/>
    <w:rsid w:val="005D70A1"/>
    <w:rsid w:val="005D79F2"/>
    <w:rsid w:val="005D7CB1"/>
    <w:rsid w:val="005D7F57"/>
    <w:rsid w:val="005E0067"/>
    <w:rsid w:val="005E0141"/>
    <w:rsid w:val="005E09CA"/>
    <w:rsid w:val="005E1AB4"/>
    <w:rsid w:val="005E2186"/>
    <w:rsid w:val="005E255B"/>
    <w:rsid w:val="005E2CF0"/>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31B"/>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4903"/>
    <w:rsid w:val="00604A59"/>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837"/>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253"/>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BFE"/>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7BE"/>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78A"/>
    <w:rsid w:val="006753AC"/>
    <w:rsid w:val="00675430"/>
    <w:rsid w:val="006755F0"/>
    <w:rsid w:val="00675749"/>
    <w:rsid w:val="006759FE"/>
    <w:rsid w:val="00677382"/>
    <w:rsid w:val="0067772D"/>
    <w:rsid w:val="00677991"/>
    <w:rsid w:val="00677AD2"/>
    <w:rsid w:val="00677BAC"/>
    <w:rsid w:val="00680326"/>
    <w:rsid w:val="00680714"/>
    <w:rsid w:val="0068071D"/>
    <w:rsid w:val="00680C6B"/>
    <w:rsid w:val="006811F3"/>
    <w:rsid w:val="00681240"/>
    <w:rsid w:val="00681E43"/>
    <w:rsid w:val="00683068"/>
    <w:rsid w:val="00683DAD"/>
    <w:rsid w:val="00684592"/>
    <w:rsid w:val="00684963"/>
    <w:rsid w:val="00685033"/>
    <w:rsid w:val="0068517F"/>
    <w:rsid w:val="006853D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BF5"/>
    <w:rsid w:val="006B4CF8"/>
    <w:rsid w:val="006B506B"/>
    <w:rsid w:val="006B54E8"/>
    <w:rsid w:val="006B5FBC"/>
    <w:rsid w:val="006B6ED2"/>
    <w:rsid w:val="006B78F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56C"/>
    <w:rsid w:val="006D69E9"/>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764"/>
    <w:rsid w:val="006F40D0"/>
    <w:rsid w:val="006F41F4"/>
    <w:rsid w:val="006F4576"/>
    <w:rsid w:val="006F49D2"/>
    <w:rsid w:val="006F5813"/>
    <w:rsid w:val="006F59A8"/>
    <w:rsid w:val="006F5A1D"/>
    <w:rsid w:val="006F5F9A"/>
    <w:rsid w:val="006F6A75"/>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0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DE4"/>
    <w:rsid w:val="00721FC3"/>
    <w:rsid w:val="00722A86"/>
    <w:rsid w:val="00722BC6"/>
    <w:rsid w:val="00722C69"/>
    <w:rsid w:val="0072311F"/>
    <w:rsid w:val="0072388C"/>
    <w:rsid w:val="0072454E"/>
    <w:rsid w:val="007249D1"/>
    <w:rsid w:val="00724FE4"/>
    <w:rsid w:val="00725829"/>
    <w:rsid w:val="00725D6A"/>
    <w:rsid w:val="00726144"/>
    <w:rsid w:val="007263A2"/>
    <w:rsid w:val="007266B9"/>
    <w:rsid w:val="00726BEA"/>
    <w:rsid w:val="00727351"/>
    <w:rsid w:val="00727AC5"/>
    <w:rsid w:val="00727C65"/>
    <w:rsid w:val="007300F0"/>
    <w:rsid w:val="00730904"/>
    <w:rsid w:val="00731276"/>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408"/>
    <w:rsid w:val="00742D32"/>
    <w:rsid w:val="00742E9B"/>
    <w:rsid w:val="007444E6"/>
    <w:rsid w:val="00744614"/>
    <w:rsid w:val="0074592C"/>
    <w:rsid w:val="00745C91"/>
    <w:rsid w:val="00746098"/>
    <w:rsid w:val="00746814"/>
    <w:rsid w:val="00746B56"/>
    <w:rsid w:val="00746D58"/>
    <w:rsid w:val="00747364"/>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614"/>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7B7"/>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11"/>
    <w:rsid w:val="00796292"/>
    <w:rsid w:val="007965D9"/>
    <w:rsid w:val="00796BA2"/>
    <w:rsid w:val="007972D5"/>
    <w:rsid w:val="0079778D"/>
    <w:rsid w:val="00797D73"/>
    <w:rsid w:val="007A006C"/>
    <w:rsid w:val="007A0789"/>
    <w:rsid w:val="007A0ED0"/>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D7"/>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E9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A8F"/>
    <w:rsid w:val="007E347E"/>
    <w:rsid w:val="007E41A4"/>
    <w:rsid w:val="007E43E3"/>
    <w:rsid w:val="007E51A7"/>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40A"/>
    <w:rsid w:val="007F6542"/>
    <w:rsid w:val="007F682B"/>
    <w:rsid w:val="007F78E8"/>
    <w:rsid w:val="007F7F8F"/>
    <w:rsid w:val="007F7FBE"/>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BF4"/>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F8E"/>
    <w:rsid w:val="00827FEE"/>
    <w:rsid w:val="00830052"/>
    <w:rsid w:val="008300D0"/>
    <w:rsid w:val="0083015F"/>
    <w:rsid w:val="008308D8"/>
    <w:rsid w:val="00830ECE"/>
    <w:rsid w:val="008320D2"/>
    <w:rsid w:val="008321CE"/>
    <w:rsid w:val="0083257C"/>
    <w:rsid w:val="0083261B"/>
    <w:rsid w:val="00832B44"/>
    <w:rsid w:val="00832EC9"/>
    <w:rsid w:val="00833307"/>
    <w:rsid w:val="00833583"/>
    <w:rsid w:val="00833B5B"/>
    <w:rsid w:val="00833E9A"/>
    <w:rsid w:val="0083449E"/>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384"/>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08C"/>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0F0E"/>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244"/>
    <w:rsid w:val="00882991"/>
    <w:rsid w:val="00882EC1"/>
    <w:rsid w:val="0088324E"/>
    <w:rsid w:val="0088434F"/>
    <w:rsid w:val="00884371"/>
    <w:rsid w:val="008848E2"/>
    <w:rsid w:val="00884B7A"/>
    <w:rsid w:val="00884D47"/>
    <w:rsid w:val="008856C5"/>
    <w:rsid w:val="00886112"/>
    <w:rsid w:val="00886E17"/>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8CE"/>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93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D76"/>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D7C50"/>
    <w:rsid w:val="008E00A0"/>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66"/>
    <w:rsid w:val="008F1764"/>
    <w:rsid w:val="008F1E3D"/>
    <w:rsid w:val="008F235C"/>
    <w:rsid w:val="008F290B"/>
    <w:rsid w:val="008F2F11"/>
    <w:rsid w:val="008F2F26"/>
    <w:rsid w:val="008F3369"/>
    <w:rsid w:val="008F33A6"/>
    <w:rsid w:val="008F35EC"/>
    <w:rsid w:val="008F4FE8"/>
    <w:rsid w:val="008F4FED"/>
    <w:rsid w:val="008F5D5A"/>
    <w:rsid w:val="008F60F3"/>
    <w:rsid w:val="008F6200"/>
    <w:rsid w:val="008F62F8"/>
    <w:rsid w:val="008F6746"/>
    <w:rsid w:val="008F6893"/>
    <w:rsid w:val="008F7292"/>
    <w:rsid w:val="008F76C0"/>
    <w:rsid w:val="008F7A49"/>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BA1"/>
    <w:rsid w:val="00911D61"/>
    <w:rsid w:val="00912850"/>
    <w:rsid w:val="009128B8"/>
    <w:rsid w:val="0091309A"/>
    <w:rsid w:val="009141F2"/>
    <w:rsid w:val="0091472C"/>
    <w:rsid w:val="00914DC9"/>
    <w:rsid w:val="00915243"/>
    <w:rsid w:val="00915351"/>
    <w:rsid w:val="00915679"/>
    <w:rsid w:val="009159C2"/>
    <w:rsid w:val="0091627F"/>
    <w:rsid w:val="00916E45"/>
    <w:rsid w:val="00917CC7"/>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505C"/>
    <w:rsid w:val="00945286"/>
    <w:rsid w:val="00946128"/>
    <w:rsid w:val="0094633F"/>
    <w:rsid w:val="00947BA5"/>
    <w:rsid w:val="00950805"/>
    <w:rsid w:val="009517E4"/>
    <w:rsid w:val="009518D4"/>
    <w:rsid w:val="009520BC"/>
    <w:rsid w:val="009521D2"/>
    <w:rsid w:val="00952403"/>
    <w:rsid w:val="00952589"/>
    <w:rsid w:val="00952BD8"/>
    <w:rsid w:val="00952D46"/>
    <w:rsid w:val="00953573"/>
    <w:rsid w:val="0095370A"/>
    <w:rsid w:val="009537C0"/>
    <w:rsid w:val="009557A9"/>
    <w:rsid w:val="00956647"/>
    <w:rsid w:val="00956CF3"/>
    <w:rsid w:val="00957380"/>
    <w:rsid w:val="00957409"/>
    <w:rsid w:val="00957499"/>
    <w:rsid w:val="00957586"/>
    <w:rsid w:val="00957BBE"/>
    <w:rsid w:val="00957ED2"/>
    <w:rsid w:val="00960475"/>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864"/>
    <w:rsid w:val="00966A21"/>
    <w:rsid w:val="00966AD2"/>
    <w:rsid w:val="0097025C"/>
    <w:rsid w:val="00971415"/>
    <w:rsid w:val="009716D8"/>
    <w:rsid w:val="00971F54"/>
    <w:rsid w:val="00972057"/>
    <w:rsid w:val="009720B6"/>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5C"/>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6A9"/>
    <w:rsid w:val="00997BC9"/>
    <w:rsid w:val="009A113D"/>
    <w:rsid w:val="009A1E7E"/>
    <w:rsid w:val="009A1ECA"/>
    <w:rsid w:val="009A2BE9"/>
    <w:rsid w:val="009A2BF3"/>
    <w:rsid w:val="009A3688"/>
    <w:rsid w:val="009A3713"/>
    <w:rsid w:val="009A3C3E"/>
    <w:rsid w:val="009A4153"/>
    <w:rsid w:val="009A4C2C"/>
    <w:rsid w:val="009A4E60"/>
    <w:rsid w:val="009A5220"/>
    <w:rsid w:val="009A59B3"/>
    <w:rsid w:val="009A5FAE"/>
    <w:rsid w:val="009A6B3A"/>
    <w:rsid w:val="009A70A3"/>
    <w:rsid w:val="009A7E7C"/>
    <w:rsid w:val="009B05D2"/>
    <w:rsid w:val="009B152B"/>
    <w:rsid w:val="009B1ED3"/>
    <w:rsid w:val="009B2731"/>
    <w:rsid w:val="009B2DCF"/>
    <w:rsid w:val="009B39D8"/>
    <w:rsid w:val="009B3D38"/>
    <w:rsid w:val="009B4368"/>
    <w:rsid w:val="009B4D4C"/>
    <w:rsid w:val="009B5C70"/>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CE3"/>
    <w:rsid w:val="009E38D1"/>
    <w:rsid w:val="009E3B26"/>
    <w:rsid w:val="009E3DF1"/>
    <w:rsid w:val="009E47D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DED"/>
    <w:rsid w:val="00A00E00"/>
    <w:rsid w:val="00A01221"/>
    <w:rsid w:val="00A012A8"/>
    <w:rsid w:val="00A012F1"/>
    <w:rsid w:val="00A016FF"/>
    <w:rsid w:val="00A01886"/>
    <w:rsid w:val="00A0207F"/>
    <w:rsid w:val="00A021AF"/>
    <w:rsid w:val="00A027B1"/>
    <w:rsid w:val="00A0307A"/>
    <w:rsid w:val="00A03A7C"/>
    <w:rsid w:val="00A044AA"/>
    <w:rsid w:val="00A04570"/>
    <w:rsid w:val="00A0686F"/>
    <w:rsid w:val="00A0700C"/>
    <w:rsid w:val="00A102F8"/>
    <w:rsid w:val="00A10A20"/>
    <w:rsid w:val="00A117D5"/>
    <w:rsid w:val="00A11C11"/>
    <w:rsid w:val="00A1202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A4D"/>
    <w:rsid w:val="00A30ED7"/>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410"/>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FDF"/>
    <w:rsid w:val="00A526CE"/>
    <w:rsid w:val="00A53D28"/>
    <w:rsid w:val="00A5468F"/>
    <w:rsid w:val="00A54909"/>
    <w:rsid w:val="00A54DC0"/>
    <w:rsid w:val="00A550C9"/>
    <w:rsid w:val="00A55228"/>
    <w:rsid w:val="00A55410"/>
    <w:rsid w:val="00A55A04"/>
    <w:rsid w:val="00A564DE"/>
    <w:rsid w:val="00A6054E"/>
    <w:rsid w:val="00A60799"/>
    <w:rsid w:val="00A60B52"/>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02B"/>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0B2"/>
    <w:rsid w:val="00A954F8"/>
    <w:rsid w:val="00A958FC"/>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ECB"/>
    <w:rsid w:val="00AA408E"/>
    <w:rsid w:val="00AA4DA9"/>
    <w:rsid w:val="00AA4F6D"/>
    <w:rsid w:val="00AA50CE"/>
    <w:rsid w:val="00AA536B"/>
    <w:rsid w:val="00AA5753"/>
    <w:rsid w:val="00AA57C9"/>
    <w:rsid w:val="00AA5948"/>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4F9"/>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36E"/>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B1C"/>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3B6"/>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1B6"/>
    <w:rsid w:val="00B07316"/>
    <w:rsid w:val="00B07A43"/>
    <w:rsid w:val="00B07F74"/>
    <w:rsid w:val="00B10618"/>
    <w:rsid w:val="00B10B04"/>
    <w:rsid w:val="00B10CC6"/>
    <w:rsid w:val="00B11932"/>
    <w:rsid w:val="00B11A61"/>
    <w:rsid w:val="00B11FEC"/>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E8"/>
    <w:rsid w:val="00B241D5"/>
    <w:rsid w:val="00B24BE9"/>
    <w:rsid w:val="00B2551D"/>
    <w:rsid w:val="00B25F8C"/>
    <w:rsid w:val="00B260BE"/>
    <w:rsid w:val="00B26677"/>
    <w:rsid w:val="00B26A96"/>
    <w:rsid w:val="00B274E3"/>
    <w:rsid w:val="00B2765C"/>
    <w:rsid w:val="00B27C4B"/>
    <w:rsid w:val="00B27F7F"/>
    <w:rsid w:val="00B30563"/>
    <w:rsid w:val="00B30655"/>
    <w:rsid w:val="00B3069E"/>
    <w:rsid w:val="00B30A76"/>
    <w:rsid w:val="00B31246"/>
    <w:rsid w:val="00B31CA9"/>
    <w:rsid w:val="00B32295"/>
    <w:rsid w:val="00B328DB"/>
    <w:rsid w:val="00B32BF5"/>
    <w:rsid w:val="00B33AB5"/>
    <w:rsid w:val="00B3412E"/>
    <w:rsid w:val="00B343E0"/>
    <w:rsid w:val="00B35B6D"/>
    <w:rsid w:val="00B35D53"/>
    <w:rsid w:val="00B367C4"/>
    <w:rsid w:val="00B36D3E"/>
    <w:rsid w:val="00B37B8E"/>
    <w:rsid w:val="00B37BE2"/>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6ED"/>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A42"/>
    <w:rsid w:val="00B72CF0"/>
    <w:rsid w:val="00B7380E"/>
    <w:rsid w:val="00B740F6"/>
    <w:rsid w:val="00B74615"/>
    <w:rsid w:val="00B74789"/>
    <w:rsid w:val="00B755B6"/>
    <w:rsid w:val="00B755FD"/>
    <w:rsid w:val="00B75977"/>
    <w:rsid w:val="00B75A48"/>
    <w:rsid w:val="00B75CC0"/>
    <w:rsid w:val="00B75DB7"/>
    <w:rsid w:val="00B76021"/>
    <w:rsid w:val="00B76FCD"/>
    <w:rsid w:val="00B7764D"/>
    <w:rsid w:val="00B804F8"/>
    <w:rsid w:val="00B8095A"/>
    <w:rsid w:val="00B81274"/>
    <w:rsid w:val="00B815D3"/>
    <w:rsid w:val="00B81742"/>
    <w:rsid w:val="00B817B5"/>
    <w:rsid w:val="00B823A6"/>
    <w:rsid w:val="00B82EFA"/>
    <w:rsid w:val="00B83E76"/>
    <w:rsid w:val="00B83FA0"/>
    <w:rsid w:val="00B84156"/>
    <w:rsid w:val="00B846E6"/>
    <w:rsid w:val="00B8537B"/>
    <w:rsid w:val="00B85586"/>
    <w:rsid w:val="00B86289"/>
    <w:rsid w:val="00B863B3"/>
    <w:rsid w:val="00B869D3"/>
    <w:rsid w:val="00B86CF8"/>
    <w:rsid w:val="00B86E44"/>
    <w:rsid w:val="00B87359"/>
    <w:rsid w:val="00B87AD7"/>
    <w:rsid w:val="00B87F1C"/>
    <w:rsid w:val="00B90D8D"/>
    <w:rsid w:val="00B91263"/>
    <w:rsid w:val="00B91B61"/>
    <w:rsid w:val="00B93849"/>
    <w:rsid w:val="00B938BD"/>
    <w:rsid w:val="00B93CF3"/>
    <w:rsid w:val="00B9407F"/>
    <w:rsid w:val="00B940B5"/>
    <w:rsid w:val="00B944E9"/>
    <w:rsid w:val="00B945D7"/>
    <w:rsid w:val="00B94896"/>
    <w:rsid w:val="00B94CDD"/>
    <w:rsid w:val="00B94DA7"/>
    <w:rsid w:val="00B95163"/>
    <w:rsid w:val="00B954D0"/>
    <w:rsid w:val="00B96786"/>
    <w:rsid w:val="00B96DD9"/>
    <w:rsid w:val="00B96EA6"/>
    <w:rsid w:val="00B9789D"/>
    <w:rsid w:val="00B97A4C"/>
    <w:rsid w:val="00BA050E"/>
    <w:rsid w:val="00BA1289"/>
    <w:rsid w:val="00BA14B2"/>
    <w:rsid w:val="00BA15DC"/>
    <w:rsid w:val="00BA1E2F"/>
    <w:rsid w:val="00BA1EB8"/>
    <w:rsid w:val="00BA1F57"/>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2F92"/>
    <w:rsid w:val="00BB36C9"/>
    <w:rsid w:val="00BB3A66"/>
    <w:rsid w:val="00BB3B44"/>
    <w:rsid w:val="00BB40D1"/>
    <w:rsid w:val="00BB55A0"/>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5A"/>
    <w:rsid w:val="00BD10B7"/>
    <w:rsid w:val="00BD138A"/>
    <w:rsid w:val="00BD164A"/>
    <w:rsid w:val="00BD1BDD"/>
    <w:rsid w:val="00BD1D23"/>
    <w:rsid w:val="00BD1D7D"/>
    <w:rsid w:val="00BD1E27"/>
    <w:rsid w:val="00BD2461"/>
    <w:rsid w:val="00BD2B4D"/>
    <w:rsid w:val="00BD2F08"/>
    <w:rsid w:val="00BD2FB9"/>
    <w:rsid w:val="00BD31C2"/>
    <w:rsid w:val="00BD3683"/>
    <w:rsid w:val="00BD450A"/>
    <w:rsid w:val="00BD4717"/>
    <w:rsid w:val="00BD48EA"/>
    <w:rsid w:val="00BD4BA8"/>
    <w:rsid w:val="00BD512C"/>
    <w:rsid w:val="00BD5624"/>
    <w:rsid w:val="00BD62E6"/>
    <w:rsid w:val="00BD6B0E"/>
    <w:rsid w:val="00BD734D"/>
    <w:rsid w:val="00BD7941"/>
    <w:rsid w:val="00BE0591"/>
    <w:rsid w:val="00BE0C55"/>
    <w:rsid w:val="00BE0F03"/>
    <w:rsid w:val="00BE11A2"/>
    <w:rsid w:val="00BE1815"/>
    <w:rsid w:val="00BE1EF0"/>
    <w:rsid w:val="00BE246C"/>
    <w:rsid w:val="00BE2657"/>
    <w:rsid w:val="00BE2FD2"/>
    <w:rsid w:val="00BE377A"/>
    <w:rsid w:val="00BE37AE"/>
    <w:rsid w:val="00BE3B14"/>
    <w:rsid w:val="00BE3C65"/>
    <w:rsid w:val="00BE4222"/>
    <w:rsid w:val="00BE472D"/>
    <w:rsid w:val="00BE4C03"/>
    <w:rsid w:val="00BE74D5"/>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2FF"/>
    <w:rsid w:val="00C1110A"/>
    <w:rsid w:val="00C11689"/>
    <w:rsid w:val="00C12414"/>
    <w:rsid w:val="00C12ECB"/>
    <w:rsid w:val="00C140B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0A0"/>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25C"/>
    <w:rsid w:val="00C25CFF"/>
    <w:rsid w:val="00C25EA6"/>
    <w:rsid w:val="00C26164"/>
    <w:rsid w:val="00C261C1"/>
    <w:rsid w:val="00C26574"/>
    <w:rsid w:val="00C26DBF"/>
    <w:rsid w:val="00C27199"/>
    <w:rsid w:val="00C27204"/>
    <w:rsid w:val="00C304E9"/>
    <w:rsid w:val="00C30B0B"/>
    <w:rsid w:val="00C31320"/>
    <w:rsid w:val="00C31470"/>
    <w:rsid w:val="00C316B4"/>
    <w:rsid w:val="00C332D4"/>
    <w:rsid w:val="00C337C1"/>
    <w:rsid w:val="00C33A66"/>
    <w:rsid w:val="00C33E51"/>
    <w:rsid w:val="00C34C45"/>
    <w:rsid w:val="00C34C47"/>
    <w:rsid w:val="00C34C52"/>
    <w:rsid w:val="00C34FCE"/>
    <w:rsid w:val="00C35411"/>
    <w:rsid w:val="00C35EED"/>
    <w:rsid w:val="00C3601E"/>
    <w:rsid w:val="00C36B2C"/>
    <w:rsid w:val="00C3701A"/>
    <w:rsid w:val="00C379EF"/>
    <w:rsid w:val="00C40049"/>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1F9"/>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0E71"/>
    <w:rsid w:val="00C61223"/>
    <w:rsid w:val="00C61246"/>
    <w:rsid w:val="00C618A8"/>
    <w:rsid w:val="00C61A78"/>
    <w:rsid w:val="00C629F3"/>
    <w:rsid w:val="00C62B88"/>
    <w:rsid w:val="00C62CD3"/>
    <w:rsid w:val="00C634F9"/>
    <w:rsid w:val="00C636B3"/>
    <w:rsid w:val="00C63CDE"/>
    <w:rsid w:val="00C643ED"/>
    <w:rsid w:val="00C64534"/>
    <w:rsid w:val="00C64D93"/>
    <w:rsid w:val="00C64F49"/>
    <w:rsid w:val="00C64F71"/>
    <w:rsid w:val="00C650E3"/>
    <w:rsid w:val="00C65200"/>
    <w:rsid w:val="00C65BD3"/>
    <w:rsid w:val="00C6631C"/>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28C"/>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DEA"/>
    <w:rsid w:val="00CA5685"/>
    <w:rsid w:val="00CA6251"/>
    <w:rsid w:val="00CA62E4"/>
    <w:rsid w:val="00CA68E5"/>
    <w:rsid w:val="00CA6A2E"/>
    <w:rsid w:val="00CA6B56"/>
    <w:rsid w:val="00CA7D3E"/>
    <w:rsid w:val="00CB0317"/>
    <w:rsid w:val="00CB0662"/>
    <w:rsid w:val="00CB0A82"/>
    <w:rsid w:val="00CB0F2F"/>
    <w:rsid w:val="00CB0F76"/>
    <w:rsid w:val="00CB1556"/>
    <w:rsid w:val="00CB2913"/>
    <w:rsid w:val="00CB2CD1"/>
    <w:rsid w:val="00CB31BC"/>
    <w:rsid w:val="00CB3970"/>
    <w:rsid w:val="00CB41A2"/>
    <w:rsid w:val="00CB42B9"/>
    <w:rsid w:val="00CB4550"/>
    <w:rsid w:val="00CB4F39"/>
    <w:rsid w:val="00CB52A4"/>
    <w:rsid w:val="00CB537C"/>
    <w:rsid w:val="00CB55BE"/>
    <w:rsid w:val="00CB5A26"/>
    <w:rsid w:val="00CB5A97"/>
    <w:rsid w:val="00CB645B"/>
    <w:rsid w:val="00CB65DB"/>
    <w:rsid w:val="00CB6A93"/>
    <w:rsid w:val="00CB6C79"/>
    <w:rsid w:val="00CB7393"/>
    <w:rsid w:val="00CB77C3"/>
    <w:rsid w:val="00CB7E9C"/>
    <w:rsid w:val="00CB7F3B"/>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1B8"/>
    <w:rsid w:val="00CD7544"/>
    <w:rsid w:val="00CD7776"/>
    <w:rsid w:val="00CD78D4"/>
    <w:rsid w:val="00CE0697"/>
    <w:rsid w:val="00CE14CB"/>
    <w:rsid w:val="00CE2E2E"/>
    <w:rsid w:val="00CE3A51"/>
    <w:rsid w:val="00CE41F9"/>
    <w:rsid w:val="00CE4E57"/>
    <w:rsid w:val="00CE59F6"/>
    <w:rsid w:val="00CE66CD"/>
    <w:rsid w:val="00CE6BA9"/>
    <w:rsid w:val="00CE71C3"/>
    <w:rsid w:val="00CE727A"/>
    <w:rsid w:val="00CF029C"/>
    <w:rsid w:val="00CF0AF0"/>
    <w:rsid w:val="00CF157E"/>
    <w:rsid w:val="00CF1631"/>
    <w:rsid w:val="00CF1834"/>
    <w:rsid w:val="00CF1AAA"/>
    <w:rsid w:val="00CF1B66"/>
    <w:rsid w:val="00CF1EC2"/>
    <w:rsid w:val="00CF2ACF"/>
    <w:rsid w:val="00CF345B"/>
    <w:rsid w:val="00CF475F"/>
    <w:rsid w:val="00CF5008"/>
    <w:rsid w:val="00CF5069"/>
    <w:rsid w:val="00CF5E34"/>
    <w:rsid w:val="00CF6707"/>
    <w:rsid w:val="00CF7101"/>
    <w:rsid w:val="00CF7327"/>
    <w:rsid w:val="00CF7385"/>
    <w:rsid w:val="00CF7539"/>
    <w:rsid w:val="00CF75C6"/>
    <w:rsid w:val="00CF7708"/>
    <w:rsid w:val="00CF7B77"/>
    <w:rsid w:val="00CF7DF5"/>
    <w:rsid w:val="00D0010F"/>
    <w:rsid w:val="00D001D2"/>
    <w:rsid w:val="00D02A80"/>
    <w:rsid w:val="00D02EB1"/>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E94"/>
    <w:rsid w:val="00D35F2F"/>
    <w:rsid w:val="00D35FC6"/>
    <w:rsid w:val="00D3625E"/>
    <w:rsid w:val="00D36BB8"/>
    <w:rsid w:val="00D3756D"/>
    <w:rsid w:val="00D377D4"/>
    <w:rsid w:val="00D401A1"/>
    <w:rsid w:val="00D40217"/>
    <w:rsid w:val="00D40385"/>
    <w:rsid w:val="00D404CE"/>
    <w:rsid w:val="00D40E8F"/>
    <w:rsid w:val="00D412BF"/>
    <w:rsid w:val="00D417C6"/>
    <w:rsid w:val="00D417D0"/>
    <w:rsid w:val="00D41CFE"/>
    <w:rsid w:val="00D429FA"/>
    <w:rsid w:val="00D42B0C"/>
    <w:rsid w:val="00D42D6E"/>
    <w:rsid w:val="00D43DEF"/>
    <w:rsid w:val="00D44259"/>
    <w:rsid w:val="00D4555C"/>
    <w:rsid w:val="00D45C61"/>
    <w:rsid w:val="00D45DDC"/>
    <w:rsid w:val="00D5064C"/>
    <w:rsid w:val="00D50C94"/>
    <w:rsid w:val="00D511E7"/>
    <w:rsid w:val="00D51372"/>
    <w:rsid w:val="00D517ED"/>
    <w:rsid w:val="00D5251C"/>
    <w:rsid w:val="00D52F56"/>
    <w:rsid w:val="00D539DA"/>
    <w:rsid w:val="00D54933"/>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FBA"/>
    <w:rsid w:val="00D629A4"/>
    <w:rsid w:val="00D62BDF"/>
    <w:rsid w:val="00D62EEE"/>
    <w:rsid w:val="00D63A91"/>
    <w:rsid w:val="00D64F1C"/>
    <w:rsid w:val="00D65694"/>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AAC"/>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5A3"/>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3F6"/>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2A3"/>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7B"/>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A80"/>
    <w:rsid w:val="00E00C1E"/>
    <w:rsid w:val="00E00D8E"/>
    <w:rsid w:val="00E00F5F"/>
    <w:rsid w:val="00E010E6"/>
    <w:rsid w:val="00E01377"/>
    <w:rsid w:val="00E014E7"/>
    <w:rsid w:val="00E0232F"/>
    <w:rsid w:val="00E026A9"/>
    <w:rsid w:val="00E0356F"/>
    <w:rsid w:val="00E03B42"/>
    <w:rsid w:val="00E03C10"/>
    <w:rsid w:val="00E0479F"/>
    <w:rsid w:val="00E047C0"/>
    <w:rsid w:val="00E04816"/>
    <w:rsid w:val="00E04982"/>
    <w:rsid w:val="00E04D6A"/>
    <w:rsid w:val="00E0540A"/>
    <w:rsid w:val="00E058DB"/>
    <w:rsid w:val="00E05950"/>
    <w:rsid w:val="00E05A57"/>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26B"/>
    <w:rsid w:val="00E3591F"/>
    <w:rsid w:val="00E35A45"/>
    <w:rsid w:val="00E35F7F"/>
    <w:rsid w:val="00E36392"/>
    <w:rsid w:val="00E36B32"/>
    <w:rsid w:val="00E37A6F"/>
    <w:rsid w:val="00E37A9C"/>
    <w:rsid w:val="00E40222"/>
    <w:rsid w:val="00E40406"/>
    <w:rsid w:val="00E4082B"/>
    <w:rsid w:val="00E40835"/>
    <w:rsid w:val="00E408EC"/>
    <w:rsid w:val="00E409B5"/>
    <w:rsid w:val="00E40A60"/>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4F56"/>
    <w:rsid w:val="00E55247"/>
    <w:rsid w:val="00E558E5"/>
    <w:rsid w:val="00E55B3C"/>
    <w:rsid w:val="00E56795"/>
    <w:rsid w:val="00E57932"/>
    <w:rsid w:val="00E606C4"/>
    <w:rsid w:val="00E60811"/>
    <w:rsid w:val="00E60AB8"/>
    <w:rsid w:val="00E6103E"/>
    <w:rsid w:val="00E6185F"/>
    <w:rsid w:val="00E61D32"/>
    <w:rsid w:val="00E63C60"/>
    <w:rsid w:val="00E63D8E"/>
    <w:rsid w:val="00E64050"/>
    <w:rsid w:val="00E64B7B"/>
    <w:rsid w:val="00E6514D"/>
    <w:rsid w:val="00E65161"/>
    <w:rsid w:val="00E652C9"/>
    <w:rsid w:val="00E6593B"/>
    <w:rsid w:val="00E65D74"/>
    <w:rsid w:val="00E66E11"/>
    <w:rsid w:val="00E672C6"/>
    <w:rsid w:val="00E67B92"/>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7BB"/>
    <w:rsid w:val="00E85929"/>
    <w:rsid w:val="00E85AD2"/>
    <w:rsid w:val="00E86976"/>
    <w:rsid w:val="00E87A37"/>
    <w:rsid w:val="00E87CF7"/>
    <w:rsid w:val="00E9036E"/>
    <w:rsid w:val="00E90618"/>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A06"/>
    <w:rsid w:val="00EA2E21"/>
    <w:rsid w:val="00EA2EAA"/>
    <w:rsid w:val="00EA380C"/>
    <w:rsid w:val="00EA613D"/>
    <w:rsid w:val="00EA6744"/>
    <w:rsid w:val="00EA6768"/>
    <w:rsid w:val="00EA7308"/>
    <w:rsid w:val="00EA7474"/>
    <w:rsid w:val="00EA7C70"/>
    <w:rsid w:val="00EB0674"/>
    <w:rsid w:val="00EB0831"/>
    <w:rsid w:val="00EB089C"/>
    <w:rsid w:val="00EB0AA8"/>
    <w:rsid w:val="00EB0B65"/>
    <w:rsid w:val="00EB0C65"/>
    <w:rsid w:val="00EB1624"/>
    <w:rsid w:val="00EB169F"/>
    <w:rsid w:val="00EB2635"/>
    <w:rsid w:val="00EB2961"/>
    <w:rsid w:val="00EB2DAE"/>
    <w:rsid w:val="00EB2E1A"/>
    <w:rsid w:val="00EB2F8A"/>
    <w:rsid w:val="00EB3268"/>
    <w:rsid w:val="00EB3298"/>
    <w:rsid w:val="00EB3939"/>
    <w:rsid w:val="00EB3CE6"/>
    <w:rsid w:val="00EB3D44"/>
    <w:rsid w:val="00EB3E92"/>
    <w:rsid w:val="00EB54AB"/>
    <w:rsid w:val="00EB5B4F"/>
    <w:rsid w:val="00EB6257"/>
    <w:rsid w:val="00EB68E6"/>
    <w:rsid w:val="00EB6AE9"/>
    <w:rsid w:val="00EB6B2D"/>
    <w:rsid w:val="00EB71C9"/>
    <w:rsid w:val="00EB763E"/>
    <w:rsid w:val="00EB7659"/>
    <w:rsid w:val="00EB7B67"/>
    <w:rsid w:val="00EC07F1"/>
    <w:rsid w:val="00EC1E8A"/>
    <w:rsid w:val="00EC328C"/>
    <w:rsid w:val="00EC32F5"/>
    <w:rsid w:val="00EC3852"/>
    <w:rsid w:val="00EC4198"/>
    <w:rsid w:val="00EC4528"/>
    <w:rsid w:val="00EC48ED"/>
    <w:rsid w:val="00EC5241"/>
    <w:rsid w:val="00EC5817"/>
    <w:rsid w:val="00EC594C"/>
    <w:rsid w:val="00EC5C7B"/>
    <w:rsid w:val="00EC66AA"/>
    <w:rsid w:val="00EC6B30"/>
    <w:rsid w:val="00EC6B8F"/>
    <w:rsid w:val="00EC7154"/>
    <w:rsid w:val="00EC72AD"/>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B29"/>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7A6"/>
    <w:rsid w:val="00F00922"/>
    <w:rsid w:val="00F00924"/>
    <w:rsid w:val="00F0187E"/>
    <w:rsid w:val="00F01BE6"/>
    <w:rsid w:val="00F01F75"/>
    <w:rsid w:val="00F0217A"/>
    <w:rsid w:val="00F026D3"/>
    <w:rsid w:val="00F027E8"/>
    <w:rsid w:val="00F03395"/>
    <w:rsid w:val="00F034E6"/>
    <w:rsid w:val="00F03E4C"/>
    <w:rsid w:val="00F04D19"/>
    <w:rsid w:val="00F050A3"/>
    <w:rsid w:val="00F0569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B3F"/>
    <w:rsid w:val="00F21C13"/>
    <w:rsid w:val="00F22362"/>
    <w:rsid w:val="00F22796"/>
    <w:rsid w:val="00F2296A"/>
    <w:rsid w:val="00F234A4"/>
    <w:rsid w:val="00F2363A"/>
    <w:rsid w:val="00F238F7"/>
    <w:rsid w:val="00F23BA0"/>
    <w:rsid w:val="00F23C14"/>
    <w:rsid w:val="00F2420C"/>
    <w:rsid w:val="00F24C28"/>
    <w:rsid w:val="00F254C4"/>
    <w:rsid w:val="00F25641"/>
    <w:rsid w:val="00F256D8"/>
    <w:rsid w:val="00F25824"/>
    <w:rsid w:val="00F25E8C"/>
    <w:rsid w:val="00F26065"/>
    <w:rsid w:val="00F266E3"/>
    <w:rsid w:val="00F2689C"/>
    <w:rsid w:val="00F27A42"/>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373"/>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5FB"/>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188"/>
    <w:rsid w:val="00F814D2"/>
    <w:rsid w:val="00F81623"/>
    <w:rsid w:val="00F81D25"/>
    <w:rsid w:val="00F8245C"/>
    <w:rsid w:val="00F82928"/>
    <w:rsid w:val="00F829B9"/>
    <w:rsid w:val="00F83045"/>
    <w:rsid w:val="00F83615"/>
    <w:rsid w:val="00F83EC7"/>
    <w:rsid w:val="00F840B1"/>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EDE"/>
    <w:rsid w:val="00FA672F"/>
    <w:rsid w:val="00FA775E"/>
    <w:rsid w:val="00FA7792"/>
    <w:rsid w:val="00FA7AA8"/>
    <w:rsid w:val="00FA7F1D"/>
    <w:rsid w:val="00FB011C"/>
    <w:rsid w:val="00FB089B"/>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538"/>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32D"/>
    <w:rsid w:val="00FF2A7B"/>
    <w:rsid w:val="00FF3D2B"/>
    <w:rsid w:val="00FF49B4"/>
    <w:rsid w:val="00FF49F4"/>
    <w:rsid w:val="00FF5C6A"/>
    <w:rsid w:val="00FF651D"/>
    <w:rsid w:val="00FF6843"/>
    <w:rsid w:val="00FF6B2C"/>
    <w:rsid w:val="00FF6C25"/>
    <w:rsid w:val="00FF70AA"/>
    <w:rsid w:val="010651D9"/>
    <w:rsid w:val="01146F3A"/>
    <w:rsid w:val="011F6449"/>
    <w:rsid w:val="01236AFB"/>
    <w:rsid w:val="019F7441"/>
    <w:rsid w:val="01B37585"/>
    <w:rsid w:val="01D55165"/>
    <w:rsid w:val="01DF6BF8"/>
    <w:rsid w:val="01EC2C57"/>
    <w:rsid w:val="025D6925"/>
    <w:rsid w:val="025F0711"/>
    <w:rsid w:val="026B2E25"/>
    <w:rsid w:val="02824D4D"/>
    <w:rsid w:val="02B70580"/>
    <w:rsid w:val="02C824C7"/>
    <w:rsid w:val="02DC4B10"/>
    <w:rsid w:val="02DD76CE"/>
    <w:rsid w:val="02F36323"/>
    <w:rsid w:val="02F5619C"/>
    <w:rsid w:val="0326446A"/>
    <w:rsid w:val="032D5555"/>
    <w:rsid w:val="036634D2"/>
    <w:rsid w:val="03955F9D"/>
    <w:rsid w:val="03C501B0"/>
    <w:rsid w:val="03C823F0"/>
    <w:rsid w:val="03D80B6A"/>
    <w:rsid w:val="03DD35E4"/>
    <w:rsid w:val="040212FF"/>
    <w:rsid w:val="04076900"/>
    <w:rsid w:val="041A5A3B"/>
    <w:rsid w:val="042311BA"/>
    <w:rsid w:val="042B157A"/>
    <w:rsid w:val="048F763B"/>
    <w:rsid w:val="049F330E"/>
    <w:rsid w:val="04AA775C"/>
    <w:rsid w:val="04AF1889"/>
    <w:rsid w:val="04F66F48"/>
    <w:rsid w:val="051261E1"/>
    <w:rsid w:val="05251E14"/>
    <w:rsid w:val="05524BBD"/>
    <w:rsid w:val="05A16594"/>
    <w:rsid w:val="05A7762D"/>
    <w:rsid w:val="05BF0A4B"/>
    <w:rsid w:val="05F64B46"/>
    <w:rsid w:val="060E5941"/>
    <w:rsid w:val="06110FAF"/>
    <w:rsid w:val="063C323C"/>
    <w:rsid w:val="06431DD6"/>
    <w:rsid w:val="06493CA7"/>
    <w:rsid w:val="064A1761"/>
    <w:rsid w:val="065A6178"/>
    <w:rsid w:val="066F1CF3"/>
    <w:rsid w:val="06930BB8"/>
    <w:rsid w:val="06A84E8F"/>
    <w:rsid w:val="06D13045"/>
    <w:rsid w:val="07081A72"/>
    <w:rsid w:val="07245D42"/>
    <w:rsid w:val="07264C62"/>
    <w:rsid w:val="0779354C"/>
    <w:rsid w:val="07D653C6"/>
    <w:rsid w:val="08061376"/>
    <w:rsid w:val="08452D77"/>
    <w:rsid w:val="086401F8"/>
    <w:rsid w:val="08751CAA"/>
    <w:rsid w:val="087B3161"/>
    <w:rsid w:val="087E4C40"/>
    <w:rsid w:val="08A871D0"/>
    <w:rsid w:val="08D66AD6"/>
    <w:rsid w:val="08DA33A3"/>
    <w:rsid w:val="08E80F13"/>
    <w:rsid w:val="09335624"/>
    <w:rsid w:val="0944690F"/>
    <w:rsid w:val="09535675"/>
    <w:rsid w:val="095F057D"/>
    <w:rsid w:val="09642282"/>
    <w:rsid w:val="09733572"/>
    <w:rsid w:val="09772C16"/>
    <w:rsid w:val="098353B5"/>
    <w:rsid w:val="09A05394"/>
    <w:rsid w:val="09A92330"/>
    <w:rsid w:val="09B06B87"/>
    <w:rsid w:val="09C13146"/>
    <w:rsid w:val="09C947EA"/>
    <w:rsid w:val="09E04166"/>
    <w:rsid w:val="09E40CB8"/>
    <w:rsid w:val="0A1C0718"/>
    <w:rsid w:val="0A3E7710"/>
    <w:rsid w:val="0A5B7E63"/>
    <w:rsid w:val="0AA374A5"/>
    <w:rsid w:val="0AAB7649"/>
    <w:rsid w:val="0ABC5606"/>
    <w:rsid w:val="0ADD086F"/>
    <w:rsid w:val="0AEA1249"/>
    <w:rsid w:val="0AF534E0"/>
    <w:rsid w:val="0B30404E"/>
    <w:rsid w:val="0B471D30"/>
    <w:rsid w:val="0B4C6C14"/>
    <w:rsid w:val="0B547599"/>
    <w:rsid w:val="0B631A88"/>
    <w:rsid w:val="0B683D45"/>
    <w:rsid w:val="0B7F3F11"/>
    <w:rsid w:val="0B884417"/>
    <w:rsid w:val="0BC2290B"/>
    <w:rsid w:val="0BF6188C"/>
    <w:rsid w:val="0BF73C91"/>
    <w:rsid w:val="0C061668"/>
    <w:rsid w:val="0C170175"/>
    <w:rsid w:val="0C475EF5"/>
    <w:rsid w:val="0C571A41"/>
    <w:rsid w:val="0C5C1171"/>
    <w:rsid w:val="0C5E1CBC"/>
    <w:rsid w:val="0C615B50"/>
    <w:rsid w:val="0C8445DA"/>
    <w:rsid w:val="0C87121B"/>
    <w:rsid w:val="0CC007F7"/>
    <w:rsid w:val="0CC5331C"/>
    <w:rsid w:val="0CC617AC"/>
    <w:rsid w:val="0CDA7707"/>
    <w:rsid w:val="0CE618DF"/>
    <w:rsid w:val="0CFE707A"/>
    <w:rsid w:val="0D063BDA"/>
    <w:rsid w:val="0D08375F"/>
    <w:rsid w:val="0D184CFB"/>
    <w:rsid w:val="0D2A6B4B"/>
    <w:rsid w:val="0D4A7419"/>
    <w:rsid w:val="0D827401"/>
    <w:rsid w:val="0D84094E"/>
    <w:rsid w:val="0D8A00E9"/>
    <w:rsid w:val="0D8D589E"/>
    <w:rsid w:val="0DA01C73"/>
    <w:rsid w:val="0DB75B87"/>
    <w:rsid w:val="0DD63300"/>
    <w:rsid w:val="0DF50604"/>
    <w:rsid w:val="0DF702FE"/>
    <w:rsid w:val="0E060E51"/>
    <w:rsid w:val="0E3A5F83"/>
    <w:rsid w:val="0E400C8C"/>
    <w:rsid w:val="0E5604B2"/>
    <w:rsid w:val="0E6D5D79"/>
    <w:rsid w:val="0E9D0089"/>
    <w:rsid w:val="0EB803EE"/>
    <w:rsid w:val="0EF94D4B"/>
    <w:rsid w:val="0F4813E2"/>
    <w:rsid w:val="0F4958DC"/>
    <w:rsid w:val="0F515DF7"/>
    <w:rsid w:val="0F596BA8"/>
    <w:rsid w:val="0F6248D2"/>
    <w:rsid w:val="0F693536"/>
    <w:rsid w:val="0F7B0511"/>
    <w:rsid w:val="0F7B76D9"/>
    <w:rsid w:val="0F816ACD"/>
    <w:rsid w:val="0F9832DB"/>
    <w:rsid w:val="0FAD5AF7"/>
    <w:rsid w:val="0FBF3FD2"/>
    <w:rsid w:val="0FBF7FF3"/>
    <w:rsid w:val="105543E8"/>
    <w:rsid w:val="10646583"/>
    <w:rsid w:val="107D4B15"/>
    <w:rsid w:val="108A3C80"/>
    <w:rsid w:val="10994FCC"/>
    <w:rsid w:val="10C26171"/>
    <w:rsid w:val="10F33360"/>
    <w:rsid w:val="10FC16EA"/>
    <w:rsid w:val="110714FE"/>
    <w:rsid w:val="110F1D40"/>
    <w:rsid w:val="11266F33"/>
    <w:rsid w:val="118963A1"/>
    <w:rsid w:val="11911898"/>
    <w:rsid w:val="11C6522A"/>
    <w:rsid w:val="11E104CC"/>
    <w:rsid w:val="11E20309"/>
    <w:rsid w:val="12024161"/>
    <w:rsid w:val="12255233"/>
    <w:rsid w:val="12530213"/>
    <w:rsid w:val="127723A9"/>
    <w:rsid w:val="12862074"/>
    <w:rsid w:val="12883966"/>
    <w:rsid w:val="129D2CE1"/>
    <w:rsid w:val="129E45B4"/>
    <w:rsid w:val="12AA5159"/>
    <w:rsid w:val="12D81596"/>
    <w:rsid w:val="13072A44"/>
    <w:rsid w:val="135F4BE2"/>
    <w:rsid w:val="139B1A0A"/>
    <w:rsid w:val="139D25C7"/>
    <w:rsid w:val="13BF3CE4"/>
    <w:rsid w:val="141008D8"/>
    <w:rsid w:val="14125FE6"/>
    <w:rsid w:val="146D271E"/>
    <w:rsid w:val="14982588"/>
    <w:rsid w:val="149A5AD9"/>
    <w:rsid w:val="14A7619D"/>
    <w:rsid w:val="14D546E3"/>
    <w:rsid w:val="150536C3"/>
    <w:rsid w:val="150C1963"/>
    <w:rsid w:val="1513490A"/>
    <w:rsid w:val="151447A0"/>
    <w:rsid w:val="152C17F5"/>
    <w:rsid w:val="154A6454"/>
    <w:rsid w:val="15762120"/>
    <w:rsid w:val="15CE7AB6"/>
    <w:rsid w:val="15F52BE0"/>
    <w:rsid w:val="16212DBF"/>
    <w:rsid w:val="16A6065A"/>
    <w:rsid w:val="16A8729C"/>
    <w:rsid w:val="16AA70FC"/>
    <w:rsid w:val="16B33777"/>
    <w:rsid w:val="16BC70A7"/>
    <w:rsid w:val="16C6339E"/>
    <w:rsid w:val="16DD17AC"/>
    <w:rsid w:val="16EC51DD"/>
    <w:rsid w:val="171A7F67"/>
    <w:rsid w:val="17237E2D"/>
    <w:rsid w:val="172F2D79"/>
    <w:rsid w:val="17557BEF"/>
    <w:rsid w:val="17746F1A"/>
    <w:rsid w:val="17D349C1"/>
    <w:rsid w:val="1830729E"/>
    <w:rsid w:val="1870062C"/>
    <w:rsid w:val="18817102"/>
    <w:rsid w:val="18830A15"/>
    <w:rsid w:val="18852B28"/>
    <w:rsid w:val="188B5321"/>
    <w:rsid w:val="189015C1"/>
    <w:rsid w:val="18911A75"/>
    <w:rsid w:val="18EC56F3"/>
    <w:rsid w:val="19274F20"/>
    <w:rsid w:val="196D1903"/>
    <w:rsid w:val="197E485A"/>
    <w:rsid w:val="19932372"/>
    <w:rsid w:val="19A20DD5"/>
    <w:rsid w:val="19A56B09"/>
    <w:rsid w:val="19AE03F1"/>
    <w:rsid w:val="19E77BBE"/>
    <w:rsid w:val="19FB3D13"/>
    <w:rsid w:val="1A071A03"/>
    <w:rsid w:val="1A1F16AE"/>
    <w:rsid w:val="1A3B5C77"/>
    <w:rsid w:val="1A984BAD"/>
    <w:rsid w:val="1AA77C2A"/>
    <w:rsid w:val="1AAA3B81"/>
    <w:rsid w:val="1AB8220E"/>
    <w:rsid w:val="1AE4166C"/>
    <w:rsid w:val="1AF06CFB"/>
    <w:rsid w:val="1AF11B8D"/>
    <w:rsid w:val="1B11359C"/>
    <w:rsid w:val="1B2A271F"/>
    <w:rsid w:val="1B530544"/>
    <w:rsid w:val="1B713184"/>
    <w:rsid w:val="1BA209CF"/>
    <w:rsid w:val="1BB4777D"/>
    <w:rsid w:val="1BD75AB8"/>
    <w:rsid w:val="1C0459C2"/>
    <w:rsid w:val="1C1B3B4A"/>
    <w:rsid w:val="1C813B5C"/>
    <w:rsid w:val="1C88086E"/>
    <w:rsid w:val="1D266CE1"/>
    <w:rsid w:val="1D3963AF"/>
    <w:rsid w:val="1D5148A0"/>
    <w:rsid w:val="1D6A673C"/>
    <w:rsid w:val="1D9247AE"/>
    <w:rsid w:val="1DB567EC"/>
    <w:rsid w:val="1DF40B78"/>
    <w:rsid w:val="1DF51A98"/>
    <w:rsid w:val="1E33266D"/>
    <w:rsid w:val="1E3D060F"/>
    <w:rsid w:val="1E3F7D2E"/>
    <w:rsid w:val="1E4134E4"/>
    <w:rsid w:val="1E5062B3"/>
    <w:rsid w:val="1E523514"/>
    <w:rsid w:val="1E600920"/>
    <w:rsid w:val="1E714A66"/>
    <w:rsid w:val="1E802593"/>
    <w:rsid w:val="1E8806C4"/>
    <w:rsid w:val="1E8B6156"/>
    <w:rsid w:val="1EA703CC"/>
    <w:rsid w:val="1EB7330C"/>
    <w:rsid w:val="1EC15739"/>
    <w:rsid w:val="1F0A0FF3"/>
    <w:rsid w:val="1F5771FF"/>
    <w:rsid w:val="1FD52DD5"/>
    <w:rsid w:val="1FE868A9"/>
    <w:rsid w:val="1FF72119"/>
    <w:rsid w:val="20034907"/>
    <w:rsid w:val="200B1AFB"/>
    <w:rsid w:val="20173E4B"/>
    <w:rsid w:val="204B3F45"/>
    <w:rsid w:val="204E48BC"/>
    <w:rsid w:val="208921B3"/>
    <w:rsid w:val="20973DEB"/>
    <w:rsid w:val="20B26522"/>
    <w:rsid w:val="20B44310"/>
    <w:rsid w:val="20F152C6"/>
    <w:rsid w:val="20F271DB"/>
    <w:rsid w:val="211116EB"/>
    <w:rsid w:val="216133FC"/>
    <w:rsid w:val="21D56769"/>
    <w:rsid w:val="21E52EF3"/>
    <w:rsid w:val="21E542A5"/>
    <w:rsid w:val="21FB5D7B"/>
    <w:rsid w:val="22015E94"/>
    <w:rsid w:val="220B1C3D"/>
    <w:rsid w:val="221D1D20"/>
    <w:rsid w:val="221E3573"/>
    <w:rsid w:val="22334A87"/>
    <w:rsid w:val="22877B28"/>
    <w:rsid w:val="22BD4158"/>
    <w:rsid w:val="22BE6801"/>
    <w:rsid w:val="233500BF"/>
    <w:rsid w:val="23377FF7"/>
    <w:rsid w:val="235D387D"/>
    <w:rsid w:val="236B425F"/>
    <w:rsid w:val="23836192"/>
    <w:rsid w:val="23901F29"/>
    <w:rsid w:val="23953985"/>
    <w:rsid w:val="239C0061"/>
    <w:rsid w:val="23B908A4"/>
    <w:rsid w:val="23E51E7E"/>
    <w:rsid w:val="23E95BEF"/>
    <w:rsid w:val="23FD0064"/>
    <w:rsid w:val="23FD4471"/>
    <w:rsid w:val="24422776"/>
    <w:rsid w:val="245375B0"/>
    <w:rsid w:val="245466C9"/>
    <w:rsid w:val="24642C0A"/>
    <w:rsid w:val="24B22173"/>
    <w:rsid w:val="24B95AD9"/>
    <w:rsid w:val="24BE24DA"/>
    <w:rsid w:val="24CF5825"/>
    <w:rsid w:val="24D176C1"/>
    <w:rsid w:val="24D663E6"/>
    <w:rsid w:val="24D77F2B"/>
    <w:rsid w:val="2506061D"/>
    <w:rsid w:val="25316BD9"/>
    <w:rsid w:val="258B00E2"/>
    <w:rsid w:val="259C09C5"/>
    <w:rsid w:val="25A917A6"/>
    <w:rsid w:val="25AF6F70"/>
    <w:rsid w:val="25BE27CC"/>
    <w:rsid w:val="25C03DFD"/>
    <w:rsid w:val="25F74A5C"/>
    <w:rsid w:val="260B6A7A"/>
    <w:rsid w:val="2628662C"/>
    <w:rsid w:val="262D45DE"/>
    <w:rsid w:val="262D4B53"/>
    <w:rsid w:val="26307F40"/>
    <w:rsid w:val="2663515E"/>
    <w:rsid w:val="26850B6D"/>
    <w:rsid w:val="26871DC8"/>
    <w:rsid w:val="26A53EF9"/>
    <w:rsid w:val="26A94201"/>
    <w:rsid w:val="26AC274F"/>
    <w:rsid w:val="26CE6E53"/>
    <w:rsid w:val="26CF00EA"/>
    <w:rsid w:val="27044A29"/>
    <w:rsid w:val="271D34C8"/>
    <w:rsid w:val="276142BF"/>
    <w:rsid w:val="27783712"/>
    <w:rsid w:val="27907362"/>
    <w:rsid w:val="28270801"/>
    <w:rsid w:val="28333E1D"/>
    <w:rsid w:val="28454BD6"/>
    <w:rsid w:val="28455253"/>
    <w:rsid w:val="28551971"/>
    <w:rsid w:val="285B1C53"/>
    <w:rsid w:val="285B4385"/>
    <w:rsid w:val="289F7086"/>
    <w:rsid w:val="28BC4F05"/>
    <w:rsid w:val="28C32028"/>
    <w:rsid w:val="28CC490F"/>
    <w:rsid w:val="28DE40AA"/>
    <w:rsid w:val="28ED350C"/>
    <w:rsid w:val="29345E77"/>
    <w:rsid w:val="294C65AD"/>
    <w:rsid w:val="29806583"/>
    <w:rsid w:val="298A4BC1"/>
    <w:rsid w:val="298B3C4C"/>
    <w:rsid w:val="29B478C8"/>
    <w:rsid w:val="29C1292B"/>
    <w:rsid w:val="29F26D24"/>
    <w:rsid w:val="2A0113CF"/>
    <w:rsid w:val="2A15033F"/>
    <w:rsid w:val="2A1662C1"/>
    <w:rsid w:val="2A1C7367"/>
    <w:rsid w:val="2A273037"/>
    <w:rsid w:val="2A2815FA"/>
    <w:rsid w:val="2A2C5AA9"/>
    <w:rsid w:val="2A5F6506"/>
    <w:rsid w:val="2A6D6092"/>
    <w:rsid w:val="2A745637"/>
    <w:rsid w:val="2A7D76B4"/>
    <w:rsid w:val="2AFF7497"/>
    <w:rsid w:val="2B0360B6"/>
    <w:rsid w:val="2B1716CE"/>
    <w:rsid w:val="2B437463"/>
    <w:rsid w:val="2B5B4BB7"/>
    <w:rsid w:val="2B611ABA"/>
    <w:rsid w:val="2B6B0823"/>
    <w:rsid w:val="2B7807EE"/>
    <w:rsid w:val="2BA50BF7"/>
    <w:rsid w:val="2BBF00EC"/>
    <w:rsid w:val="2BC37CFD"/>
    <w:rsid w:val="2BD5237F"/>
    <w:rsid w:val="2BE536CE"/>
    <w:rsid w:val="2BE758D9"/>
    <w:rsid w:val="2C09049E"/>
    <w:rsid w:val="2C0A653C"/>
    <w:rsid w:val="2C191F85"/>
    <w:rsid w:val="2C211B93"/>
    <w:rsid w:val="2C8C2656"/>
    <w:rsid w:val="2CE82D6F"/>
    <w:rsid w:val="2D343236"/>
    <w:rsid w:val="2D720E3E"/>
    <w:rsid w:val="2DD15014"/>
    <w:rsid w:val="2DF72DE4"/>
    <w:rsid w:val="2DF8692E"/>
    <w:rsid w:val="2E0220AF"/>
    <w:rsid w:val="2E2C1379"/>
    <w:rsid w:val="2E4B082A"/>
    <w:rsid w:val="2E5D4E86"/>
    <w:rsid w:val="2E5D790B"/>
    <w:rsid w:val="2E9A3C18"/>
    <w:rsid w:val="2EBB0FEE"/>
    <w:rsid w:val="2EC63002"/>
    <w:rsid w:val="2F0A6B38"/>
    <w:rsid w:val="2F116A21"/>
    <w:rsid w:val="2F6C4294"/>
    <w:rsid w:val="2F946CCB"/>
    <w:rsid w:val="2FD25781"/>
    <w:rsid w:val="2FDC745C"/>
    <w:rsid w:val="2FFD7934"/>
    <w:rsid w:val="30404479"/>
    <w:rsid w:val="30733ACD"/>
    <w:rsid w:val="307F360F"/>
    <w:rsid w:val="308C3862"/>
    <w:rsid w:val="309379D8"/>
    <w:rsid w:val="30A270F7"/>
    <w:rsid w:val="30AC36C4"/>
    <w:rsid w:val="30C250A7"/>
    <w:rsid w:val="30DF1478"/>
    <w:rsid w:val="30EC586F"/>
    <w:rsid w:val="314550B7"/>
    <w:rsid w:val="319C6071"/>
    <w:rsid w:val="31AC537E"/>
    <w:rsid w:val="31E3679B"/>
    <w:rsid w:val="31E732FD"/>
    <w:rsid w:val="32517576"/>
    <w:rsid w:val="32BE5C2C"/>
    <w:rsid w:val="32FB6478"/>
    <w:rsid w:val="330A1D37"/>
    <w:rsid w:val="33263B3F"/>
    <w:rsid w:val="333866C9"/>
    <w:rsid w:val="336963EB"/>
    <w:rsid w:val="33816EEB"/>
    <w:rsid w:val="33E82C5B"/>
    <w:rsid w:val="33EB55CD"/>
    <w:rsid w:val="33EC4C02"/>
    <w:rsid w:val="340D2360"/>
    <w:rsid w:val="3410665D"/>
    <w:rsid w:val="34211214"/>
    <w:rsid w:val="342E63AB"/>
    <w:rsid w:val="34456190"/>
    <w:rsid w:val="34682754"/>
    <w:rsid w:val="34950E68"/>
    <w:rsid w:val="34986E94"/>
    <w:rsid w:val="34AF62C9"/>
    <w:rsid w:val="34CB4388"/>
    <w:rsid w:val="34FA6E12"/>
    <w:rsid w:val="354D7158"/>
    <w:rsid w:val="35567913"/>
    <w:rsid w:val="358D5588"/>
    <w:rsid w:val="35D72B5B"/>
    <w:rsid w:val="36293391"/>
    <w:rsid w:val="363A3B40"/>
    <w:rsid w:val="36493D8F"/>
    <w:rsid w:val="365302AE"/>
    <w:rsid w:val="36607A0A"/>
    <w:rsid w:val="36624980"/>
    <w:rsid w:val="36641762"/>
    <w:rsid w:val="366E227C"/>
    <w:rsid w:val="366F2E0D"/>
    <w:rsid w:val="367B6A5C"/>
    <w:rsid w:val="368822BC"/>
    <w:rsid w:val="36A34173"/>
    <w:rsid w:val="36A74ADA"/>
    <w:rsid w:val="36AD60D5"/>
    <w:rsid w:val="36B224F9"/>
    <w:rsid w:val="36EC0CC9"/>
    <w:rsid w:val="36FE0747"/>
    <w:rsid w:val="37284E0F"/>
    <w:rsid w:val="373F410B"/>
    <w:rsid w:val="376A5878"/>
    <w:rsid w:val="376D5B2B"/>
    <w:rsid w:val="37905F64"/>
    <w:rsid w:val="37CA63C1"/>
    <w:rsid w:val="37E05230"/>
    <w:rsid w:val="37EE7094"/>
    <w:rsid w:val="37F94C4E"/>
    <w:rsid w:val="38296C89"/>
    <w:rsid w:val="383002EB"/>
    <w:rsid w:val="384967F6"/>
    <w:rsid w:val="38586797"/>
    <w:rsid w:val="389B7988"/>
    <w:rsid w:val="38A9001C"/>
    <w:rsid w:val="38BC0149"/>
    <w:rsid w:val="38D87D1C"/>
    <w:rsid w:val="392A5B99"/>
    <w:rsid w:val="394052BB"/>
    <w:rsid w:val="39636459"/>
    <w:rsid w:val="396B7F6C"/>
    <w:rsid w:val="399F2D6D"/>
    <w:rsid w:val="39B417A9"/>
    <w:rsid w:val="39BF20D8"/>
    <w:rsid w:val="39E5622F"/>
    <w:rsid w:val="39FC5695"/>
    <w:rsid w:val="39FF1A66"/>
    <w:rsid w:val="39FF6D61"/>
    <w:rsid w:val="3A006D8E"/>
    <w:rsid w:val="3A3651E5"/>
    <w:rsid w:val="3A744481"/>
    <w:rsid w:val="3A8C7BEF"/>
    <w:rsid w:val="3A906246"/>
    <w:rsid w:val="3AF468DB"/>
    <w:rsid w:val="3B2349B7"/>
    <w:rsid w:val="3B4B78B4"/>
    <w:rsid w:val="3B616CFF"/>
    <w:rsid w:val="3B6259F6"/>
    <w:rsid w:val="3B661580"/>
    <w:rsid w:val="3B721A2C"/>
    <w:rsid w:val="3B726DE6"/>
    <w:rsid w:val="3B976654"/>
    <w:rsid w:val="3BA31A2F"/>
    <w:rsid w:val="3BB50D82"/>
    <w:rsid w:val="3BBF0E65"/>
    <w:rsid w:val="3BC01EFC"/>
    <w:rsid w:val="3BCA786A"/>
    <w:rsid w:val="3BD31E2F"/>
    <w:rsid w:val="3BF15831"/>
    <w:rsid w:val="3C0E6CB3"/>
    <w:rsid w:val="3C105946"/>
    <w:rsid w:val="3C471448"/>
    <w:rsid w:val="3C4D7E6F"/>
    <w:rsid w:val="3C5F759A"/>
    <w:rsid w:val="3C6C525A"/>
    <w:rsid w:val="3C795882"/>
    <w:rsid w:val="3C91759F"/>
    <w:rsid w:val="3CCE23CB"/>
    <w:rsid w:val="3CD17D17"/>
    <w:rsid w:val="3D17507E"/>
    <w:rsid w:val="3D3C7F39"/>
    <w:rsid w:val="3D440F09"/>
    <w:rsid w:val="3D4504A0"/>
    <w:rsid w:val="3D47657C"/>
    <w:rsid w:val="3D8734BB"/>
    <w:rsid w:val="3D9A11D4"/>
    <w:rsid w:val="3DA16D89"/>
    <w:rsid w:val="3DA364BE"/>
    <w:rsid w:val="3DC93312"/>
    <w:rsid w:val="3DE041CB"/>
    <w:rsid w:val="3E0D48F6"/>
    <w:rsid w:val="3E1868B4"/>
    <w:rsid w:val="3E377251"/>
    <w:rsid w:val="3E42664B"/>
    <w:rsid w:val="3E5A7334"/>
    <w:rsid w:val="3E5E1A3B"/>
    <w:rsid w:val="3E7B5D6B"/>
    <w:rsid w:val="3E843E66"/>
    <w:rsid w:val="3E8F51FE"/>
    <w:rsid w:val="3E926F87"/>
    <w:rsid w:val="3E9A59DE"/>
    <w:rsid w:val="3EAF4836"/>
    <w:rsid w:val="3EC33DFA"/>
    <w:rsid w:val="3F060E16"/>
    <w:rsid w:val="3F1D1096"/>
    <w:rsid w:val="3F1F06F0"/>
    <w:rsid w:val="3F2F0234"/>
    <w:rsid w:val="3F56236D"/>
    <w:rsid w:val="3F6363FE"/>
    <w:rsid w:val="3F756B8F"/>
    <w:rsid w:val="3F95482B"/>
    <w:rsid w:val="3FA75BB4"/>
    <w:rsid w:val="3FD93128"/>
    <w:rsid w:val="4019356B"/>
    <w:rsid w:val="40592157"/>
    <w:rsid w:val="406E1CAE"/>
    <w:rsid w:val="407C7681"/>
    <w:rsid w:val="409D1753"/>
    <w:rsid w:val="40A0133A"/>
    <w:rsid w:val="40C31A53"/>
    <w:rsid w:val="40FF545D"/>
    <w:rsid w:val="410067C8"/>
    <w:rsid w:val="41235903"/>
    <w:rsid w:val="41324AEC"/>
    <w:rsid w:val="41325883"/>
    <w:rsid w:val="418F0D2A"/>
    <w:rsid w:val="41D01505"/>
    <w:rsid w:val="41E85F56"/>
    <w:rsid w:val="41EC54A1"/>
    <w:rsid w:val="41FE462A"/>
    <w:rsid w:val="423746D8"/>
    <w:rsid w:val="42474939"/>
    <w:rsid w:val="424C3C57"/>
    <w:rsid w:val="42613FF3"/>
    <w:rsid w:val="42660D96"/>
    <w:rsid w:val="426C0F07"/>
    <w:rsid w:val="428667D2"/>
    <w:rsid w:val="42CD1CE0"/>
    <w:rsid w:val="42E1381E"/>
    <w:rsid w:val="42ED6459"/>
    <w:rsid w:val="42FE58DD"/>
    <w:rsid w:val="43174B3D"/>
    <w:rsid w:val="434B790E"/>
    <w:rsid w:val="4360274F"/>
    <w:rsid w:val="43897C45"/>
    <w:rsid w:val="43977AB6"/>
    <w:rsid w:val="43A3342B"/>
    <w:rsid w:val="43B241D8"/>
    <w:rsid w:val="43C77C27"/>
    <w:rsid w:val="43DE09EE"/>
    <w:rsid w:val="44002FAD"/>
    <w:rsid w:val="440D714B"/>
    <w:rsid w:val="443F4C9C"/>
    <w:rsid w:val="4447410E"/>
    <w:rsid w:val="4451056C"/>
    <w:rsid w:val="445F1978"/>
    <w:rsid w:val="448159F5"/>
    <w:rsid w:val="449101DD"/>
    <w:rsid w:val="44DE1391"/>
    <w:rsid w:val="451B225C"/>
    <w:rsid w:val="452410C9"/>
    <w:rsid w:val="45317DFB"/>
    <w:rsid w:val="456D3CE4"/>
    <w:rsid w:val="4579042C"/>
    <w:rsid w:val="457F0571"/>
    <w:rsid w:val="45851176"/>
    <w:rsid w:val="45C63B94"/>
    <w:rsid w:val="45C71987"/>
    <w:rsid w:val="460E7DA5"/>
    <w:rsid w:val="46276812"/>
    <w:rsid w:val="46422483"/>
    <w:rsid w:val="4659254A"/>
    <w:rsid w:val="465B0637"/>
    <w:rsid w:val="465E3F0D"/>
    <w:rsid w:val="465F41FD"/>
    <w:rsid w:val="466A16E6"/>
    <w:rsid w:val="46893F2B"/>
    <w:rsid w:val="46922B69"/>
    <w:rsid w:val="46A958A0"/>
    <w:rsid w:val="46C4686E"/>
    <w:rsid w:val="46C718B1"/>
    <w:rsid w:val="470F4694"/>
    <w:rsid w:val="477B778F"/>
    <w:rsid w:val="478203EC"/>
    <w:rsid w:val="47A3297B"/>
    <w:rsid w:val="47B025FA"/>
    <w:rsid w:val="47C21974"/>
    <w:rsid w:val="4809698F"/>
    <w:rsid w:val="4811697D"/>
    <w:rsid w:val="484E4ED5"/>
    <w:rsid w:val="487A3E25"/>
    <w:rsid w:val="488B5503"/>
    <w:rsid w:val="48937E21"/>
    <w:rsid w:val="489A0361"/>
    <w:rsid w:val="48B94FF3"/>
    <w:rsid w:val="48C97DB4"/>
    <w:rsid w:val="48E37AAB"/>
    <w:rsid w:val="48FD4B4C"/>
    <w:rsid w:val="490A68E0"/>
    <w:rsid w:val="491055FE"/>
    <w:rsid w:val="495F5B3E"/>
    <w:rsid w:val="496455DB"/>
    <w:rsid w:val="496F77D7"/>
    <w:rsid w:val="497654FD"/>
    <w:rsid w:val="49B64211"/>
    <w:rsid w:val="49E56AF9"/>
    <w:rsid w:val="49F6167F"/>
    <w:rsid w:val="4A064FA0"/>
    <w:rsid w:val="4A16615C"/>
    <w:rsid w:val="4A3B7C8A"/>
    <w:rsid w:val="4A4424D7"/>
    <w:rsid w:val="4AB82D0F"/>
    <w:rsid w:val="4AD644D1"/>
    <w:rsid w:val="4AEB7664"/>
    <w:rsid w:val="4AF61874"/>
    <w:rsid w:val="4AFD7C19"/>
    <w:rsid w:val="4B0567D1"/>
    <w:rsid w:val="4B236AAE"/>
    <w:rsid w:val="4B4E75D6"/>
    <w:rsid w:val="4B5773A5"/>
    <w:rsid w:val="4B707271"/>
    <w:rsid w:val="4B9739F7"/>
    <w:rsid w:val="4BEE2503"/>
    <w:rsid w:val="4BFA77FD"/>
    <w:rsid w:val="4C245A30"/>
    <w:rsid w:val="4CA51903"/>
    <w:rsid w:val="4CB6685F"/>
    <w:rsid w:val="4CC26482"/>
    <w:rsid w:val="4CC367FE"/>
    <w:rsid w:val="4CF83054"/>
    <w:rsid w:val="4D077F3C"/>
    <w:rsid w:val="4D123355"/>
    <w:rsid w:val="4D2A3B31"/>
    <w:rsid w:val="4D312C52"/>
    <w:rsid w:val="4D905305"/>
    <w:rsid w:val="4D964A72"/>
    <w:rsid w:val="4D9C1254"/>
    <w:rsid w:val="4E335276"/>
    <w:rsid w:val="4E44775B"/>
    <w:rsid w:val="4E793892"/>
    <w:rsid w:val="4E800872"/>
    <w:rsid w:val="4EA001D2"/>
    <w:rsid w:val="4EA20185"/>
    <w:rsid w:val="4EC569ED"/>
    <w:rsid w:val="4ED50EA1"/>
    <w:rsid w:val="4EEC050C"/>
    <w:rsid w:val="4F104EC3"/>
    <w:rsid w:val="4F3331A5"/>
    <w:rsid w:val="4F47354A"/>
    <w:rsid w:val="4F911C54"/>
    <w:rsid w:val="4F9667B6"/>
    <w:rsid w:val="4FD16107"/>
    <w:rsid w:val="4FE117CF"/>
    <w:rsid w:val="4FE625E0"/>
    <w:rsid w:val="50195B48"/>
    <w:rsid w:val="5021480F"/>
    <w:rsid w:val="50962ECB"/>
    <w:rsid w:val="50A42E38"/>
    <w:rsid w:val="50A4577F"/>
    <w:rsid w:val="50A91678"/>
    <w:rsid w:val="50B73D1F"/>
    <w:rsid w:val="50BD5BC9"/>
    <w:rsid w:val="50C11EEE"/>
    <w:rsid w:val="50E97CFC"/>
    <w:rsid w:val="50FA4028"/>
    <w:rsid w:val="510D65B7"/>
    <w:rsid w:val="511157AB"/>
    <w:rsid w:val="512F12FE"/>
    <w:rsid w:val="5142540C"/>
    <w:rsid w:val="515B44A9"/>
    <w:rsid w:val="518832C8"/>
    <w:rsid w:val="519D3C50"/>
    <w:rsid w:val="51A0432A"/>
    <w:rsid w:val="51A86090"/>
    <w:rsid w:val="51B7396D"/>
    <w:rsid w:val="52205558"/>
    <w:rsid w:val="522257EC"/>
    <w:rsid w:val="522E4CC3"/>
    <w:rsid w:val="5244713B"/>
    <w:rsid w:val="525B1CED"/>
    <w:rsid w:val="52615633"/>
    <w:rsid w:val="526F4DE4"/>
    <w:rsid w:val="52977FD4"/>
    <w:rsid w:val="52A25790"/>
    <w:rsid w:val="52A96B6F"/>
    <w:rsid w:val="52B45975"/>
    <w:rsid w:val="52D94AA4"/>
    <w:rsid w:val="52EA3A62"/>
    <w:rsid w:val="52F50BB8"/>
    <w:rsid w:val="53097272"/>
    <w:rsid w:val="53544462"/>
    <w:rsid w:val="535A0839"/>
    <w:rsid w:val="53603E95"/>
    <w:rsid w:val="53837B1B"/>
    <w:rsid w:val="5397158E"/>
    <w:rsid w:val="53BD2A35"/>
    <w:rsid w:val="53BE0171"/>
    <w:rsid w:val="53DD2AE1"/>
    <w:rsid w:val="53E30641"/>
    <w:rsid w:val="53E62FDC"/>
    <w:rsid w:val="54013861"/>
    <w:rsid w:val="540B6EFF"/>
    <w:rsid w:val="541E3F20"/>
    <w:rsid w:val="54364D22"/>
    <w:rsid w:val="54487265"/>
    <w:rsid w:val="544D6070"/>
    <w:rsid w:val="54605E1E"/>
    <w:rsid w:val="54B3506A"/>
    <w:rsid w:val="54CA0D16"/>
    <w:rsid w:val="54D95B26"/>
    <w:rsid w:val="54DD4057"/>
    <w:rsid w:val="54E7490F"/>
    <w:rsid w:val="54FE7286"/>
    <w:rsid w:val="550764A4"/>
    <w:rsid w:val="550B2BF6"/>
    <w:rsid w:val="55214EB5"/>
    <w:rsid w:val="55364EFD"/>
    <w:rsid w:val="555D4828"/>
    <w:rsid w:val="557A4C8B"/>
    <w:rsid w:val="558931E1"/>
    <w:rsid w:val="55923347"/>
    <w:rsid w:val="55925180"/>
    <w:rsid w:val="55983B1B"/>
    <w:rsid w:val="55A8376B"/>
    <w:rsid w:val="55DC29B6"/>
    <w:rsid w:val="55DD4241"/>
    <w:rsid w:val="55F856C9"/>
    <w:rsid w:val="566B6D1E"/>
    <w:rsid w:val="567B671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A1498"/>
    <w:rsid w:val="58917D2F"/>
    <w:rsid w:val="5894085C"/>
    <w:rsid w:val="58951E10"/>
    <w:rsid w:val="58AE4F0C"/>
    <w:rsid w:val="58B85899"/>
    <w:rsid w:val="58E363A9"/>
    <w:rsid w:val="595E1678"/>
    <w:rsid w:val="596D5BD4"/>
    <w:rsid w:val="597E3DD8"/>
    <w:rsid w:val="598C08F5"/>
    <w:rsid w:val="59E05197"/>
    <w:rsid w:val="59F80043"/>
    <w:rsid w:val="5A09252F"/>
    <w:rsid w:val="5A0B2778"/>
    <w:rsid w:val="5A2A7C7B"/>
    <w:rsid w:val="5A3E2560"/>
    <w:rsid w:val="5A5D3B6E"/>
    <w:rsid w:val="5A637A76"/>
    <w:rsid w:val="5A6D33BA"/>
    <w:rsid w:val="5A792B1F"/>
    <w:rsid w:val="5A874767"/>
    <w:rsid w:val="5A876872"/>
    <w:rsid w:val="5AA85BE2"/>
    <w:rsid w:val="5AAD6F28"/>
    <w:rsid w:val="5AD63A24"/>
    <w:rsid w:val="5B2E1A1D"/>
    <w:rsid w:val="5B843A1C"/>
    <w:rsid w:val="5B873E3F"/>
    <w:rsid w:val="5BAA0525"/>
    <w:rsid w:val="5BCF7397"/>
    <w:rsid w:val="5C02690E"/>
    <w:rsid w:val="5C196DA7"/>
    <w:rsid w:val="5C2A048C"/>
    <w:rsid w:val="5C80234E"/>
    <w:rsid w:val="5C8A680C"/>
    <w:rsid w:val="5D0C4701"/>
    <w:rsid w:val="5D0F0395"/>
    <w:rsid w:val="5D221076"/>
    <w:rsid w:val="5D397964"/>
    <w:rsid w:val="5D5A391C"/>
    <w:rsid w:val="5D5F10C0"/>
    <w:rsid w:val="5D891B7B"/>
    <w:rsid w:val="5D9F67A1"/>
    <w:rsid w:val="5DAD38EE"/>
    <w:rsid w:val="5E006862"/>
    <w:rsid w:val="5E0207B9"/>
    <w:rsid w:val="5E1834A1"/>
    <w:rsid w:val="5E261785"/>
    <w:rsid w:val="5E4A7017"/>
    <w:rsid w:val="5E552BBA"/>
    <w:rsid w:val="5E611C10"/>
    <w:rsid w:val="5E7A0F3F"/>
    <w:rsid w:val="5EF32A72"/>
    <w:rsid w:val="5EFC7377"/>
    <w:rsid w:val="5F06174D"/>
    <w:rsid w:val="5F193986"/>
    <w:rsid w:val="5F21102F"/>
    <w:rsid w:val="5F3A3602"/>
    <w:rsid w:val="5F45733B"/>
    <w:rsid w:val="5F6277C6"/>
    <w:rsid w:val="5F6D0B1D"/>
    <w:rsid w:val="5F726B2F"/>
    <w:rsid w:val="5F8529C6"/>
    <w:rsid w:val="5F8D0B82"/>
    <w:rsid w:val="5FCC5339"/>
    <w:rsid w:val="5FDF5BB3"/>
    <w:rsid w:val="5FE34A5B"/>
    <w:rsid w:val="5FF43B9A"/>
    <w:rsid w:val="5FFE1E36"/>
    <w:rsid w:val="60232584"/>
    <w:rsid w:val="60493394"/>
    <w:rsid w:val="607330CE"/>
    <w:rsid w:val="607466A0"/>
    <w:rsid w:val="60825176"/>
    <w:rsid w:val="609F2AC4"/>
    <w:rsid w:val="60FA2EE8"/>
    <w:rsid w:val="61054A27"/>
    <w:rsid w:val="610658C8"/>
    <w:rsid w:val="610A52BC"/>
    <w:rsid w:val="611D2366"/>
    <w:rsid w:val="613E477F"/>
    <w:rsid w:val="61421856"/>
    <w:rsid w:val="615227C4"/>
    <w:rsid w:val="61654E3F"/>
    <w:rsid w:val="6182292A"/>
    <w:rsid w:val="619F7F92"/>
    <w:rsid w:val="61F94C26"/>
    <w:rsid w:val="62000E56"/>
    <w:rsid w:val="62254DA3"/>
    <w:rsid w:val="624F3E49"/>
    <w:rsid w:val="625422E5"/>
    <w:rsid w:val="62632286"/>
    <w:rsid w:val="62885958"/>
    <w:rsid w:val="62A74662"/>
    <w:rsid w:val="62F40B65"/>
    <w:rsid w:val="62F57AED"/>
    <w:rsid w:val="62FC2CFE"/>
    <w:rsid w:val="63024505"/>
    <w:rsid w:val="635600A5"/>
    <w:rsid w:val="635B1DB5"/>
    <w:rsid w:val="63711FED"/>
    <w:rsid w:val="63880DDC"/>
    <w:rsid w:val="638D750D"/>
    <w:rsid w:val="63A577D2"/>
    <w:rsid w:val="63AC6CC0"/>
    <w:rsid w:val="63E36016"/>
    <w:rsid w:val="63FE229B"/>
    <w:rsid w:val="64055776"/>
    <w:rsid w:val="64240056"/>
    <w:rsid w:val="643E143A"/>
    <w:rsid w:val="64491666"/>
    <w:rsid w:val="64625357"/>
    <w:rsid w:val="64857662"/>
    <w:rsid w:val="648B6EEF"/>
    <w:rsid w:val="64B95463"/>
    <w:rsid w:val="64C158BF"/>
    <w:rsid w:val="64CE2EAA"/>
    <w:rsid w:val="653C3090"/>
    <w:rsid w:val="65854376"/>
    <w:rsid w:val="65856625"/>
    <w:rsid w:val="658767BE"/>
    <w:rsid w:val="65892531"/>
    <w:rsid w:val="65B20589"/>
    <w:rsid w:val="65B433A9"/>
    <w:rsid w:val="65C23A09"/>
    <w:rsid w:val="66195831"/>
    <w:rsid w:val="66234782"/>
    <w:rsid w:val="662E75B1"/>
    <w:rsid w:val="66342C2E"/>
    <w:rsid w:val="66363870"/>
    <w:rsid w:val="663E784C"/>
    <w:rsid w:val="668B6A45"/>
    <w:rsid w:val="67011F07"/>
    <w:rsid w:val="67205594"/>
    <w:rsid w:val="672F3F24"/>
    <w:rsid w:val="673E055F"/>
    <w:rsid w:val="67551CE3"/>
    <w:rsid w:val="67A22552"/>
    <w:rsid w:val="67B22DCC"/>
    <w:rsid w:val="67B361D3"/>
    <w:rsid w:val="67BE71AA"/>
    <w:rsid w:val="67C04916"/>
    <w:rsid w:val="67D90273"/>
    <w:rsid w:val="67DE5875"/>
    <w:rsid w:val="67E55852"/>
    <w:rsid w:val="67EB1AB4"/>
    <w:rsid w:val="67FA1285"/>
    <w:rsid w:val="680430A7"/>
    <w:rsid w:val="6831795B"/>
    <w:rsid w:val="68393A85"/>
    <w:rsid w:val="68551F4F"/>
    <w:rsid w:val="687C10C9"/>
    <w:rsid w:val="68840C16"/>
    <w:rsid w:val="68872541"/>
    <w:rsid w:val="68876EFB"/>
    <w:rsid w:val="68884654"/>
    <w:rsid w:val="689F444F"/>
    <w:rsid w:val="68B96DBB"/>
    <w:rsid w:val="68CA2805"/>
    <w:rsid w:val="68E937A3"/>
    <w:rsid w:val="691664E5"/>
    <w:rsid w:val="692A1FF1"/>
    <w:rsid w:val="693E15D3"/>
    <w:rsid w:val="69627681"/>
    <w:rsid w:val="6977531D"/>
    <w:rsid w:val="69811F27"/>
    <w:rsid w:val="69842C82"/>
    <w:rsid w:val="69AF5205"/>
    <w:rsid w:val="69CC2BFF"/>
    <w:rsid w:val="69FD55B8"/>
    <w:rsid w:val="6A03535A"/>
    <w:rsid w:val="6A0B1C62"/>
    <w:rsid w:val="6A222EC4"/>
    <w:rsid w:val="6A2406C8"/>
    <w:rsid w:val="6A8B3CB8"/>
    <w:rsid w:val="6ADD77AA"/>
    <w:rsid w:val="6ADE0BD1"/>
    <w:rsid w:val="6AE96859"/>
    <w:rsid w:val="6B147746"/>
    <w:rsid w:val="6B24787C"/>
    <w:rsid w:val="6B573233"/>
    <w:rsid w:val="6B5B6274"/>
    <w:rsid w:val="6B793D2A"/>
    <w:rsid w:val="6B935D53"/>
    <w:rsid w:val="6BC63F06"/>
    <w:rsid w:val="6BDC3C14"/>
    <w:rsid w:val="6C16684A"/>
    <w:rsid w:val="6C196F71"/>
    <w:rsid w:val="6C226FCB"/>
    <w:rsid w:val="6C243CF9"/>
    <w:rsid w:val="6C31226F"/>
    <w:rsid w:val="6C552F0B"/>
    <w:rsid w:val="6C8C67B7"/>
    <w:rsid w:val="6C9D744C"/>
    <w:rsid w:val="6C9E38A6"/>
    <w:rsid w:val="6CB866E1"/>
    <w:rsid w:val="6D167928"/>
    <w:rsid w:val="6D26299B"/>
    <w:rsid w:val="6D402BFE"/>
    <w:rsid w:val="6D4772EC"/>
    <w:rsid w:val="6D602A51"/>
    <w:rsid w:val="6D78223D"/>
    <w:rsid w:val="6D9078AF"/>
    <w:rsid w:val="6D9A0452"/>
    <w:rsid w:val="6DAA3FEF"/>
    <w:rsid w:val="6DC0172B"/>
    <w:rsid w:val="6DCB690C"/>
    <w:rsid w:val="6DD41A5B"/>
    <w:rsid w:val="6DF43C2E"/>
    <w:rsid w:val="6DF51CA3"/>
    <w:rsid w:val="6E136A15"/>
    <w:rsid w:val="6E1A6969"/>
    <w:rsid w:val="6E3E08F3"/>
    <w:rsid w:val="6E724290"/>
    <w:rsid w:val="6E8335BD"/>
    <w:rsid w:val="6E8E12EF"/>
    <w:rsid w:val="6E972936"/>
    <w:rsid w:val="6EAB2E1E"/>
    <w:rsid w:val="6EAB7671"/>
    <w:rsid w:val="6ED446C5"/>
    <w:rsid w:val="6F1752F5"/>
    <w:rsid w:val="6F2A7D94"/>
    <w:rsid w:val="6F8331F1"/>
    <w:rsid w:val="6FAE1A09"/>
    <w:rsid w:val="6FBA736C"/>
    <w:rsid w:val="6FD75BF8"/>
    <w:rsid w:val="701D6546"/>
    <w:rsid w:val="707723D0"/>
    <w:rsid w:val="707C2771"/>
    <w:rsid w:val="70F5661B"/>
    <w:rsid w:val="71360107"/>
    <w:rsid w:val="713B688E"/>
    <w:rsid w:val="718E1C5D"/>
    <w:rsid w:val="71D43752"/>
    <w:rsid w:val="71F1796A"/>
    <w:rsid w:val="720C127E"/>
    <w:rsid w:val="72154626"/>
    <w:rsid w:val="72262B5D"/>
    <w:rsid w:val="72283FF7"/>
    <w:rsid w:val="722E7212"/>
    <w:rsid w:val="723A0474"/>
    <w:rsid w:val="724D3D0E"/>
    <w:rsid w:val="725923E4"/>
    <w:rsid w:val="72864BF7"/>
    <w:rsid w:val="729023FC"/>
    <w:rsid w:val="72C90941"/>
    <w:rsid w:val="72CA3148"/>
    <w:rsid w:val="72D373ED"/>
    <w:rsid w:val="730A50CC"/>
    <w:rsid w:val="7395391F"/>
    <w:rsid w:val="73BA35A2"/>
    <w:rsid w:val="73C0646E"/>
    <w:rsid w:val="742222F5"/>
    <w:rsid w:val="74476126"/>
    <w:rsid w:val="74706664"/>
    <w:rsid w:val="747F3682"/>
    <w:rsid w:val="749C4185"/>
    <w:rsid w:val="74B83EDD"/>
    <w:rsid w:val="74E928C1"/>
    <w:rsid w:val="75067759"/>
    <w:rsid w:val="752E6DCD"/>
    <w:rsid w:val="7551380D"/>
    <w:rsid w:val="75600BE5"/>
    <w:rsid w:val="7564475C"/>
    <w:rsid w:val="7583797F"/>
    <w:rsid w:val="75D20F1D"/>
    <w:rsid w:val="75DA2C18"/>
    <w:rsid w:val="75F54412"/>
    <w:rsid w:val="761D08E0"/>
    <w:rsid w:val="765D347C"/>
    <w:rsid w:val="766E5940"/>
    <w:rsid w:val="76706EDC"/>
    <w:rsid w:val="76826699"/>
    <w:rsid w:val="76C87133"/>
    <w:rsid w:val="76CD08D5"/>
    <w:rsid w:val="76DB4B92"/>
    <w:rsid w:val="76FC5416"/>
    <w:rsid w:val="76FD013A"/>
    <w:rsid w:val="77052AA4"/>
    <w:rsid w:val="77136511"/>
    <w:rsid w:val="77340A39"/>
    <w:rsid w:val="77351FD0"/>
    <w:rsid w:val="77472422"/>
    <w:rsid w:val="77516237"/>
    <w:rsid w:val="777F31F2"/>
    <w:rsid w:val="77D1700D"/>
    <w:rsid w:val="77D97B0E"/>
    <w:rsid w:val="77EC04CC"/>
    <w:rsid w:val="78233908"/>
    <w:rsid w:val="784C7EB0"/>
    <w:rsid w:val="78775729"/>
    <w:rsid w:val="78A42DB0"/>
    <w:rsid w:val="78A656AB"/>
    <w:rsid w:val="78AB3846"/>
    <w:rsid w:val="78B2245C"/>
    <w:rsid w:val="78E172CC"/>
    <w:rsid w:val="78EA1D1F"/>
    <w:rsid w:val="7904172F"/>
    <w:rsid w:val="790F7E27"/>
    <w:rsid w:val="792A231A"/>
    <w:rsid w:val="79316829"/>
    <w:rsid w:val="79621410"/>
    <w:rsid w:val="797B3BA9"/>
    <w:rsid w:val="797E1D12"/>
    <w:rsid w:val="797E66A9"/>
    <w:rsid w:val="798518A4"/>
    <w:rsid w:val="799C4E87"/>
    <w:rsid w:val="79A97383"/>
    <w:rsid w:val="79BE0617"/>
    <w:rsid w:val="79E27E8B"/>
    <w:rsid w:val="79F850CE"/>
    <w:rsid w:val="79FD443C"/>
    <w:rsid w:val="7A1D1975"/>
    <w:rsid w:val="7A3E5150"/>
    <w:rsid w:val="7A4670D6"/>
    <w:rsid w:val="7A534B63"/>
    <w:rsid w:val="7A615382"/>
    <w:rsid w:val="7A67303B"/>
    <w:rsid w:val="7A8A1151"/>
    <w:rsid w:val="7AA27B4C"/>
    <w:rsid w:val="7AAB1D04"/>
    <w:rsid w:val="7AAD3CFE"/>
    <w:rsid w:val="7ABA4368"/>
    <w:rsid w:val="7AD05746"/>
    <w:rsid w:val="7AE12897"/>
    <w:rsid w:val="7B257FFD"/>
    <w:rsid w:val="7B273D20"/>
    <w:rsid w:val="7B2966A8"/>
    <w:rsid w:val="7B343476"/>
    <w:rsid w:val="7B522F29"/>
    <w:rsid w:val="7B5A2978"/>
    <w:rsid w:val="7B5A7E4C"/>
    <w:rsid w:val="7B667AF9"/>
    <w:rsid w:val="7B7468F8"/>
    <w:rsid w:val="7BD51939"/>
    <w:rsid w:val="7BEE0103"/>
    <w:rsid w:val="7C0A0FE4"/>
    <w:rsid w:val="7C254906"/>
    <w:rsid w:val="7C581EF8"/>
    <w:rsid w:val="7C590818"/>
    <w:rsid w:val="7C5B584B"/>
    <w:rsid w:val="7C7C10F6"/>
    <w:rsid w:val="7C853BEA"/>
    <w:rsid w:val="7C881368"/>
    <w:rsid w:val="7CE27788"/>
    <w:rsid w:val="7CEE6886"/>
    <w:rsid w:val="7D0C32F1"/>
    <w:rsid w:val="7D0F408D"/>
    <w:rsid w:val="7D3B07A8"/>
    <w:rsid w:val="7D491C6C"/>
    <w:rsid w:val="7D5429C0"/>
    <w:rsid w:val="7D573B18"/>
    <w:rsid w:val="7D6E6D43"/>
    <w:rsid w:val="7DB57A34"/>
    <w:rsid w:val="7DE60973"/>
    <w:rsid w:val="7DEF0916"/>
    <w:rsid w:val="7E1E5218"/>
    <w:rsid w:val="7E9A4E1F"/>
    <w:rsid w:val="7EA7723A"/>
    <w:rsid w:val="7EF56FBB"/>
    <w:rsid w:val="7F0768EB"/>
    <w:rsid w:val="7F143BEC"/>
    <w:rsid w:val="7F715AF2"/>
    <w:rsid w:val="7F886E69"/>
    <w:rsid w:val="7FD94CD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9"/>
    <w:qFormat/>
    <w:uiPriority w:val="99"/>
    <w:pPr>
      <w:autoSpaceDE w:val="0"/>
      <w:autoSpaceDN w:val="0"/>
      <w:spacing w:line="360" w:lineRule="auto"/>
    </w:pPr>
    <w:rPr>
      <w:rFonts w:ascii="宋体" w:hAnsi="Arial" w:cs="Arial"/>
      <w:snapToGrid w:val="0"/>
      <w:sz w:val="24"/>
      <w:szCs w:val="21"/>
      <w:lang w:val="zh-CN"/>
    </w:rPr>
  </w:style>
  <w:style w:type="paragraph" w:styleId="6">
    <w:name w:val="Body Text First Indent"/>
    <w:basedOn w:val="2"/>
    <w:next w:val="7"/>
    <w:link w:val="320"/>
    <w:qFormat/>
    <w:uiPriority w:val="0"/>
    <w:pPr>
      <w:framePr w:hSpace="180" w:wrap="around" w:vAnchor="text" w:hAnchor="page" w:xAlign="center" w:y="302"/>
      <w:suppressOverlap/>
      <w:tabs>
        <w:tab w:val="left" w:pos="482"/>
        <w:tab w:val="left" w:pos="2183"/>
        <w:tab w:val="left" w:pos="3884"/>
        <w:tab w:val="left" w:pos="5585"/>
      </w:tabs>
      <w:spacing w:line="240" w:lineRule="auto"/>
    </w:pPr>
    <w:rPr>
      <w:rFonts w:hAnsi="Calibri" w:cs="Times New Roman"/>
      <w:snapToGrid/>
      <w:szCs w:val="20"/>
    </w:rPr>
  </w:style>
  <w:style w:type="paragraph" w:styleId="7">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next w:val="18"/>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Balloon Text"/>
    <w:basedOn w:val="1"/>
    <w:next w:val="19"/>
    <w:link w:val="187"/>
    <w:qFormat/>
    <w:uiPriority w:val="0"/>
    <w:rPr>
      <w:sz w:val="18"/>
      <w:szCs w:val="18"/>
    </w:rPr>
  </w:style>
  <w:style w:type="paragraph" w:styleId="19">
    <w:name w:val="toc 8"/>
    <w:basedOn w:val="1"/>
    <w:next w:val="1"/>
    <w:qFormat/>
    <w:uiPriority w:val="0"/>
    <w:pPr>
      <w:ind w:left="2940" w:leftChars="1400"/>
    </w:pPr>
  </w:style>
  <w:style w:type="paragraph" w:styleId="20">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8"/>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1"/>
    <w:qFormat/>
    <w:uiPriority w:val="0"/>
    <w:pPr>
      <w:shd w:val="clear" w:color="auto" w:fill="000080"/>
    </w:pPr>
  </w:style>
  <w:style w:type="paragraph" w:styleId="24">
    <w:name w:val="annotation text"/>
    <w:basedOn w:val="1"/>
    <w:link w:val="343"/>
    <w:qFormat/>
    <w:uiPriority w:val="99"/>
    <w:pPr>
      <w:jc w:val="left"/>
    </w:pPr>
  </w:style>
  <w:style w:type="paragraph" w:styleId="25">
    <w:name w:val="Salutation"/>
    <w:basedOn w:val="1"/>
    <w:next w:val="1"/>
    <w:link w:val="297"/>
    <w:qFormat/>
    <w:uiPriority w:val="0"/>
    <w:rPr>
      <w:rFonts w:ascii="仿宋_GB2312" w:eastAsia="仿宋_GB2312"/>
      <w:sz w:val="28"/>
      <w:szCs w:val="20"/>
    </w:rPr>
  </w:style>
  <w:style w:type="paragraph" w:styleId="26">
    <w:name w:val="Body Text 3"/>
    <w:basedOn w:val="1"/>
    <w:link w:val="329"/>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17"/>
    <w:link w:val="264"/>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qFormat/>
    <w:uiPriority w:val="0"/>
    <w:pPr>
      <w:tabs>
        <w:tab w:val="right" w:leader="dot" w:pos="8268"/>
      </w:tabs>
    </w:pPr>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0"/>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54"/>
    <w:link w:val="374"/>
    <w:qFormat/>
    <w:uiPriority w:val="0"/>
    <w:pPr>
      <w:tabs>
        <w:tab w:val="right" w:leader="dot" w:pos="8268"/>
      </w:tabs>
      <w:spacing w:line="360" w:lineRule="auto"/>
      <w:ind w:firstLine="420"/>
    </w:pPr>
    <w:rPr>
      <w:szCs w:val="20"/>
    </w:rPr>
  </w:style>
  <w:style w:type="paragraph" w:customStyle="1" w:styleId="54">
    <w:name w:val="正文1"/>
    <w:basedOn w:val="35"/>
    <w:qFormat/>
    <w:uiPriority w:val="0"/>
    <w:pPr>
      <w:ind w:left="0" w:leftChars="0" w:firstLine="480" w:firstLineChars="200"/>
    </w:pPr>
    <w:rPr>
      <w:rFonts w:ascii="仿宋_GB2312" w:hAnsi="Courier New" w:eastAsia="仿宋_GB2312"/>
      <w:kern w:val="28"/>
      <w:sz w:val="24"/>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5"/>
    <w:qFormat/>
    <w:uiPriority w:val="0"/>
    <w:rPr>
      <w:b/>
      <w:bCs/>
    </w:rPr>
  </w:style>
  <w:style w:type="paragraph" w:styleId="62">
    <w:name w:val="Body Text First Indent 2"/>
    <w:basedOn w:val="28"/>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Fließtext"/>
    <w:basedOn w:val="1"/>
    <w:qFormat/>
    <w:uiPriority w:val="0"/>
    <w:pPr>
      <w:overflowPunct w:val="0"/>
      <w:autoSpaceDE w:val="0"/>
      <w:autoSpaceDN w:val="0"/>
      <w:textAlignment w:val="baseline"/>
    </w:pPr>
    <w:rPr>
      <w:kern w:val="28"/>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1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20"/>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3"/>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1"/>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8"/>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5"/>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
    <w:qFormat/>
    <w:uiPriority w:val="0"/>
    <w:rPr>
      <w:rFonts w:ascii="宋体" w:hAnsi="Calibri"/>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6"/>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4"/>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99"/>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20"/>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
    <w:qFormat/>
    <w:uiPriority w:val="0"/>
    <w:pPr>
      <w:framePr w:wrap="around"/>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纯文本3"/>
    <w:basedOn w:val="1"/>
    <w:qFormat/>
    <w:uiPriority w:val="0"/>
    <w:rPr>
      <w:rFonts w:ascii="宋体" w:hAnsi="Courier New"/>
      <w:kern w:val="0"/>
      <w:sz w:val="20"/>
      <w:szCs w:val="20"/>
    </w:rPr>
  </w:style>
  <w:style w:type="paragraph" w:customStyle="1" w:styleId="964">
    <w:name w:val="标题 21"/>
    <w:basedOn w:val="54"/>
    <w:next w:val="54"/>
    <w:qFormat/>
    <w:uiPriority w:val="0"/>
    <w:pPr>
      <w:keepNext/>
      <w:keepLines/>
      <w:spacing w:line="408" w:lineRule="auto"/>
      <w:outlineLvl w:val="1"/>
    </w:pPr>
    <w:rPr>
      <w:rFonts w:ascii="Arial" w:hAnsi="Arial" w:eastAsia="黑体"/>
      <w:b/>
      <w:bCs/>
      <w:sz w:val="32"/>
      <w:szCs w:val="32"/>
    </w:rPr>
  </w:style>
  <w:style w:type="paragraph" w:customStyle="1" w:styleId="965">
    <w:name w:val="BodyText1I"/>
    <w:basedOn w:val="966"/>
    <w:qFormat/>
    <w:uiPriority w:val="0"/>
    <w:pPr>
      <w:ind w:firstLine="420" w:firstLineChars="100"/>
    </w:pPr>
  </w:style>
  <w:style w:type="paragraph" w:customStyle="1" w:styleId="966">
    <w:name w:val="BodyText"/>
    <w:basedOn w:val="1"/>
    <w:qFormat/>
    <w:uiPriority w:val="0"/>
    <w:pPr>
      <w:spacing w:after="120"/>
    </w:pPr>
    <w:rPr>
      <w:rFonts w:ascii="长城仿宋" w:hAnsi="长城仿宋" w:eastAsia="等线"/>
    </w:rPr>
  </w:style>
  <w:style w:type="paragraph" w:customStyle="1" w:styleId="967">
    <w:name w:val="纯文本31"/>
    <w:basedOn w:val="1"/>
    <w:qFormat/>
    <w:uiPriority w:val="0"/>
    <w:rPr>
      <w:rFonts w:ascii="宋体" w:hAnsi="Courier New"/>
      <w:kern w:val="0"/>
      <w:sz w:val="20"/>
      <w:szCs w:val="20"/>
    </w:rPr>
  </w:style>
  <w:style w:type="paragraph" w:customStyle="1" w:styleId="968">
    <w:name w:val="l正文"/>
    <w:basedOn w:val="1"/>
    <w:qFormat/>
    <w:uiPriority w:val="0"/>
    <w:pPr>
      <w:widowControl/>
      <w:adjustRightInd/>
      <w:spacing w:line="300" w:lineRule="auto"/>
      <w:ind w:firstLine="200" w:firstLineChars="200"/>
      <w:jc w:val="left"/>
    </w:pPr>
    <w:rPr>
      <w:rFonts w:ascii="楷体_GB2312" w:hAnsi="Times" w:eastAsia="楷体_GB2312" w:cs="等线"/>
      <w:kern w:val="0"/>
      <w:sz w:val="24"/>
    </w:rPr>
  </w:style>
  <w:style w:type="paragraph" w:customStyle="1" w:styleId="969">
    <w:name w:val="样式 标题 2 + Times New Roman 四号 非加粗 段前: 5 磅 段后: 0 磅 行距: 固定值 20..."/>
    <w:basedOn w:val="4"/>
    <w:qFormat/>
    <w:uiPriority w:val="0"/>
    <w:pPr>
      <w:tabs>
        <w:tab w:val="clear" w:pos="432"/>
      </w:tabs>
      <w:spacing w:before="100" w:line="400" w:lineRule="exact"/>
      <w:ind w:left="0" w:firstLine="0"/>
      <w:jc w:val="both"/>
    </w:pPr>
    <w:rPr>
      <w:rFonts w:ascii="Times New Roman" w:hAnsi="Times New Roman" w:eastAsia="黑体" w:cs="宋体"/>
      <w:b w:val="0"/>
      <w:bCs w:val="0"/>
      <w:sz w:val="28"/>
      <w:szCs w:val="20"/>
      <w:lang w:val="en-US"/>
    </w:rPr>
  </w:style>
  <w:style w:type="character" w:customStyle="1" w:styleId="970">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B3FC8F-95F2-4937-8D09-41209A19CECC}">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39597</Words>
  <Characters>41706</Characters>
  <Lines>327</Lines>
  <Paragraphs>92</Paragraphs>
  <TotalTime>10</TotalTime>
  <ScaleCrop>false</ScaleCrop>
  <LinksUpToDate>false</LinksUpToDate>
  <CharactersWithSpaces>43912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2024-09-19T08:33:00Z</dcterms:created>
  <dc:creator>玥</dc:creator>
  <cp:lastModifiedBy>BEIBEIYANG</cp:lastModifiedBy>
  <cp:lastPrinted>2024-09-24T03:52:00Z</cp:lastPrinted>
  <dcterms:modified xsi:type="dcterms:W3CDTF">2024-09-24T06:50:03Z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CF2CF957CCA345B499687B59CD70A742</vt:lpwstr>
  </property>
</Properties>
</file>