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color w:val="auto"/>
          <w:sz w:val="24"/>
          <w:highlight w:val="none"/>
        </w:rPr>
      </w:pPr>
      <w:r>
        <w:rPr>
          <w:rFonts w:hint="eastAsia"/>
          <w:color w:val="auto"/>
          <w:highlight w:val="none"/>
        </w:rPr>
        <w:drawing>
          <wp:inline distT="0" distB="0" distL="114300" distR="114300">
            <wp:extent cx="2435225" cy="899160"/>
            <wp:effectExtent l="0" t="0" r="3175" b="15240"/>
            <wp:docPr id="1" name="图片 1" descr="026ac5d67cc5bb18d5232baae671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6ac5d67cc5bb18d5232baae671f27"/>
                    <pic:cNvPicPr>
                      <a:picLocks noChangeAspect="1"/>
                    </pic:cNvPicPr>
                  </pic:nvPicPr>
                  <pic:blipFill>
                    <a:blip r:embed="rId29"/>
                    <a:stretch>
                      <a:fillRect/>
                    </a:stretch>
                  </pic:blipFill>
                  <pic:spPr>
                    <a:xfrm>
                      <a:off x="0" y="0"/>
                      <a:ext cx="2435225" cy="899160"/>
                    </a:xfrm>
                    <a:prstGeom prst="rect">
                      <a:avLst/>
                    </a:prstGeom>
                    <a:noFill/>
                    <a:ln>
                      <a:noFill/>
                    </a:ln>
                  </pic:spPr>
                </pic:pic>
              </a:graphicData>
            </a:graphic>
          </wp:inline>
        </w:drawing>
      </w:r>
    </w:p>
    <w:p>
      <w:pPr>
        <w:spacing w:line="360" w:lineRule="auto"/>
        <w:jc w:val="center"/>
        <w:rPr>
          <w:rFonts w:ascii="宋体" w:hAnsi="宋体" w:cs="宋体"/>
          <w:b/>
          <w:color w:val="auto"/>
          <w:sz w:val="24"/>
          <w:highlight w:val="none"/>
        </w:rPr>
      </w:pPr>
    </w:p>
    <w:p>
      <w:pPr>
        <w:jc w:val="center"/>
        <w:rPr>
          <w:rFonts w:ascii="宋体" w:eastAsia="宋体"/>
          <w:b w:val="0"/>
          <w:bCs/>
          <w:color w:val="auto"/>
          <w:sz w:val="52"/>
          <w:szCs w:val="52"/>
          <w:highlight w:val="none"/>
        </w:rPr>
      </w:pPr>
      <w:r>
        <w:rPr>
          <w:rFonts w:hint="eastAsia" w:ascii="宋体" w:hAnsi="宋体" w:cs="宋体"/>
          <w:b/>
          <w:bCs/>
          <w:color w:val="auto"/>
          <w:sz w:val="48"/>
          <w:szCs w:val="48"/>
          <w:highlight w:val="none"/>
        </w:rPr>
        <w:t xml:space="preserve"> </w:t>
      </w:r>
      <w:r>
        <w:rPr>
          <w:rFonts w:hint="eastAsia" w:ascii="宋体" w:eastAsia="宋体"/>
          <w:b w:val="0"/>
          <w:color w:val="auto"/>
          <w:spacing w:val="20"/>
          <w:sz w:val="84"/>
          <w:highlight w:val="none"/>
          <w:lang w:eastAsia="zh-CN"/>
        </w:rPr>
        <w:t>鹿城区</w:t>
      </w:r>
      <w:r>
        <w:rPr>
          <w:rFonts w:hint="eastAsia" w:ascii="宋体" w:eastAsia="宋体"/>
          <w:b w:val="0"/>
          <w:color w:val="auto"/>
          <w:spacing w:val="20"/>
          <w:sz w:val="84"/>
          <w:highlight w:val="none"/>
        </w:rPr>
        <w:t>（分散）采购</w:t>
      </w:r>
    </w:p>
    <w:p>
      <w:pPr>
        <w:jc w:val="center"/>
        <w:rPr>
          <w:rFonts w:ascii="宋体" w:eastAsia="宋体"/>
          <w:b w:val="0"/>
          <w:bCs/>
          <w:color w:val="auto"/>
          <w:spacing w:val="140"/>
          <w:sz w:val="72"/>
          <w:highlight w:val="none"/>
        </w:rPr>
      </w:pPr>
    </w:p>
    <w:p>
      <w:pPr>
        <w:jc w:val="center"/>
        <w:rPr>
          <w:rFonts w:ascii="宋体" w:eastAsia="宋体"/>
          <w:b w:val="0"/>
          <w:color w:val="auto"/>
          <w:spacing w:val="20"/>
          <w:sz w:val="84"/>
          <w:highlight w:val="none"/>
        </w:rPr>
      </w:pPr>
      <w:r>
        <w:rPr>
          <w:rFonts w:hint="eastAsia" w:ascii="宋体" w:eastAsia="宋体"/>
          <w:b w:val="0"/>
          <w:color w:val="auto"/>
          <w:spacing w:val="20"/>
          <w:sz w:val="84"/>
          <w:highlight w:val="none"/>
        </w:rPr>
        <w:t>招 标 文 件</w:t>
      </w:r>
    </w:p>
    <w:p>
      <w:pPr>
        <w:spacing w:line="800" w:lineRule="exact"/>
        <w:ind w:left="4746" w:leftChars="1022" w:hanging="2600" w:hangingChars="500"/>
        <w:rPr>
          <w:rFonts w:ascii="宋体" w:eastAsia="宋体"/>
          <w:b w:val="0"/>
          <w:color w:val="auto"/>
          <w:sz w:val="52"/>
          <w:szCs w:val="52"/>
          <w:highlight w:val="none"/>
        </w:rPr>
      </w:pPr>
      <w:r>
        <w:rPr>
          <w:rFonts w:hint="eastAsia" w:ascii="宋体" w:eastAsia="宋体"/>
          <w:b w:val="0"/>
          <w:color w:val="auto"/>
          <w:sz w:val="52"/>
          <w:szCs w:val="52"/>
          <w:highlight w:val="none"/>
        </w:rPr>
        <w:t>（线上电子招投标）</w:t>
      </w:r>
    </w:p>
    <w:p>
      <w:pPr>
        <w:rPr>
          <w:rFonts w:ascii="宋体" w:eastAsia="宋体"/>
          <w:b w:val="0"/>
          <w:bCs/>
          <w:color w:val="auto"/>
          <w:sz w:val="24"/>
          <w:highlight w:val="none"/>
        </w:rPr>
      </w:pPr>
    </w:p>
    <w:p>
      <w:pPr>
        <w:spacing w:line="800" w:lineRule="exact"/>
        <w:ind w:firstLine="984" w:firstLineChars="300"/>
        <w:rPr>
          <w:rFonts w:hint="default" w:ascii="宋体" w:eastAsia="宋体"/>
          <w:b w:val="0"/>
          <w:color w:val="auto"/>
          <w:sz w:val="28"/>
          <w:szCs w:val="28"/>
          <w:highlight w:val="none"/>
          <w:lang w:val="en-US" w:eastAsia="zh-CN"/>
        </w:rPr>
      </w:pPr>
      <w:r>
        <w:rPr>
          <w:rFonts w:hint="eastAsia" w:ascii="宋体" w:eastAsia="宋体"/>
          <w:b w:val="0"/>
          <w:color w:val="auto"/>
          <w:spacing w:val="24"/>
          <w:sz w:val="28"/>
          <w:szCs w:val="28"/>
          <w:highlight w:val="none"/>
        </w:rPr>
        <w:t>项目编号：</w:t>
      </w:r>
      <w:r>
        <w:rPr>
          <w:rFonts w:hint="eastAsia" w:ascii="宋体" w:eastAsia="宋体"/>
          <w:b w:val="0"/>
          <w:color w:val="auto"/>
          <w:sz w:val="28"/>
          <w:szCs w:val="28"/>
          <w:highlight w:val="none"/>
          <w:lang w:eastAsia="zh-CN"/>
        </w:rPr>
        <w:t>WZHC-2024</w:t>
      </w:r>
      <w:r>
        <w:rPr>
          <w:rFonts w:hint="eastAsia" w:ascii="宋体" w:eastAsia="宋体"/>
          <w:b w:val="0"/>
          <w:color w:val="auto"/>
          <w:sz w:val="28"/>
          <w:szCs w:val="28"/>
          <w:highlight w:val="none"/>
          <w:lang w:val="en-US" w:eastAsia="zh-CN"/>
        </w:rPr>
        <w:t>0901</w:t>
      </w:r>
    </w:p>
    <w:p>
      <w:pPr>
        <w:spacing w:line="800" w:lineRule="exact"/>
        <w:ind w:left="2598" w:leftChars="456" w:hanging="1640" w:hangingChars="500"/>
        <w:rPr>
          <w:rFonts w:hint="eastAsia" w:ascii="宋体" w:eastAsia="宋体"/>
          <w:highlight w:val="none"/>
          <w:lang w:eastAsia="zh-CN"/>
        </w:rPr>
      </w:pPr>
      <w:r>
        <w:rPr>
          <w:rFonts w:hint="eastAsia" w:ascii="宋体" w:eastAsia="宋体"/>
          <w:b w:val="0"/>
          <w:color w:val="auto"/>
          <w:spacing w:val="24"/>
          <w:sz w:val="28"/>
          <w:szCs w:val="28"/>
          <w:highlight w:val="none"/>
        </w:rPr>
        <w:t>项目名称：</w:t>
      </w:r>
      <w:r>
        <w:rPr>
          <w:rFonts w:hint="eastAsia" w:ascii="宋体" w:eastAsia="宋体"/>
          <w:b w:val="0"/>
          <w:color w:val="auto"/>
          <w:spacing w:val="24"/>
          <w:sz w:val="28"/>
          <w:szCs w:val="28"/>
          <w:highlight w:val="none"/>
          <w:lang w:eastAsia="zh-CN"/>
        </w:rPr>
        <w:t>2024年鹿城区园林绿化管理中心车辆采购</w:t>
      </w:r>
    </w:p>
    <w:p>
      <w:pPr>
        <w:spacing w:line="800" w:lineRule="exact"/>
        <w:ind w:left="630" w:leftChars="300" w:firstLine="328" w:firstLineChars="100"/>
        <w:rPr>
          <w:rFonts w:ascii="宋体" w:eastAsia="宋体"/>
          <w:b w:val="0"/>
          <w:color w:val="auto"/>
          <w:spacing w:val="40"/>
          <w:sz w:val="28"/>
          <w:szCs w:val="28"/>
          <w:highlight w:val="none"/>
        </w:rPr>
      </w:pPr>
      <w:r>
        <w:rPr>
          <w:rFonts w:hint="eastAsia" w:ascii="宋体" w:eastAsia="宋体"/>
          <w:b w:val="0"/>
          <w:color w:val="auto"/>
          <w:spacing w:val="24"/>
          <w:sz w:val="28"/>
          <w:szCs w:val="28"/>
          <w:highlight w:val="none"/>
        </w:rPr>
        <w:t>采购方式：</w:t>
      </w:r>
      <w:r>
        <w:rPr>
          <w:rFonts w:hint="eastAsia" w:ascii="宋体" w:eastAsia="宋体"/>
          <w:b w:val="0"/>
          <w:color w:val="auto"/>
          <w:spacing w:val="40"/>
          <w:sz w:val="28"/>
          <w:szCs w:val="28"/>
          <w:highlight w:val="none"/>
        </w:rPr>
        <w:t>公开招标</w:t>
      </w:r>
    </w:p>
    <w:p>
      <w:pPr>
        <w:pStyle w:val="25"/>
        <w:rPr>
          <w:highlight w:val="none"/>
        </w:rPr>
      </w:pPr>
    </w:p>
    <w:p>
      <w:pPr>
        <w:pStyle w:val="61"/>
        <w:rPr>
          <w:highlight w:val="none"/>
        </w:rPr>
      </w:pPr>
    </w:p>
    <w:p>
      <w:pPr>
        <w:spacing w:line="600" w:lineRule="exact"/>
        <w:jc w:val="center"/>
        <w:rPr>
          <w:rFonts w:hint="eastAsia" w:ascii="宋体" w:eastAsia="宋体" w:cs="宋体"/>
          <w:b w:val="0"/>
          <w:color w:val="auto"/>
          <w:spacing w:val="30"/>
          <w:kern w:val="2"/>
          <w:sz w:val="30"/>
          <w:szCs w:val="22"/>
          <w:highlight w:val="none"/>
          <w:lang w:eastAsia="zh-CN"/>
        </w:rPr>
      </w:pPr>
      <w:r>
        <w:rPr>
          <w:rFonts w:hint="eastAsia" w:ascii="宋体" w:eastAsia="宋体" w:cs="宋体"/>
          <w:b w:val="0"/>
          <w:color w:val="auto"/>
          <w:spacing w:val="30"/>
          <w:kern w:val="2"/>
          <w:sz w:val="30"/>
          <w:szCs w:val="22"/>
          <w:highlight w:val="none"/>
          <w:lang w:val="en-US" w:eastAsia="zh-CN"/>
        </w:rPr>
        <w:t xml:space="preserve">    </w:t>
      </w:r>
      <w:r>
        <w:rPr>
          <w:rFonts w:hint="eastAsia" w:ascii="宋体" w:eastAsia="宋体" w:cs="宋体"/>
          <w:b w:val="0"/>
          <w:color w:val="auto"/>
          <w:spacing w:val="30"/>
          <w:kern w:val="2"/>
          <w:sz w:val="30"/>
          <w:szCs w:val="22"/>
          <w:highlight w:val="none"/>
        </w:rPr>
        <w:t>采 购 人:</w:t>
      </w:r>
      <w:r>
        <w:rPr>
          <w:rFonts w:hint="eastAsia" w:ascii="宋体" w:eastAsia="宋体" w:cs="宋体"/>
          <w:b w:val="0"/>
          <w:color w:val="auto"/>
          <w:spacing w:val="30"/>
          <w:kern w:val="2"/>
          <w:sz w:val="30"/>
          <w:szCs w:val="22"/>
          <w:highlight w:val="none"/>
          <w:lang w:eastAsia="zh-CN"/>
        </w:rPr>
        <w:t>温州市鹿城区园林绿化管理中心</w:t>
      </w:r>
    </w:p>
    <w:p>
      <w:pPr>
        <w:spacing w:line="600" w:lineRule="exact"/>
        <w:ind w:firstLine="1080" w:firstLineChars="300"/>
        <w:jc w:val="both"/>
        <w:rPr>
          <w:highlight w:val="none"/>
        </w:rPr>
      </w:pPr>
      <w:r>
        <w:rPr>
          <w:rFonts w:hint="eastAsia" w:ascii="宋体" w:eastAsia="宋体" w:cs="宋体"/>
          <w:b w:val="0"/>
          <w:color w:val="auto"/>
          <w:spacing w:val="30"/>
          <w:kern w:val="2"/>
          <w:sz w:val="30"/>
          <w:szCs w:val="22"/>
          <w:highlight w:val="none"/>
        </w:rPr>
        <w:t>采购代理公司：</w:t>
      </w:r>
      <w:r>
        <w:rPr>
          <w:rFonts w:hint="eastAsia" w:ascii="宋体" w:eastAsia="宋体" w:cs="宋体"/>
          <w:b w:val="0"/>
          <w:color w:val="auto"/>
          <w:spacing w:val="30"/>
          <w:kern w:val="2"/>
          <w:sz w:val="30"/>
          <w:szCs w:val="22"/>
          <w:highlight w:val="none"/>
          <w:lang w:eastAsia="zh-CN"/>
        </w:rPr>
        <w:t>温州韩诚工程项目管理有限公司</w:t>
      </w:r>
    </w:p>
    <w:p>
      <w:pPr>
        <w:pStyle w:val="61"/>
        <w:rPr>
          <w:highlight w:val="none"/>
        </w:rPr>
      </w:pPr>
    </w:p>
    <w:p>
      <w:pPr>
        <w:pStyle w:val="51"/>
        <w:rPr>
          <w:highlight w:val="none"/>
        </w:rPr>
      </w:pPr>
    </w:p>
    <w:p>
      <w:pPr>
        <w:spacing w:line="600" w:lineRule="exact"/>
        <w:ind w:firstLine="3240" w:firstLineChars="900"/>
        <w:jc w:val="both"/>
        <w:rPr>
          <w:rFonts w:hint="eastAsia" w:ascii="宋体" w:hAnsi="Times New Roman" w:eastAsia="宋体" w:cs="宋体"/>
          <w:b w:val="0"/>
          <w:color w:val="auto"/>
          <w:spacing w:val="30"/>
          <w:kern w:val="2"/>
          <w:sz w:val="30"/>
          <w:szCs w:val="22"/>
          <w:highlight w:val="none"/>
          <w:lang w:eastAsia="zh-CN"/>
        </w:rPr>
      </w:pPr>
      <w:r>
        <w:rPr>
          <w:rFonts w:hint="eastAsia" w:ascii="宋体" w:hAnsi="Times New Roman" w:eastAsia="宋体" w:cs="宋体"/>
          <w:b w:val="0"/>
          <w:color w:val="auto"/>
          <w:spacing w:val="30"/>
          <w:kern w:val="2"/>
          <w:sz w:val="30"/>
          <w:szCs w:val="22"/>
          <w:highlight w:val="none"/>
          <w:lang w:eastAsia="zh-CN"/>
        </w:rPr>
        <w:t>二0二四年</w:t>
      </w:r>
      <w:r>
        <w:rPr>
          <w:rFonts w:hint="eastAsia" w:ascii="宋体" w:hAnsi="Times New Roman" w:eastAsia="宋体" w:cs="宋体"/>
          <w:b w:val="0"/>
          <w:color w:val="auto"/>
          <w:spacing w:val="30"/>
          <w:kern w:val="2"/>
          <w:sz w:val="30"/>
          <w:szCs w:val="22"/>
          <w:highlight w:val="none"/>
          <w:lang w:val="en-US" w:eastAsia="zh-CN"/>
        </w:rPr>
        <w:t>九</w:t>
      </w:r>
      <w:r>
        <w:rPr>
          <w:rFonts w:hint="eastAsia" w:ascii="宋体" w:hAnsi="Times New Roman" w:eastAsia="宋体" w:cs="宋体"/>
          <w:b w:val="0"/>
          <w:color w:val="auto"/>
          <w:spacing w:val="30"/>
          <w:kern w:val="2"/>
          <w:sz w:val="30"/>
          <w:szCs w:val="22"/>
          <w:highlight w:val="none"/>
          <w:lang w:eastAsia="zh-CN"/>
        </w:rPr>
        <w:t>月</w:t>
      </w:r>
    </w:p>
    <w:p>
      <w:pPr>
        <w:autoSpaceDE w:val="0"/>
        <w:autoSpaceDN w:val="0"/>
        <w:adjustRightInd w:val="0"/>
        <w:spacing w:line="440" w:lineRule="atLeast"/>
        <w:jc w:val="center"/>
        <w:rPr>
          <w:rFonts w:ascii="宋体" w:eastAsia="宋体" w:cs="仿宋_GB2312"/>
          <w:bCs/>
          <w:sz w:val="36"/>
          <w:szCs w:val="36"/>
          <w:highlight w:val="none"/>
          <w:lang w:val="zh-CN"/>
        </w:rPr>
      </w:pPr>
    </w:p>
    <w:p>
      <w:pPr>
        <w:autoSpaceDE w:val="0"/>
        <w:autoSpaceDN w:val="0"/>
        <w:adjustRightInd w:val="0"/>
        <w:spacing w:line="440" w:lineRule="atLeast"/>
        <w:jc w:val="center"/>
        <w:rPr>
          <w:rFonts w:ascii="宋体" w:eastAsia="宋体" w:cs="仿宋_GB2312"/>
          <w:bCs/>
          <w:sz w:val="36"/>
          <w:szCs w:val="36"/>
          <w:highlight w:val="none"/>
          <w:lang w:val="zh-CN"/>
        </w:rPr>
        <w:sectPr>
          <w:footerReference r:id="rId5" w:type="first"/>
          <w:headerReference r:id="rId3" w:type="default"/>
          <w:footerReference r:id="rId4" w:type="default"/>
          <w:pgSz w:w="11906" w:h="16838"/>
          <w:pgMar w:top="1091" w:right="1247" w:bottom="1440" w:left="1247" w:header="851" w:footer="992" w:gutter="0"/>
          <w:pgNumType w:fmt="decimal"/>
          <w:cols w:space="720" w:num="1"/>
          <w:titlePg/>
          <w:docGrid w:linePitch="312" w:charSpace="0"/>
        </w:sectPr>
      </w:pPr>
    </w:p>
    <w:p>
      <w:pPr>
        <w:spacing w:line="360" w:lineRule="auto"/>
        <w:jc w:val="both"/>
        <w:rPr>
          <w:rFonts w:ascii="宋体" w:hAnsi="宋体" w:cs="宋体"/>
          <w:color w:val="auto"/>
          <w:sz w:val="24"/>
          <w:highlight w:val="none"/>
        </w:rPr>
      </w:pP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 xml:space="preserve"> </w:t>
      </w:r>
      <w:r>
        <w:rPr>
          <w:rFonts w:hint="eastAsia" w:cs="仿宋_GB2312" w:asciiTheme="minorEastAsia" w:hAnsiTheme="minorEastAsia" w:eastAsiaTheme="minorEastAsia"/>
          <w:color w:val="auto"/>
          <w:sz w:val="24"/>
          <w:highlight w:val="none"/>
          <w:u w:val="single"/>
          <w:lang w:eastAsia="zh-CN"/>
        </w:rPr>
        <w:t>2024年鹿城区园林绿化管理中心车辆采购</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4</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10</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14</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
          <w:color w:val="auto"/>
          <w:sz w:val="24"/>
          <w:highlight w:val="none"/>
          <w:lang w:val="en-US" w:eastAsia="zh-CN"/>
        </w:rPr>
        <w:t xml:space="preserve"> WZHC-20240901</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2024年鹿城区园林绿化管理中心车辆采购</w:t>
      </w:r>
    </w:p>
    <w:p>
      <w:pPr>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560000</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color w:val="auto"/>
          <w:sz w:val="24"/>
          <w:highlight w:val="none"/>
        </w:rPr>
        <w:t xml:space="preserve"> </w:t>
      </w:r>
      <w:r>
        <w:rPr>
          <w:rFonts w:hint="eastAsia" w:ascii="宋体" w:hAnsi="宋体" w:cs="宋体"/>
          <w:b/>
          <w:color w:val="auto"/>
          <w:sz w:val="24"/>
          <w:highlight w:val="none"/>
          <w:lang w:val="en-US" w:eastAsia="zh-CN"/>
        </w:rPr>
        <w:t>560000</w:t>
      </w:r>
    </w:p>
    <w:p>
      <w:pPr>
        <w:pStyle w:val="7"/>
        <w:spacing w:line="360" w:lineRule="auto"/>
        <w:ind w:firstLine="480"/>
        <w:rPr>
          <w:rFonts w:hint="eastAsia" w:hAnsi="宋体" w:eastAsia="宋体" w:cs="宋体"/>
          <w:bCs/>
          <w:snapToGrid/>
          <w:color w:val="auto"/>
          <w:kern w:val="2"/>
          <w:sz w:val="24"/>
          <w:szCs w:val="24"/>
          <w:highlight w:val="none"/>
          <w:lang w:eastAsia="zh-CN"/>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 xml:space="preserve"> </w:t>
      </w:r>
      <w:r>
        <w:rPr>
          <w:rFonts w:hint="eastAsia" w:hAnsi="宋体" w:cs="宋体"/>
          <w:bCs/>
          <w:snapToGrid/>
          <w:color w:val="auto"/>
          <w:kern w:val="2"/>
          <w:sz w:val="24"/>
          <w:szCs w:val="24"/>
          <w:highlight w:val="none"/>
          <w:lang w:eastAsia="zh-CN"/>
        </w:rPr>
        <w:t>2024年鹿城区园林绿化管理中心车辆采购</w:t>
      </w:r>
    </w:p>
    <w:p>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主要内容：</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合同签订完毕日起1个月内完成供货，交采购人验收。</w:t>
      </w:r>
    </w:p>
    <w:p>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MS Gothic" w:hAnsi="MS Gothic" w:eastAsia="宋体" w:cs="宋体"/>
              <w:snapToGrid/>
              <w:color w:val="auto"/>
              <w:kern w:val="2"/>
              <w:sz w:val="24"/>
              <w:szCs w:val="24"/>
              <w:highlight w:val="none"/>
              <w:lang w:val="en-US" w:eastAsia="zh-CN" w:bidi="ar-SA"/>
            </w:rPr>
            <w:t>☐</w:t>
          </w:r>
        </w:sdtContent>
      </w:sdt>
      <w:r>
        <w:rPr>
          <w:rFonts w:hint="eastAsia" w:hAnsi="宋体" w:cs="宋体"/>
          <w:snapToGrid/>
          <w:color w:val="auto"/>
          <w:kern w:val="2"/>
          <w:sz w:val="24"/>
          <w:szCs w:val="24"/>
          <w:highlight w:val="none"/>
        </w:rPr>
        <w:t xml:space="preserve"> 是；</w:t>
      </w:r>
      <w:sdt>
        <w:sdtPr>
          <w:rPr>
            <w:rFonts w:hint="eastAsia" w:hAnsi="宋体" w:cs="宋体"/>
            <w:snapToGrid/>
            <w:color w:val="auto"/>
            <w:kern w:val="2"/>
            <w:sz w:val="24"/>
            <w:szCs w:val="24"/>
            <w:highlight w:val="none"/>
          </w:rPr>
          <w:id w:val="675089080"/>
          <w14:checkbox>
            <w14:checked w14:val="1"/>
            <w14:checkedState w14:val="00FE" w14:font="Wingdings"/>
            <w14:uncheckedState w14:val="2610" w14:font="MS Gothic"/>
          </w14:checkbox>
        </w:sdtPr>
        <w:sdtEndPr>
          <w:rPr>
            <w:rFonts w:hint="eastAsia"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hAnsi="宋体" w:cs="宋体"/>
          <w:snapToGrid/>
          <w:color w:val="auto"/>
          <w:kern w:val="2"/>
          <w:sz w:val="24"/>
          <w:szCs w:val="24"/>
          <w:highlight w:val="none"/>
        </w:rPr>
        <w:t xml:space="preserve"> 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hint="eastAsia" w:ascii="宋体" w:hAnsi="宋体" w:cs="宋体"/>
          <w:snapToGrid w:val="0"/>
          <w:color w:val="auto"/>
          <w:kern w:val="28"/>
          <w:sz w:val="24"/>
          <w:szCs w:val="20"/>
          <w:highlight w:val="none"/>
          <w:lang w:val="en-US" w:eastAsia="zh-CN"/>
        </w:rPr>
        <w:t xml:space="preserve"> 2</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06882893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lang w:val="en-US" w:eastAsia="zh-CN"/>
        </w:rPr>
        <w:t xml:space="preserve"> </w:t>
      </w:r>
      <w:r>
        <w:rPr>
          <w:rFonts w:hint="eastAsia" w:ascii="宋体" w:hAnsi="宋体" w:cs="宋体"/>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sdt>
        <w:sdtPr>
          <w:rPr>
            <w:rFonts w:hint="eastAsia" w:ascii="宋体" w:hAnsi="宋体" w:cs="宋体"/>
            <w:color w:val="auto"/>
            <w:kern w:val="0"/>
            <w:sz w:val="24"/>
            <w:highlight w:val="none"/>
          </w:rPr>
          <w:id w:val="-160711229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无</w:t>
      </w:r>
    </w:p>
    <w:p>
      <w:pPr>
        <w:snapToGrid w:val="0"/>
        <w:spacing w:line="360" w:lineRule="auto"/>
        <w:ind w:firstLine="480" w:firstLineChars="200"/>
        <w:jc w:val="left"/>
        <w:rPr>
          <w:rFonts w:ascii="宋体" w:hAnsi="宋体" w:cs="宋体"/>
          <w:color w:val="auto"/>
          <w:sz w:val="24"/>
          <w:highlight w:val="none"/>
        </w:rPr>
      </w:pPr>
      <w:sdt>
        <w:sdtPr>
          <w:rPr>
            <w:rFonts w:hint="eastAsia" w:ascii="宋体" w:hAnsi="宋体" w:cs="宋体"/>
            <w:color w:val="auto"/>
            <w:kern w:val="0"/>
            <w:sz w:val="24"/>
            <w:highlight w:val="none"/>
          </w:rPr>
          <w:id w:val="206360497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10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10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lang w:val="en-US" w:eastAsia="zh-CN"/>
        </w:rPr>
        <w:t>政府采购云平台在线投标，投标供应商无须前往评审现场。</w:t>
      </w:r>
      <w:r>
        <w:rPr>
          <w:rFonts w:hint="eastAsia" w:ascii="宋体" w:hAnsi="宋体" w:cs="宋体"/>
          <w:color w:val="auto"/>
          <w:sz w:val="24"/>
          <w:highlight w:val="none"/>
        </w:rPr>
        <w:t xml:space="preserve">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10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政府采购云平台在线投标，投标供应商无须前往评审现场。</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 xml:space="preserve">   </w:t>
      </w:r>
      <w:r>
        <w:rPr>
          <w:rFonts w:hint="eastAsia" w:ascii="宋体" w:hAnsi="宋体" w:eastAsia="宋体" w:cs="宋体"/>
          <w:color w:val="auto"/>
          <w:kern w:val="2"/>
          <w:sz w:val="24"/>
          <w:szCs w:val="24"/>
          <w:highlight w:val="none"/>
          <w:lang w:val="en-US" w:eastAsia="zh-CN" w:bidi="ar-SA"/>
        </w:rPr>
        <w:t xml:space="preserve"> 1.采购人信息</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名    称：温州市鹿城区园林绿化管理中心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地    址：温州市鹿城区杨府山公园北门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传    真：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项目联系人（询问）：魏彧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项目联系方式（询问）：0577-88577851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质疑联系方式：13736351717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2.采购代理机构信息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名    称：温州韩诚工程项目管理有限公司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地    址：温州市鹿城区南汇街道展宏大厦B栋901室            </w:t>
      </w:r>
    </w:p>
    <w:p>
      <w:pPr>
        <w:pStyle w:val="58"/>
        <w:keepNext w:val="0"/>
        <w:keepLines w:val="0"/>
        <w:widowControl/>
        <w:suppressLineNumbers w:val="0"/>
        <w:spacing w:before="0" w:beforeAutospacing="0" w:after="0" w:afterAutospacing="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项目联系人（询问）：陈小英             </w:t>
      </w:r>
    </w:p>
    <w:p>
      <w:pPr>
        <w:pStyle w:val="58"/>
        <w:keepNext w:val="0"/>
        <w:keepLines w:val="0"/>
        <w:widowControl/>
        <w:suppressLineNumbers w:val="0"/>
        <w:ind w:left="0" w:firstLine="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项目联系方式（询问）：15805872316</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质疑联系人：陈小飞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质疑联系方式：15825677253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3.同级政府采购监督管理部门</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名    称：温州市鹿城区财政局</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联 系 人：黄女士\朱先生</w:t>
      </w:r>
    </w:p>
    <w:p>
      <w:pPr>
        <w:pStyle w:val="58"/>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监督投诉电话：0577-88359173</w:t>
      </w:r>
    </w:p>
    <w:p>
      <w:pPr>
        <w:spacing w:line="360" w:lineRule="auto"/>
        <w:ind w:left="237" w:leftChars="113" w:firstLine="202" w:firstLineChars="75"/>
        <w:rPr>
          <w:rFonts w:ascii="宋体" w:hAnsi="宋体" w:cs="宋体"/>
          <w:color w:val="auto"/>
          <w:sz w:val="24"/>
          <w:highlight w:val="none"/>
        </w:rPr>
      </w:pPr>
      <w:r>
        <w:rPr>
          <w:rFonts w:hint="eastAsia" w:ascii="仿宋" w:hAnsi="仿宋" w:eastAsia="仿宋" w:cs="仿宋"/>
          <w:i w:val="0"/>
          <w:iCs w:val="0"/>
          <w:caps w:val="0"/>
          <w:color w:val="000000"/>
          <w:spacing w:val="0"/>
          <w:sz w:val="27"/>
          <w:szCs w:val="27"/>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3"/>
        <w:spacing w:line="360" w:lineRule="auto"/>
        <w:jc w:val="left"/>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5"/>
        <w:rPr>
          <w:rFonts w:ascii="宋体"/>
          <w:snapToGrid w:val="0"/>
          <w:color w:val="auto"/>
          <w:highlight w:val="none"/>
        </w:rPr>
      </w:pPr>
      <w:r>
        <w:rPr>
          <w:color w:val="auto"/>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lang w:val="en-US" w:eastAsia="zh-CN"/>
              </w:rPr>
              <w:t>洒水车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jc w:val="left"/>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b/>
                <w:color w:val="auto"/>
                <w:sz w:val="24"/>
                <w:highlight w:val="none"/>
              </w:rPr>
              <w:t>采购清单内所有序号项的标的，属于 工业 行业；</w:t>
            </w:r>
          </w:p>
          <w:p>
            <w:pPr>
              <w:rPr>
                <w:color w:val="auto"/>
                <w:highlight w:val="none"/>
              </w:rPr>
            </w:pPr>
            <w:r>
              <w:rPr>
                <w:rFonts w:hint="eastAsia" w:ascii="宋体" w:hAnsi="宋体" w:cs="宋体"/>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sdt>
              <w:sdtPr>
                <w:rPr>
                  <w:rFonts w:hint="eastAsia" w:ascii="宋体" w:hAnsi="宋体" w:cs="宋体"/>
                  <w:color w:val="auto"/>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cs="宋体"/>
                <w:color w:val="auto"/>
                <w:sz w:val="24"/>
                <w:highlight w:val="none"/>
              </w:rPr>
              <w:t>本项目不允许采购进口产品。</w:t>
            </w:r>
          </w:p>
          <w:p>
            <w:pPr>
              <w:rPr>
                <w:color w:val="auto"/>
                <w:highlight w:val="none"/>
              </w:rPr>
            </w:pPr>
            <w:sdt>
              <w:sdtPr>
                <w:rPr>
                  <w:rFonts w:hint="eastAsia" w:ascii="宋体" w:hAnsi="宋体" w:cs="宋体"/>
                  <w:color w:val="auto"/>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sz w:val="24"/>
                  <w:highlight w:val="none"/>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cs="宋体"/>
                <w:color w:val="auto"/>
                <w:sz w:val="24"/>
                <w:highlight w:val="none"/>
                <w:lang w:val="en-US" w:eastAsia="zh-CN"/>
              </w:rPr>
              <w:t>本项目允许</w:t>
            </w:r>
            <w:r>
              <w:rPr>
                <w:rFonts w:hint="eastAsia" w:ascii="宋体" w:hAnsi="宋体" w:cs="宋体"/>
                <w:color w:val="auto"/>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1102026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olor w:val="auto"/>
                <w:highlight w:val="none"/>
              </w:rPr>
            </w:pPr>
            <w:sdt>
              <w:sdtPr>
                <w:rPr>
                  <w:rFonts w:hint="eastAsia"/>
                  <w:color w:val="auto"/>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Times New Roman"/>
                    <w:color w:val="auto"/>
                    <w:kern w:val="2"/>
                    <w:sz w:val="21"/>
                    <w:szCs w:val="24"/>
                    <w:highlight w:val="none"/>
                    <w:lang w:val="en-US" w:eastAsia="zh-CN" w:bidi="ar-SA"/>
                  </w:rPr>
                  <w:t>☐</w:t>
                </w:r>
              </w:sdtContent>
            </w:sdt>
            <w:r>
              <w:rPr>
                <w:rFonts w:hint="eastAsia" w:ascii="宋体" w:hAnsi="宋体" w:cs="宋体"/>
                <w:color w:val="auto"/>
                <w:kern w:val="0"/>
                <w:sz w:val="24"/>
                <w:highlight w:val="none"/>
              </w:rPr>
              <w:t>A要求提供</w:t>
            </w:r>
            <w:r>
              <w:rPr>
                <w:rFonts w:hint="eastAsia"/>
                <w:color w:val="auto"/>
                <w:highlight w:val="none"/>
              </w:rPr>
              <w:t>。</w:t>
            </w:r>
          </w:p>
          <w:p>
            <w:pPr>
              <w:spacing w:line="360" w:lineRule="auto"/>
              <w:rPr>
                <w:color w:val="auto"/>
                <w:highlight w:val="none"/>
              </w:rPr>
            </w:pPr>
            <w:sdt>
              <w:sdtPr>
                <w:rPr>
                  <w:rFonts w:hint="eastAsia"/>
                  <w:color w:val="auto"/>
                  <w:highlight w:val="none"/>
                </w:rPr>
                <w:id w:val="-1639946486"/>
                <w14:checkbox>
                  <w14:checked w14:val="1"/>
                  <w14:checkedState w14:val="00FE" w14:font="Wingdings"/>
                  <w14:uncheckedState w14:val="2610" w14:font="MS Gothic"/>
                </w14:checkbox>
              </w:sdtPr>
              <w:sdtEndPr>
                <w:rPr>
                  <w:rFonts w:hint="eastAsia"/>
                  <w:color w:val="auto"/>
                  <w:highlight w:val="none"/>
                </w:rPr>
              </w:sdtEndPr>
              <w:sdtContent>
                <w:r>
                  <w:rPr>
                    <w:rFonts w:hint="eastAsia" w:ascii="Wingdings" w:hAnsi="Wingdings"/>
                    <w:color w:val="auto"/>
                    <w:highlight w:val="none"/>
                  </w:rPr>
                  <w:t>þ</w:t>
                </w:r>
              </w:sdtContent>
            </w:sdt>
            <w:r>
              <w:rPr>
                <w:rFonts w:hint="eastAsia"/>
                <w:color w:val="auto"/>
                <w:highlight w:val="none"/>
                <w:lang w:val="en-US" w:eastAsia="zh-CN"/>
              </w:rPr>
              <w:t xml:space="preserve"> </w:t>
            </w:r>
            <w:r>
              <w:rPr>
                <w:rFonts w:hint="eastAsia" w:ascii="宋体" w:hAnsi="宋体" w:cs="宋体"/>
                <w:color w:val="auto"/>
                <w:kern w:val="0"/>
                <w:sz w:val="24"/>
                <w:highlight w:val="none"/>
                <w:lang w:val="en-US" w:eastAsia="zh-CN"/>
              </w:rPr>
              <w:t>B不</w:t>
            </w:r>
            <w:r>
              <w:rPr>
                <w:rFonts w:hint="eastAsia" w:ascii="宋体" w:hAnsi="宋体" w:cs="宋体"/>
                <w:color w:val="auto"/>
                <w:kern w:val="0"/>
                <w:sz w:val="24"/>
                <w:highlight w:val="none"/>
              </w:rPr>
              <w:t>要求提供</w:t>
            </w:r>
            <w:r>
              <w:rPr>
                <w:rFonts w:hint="eastAsia"/>
                <w:color w:val="auto"/>
                <w:highlight w:val="none"/>
              </w:rPr>
              <w:t>。</w:t>
            </w:r>
          </w:p>
          <w:p>
            <w:pPr>
              <w:spacing w:line="360" w:lineRule="auto"/>
              <w:rPr>
                <w:rFonts w:hint="eastAsia"/>
                <w:color w:val="auto"/>
                <w:highlight w:val="none"/>
              </w:rPr>
            </w:pPr>
          </w:p>
          <w:p>
            <w:pP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pStyle w:val="33"/>
              <w:spacing w:line="360" w:lineRule="auto"/>
              <w:rPr>
                <w:rFonts w:hint="eastAsia" w:hAnsi="宋体" w:cs="宋体"/>
                <w:color w:val="auto"/>
                <w:kern w:val="28"/>
                <w:sz w:val="24"/>
                <w:szCs w:val="24"/>
                <w:highlight w:val="none"/>
                <w:lang w:val="en-US" w:eastAsia="zh-CN"/>
              </w:rPr>
            </w:pPr>
            <w:r>
              <w:rPr>
                <w:rFonts w:hint="eastAsia" w:hAnsi="宋体" w:cs="宋体"/>
                <w:color w:val="auto"/>
                <w:kern w:val="28"/>
                <w:sz w:val="24"/>
                <w:szCs w:val="24"/>
                <w:highlight w:val="none"/>
                <w:lang w:eastAsia="zh-CN"/>
              </w:rPr>
              <w:t xml:space="preserve">温州市财政局关于温州市政府采购支持中小企业信用融资的通知 </w:t>
            </w:r>
            <w:r>
              <w:rPr>
                <w:rFonts w:hint="eastAsia" w:hAnsi="宋体" w:cs="宋体"/>
                <w:color w:val="auto"/>
                <w:kern w:val="28"/>
                <w:sz w:val="24"/>
                <w:szCs w:val="24"/>
                <w:highlight w:val="none"/>
              </w:rPr>
              <w:t>温财采〔2020〕3号</w:t>
            </w:r>
            <w:r>
              <w:rPr>
                <w:rFonts w:hint="eastAsia" w:hAnsi="宋体" w:cs="宋体"/>
                <w:color w:val="auto"/>
                <w:kern w:val="28"/>
                <w:sz w:val="24"/>
                <w:szCs w:val="24"/>
                <w:highlight w:val="none"/>
                <w:lang w:val="en-US" w:eastAsia="zh-CN"/>
              </w:rPr>
              <w:t>-https://jinrong.zcygov.cn/finance-service/#/home</w:t>
            </w:r>
          </w:p>
          <w:p>
            <w:pPr>
              <w:pStyle w:val="33"/>
              <w:spacing w:line="360" w:lineRule="auto"/>
              <w:rPr>
                <w:color w:val="auto"/>
                <w:highlight w:val="none"/>
              </w:rPr>
            </w:pPr>
            <w:r>
              <w:rPr>
                <w:rFonts w:hint="eastAsia" w:hAnsi="宋体" w:cs="宋体"/>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w:t>
            </w:r>
            <w:r>
              <w:rPr>
                <w:rFonts w:hint="eastAsia" w:ascii="宋体" w:hAnsi="宋体" w:cs="宋体"/>
                <w:snapToGrid w:val="0"/>
                <w:color w:val="auto"/>
                <w:kern w:val="28"/>
                <w:sz w:val="24"/>
                <w:highlight w:val="none"/>
              </w:rPr>
              <w:t>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本项目备份文件是否收取：可提交备份</w:t>
            </w:r>
          </w:p>
          <w:p>
            <w:pPr>
              <w:pStyle w:val="33"/>
              <w:spacing w:line="360" w:lineRule="auto"/>
              <w:rPr>
                <w:rFonts w:hint="eastAsia" w:hAnsi="宋体" w:cs="宋体"/>
                <w:color w:val="auto"/>
                <w:kern w:val="28"/>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lang w:eastAsia="zh-CN"/>
              </w:rPr>
              <w:t>温州市鹿城区南汇街道展宏大厦</w:t>
            </w:r>
            <w:r>
              <w:rPr>
                <w:rFonts w:hint="eastAsia" w:hAnsi="宋体" w:cs="宋体"/>
                <w:color w:val="auto"/>
                <w:kern w:val="28"/>
                <w:sz w:val="24"/>
                <w:szCs w:val="24"/>
                <w:highlight w:val="none"/>
                <w:lang w:val="en-US" w:eastAsia="zh-CN"/>
              </w:rPr>
              <w:t>B栋901室</w:t>
            </w:r>
            <w:r>
              <w:rPr>
                <w:rFonts w:hint="eastAsia" w:hAnsi="宋体" w:cs="宋体"/>
                <w:color w:val="auto"/>
                <w:kern w:val="28"/>
                <w:sz w:val="24"/>
                <w:szCs w:val="24"/>
                <w:highlight w:val="none"/>
              </w:rPr>
              <w:t xml:space="preserve">；备份投标文件签收人员联系电话： </w:t>
            </w:r>
            <w:r>
              <w:rPr>
                <w:rFonts w:hint="eastAsia" w:hAnsi="宋体" w:cs="宋体"/>
                <w:color w:val="auto"/>
                <w:kern w:val="28"/>
                <w:sz w:val="24"/>
                <w:szCs w:val="24"/>
                <w:highlight w:val="none"/>
                <w:lang w:val="en-US" w:eastAsia="zh-CN"/>
              </w:rPr>
              <w:t>15805872316</w:t>
            </w:r>
            <w:r>
              <w:rPr>
                <w:rFonts w:hint="eastAsia" w:hAnsi="宋体" w:cs="宋体"/>
                <w:color w:val="auto"/>
                <w:kern w:val="28"/>
                <w:sz w:val="24"/>
                <w:szCs w:val="24"/>
                <w:highlight w:val="none"/>
              </w:rPr>
              <w:t xml:space="preserve"> 。</w:t>
            </w:r>
          </w:p>
          <w:p>
            <w:pPr>
              <w:pStyle w:val="33"/>
              <w:spacing w:line="360" w:lineRule="auto"/>
              <w:rPr>
                <w:rFonts w:hAnsi="宋体" w:cs="宋体"/>
                <w:color w:val="auto"/>
                <w:kern w:val="28"/>
                <w:sz w:val="24"/>
                <w:highlight w:val="none"/>
              </w:rPr>
            </w:pPr>
            <w:r>
              <w:rPr>
                <w:rFonts w:hint="eastAsia" w:hAnsi="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color w:val="auto"/>
                <w:highlight w:val="none"/>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rPr>
                <w:color w:val="auto"/>
                <w:highlight w:val="none"/>
              </w:rPr>
            </w:pPr>
            <w:r>
              <w:rPr>
                <w:rFonts w:hint="eastAsia"/>
                <w:b/>
                <w:color w:val="auto"/>
                <w:sz w:val="22"/>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hint="default" w:eastAsia="宋体"/>
                <w:color w:val="auto"/>
                <w:highlight w:val="none"/>
                <w:lang w:val="en-US" w:eastAsia="zh-CN"/>
              </w:rPr>
            </w:pPr>
            <w:r>
              <w:rPr>
                <w:rFonts w:hint="eastAsia" w:ascii="宋体" w:hAnsi="宋体" w:cs="宋体"/>
                <w:snapToGrid w:val="0"/>
                <w:color w:val="auto"/>
                <w:kern w:val="28"/>
                <w:sz w:val="22"/>
                <w:highlight w:val="none"/>
                <w:lang w:val="en-US" w:eastAsia="zh-CN"/>
              </w:rPr>
              <w:t>采购</w:t>
            </w:r>
            <w:r>
              <w:rPr>
                <w:rFonts w:hint="eastAsia" w:ascii="宋体" w:hAnsi="宋体" w:cs="宋体"/>
                <w:snapToGrid w:val="0"/>
                <w:color w:val="auto"/>
                <w:kern w:val="28"/>
                <w:sz w:val="22"/>
                <w:highlight w:val="none"/>
              </w:rPr>
              <w:t>代理</w:t>
            </w:r>
            <w:r>
              <w:rPr>
                <w:rFonts w:hint="eastAsia" w:ascii="宋体" w:hAnsi="宋体" w:cs="宋体"/>
                <w:snapToGrid w:val="0"/>
                <w:color w:val="auto"/>
                <w:kern w:val="28"/>
                <w:sz w:val="22"/>
                <w:highlight w:val="none"/>
                <w:lang w:val="en-US" w:eastAsia="zh-CN"/>
              </w:rPr>
              <w:t>服务</w:t>
            </w:r>
            <w:r>
              <w:rPr>
                <w:rFonts w:hint="eastAsia" w:ascii="宋体" w:hAnsi="宋体" w:cs="宋体"/>
                <w:snapToGrid w:val="0"/>
                <w:color w:val="auto"/>
                <w:kern w:val="28"/>
                <w:sz w:val="22"/>
                <w:highlight w:val="none"/>
              </w:rPr>
              <w:t>费</w:t>
            </w:r>
            <w:r>
              <w:rPr>
                <w:rFonts w:hint="eastAsia" w:ascii="宋体" w:hAnsi="宋体" w:cs="宋体"/>
                <w:snapToGrid w:val="0"/>
                <w:color w:val="auto"/>
                <w:kern w:val="28"/>
                <w:sz w:val="22"/>
                <w:highlight w:val="none"/>
                <w:lang w:val="en-US" w:eastAsia="zh-CN"/>
              </w:rPr>
              <w:t>由成交供应商在领取中标通知书时支付</w:t>
            </w:r>
            <w:r>
              <w:rPr>
                <w:rFonts w:hint="eastAsia" w:ascii="宋体" w:hAnsi="宋体" w:cs="宋体"/>
                <w:snapToGrid w:val="0"/>
                <w:color w:val="auto"/>
                <w:kern w:val="28"/>
                <w:sz w:val="22"/>
                <w:highlight w:val="none"/>
                <w:lang w:val="zh-CN"/>
              </w:rPr>
              <w:t>，支付金额</w:t>
            </w:r>
            <w:r>
              <w:rPr>
                <w:rFonts w:hint="eastAsia" w:ascii="宋体" w:hAnsi="宋体" w:cs="宋体"/>
                <w:snapToGrid w:val="0"/>
                <w:color w:val="auto"/>
                <w:kern w:val="28"/>
                <w:sz w:val="22"/>
                <w:highlight w:val="none"/>
                <w:lang w:val="en-US" w:eastAsia="zh-CN"/>
              </w:rPr>
              <w:t>10000元人民币。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color w:val="auto"/>
                <w:highlight w:val="none"/>
              </w:rPr>
            </w:pPr>
            <w:r>
              <w:rPr>
                <w:rFonts w:hint="eastAsia"/>
                <w:color w:val="auto"/>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rPr>
                <w:color w:val="auto"/>
                <w:highlight w:val="none"/>
              </w:rPr>
            </w:pPr>
            <w:r>
              <w:rPr>
                <w:rFonts w:hint="eastAsia" w:cs="仿宋"/>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auto"/>
                <w:highlight w:val="none"/>
              </w:rPr>
            </w:pPr>
            <w:r>
              <w:rPr>
                <w:rFonts w:hint="eastAsia" w:cs="仿宋_GB2312"/>
                <w:color w:val="auto"/>
                <w:sz w:val="22"/>
                <w:highlight w:val="none"/>
              </w:rPr>
              <w:t>本项目</w:t>
            </w:r>
            <w:r>
              <w:rPr>
                <w:rFonts w:cs="仿宋_GB2312"/>
                <w:color w:val="auto"/>
                <w:sz w:val="22"/>
                <w:highlight w:val="none"/>
              </w:rPr>
              <w:t>由采购人</w:t>
            </w:r>
            <w:r>
              <w:rPr>
                <w:rFonts w:hint="eastAsia" w:cs="仿宋_GB2312"/>
                <w:color w:val="auto"/>
                <w:sz w:val="22"/>
                <w:highlight w:val="none"/>
              </w:rPr>
              <w:t>进行</w:t>
            </w:r>
            <w:r>
              <w:rPr>
                <w:rFonts w:cs="仿宋_GB2312"/>
                <w:color w:val="auto"/>
                <w:sz w:val="22"/>
                <w:highlight w:val="none"/>
              </w:rPr>
              <w:t>资格文件</w:t>
            </w:r>
            <w:r>
              <w:rPr>
                <w:rFonts w:hint="eastAsia" w:cs="仿宋_GB2312"/>
                <w:color w:val="auto"/>
                <w:sz w:val="22"/>
                <w:highlight w:val="none"/>
              </w:rPr>
              <w:t>及</w:t>
            </w:r>
            <w:r>
              <w:rPr>
                <w:rFonts w:cs="仿宋_GB2312"/>
                <w:color w:val="auto"/>
                <w:sz w:val="22"/>
                <w:highlight w:val="none"/>
              </w:rPr>
              <w:t>信用信息</w:t>
            </w:r>
            <w:r>
              <w:rPr>
                <w:rFonts w:hint="eastAsia" w:cs="仿宋_GB2312"/>
                <w:color w:val="auto"/>
                <w:sz w:val="22"/>
                <w:highlight w:val="none"/>
              </w:rPr>
              <w:t>查询</w:t>
            </w:r>
            <w:r>
              <w:rPr>
                <w:rFonts w:cs="仿宋_GB2312"/>
                <w:color w:val="auto"/>
                <w:sz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color w:val="auto"/>
                <w:highlight w:val="none"/>
              </w:rPr>
            </w:pPr>
            <w:r>
              <w:rPr>
                <w:rFonts w:hint="eastAsia"/>
                <w:color w:val="auto"/>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color w:val="auto"/>
                <w:sz w:val="22"/>
                <w:highlight w:val="none"/>
              </w:rPr>
            </w:pPr>
            <w:r>
              <w:rPr>
                <w:rFonts w:hint="eastAsia" w:cs="仿宋"/>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sz w:val="22"/>
                <w:highlight w:val="none"/>
                <w:u w:val="single"/>
              </w:rPr>
            </w:pPr>
            <w:r>
              <w:rPr>
                <w:rFonts w:hint="eastAsia"/>
                <w:color w:val="auto"/>
                <w:sz w:val="22"/>
                <w:highlight w:val="none"/>
              </w:rPr>
              <w:t>采购</w:t>
            </w:r>
            <w:r>
              <w:rPr>
                <w:color w:val="auto"/>
                <w:sz w:val="22"/>
                <w:highlight w:val="none"/>
              </w:rPr>
              <w:t>人、</w:t>
            </w:r>
            <w:r>
              <w:rPr>
                <w:rFonts w:hint="eastAsia"/>
                <w:color w:val="auto"/>
                <w:sz w:val="22"/>
                <w:highlight w:val="none"/>
              </w:rPr>
              <w:t>采购</w:t>
            </w:r>
            <w:r>
              <w:rPr>
                <w:color w:val="auto"/>
                <w:sz w:val="22"/>
                <w:highlight w:val="none"/>
              </w:rPr>
              <w:t>机构质疑接收人</w:t>
            </w:r>
            <w:r>
              <w:rPr>
                <w:rFonts w:hint="eastAsia"/>
                <w:color w:val="auto"/>
                <w:sz w:val="22"/>
                <w:highlight w:val="none"/>
              </w:rPr>
              <w:t>、联系方式</w:t>
            </w:r>
            <w:r>
              <w:rPr>
                <w:color w:val="auto"/>
                <w:sz w:val="22"/>
                <w:highlight w:val="none"/>
              </w:rPr>
              <w:t>：</w:t>
            </w:r>
            <w:r>
              <w:rPr>
                <w:rFonts w:hint="eastAsia"/>
                <w:color w:val="auto"/>
                <w:sz w:val="22"/>
                <w:highlight w:val="none"/>
              </w:rPr>
              <w:t>详见公告</w:t>
            </w:r>
          </w:p>
          <w:p>
            <w:pPr>
              <w:snapToGrid w:val="0"/>
              <w:spacing w:line="360" w:lineRule="auto"/>
              <w:rPr>
                <w:b/>
                <w:color w:val="auto"/>
                <w:sz w:val="22"/>
                <w:highlight w:val="none"/>
              </w:rPr>
            </w:pPr>
            <w:r>
              <w:rPr>
                <w:rFonts w:hint="eastAsia"/>
                <w:b/>
                <w:color w:val="auto"/>
                <w:sz w:val="22"/>
                <w:highlight w:val="none"/>
              </w:rPr>
              <w:t>线上提交质疑方式：政采云线上质疑路径：项目采购-询问质疑投诉-质疑列表。请使用ca签章在每一页质疑文件中加盖电子公章，上传完整附件。</w:t>
            </w:r>
          </w:p>
          <w:p>
            <w:pPr>
              <w:snapToGrid w:val="0"/>
              <w:spacing w:line="360" w:lineRule="auto"/>
              <w:rPr>
                <w:color w:val="auto"/>
                <w:sz w:val="22"/>
                <w:highlight w:val="none"/>
              </w:rPr>
            </w:pPr>
            <w:r>
              <w:rPr>
                <w:rFonts w:hint="eastAsia"/>
                <w:color w:val="auto"/>
                <w:sz w:val="22"/>
                <w:highlight w:val="none"/>
              </w:rPr>
              <w:t>本项目涉及资格条件、采购需求、评分办法及采购过程中有关现场考察或开标前答疑会等事项由</w:t>
            </w:r>
            <w:r>
              <w:rPr>
                <w:color w:val="auto"/>
                <w:sz w:val="22"/>
                <w:highlight w:val="none"/>
              </w:rPr>
              <w:t>采购人进行答复。</w:t>
            </w:r>
          </w:p>
          <w:p>
            <w:pPr>
              <w:rPr>
                <w:rFonts w:cs="仿宋_GB2312"/>
                <w:color w:val="auto"/>
                <w:sz w:val="22"/>
                <w:highlight w:val="none"/>
              </w:rPr>
            </w:pPr>
            <w:r>
              <w:rPr>
                <w:rFonts w:hint="eastAsia"/>
                <w:color w:val="auto"/>
                <w:sz w:val="22"/>
                <w:highlight w:val="none"/>
              </w:rPr>
              <w:t>涉及</w:t>
            </w:r>
            <w:r>
              <w:rPr>
                <w:color w:val="auto"/>
                <w:sz w:val="22"/>
                <w:highlight w:val="none"/>
              </w:rPr>
              <w:t>流程规范性、组织程序等</w:t>
            </w:r>
            <w:r>
              <w:rPr>
                <w:rFonts w:hint="eastAsia"/>
                <w:color w:val="auto"/>
                <w:sz w:val="22"/>
                <w:highlight w:val="none"/>
              </w:rPr>
              <w:t>相关</w:t>
            </w:r>
            <w:r>
              <w:rPr>
                <w:color w:val="auto"/>
                <w:sz w:val="22"/>
                <w:highlight w:val="none"/>
              </w:rPr>
              <w:t>事项，由</w:t>
            </w:r>
            <w:r>
              <w:rPr>
                <w:rFonts w:hint="eastAsia"/>
                <w:color w:val="auto"/>
                <w:sz w:val="22"/>
                <w:highlight w:val="none"/>
              </w:rPr>
              <w:t>采购</w:t>
            </w:r>
            <w:r>
              <w:rPr>
                <w:color w:val="auto"/>
                <w:sz w:val="22"/>
                <w:highlight w:val="none"/>
              </w:rPr>
              <w:t>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jc w:val="center"/>
              <w:rPr>
                <w:color w:val="auto"/>
                <w:highlight w:val="none"/>
              </w:rPr>
            </w:pPr>
            <w:r>
              <w:rPr>
                <w:rFonts w:hint="eastAsia"/>
                <w:color w:val="auto"/>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rPr>
                <w:rFonts w:cs="仿宋"/>
                <w:b/>
                <w:color w:val="auto"/>
                <w:sz w:val="22"/>
                <w:highlight w:val="none"/>
              </w:rPr>
            </w:pPr>
            <w:r>
              <w:rPr>
                <w:rFonts w:hint="eastAsia" w:cs="仿宋"/>
                <w:b/>
                <w:color w:val="auto"/>
                <w:sz w:val="22"/>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color w:val="auto"/>
                <w:highlight w:val="none"/>
              </w:rPr>
            </w:pPr>
            <w:r>
              <w:rPr>
                <w:color w:val="auto"/>
                <w:highlight w:val="none"/>
              </w:rPr>
              <w:t>验收采用采购人自行组织验收</w:t>
            </w:r>
            <w:r>
              <w:rPr>
                <w:rFonts w:hint="eastAsia"/>
                <w:color w:val="auto"/>
                <w:highlight w:val="none"/>
              </w:rPr>
              <w:t>或</w:t>
            </w:r>
            <w:r>
              <w:rPr>
                <w:color w:val="auto"/>
                <w:highlight w:val="none"/>
              </w:rPr>
              <w:t>专门机构验收两种形式</w:t>
            </w:r>
          </w:p>
          <w:p>
            <w:pPr>
              <w:rPr>
                <w:color w:val="auto"/>
                <w:sz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4"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left"/>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color w:val="auto"/>
                <w:highlight w:val="none"/>
              </w:rPr>
            </w:pPr>
          </w:p>
          <w:p>
            <w:pPr>
              <w:spacing w:line="360" w:lineRule="auto"/>
              <w:rPr>
                <w:color w:val="auto"/>
                <w:highlight w:val="none"/>
              </w:rPr>
            </w:pPr>
            <w:r>
              <w:rPr>
                <w:rFonts w:hint="eastAsia"/>
                <w:b/>
                <w:bCs/>
                <w:color w:val="auto"/>
                <w:highlight w:val="none"/>
              </w:rPr>
              <w:t>本项目通用总则条款与前附表等专用特别规定有冲突之处，以专用条款（特别规定）为准</w:t>
            </w:r>
          </w:p>
        </w:tc>
      </w:tr>
    </w:tbl>
    <w:p>
      <w:pPr>
        <w:snapToGrid w:val="0"/>
        <w:spacing w:line="360" w:lineRule="auto"/>
        <w:jc w:val="both"/>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%的扣除，用扣除后的价格参与评审。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pPr>
        <w:pStyle w:val="887"/>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pPr>
        <w:pStyle w:val="887"/>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7"/>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7"/>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7"/>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887"/>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7"/>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7"/>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7"/>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7"/>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2营业执照扫描件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hint="eastAsia" w:ascii="宋体" w:hAnsi="宋体" w:cs="宋体"/>
          <w:color w:val="auto"/>
          <w:sz w:val="24"/>
          <w:highlight w:val="none"/>
          <w:lang w:val="en-US" w:eastAsia="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958" w:leftChars="456" w:firstLine="0" w:firstLineChars="0"/>
        <w:rPr>
          <w:rFonts w:hint="eastAsia" w:ascii="宋体" w:eastAsia="宋体"/>
          <w:b w:val="0"/>
          <w:color w:val="auto"/>
          <w:sz w:val="22"/>
          <w:szCs w:val="22"/>
          <w:highlight w:val="none"/>
        </w:rPr>
      </w:pPr>
      <w:r>
        <w:rPr>
          <w:rFonts w:hint="eastAsia" w:ascii="宋体" w:hAnsi="宋体" w:eastAsia="宋体" w:cs="宋体"/>
          <w:b w:val="0"/>
          <w:bCs w:val="0"/>
          <w:color w:val="auto"/>
          <w:kern w:val="2"/>
          <w:sz w:val="24"/>
          <w:szCs w:val="24"/>
          <w:highlight w:val="none"/>
          <w:lang w:val="en-US" w:eastAsia="zh-CN" w:bidi="ar-SA"/>
        </w:rPr>
        <w:t>11.2.9</w:t>
      </w:r>
      <w:r>
        <w:rPr>
          <w:rFonts w:hint="eastAsia" w:ascii="宋体" w:hAnsi="宋体" w:eastAsia="宋体" w:cs="宋体"/>
          <w:b w:val="0"/>
          <w:bCs w:val="0"/>
          <w:color w:val="auto"/>
          <w:kern w:val="2"/>
          <w:sz w:val="24"/>
          <w:szCs w:val="24"/>
          <w:highlight w:val="none"/>
          <w:lang w:val="zh-CN" w:eastAsia="zh-CN" w:bidi="ar-SA"/>
        </w:rPr>
        <w:t>根据</w:t>
      </w:r>
      <w:r>
        <w:rPr>
          <w:rFonts w:hint="eastAsia" w:ascii="宋体" w:eastAsia="宋体"/>
          <w:b w:val="0"/>
          <w:color w:val="auto"/>
          <w:sz w:val="22"/>
          <w:szCs w:val="22"/>
          <w:highlight w:val="none"/>
        </w:rPr>
        <w:t>招标文件中的采购内容与技术要求、评标细则，需要提供的其它文件和资料</w:t>
      </w:r>
    </w:p>
    <w:p>
      <w:pPr>
        <w:snapToGrid w:val="0"/>
        <w:spacing w:line="360" w:lineRule="auto"/>
        <w:ind w:firstLine="960" w:firstLineChars="4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auto"/>
          <w:sz w:val="32"/>
          <w:highlight w:val="none"/>
        </w:rPr>
      </w:pPr>
    </w:p>
    <w:p>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20.1信用信息查询渠道及截止时间：采购人或采购代理机构将在资格审查时通过“信用中国”网站(www.creditchina.gov.cn)、中国政府采购网(www.ccgp.gov.cn)渠道查询投标人接受资格审查时的信用记录。</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5"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r>
        <w:rPr>
          <w:rFonts w:hint="eastAsia" w:ascii="宋体" w:hAnsi="宋体" w:cs="宋体"/>
          <w:color w:val="auto"/>
          <w:sz w:val="24"/>
          <w:highlight w:val="none"/>
          <w:lang w:val="en-US" w:eastAsia="zh-CN"/>
        </w:rPr>
        <w:t>中标公示发出后，中标供应商主动联系招标代理机构领取中标通知书，到采购人处与采购人签订合同。中标供应商未经采购人许可，在20天内未到采购人处与采购人签订合同，则视为拒签合同。</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w:t>
      </w:r>
      <w:r>
        <w:rPr>
          <w:rFonts w:hint="eastAsia" w:ascii="宋体" w:hAnsi="宋体" w:cs="宋体"/>
          <w:color w:val="auto"/>
          <w:kern w:val="0"/>
          <w:sz w:val="24"/>
          <w:highlight w:val="none"/>
          <w:lang w:val="en-US" w:eastAsia="zh-CN"/>
        </w:rPr>
        <w:t>20天内最长不超过30天</w:t>
      </w:r>
      <w:r>
        <w:rPr>
          <w:rFonts w:hint="eastAsia" w:ascii="宋体" w:hAnsi="宋体" w:cs="宋体"/>
          <w:color w:val="auto"/>
          <w:kern w:val="0"/>
          <w:sz w:val="24"/>
          <w:highlight w:val="none"/>
        </w:rPr>
        <w:t>，与中标供应商按照采购文件确定的事项签订政府采购合同。</w:t>
      </w:r>
    </w:p>
    <w:p>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rPr>
          <w:color w:val="auto"/>
          <w:highlight w:val="none"/>
        </w:rPr>
      </w:pPr>
    </w:p>
    <w:p>
      <w:pPr>
        <w:pStyle w:val="5"/>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3"/>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color w:val="auto"/>
          <w:kern w:val="0"/>
          <w:sz w:val="24"/>
          <w:highlight w:val="none"/>
        </w:rPr>
        <w:sectPr>
          <w:headerReference r:id="rId7" w:type="first"/>
          <w:footerReference r:id="rId10" w:type="first"/>
          <w:headerReference r:id="rId6" w:type="default"/>
          <w:footerReference r:id="rId8" w:type="default"/>
          <w:footerReference r:id="rId9" w:type="even"/>
          <w:pgSz w:w="11906" w:h="16838"/>
          <w:pgMar w:top="680" w:right="1418" w:bottom="468" w:left="1418" w:header="851" w:footer="992" w:gutter="0"/>
          <w:cols w:space="720" w:num="1"/>
          <w:titlePg/>
          <w:docGrid w:linePitch="312" w:charSpace="0"/>
        </w:sectPr>
      </w:pPr>
      <w:bookmarkStart w:id="16" w:name="_Hlt68057669"/>
      <w:bookmarkEnd w:id="16"/>
      <w:bookmarkStart w:id="17" w:name="_Hlt75236011"/>
      <w:bookmarkEnd w:id="17"/>
      <w:bookmarkStart w:id="18" w:name="_Hlt74707468"/>
      <w:bookmarkEnd w:id="18"/>
      <w:bookmarkStart w:id="19" w:name="_Hlt68403820"/>
      <w:bookmarkEnd w:id="19"/>
      <w:bookmarkStart w:id="20" w:name="_Hlt75236290"/>
      <w:bookmarkEnd w:id="20"/>
      <w:bookmarkStart w:id="21" w:name="_Hlt74730295"/>
      <w:bookmarkEnd w:id="21"/>
      <w:bookmarkStart w:id="22" w:name="_Hlt75236101"/>
      <w:bookmarkEnd w:id="22"/>
      <w:bookmarkStart w:id="23" w:name="_Hlt68072998"/>
      <w:bookmarkEnd w:id="23"/>
      <w:bookmarkStart w:id="24" w:name="_Hlt74714665"/>
      <w:bookmarkEnd w:id="24"/>
      <w:bookmarkStart w:id="25" w:name="_Hlt74729768"/>
      <w:bookmarkEnd w:id="25"/>
      <w:bookmarkStart w:id="26" w:name="_Hlt68073093"/>
      <w:bookmarkEnd w:id="26"/>
      <w:bookmarkStart w:id="27" w:name="_Hlt68072990"/>
      <w:bookmarkEnd w:id="27"/>
    </w:p>
    <w:bookmarkEnd w:id="12"/>
    <w:bookmarkEnd w:id="13"/>
    <w:p>
      <w:pPr>
        <w:numPr>
          <w:ilvl w:val="0"/>
          <w:numId w:val="1"/>
        </w:num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 xml:space="preserve">  采购需求</w:t>
      </w:r>
    </w:p>
    <w:p>
      <w:pPr>
        <w:snapToGrid w:val="0"/>
        <w:spacing w:line="360" w:lineRule="auto"/>
        <w:ind w:firstLine="361" w:firstLineChars="150"/>
        <w:jc w:val="center"/>
        <w:outlineLvl w:val="1"/>
        <w:rPr>
          <w:rFonts w:ascii="宋体" w:hAnsi="宋体" w:cs="宋体"/>
          <w:b/>
          <w:color w:val="auto"/>
          <w:sz w:val="24"/>
          <w:highlight w:val="none"/>
        </w:rPr>
      </w:pPr>
      <w:r>
        <w:rPr>
          <w:rFonts w:hint="eastAsia" w:ascii="宋体" w:hAnsi="宋体" w:cs="宋体"/>
          <w:b/>
          <w:color w:val="auto"/>
          <w:sz w:val="24"/>
          <w:highlight w:val="none"/>
        </w:rPr>
        <w:t>一、招标一览表</w:t>
      </w:r>
    </w:p>
    <w:tbl>
      <w:tblPr>
        <w:tblStyle w:val="62"/>
        <w:tblW w:w="4915" w:type="pct"/>
        <w:jc w:val="center"/>
        <w:tblLayout w:type="autofit"/>
        <w:tblCellMar>
          <w:top w:w="0" w:type="dxa"/>
          <w:left w:w="0" w:type="dxa"/>
          <w:bottom w:w="0" w:type="dxa"/>
          <w:right w:w="0" w:type="dxa"/>
        </w:tblCellMar>
      </w:tblPr>
      <w:tblGrid>
        <w:gridCol w:w="1177"/>
        <w:gridCol w:w="1905"/>
        <w:gridCol w:w="1842"/>
        <w:gridCol w:w="999"/>
        <w:gridCol w:w="901"/>
        <w:gridCol w:w="1334"/>
      </w:tblGrid>
      <w:tr>
        <w:tblPrEx>
          <w:tblCellMar>
            <w:top w:w="0" w:type="dxa"/>
            <w:left w:w="0" w:type="dxa"/>
            <w:bottom w:w="0" w:type="dxa"/>
            <w:right w:w="0" w:type="dxa"/>
          </w:tblCellMar>
        </w:tblPrEx>
        <w:trPr>
          <w:cantSplit/>
          <w:trHeight w:val="851" w:hRule="atLeast"/>
          <w:jc w:val="center"/>
        </w:trPr>
        <w:tc>
          <w:tcPr>
            <w:tcW w:w="7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67"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12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规格型号与参数</w:t>
            </w:r>
          </w:p>
        </w:tc>
        <w:tc>
          <w:tcPr>
            <w:tcW w:w="6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552"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817"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1261" w:hRule="atLeast"/>
          <w:jc w:val="center"/>
        </w:trPr>
        <w:tc>
          <w:tcPr>
            <w:tcW w:w="721"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宋体" w:hAnsi="宋体" w:eastAsia="宋体" w:cs="宋体"/>
                <w:color w:val="auto"/>
                <w:sz w:val="24"/>
                <w:highlight w:val="none"/>
                <w:u w:val="none"/>
                <w:lang w:val="en-US" w:eastAsia="zh-CN"/>
              </w:rPr>
            </w:pPr>
            <w:r>
              <w:rPr>
                <w:rFonts w:hint="eastAsia" w:ascii="宋体" w:hAnsi="宋体" w:cs="宋体"/>
                <w:color w:val="auto"/>
                <w:sz w:val="24"/>
                <w:highlight w:val="none"/>
                <w:u w:val="none"/>
                <w:lang w:val="en-US" w:eastAsia="zh-CN"/>
              </w:rPr>
              <w:t>1</w:t>
            </w:r>
          </w:p>
        </w:tc>
        <w:tc>
          <w:tcPr>
            <w:tcW w:w="1167"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洒水车</w:t>
            </w:r>
          </w:p>
        </w:tc>
        <w:tc>
          <w:tcPr>
            <w:tcW w:w="1128"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详见招标需求</w:t>
            </w:r>
          </w:p>
        </w:tc>
        <w:tc>
          <w:tcPr>
            <w:tcW w:w="61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辆</w:t>
            </w:r>
          </w:p>
        </w:tc>
        <w:tc>
          <w:tcPr>
            <w:tcW w:w="552"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8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pStyle w:val="130"/>
        <w:snapToGrid w:val="0"/>
        <w:spacing w:before="0"/>
        <w:ind w:left="0" w:leftChars="0" w:firstLine="0" w:firstLineChars="0"/>
        <w:rPr>
          <w:rFonts w:ascii="宋体" w:hAnsi="宋体" w:cs="宋体"/>
          <w:color w:val="auto"/>
          <w:highlight w:val="none"/>
        </w:rPr>
      </w:pPr>
    </w:p>
    <w:p>
      <w:pPr>
        <w:pStyle w:val="130"/>
        <w:numPr>
          <w:ilvl w:val="0"/>
          <w:numId w:val="0"/>
        </w:numPr>
        <w:snapToGrid w:val="0"/>
        <w:spacing w:before="0"/>
        <w:jc w:val="both"/>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技术需求：采购设备清单</w:t>
      </w:r>
    </w:p>
    <w:tbl>
      <w:tblPr>
        <w:tblStyle w:val="6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1067"/>
        <w:gridCol w:w="5433"/>
        <w:gridCol w:w="657"/>
        <w:gridCol w:w="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390" w:type="pct"/>
            <w:vAlign w:val="center"/>
          </w:tcPr>
          <w:p>
            <w:pPr>
              <w:keepNext w:val="0"/>
              <w:keepLines w:val="0"/>
              <w:pageBreakBefore w:val="0"/>
              <w:widowControl/>
              <w:kinsoku/>
              <w:overflowPunct/>
              <w:topLinePunct w:val="0"/>
              <w:autoSpaceDE/>
              <w:autoSpaceDN/>
              <w:bidi w:val="0"/>
              <w:adjustRightInd w:val="0"/>
              <w:snapToGrid w:val="0"/>
              <w:spacing w:line="240" w:lineRule="auto"/>
              <w:ind w:left="0" w:firstLine="0"/>
              <w:jc w:val="center"/>
              <w:textAlignment w:val="auto"/>
              <w:rPr>
                <w:rFonts w:ascii="Times New Roman" w:hAnsi="Times New Roman" w:eastAsia="宋体" w:cs="宋体"/>
                <w:bCs/>
                <w:color w:val="auto"/>
                <w:kern w:val="0"/>
                <w:sz w:val="21"/>
                <w:szCs w:val="21"/>
                <w:highlight w:val="none"/>
                <w:shd w:val="clear" w:color="auto" w:fill="FFFFFF"/>
              </w:rPr>
            </w:pPr>
            <w:r>
              <w:rPr>
                <w:rFonts w:hint="eastAsia" w:ascii="Times New Roman" w:hAnsi="Times New Roman" w:eastAsia="宋体" w:cs="宋体"/>
                <w:bCs/>
                <w:color w:val="auto"/>
                <w:kern w:val="0"/>
                <w:sz w:val="21"/>
                <w:szCs w:val="21"/>
                <w:highlight w:val="none"/>
                <w:shd w:val="clear" w:color="auto" w:fill="FFFFFF"/>
              </w:rPr>
              <w:t>序号</w:t>
            </w:r>
          </w:p>
        </w:tc>
        <w:tc>
          <w:tcPr>
            <w:tcW w:w="628" w:type="pct"/>
            <w:vAlign w:val="center"/>
          </w:tcPr>
          <w:p>
            <w:pPr>
              <w:keepNext w:val="0"/>
              <w:keepLines w:val="0"/>
              <w:pageBreakBefore w:val="0"/>
              <w:widowControl/>
              <w:kinsoku/>
              <w:overflowPunct/>
              <w:topLinePunct w:val="0"/>
              <w:autoSpaceDE/>
              <w:autoSpaceDN/>
              <w:bidi w:val="0"/>
              <w:adjustRightInd w:val="0"/>
              <w:snapToGrid w:val="0"/>
              <w:spacing w:line="240" w:lineRule="auto"/>
              <w:ind w:left="0" w:firstLine="0"/>
              <w:jc w:val="center"/>
              <w:textAlignment w:val="auto"/>
              <w:rPr>
                <w:rFonts w:ascii="Times New Roman" w:hAnsi="Times New Roman" w:eastAsia="宋体" w:cs="宋体"/>
                <w:bCs/>
                <w:color w:val="auto"/>
                <w:kern w:val="0"/>
                <w:sz w:val="21"/>
                <w:szCs w:val="21"/>
                <w:highlight w:val="none"/>
                <w:shd w:val="clear" w:color="auto" w:fill="FFFFFF"/>
              </w:rPr>
            </w:pPr>
            <w:r>
              <w:rPr>
                <w:rFonts w:hint="eastAsia" w:ascii="Times New Roman" w:hAnsi="Times New Roman" w:eastAsia="宋体" w:cs="宋体"/>
                <w:bCs/>
                <w:color w:val="auto"/>
                <w:kern w:val="0"/>
                <w:sz w:val="21"/>
                <w:szCs w:val="21"/>
                <w:highlight w:val="none"/>
                <w:shd w:val="clear" w:color="auto" w:fill="FFFFFF"/>
              </w:rPr>
              <w:t>货物名称</w:t>
            </w:r>
          </w:p>
        </w:tc>
        <w:tc>
          <w:tcPr>
            <w:tcW w:w="3198" w:type="pct"/>
            <w:vAlign w:val="center"/>
          </w:tcPr>
          <w:p>
            <w:pPr>
              <w:keepNext w:val="0"/>
              <w:keepLines w:val="0"/>
              <w:pageBreakBefore w:val="0"/>
              <w:widowControl/>
              <w:kinsoku/>
              <w:overflowPunct/>
              <w:topLinePunct w:val="0"/>
              <w:autoSpaceDE/>
              <w:autoSpaceDN/>
              <w:bidi w:val="0"/>
              <w:adjustRightInd w:val="0"/>
              <w:snapToGrid w:val="0"/>
              <w:spacing w:line="240" w:lineRule="auto"/>
              <w:ind w:left="0" w:firstLine="0"/>
              <w:jc w:val="center"/>
              <w:textAlignment w:val="auto"/>
              <w:rPr>
                <w:rFonts w:ascii="Times New Roman" w:hAnsi="Times New Roman" w:eastAsia="宋体" w:cs="宋体"/>
                <w:bCs/>
                <w:color w:val="auto"/>
                <w:kern w:val="0"/>
                <w:sz w:val="21"/>
                <w:szCs w:val="21"/>
                <w:highlight w:val="none"/>
                <w:shd w:val="clear" w:color="auto" w:fill="FFFFFF"/>
              </w:rPr>
            </w:pPr>
            <w:r>
              <w:rPr>
                <w:rFonts w:hint="eastAsia" w:ascii="Times New Roman" w:hAnsi="Times New Roman" w:eastAsia="宋体" w:cs="宋体"/>
                <w:bCs/>
                <w:color w:val="auto"/>
                <w:kern w:val="0"/>
                <w:sz w:val="21"/>
                <w:szCs w:val="21"/>
                <w:highlight w:val="none"/>
                <w:shd w:val="clear" w:color="auto" w:fill="FFFFFF"/>
              </w:rPr>
              <w:t>主要技术规格及要求</w:t>
            </w:r>
          </w:p>
        </w:tc>
        <w:tc>
          <w:tcPr>
            <w:tcW w:w="386" w:type="pct"/>
            <w:vAlign w:val="center"/>
          </w:tcPr>
          <w:p>
            <w:pPr>
              <w:keepNext w:val="0"/>
              <w:keepLines w:val="0"/>
              <w:pageBreakBefore w:val="0"/>
              <w:widowControl/>
              <w:kinsoku/>
              <w:overflowPunct/>
              <w:topLinePunct w:val="0"/>
              <w:autoSpaceDE/>
              <w:autoSpaceDN/>
              <w:bidi w:val="0"/>
              <w:adjustRightInd w:val="0"/>
              <w:snapToGrid w:val="0"/>
              <w:spacing w:line="240" w:lineRule="auto"/>
              <w:ind w:left="0" w:firstLine="0"/>
              <w:jc w:val="center"/>
              <w:textAlignment w:val="auto"/>
              <w:rPr>
                <w:rFonts w:ascii="Times New Roman" w:hAnsi="Times New Roman" w:eastAsia="宋体" w:cs="宋体"/>
                <w:bCs/>
                <w:color w:val="auto"/>
                <w:kern w:val="0"/>
                <w:sz w:val="21"/>
                <w:szCs w:val="21"/>
                <w:highlight w:val="none"/>
                <w:shd w:val="clear" w:color="auto" w:fill="FFFFFF"/>
              </w:rPr>
            </w:pPr>
            <w:r>
              <w:rPr>
                <w:rFonts w:hint="eastAsia" w:ascii="Times New Roman" w:hAnsi="Times New Roman" w:eastAsia="宋体" w:cs="宋体"/>
                <w:bCs/>
                <w:color w:val="auto"/>
                <w:kern w:val="0"/>
                <w:sz w:val="21"/>
                <w:szCs w:val="21"/>
                <w:highlight w:val="none"/>
                <w:shd w:val="clear" w:color="auto" w:fill="FFFFFF"/>
              </w:rPr>
              <w:t>数量</w:t>
            </w:r>
          </w:p>
        </w:tc>
        <w:tc>
          <w:tcPr>
            <w:tcW w:w="395" w:type="pct"/>
            <w:vAlign w:val="center"/>
          </w:tcPr>
          <w:p>
            <w:pPr>
              <w:keepNext w:val="0"/>
              <w:keepLines w:val="0"/>
              <w:pageBreakBefore w:val="0"/>
              <w:widowControl/>
              <w:kinsoku/>
              <w:overflowPunct/>
              <w:topLinePunct w:val="0"/>
              <w:autoSpaceDE/>
              <w:autoSpaceDN/>
              <w:bidi w:val="0"/>
              <w:adjustRightInd w:val="0"/>
              <w:snapToGrid w:val="0"/>
              <w:spacing w:line="240" w:lineRule="auto"/>
              <w:ind w:left="0" w:firstLine="0"/>
              <w:jc w:val="center"/>
              <w:textAlignment w:val="auto"/>
              <w:rPr>
                <w:rFonts w:ascii="Times New Roman" w:hAnsi="Times New Roman" w:eastAsia="宋体" w:cs="宋体"/>
                <w:bCs/>
                <w:color w:val="auto"/>
                <w:kern w:val="0"/>
                <w:sz w:val="21"/>
                <w:szCs w:val="21"/>
                <w:highlight w:val="none"/>
                <w:shd w:val="clear" w:color="auto" w:fill="FFFFFF"/>
              </w:rPr>
            </w:pPr>
            <w:r>
              <w:rPr>
                <w:rFonts w:hint="eastAsia" w:ascii="Times New Roman" w:hAnsi="Times New Roman" w:eastAsia="宋体" w:cs="宋体"/>
                <w:bCs/>
                <w:color w:val="auto"/>
                <w:kern w:val="0"/>
                <w:sz w:val="21"/>
                <w:szCs w:val="21"/>
                <w:highlight w:val="none"/>
                <w:shd w:val="clear" w:color="auto" w:fill="FFFFFF"/>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0" w:type="pct"/>
            <w:vAlign w:val="center"/>
          </w:tcPr>
          <w:p>
            <w:pPr>
              <w:keepNext w:val="0"/>
              <w:keepLines w:val="0"/>
              <w:pageBreakBefore w:val="0"/>
              <w:widowControl/>
              <w:kinsoku/>
              <w:overflowPunct/>
              <w:topLinePunct w:val="0"/>
              <w:autoSpaceDE/>
              <w:autoSpaceDN/>
              <w:bidi w:val="0"/>
              <w:adjustRightInd w:val="0"/>
              <w:snapToGrid w:val="0"/>
              <w:spacing w:line="240" w:lineRule="auto"/>
              <w:ind w:left="0" w:firstLine="0"/>
              <w:jc w:val="center"/>
              <w:textAlignment w:val="auto"/>
              <w:rPr>
                <w:rFonts w:ascii="Times New Roman" w:hAnsi="Times New Roman" w:eastAsia="宋体" w:cs="宋体"/>
                <w:bCs/>
                <w:color w:val="auto"/>
                <w:kern w:val="0"/>
                <w:sz w:val="21"/>
                <w:szCs w:val="21"/>
                <w:highlight w:val="none"/>
                <w:shd w:val="clear" w:color="auto" w:fill="FFFFFF"/>
              </w:rPr>
            </w:pPr>
            <w:r>
              <w:rPr>
                <w:rFonts w:hint="eastAsia" w:ascii="Times New Roman" w:hAnsi="Times New Roman" w:eastAsia="宋体" w:cs="宋体"/>
                <w:bCs/>
                <w:color w:val="auto"/>
                <w:kern w:val="0"/>
                <w:sz w:val="21"/>
                <w:szCs w:val="21"/>
                <w:highlight w:val="none"/>
                <w:shd w:val="clear" w:color="auto" w:fill="FFFFFF"/>
              </w:rPr>
              <w:t>1</w:t>
            </w:r>
          </w:p>
        </w:tc>
        <w:tc>
          <w:tcPr>
            <w:tcW w:w="628" w:type="pct"/>
            <w:vAlign w:val="center"/>
          </w:tcPr>
          <w:p>
            <w:pPr>
              <w:keepNext w:val="0"/>
              <w:keepLines w:val="0"/>
              <w:pageBreakBefore w:val="0"/>
              <w:widowControl/>
              <w:kinsoku/>
              <w:overflowPunct/>
              <w:topLinePunct w:val="0"/>
              <w:autoSpaceDE/>
              <w:autoSpaceDN/>
              <w:bidi w:val="0"/>
              <w:adjustRightInd w:val="0"/>
              <w:snapToGrid w:val="0"/>
              <w:spacing w:line="240" w:lineRule="auto"/>
              <w:ind w:left="0" w:firstLine="0"/>
              <w:jc w:val="center"/>
              <w:textAlignment w:val="auto"/>
              <w:rPr>
                <w:rFonts w:ascii="Times New Roman" w:hAnsi="Times New Roman" w:eastAsia="宋体" w:cs="宋体"/>
                <w:color w:val="auto"/>
                <w:kern w:val="0"/>
                <w:sz w:val="21"/>
                <w:szCs w:val="21"/>
                <w:highlight w:val="none"/>
              </w:rPr>
            </w:pPr>
            <w:r>
              <w:rPr>
                <w:rFonts w:hint="eastAsia" w:ascii="宋体"/>
                <w:sz w:val="24"/>
                <w:szCs w:val="24"/>
                <w:highlight w:val="none"/>
                <w:lang w:val="en-US" w:eastAsia="zh-CN"/>
              </w:rPr>
              <w:t>洒水车</w:t>
            </w:r>
          </w:p>
        </w:tc>
        <w:tc>
          <w:tcPr>
            <w:tcW w:w="3198" w:type="pct"/>
            <w:vAlign w:val="center"/>
          </w:tcPr>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▲产品公告名称：洒水车，以工信部的汽车产品公告参数页数据为准</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▲总质量（kg）：16200，以工信部的汽车产品公告参数页数据为准</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★额定载质量(kg)≥9710，以工信部的汽车产品公告参数页数据为准</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整备质量(kg)≥6250，以工信部的汽车产品公告参数页数据为准</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★水罐公告总容量(m³)≥10.1，以工信部的汽车产品公告参数页数据为准</w:t>
            </w:r>
            <w:bookmarkStart w:id="554" w:name="_GoBack"/>
            <w:bookmarkEnd w:id="554"/>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★水罐公告有效容量(m³)≥9.7，以工信部的汽车产品公告参数页数据为准</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★整车长（mm）（配置自动水泡时）≤8400</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★整车宽（mm）≥2460</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★整车高（mm）≥2820</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★接近角（°）≥13</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★离去角（°）≥11</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★前悬（mm）≤1460</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★后悬（mm）≤2300</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★罐体外形尺寸（mm）（长轴×短轴×长度）≥2300×1420×4200</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轴距（mm）≤4500，以工信部的汽车产品公告参数页数据为准</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最高车速(km/h)≥89，以工信部的汽车产品公告参数页数据为准</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▲底盘发动机功率(kW)≥150</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▲排放标准：国六</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前对冲冲洗宽度(m)≥24,需提供第三方检验报告证明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水炮射程(m)≥38,需提供第三方检验报告证明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原地作业噪音(dB(A))≤90,需提供第三方检验报告证明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前鸭嘴冲洗宽度(m)≥8</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后洒水宽度(m)≥14</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水泵扬程(m)≥110</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最大爬坡角(</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)≥30</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最小转弯直径(m)≤17</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★水罐需采用先进的一次性包罐成型技术，机器人自动焊接，渗透无损探伤检测，不漏水，寿命长，水罐内部需采用专业防腐涂层，保证防腐效果。（提供制作工艺说明）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水罐内部需采用防波板缓冲结构设计，可降低行驶时清水对水罐的冲击。</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车辆需配置前鸭嘴、前对冲、后洒装置，可对路面实现冲洗和洒水降尘；配备后浇灌系统。（需提供实物图片证明）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前鸭嘴冲洗装置由气动切断阀控制，适用于冲洗路面及路沿，可在一定范围内任意调节鸭嘴型喷头的冲洗方位。（需提供实物图片证明）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前对冲冲洗装置有圆锥喷嘴左右各一个，双向冲洗，均由气动切断阀控制，通过调整旋转套，可任意调节喷嘴角度，可一次冲洗6条车道。（需提供实物图片证明）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车辆需配置后作业平台，有远射程水炮，用于远距离冲洗或绿化带浇灌，水炮需可调整水流喷射形状（雾状、柱状或锥状）。（需提供实物图片证明）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低压水路系统及低压水泵最低处需配置放水球阀，可放干净管路里面的积水，以免冬季管路冻坏。（需提供实物图片证明）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★车辆需配备音乐喇叭和箭头灯，能在作业时播放音乐或者灯光以警示，提示周围行人和车辆注意避让。（需提供实物图片证明）</w:t>
            </w:r>
          </w:p>
          <w:p>
            <w:pPr>
              <w:pStyle w:val="80"/>
              <w:keepNext w:val="0"/>
              <w:keepLines w:val="0"/>
              <w:pageBreakBefore w:val="0"/>
              <w:widowControl w:val="0"/>
              <w:numPr>
                <w:ilvl w:val="0"/>
                <w:numId w:val="2"/>
              </w:numPr>
              <w:kinsoku/>
              <w:wordWrap/>
              <w:overflowPunct/>
              <w:topLinePunct w:val="0"/>
              <w:autoSpaceDE/>
              <w:autoSpaceDN/>
              <w:bidi w:val="0"/>
              <w:adjustRightInd w:val="0"/>
              <w:snapToGrid/>
              <w:spacing w:after="156" w:afterLines="50" w:line="240" w:lineRule="auto"/>
              <w:ind w:left="420" w:hanging="42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★驾驶室前配置自动水泡，在驾驶室内即可控制水柱形状和水量大小、角度调节等。（配置时有公告能正常上牌）</w:t>
            </w:r>
          </w:p>
          <w:p>
            <w:pPr>
              <w:keepNext w:val="0"/>
              <w:keepLines w:val="0"/>
              <w:pageBreakBefore w:val="0"/>
              <w:numPr>
                <w:ilvl w:val="0"/>
                <w:numId w:val="0"/>
              </w:numPr>
              <w:kinsoku/>
              <w:overflowPunct/>
              <w:topLinePunct w:val="0"/>
              <w:autoSpaceDE/>
              <w:autoSpaceDN/>
              <w:bidi w:val="0"/>
              <w:adjustRightInd w:val="0"/>
              <w:snapToGrid w:val="0"/>
              <w:spacing w:line="240" w:lineRule="auto"/>
              <w:ind w:leftChars="0"/>
              <w:textAlignment w:val="auto"/>
              <w:rPr>
                <w:rFonts w:ascii="Times New Roman" w:hAnsi="Times New Roman" w:eastAsia="宋体"/>
                <w:color w:val="auto"/>
                <w:sz w:val="21"/>
                <w:highlight w:val="none"/>
              </w:rPr>
            </w:pPr>
          </w:p>
        </w:tc>
        <w:tc>
          <w:tcPr>
            <w:tcW w:w="386" w:type="pct"/>
            <w:vAlign w:val="center"/>
          </w:tcPr>
          <w:p>
            <w:pPr>
              <w:keepNext w:val="0"/>
              <w:keepLines w:val="0"/>
              <w:pageBreakBefore w:val="0"/>
              <w:kinsoku/>
              <w:overflowPunct/>
              <w:topLinePunct w:val="0"/>
              <w:autoSpaceDE/>
              <w:autoSpaceDN/>
              <w:bidi w:val="0"/>
              <w:adjustRightInd w:val="0"/>
              <w:snapToGrid w:val="0"/>
              <w:spacing w:line="240" w:lineRule="auto"/>
              <w:ind w:left="0" w:firstLine="0"/>
              <w:jc w:val="center"/>
              <w:textAlignment w:val="auto"/>
              <w:rPr>
                <w:rFonts w:hint="eastAsia" w:ascii="Times New Roman" w:hAnsi="Times New Roman" w:eastAsia="宋体" w:cs="宋体"/>
                <w:color w:val="auto"/>
                <w:sz w:val="21"/>
                <w:szCs w:val="21"/>
                <w:highlight w:val="none"/>
                <w:lang w:eastAsia="zh-CN"/>
              </w:rPr>
            </w:pPr>
            <w:r>
              <w:rPr>
                <w:rFonts w:hint="eastAsia" w:cs="宋体"/>
                <w:color w:val="auto"/>
                <w:sz w:val="21"/>
                <w:szCs w:val="21"/>
                <w:highlight w:val="none"/>
                <w:lang w:val="en-US" w:eastAsia="zh-CN"/>
              </w:rPr>
              <w:t>2</w:t>
            </w:r>
          </w:p>
        </w:tc>
        <w:tc>
          <w:tcPr>
            <w:tcW w:w="395" w:type="pct"/>
            <w:vAlign w:val="center"/>
          </w:tcPr>
          <w:p>
            <w:pPr>
              <w:keepNext w:val="0"/>
              <w:keepLines w:val="0"/>
              <w:pageBreakBefore w:val="0"/>
              <w:kinsoku/>
              <w:overflowPunct/>
              <w:topLinePunct w:val="0"/>
              <w:autoSpaceDE/>
              <w:autoSpaceDN/>
              <w:bidi w:val="0"/>
              <w:adjustRightInd w:val="0"/>
              <w:snapToGrid w:val="0"/>
              <w:spacing w:line="240" w:lineRule="auto"/>
              <w:ind w:left="0" w:firstLine="0"/>
              <w:jc w:val="center"/>
              <w:textAlignment w:val="auto"/>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辆</w:t>
            </w:r>
          </w:p>
        </w:tc>
      </w:tr>
    </w:tbl>
    <w:p>
      <w:pPr>
        <w:rPr>
          <w:rFonts w:hint="eastAsia" w:ascii="宋体" w:hAnsi="宋体" w:cs="宋体"/>
          <w:b/>
          <w:bCs/>
          <w:color w:val="auto"/>
          <w:szCs w:val="21"/>
          <w:highlight w:val="none"/>
        </w:rPr>
      </w:pP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二、商务要求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供货要求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1.交货时间：合同签订完毕日起</w:t>
      </w: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lang w:val="en-US" w:eastAsia="zh-CN"/>
        </w:rPr>
        <w:t>个月内完成供货，交采购人验收。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2.交货地点：采购人指定地点。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在合同生效以及具备实施条件后7个工作日内采购人向中标人支付预付款（合同款40%）。乙方完成所有设备的供货及安装调试工作、待项目整体验收合格后采购人向中标人支付至合同款100%。在签订合同时，供应商明确表示无需预付款或者主动要求降低预付款比例的，采购单位可不适用前述规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质量保证及售后服务要求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1.质量要求：所供产品是符合国家技术规范和质量标准的合格产品，且未曾使用。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2.包装要求：所有产品货物外包装按相关规定执行，不得有破损和霉烂。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b w:val="0"/>
          <w:bCs w:val="0"/>
          <w:color w:val="auto"/>
          <w:szCs w:val="21"/>
          <w:highlight w:val="none"/>
          <w:lang w:val="en-US" w:eastAsia="zh-CN"/>
        </w:rPr>
      </w:pPr>
      <w:r>
        <w:rPr>
          <w:rFonts w:hint="default" w:ascii="宋体" w:hAnsi="宋体" w:cs="宋体"/>
          <w:b w:val="0"/>
          <w:bCs w:val="0"/>
          <w:color w:val="auto"/>
          <w:sz w:val="24"/>
          <w:szCs w:val="24"/>
          <w:highlight w:val="none"/>
          <w:lang w:val="en-US" w:eastAsia="zh-CN"/>
        </w:rPr>
        <w:t>3.费用：中标人负责产品的包装、运输、装卸、安装、调试、验收等工</w:t>
      </w:r>
      <w:r>
        <w:rPr>
          <w:rFonts w:hint="default" w:ascii="宋体" w:hAnsi="宋体" w:cs="宋体"/>
          <w:b w:val="0"/>
          <w:bCs w:val="0"/>
          <w:color w:val="auto"/>
          <w:szCs w:val="21"/>
          <w:highlight w:val="none"/>
          <w:lang w:val="en-US" w:eastAsia="zh-CN"/>
        </w:rPr>
        <w:t>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default" w:ascii="宋体" w:hAnsi="宋体" w:cs="宋体"/>
          <w:b w:val="0"/>
          <w:bCs w:val="0"/>
          <w:color w:val="auto"/>
          <w:sz w:val="24"/>
          <w:szCs w:val="24"/>
          <w:highlight w:val="none"/>
          <w:lang w:val="en-US" w:eastAsia="zh-CN"/>
        </w:rPr>
        <w:t>4.质保期：本项目质保期</w:t>
      </w: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lang w:val="en-US" w:eastAsia="zh-CN"/>
        </w:rPr>
        <w:t>年，时间自最终验收合格之日起。</w:t>
      </w:r>
      <w:r>
        <w:rPr>
          <w:rFonts w:hint="eastAsia" w:ascii="宋体" w:hAnsi="宋体" w:cs="宋体"/>
          <w:b w:val="0"/>
          <w:bCs w:val="0"/>
          <w:color w:val="auto"/>
          <w:sz w:val="24"/>
          <w:szCs w:val="24"/>
          <w:highlight w:val="none"/>
          <w:lang w:val="en-US" w:eastAsia="zh-CN"/>
        </w:rPr>
        <w:t>在质保期内，乙方负责为车辆提供免费维修、保养。（此处所称维修保养，仅指乙方所供货物正常使用的保养或因本身质量缺陷造成维修，如因车辆交通事故或不可抗力造成的维修不在本条所列）。</w:t>
      </w:r>
    </w:p>
    <w:p>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.招标文件中打▲内容为实质性要求，不允许有负偏离，否则将以涉及无效投标条款作无效投标。</w:t>
      </w:r>
    </w:p>
    <w:p>
      <w:pPr>
        <w:adjustRightInd/>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.中标供应商所提供的货物、服务须与投标承诺一致，不得以次充好、偷工减料，若在项目验收中发现有上述情况，将向有关部门举报，根据相关规定进行处理。</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08077"/>
      <w:bookmarkEnd w:id="29"/>
      <w:bookmarkStart w:id="30" w:name="_Toc184312128"/>
      <w:bookmarkEnd w:id="30"/>
      <w:bookmarkStart w:id="31" w:name="_Toc184314450"/>
      <w:bookmarkEnd w:id="31"/>
      <w:bookmarkStart w:id="32" w:name="_Toc184312086"/>
      <w:bookmarkEnd w:id="32"/>
      <w:bookmarkStart w:id="33" w:name="_Toc184308099"/>
      <w:bookmarkEnd w:id="33"/>
      <w:bookmarkStart w:id="34" w:name="_Toc184313264"/>
      <w:bookmarkEnd w:id="34"/>
      <w:bookmarkStart w:id="35" w:name="_Toc184313250"/>
      <w:bookmarkEnd w:id="35"/>
      <w:bookmarkStart w:id="36" w:name="_Toc184313271"/>
      <w:bookmarkEnd w:id="36"/>
      <w:bookmarkStart w:id="37" w:name="_Toc184314434"/>
      <w:bookmarkEnd w:id="37"/>
      <w:bookmarkStart w:id="38" w:name="_Toc184313238"/>
      <w:bookmarkEnd w:id="38"/>
      <w:bookmarkStart w:id="39" w:name="_Toc184310292"/>
      <w:bookmarkEnd w:id="39"/>
      <w:bookmarkStart w:id="40" w:name="_Toc184312069"/>
      <w:bookmarkEnd w:id="40"/>
      <w:bookmarkStart w:id="41" w:name="_Toc184312114"/>
      <w:bookmarkEnd w:id="41"/>
      <w:bookmarkStart w:id="42" w:name="_Toc184313303"/>
      <w:bookmarkEnd w:id="42"/>
      <w:bookmarkStart w:id="43" w:name="_Toc184308088"/>
      <w:bookmarkEnd w:id="43"/>
      <w:bookmarkStart w:id="44" w:name="_Toc184310308"/>
      <w:bookmarkEnd w:id="44"/>
      <w:bookmarkStart w:id="45" w:name="_Toc184314416"/>
      <w:bookmarkEnd w:id="45"/>
      <w:bookmarkStart w:id="46" w:name="_Toc184314411"/>
      <w:bookmarkEnd w:id="46"/>
      <w:bookmarkStart w:id="47" w:name="_Toc184314412"/>
      <w:bookmarkEnd w:id="47"/>
      <w:bookmarkStart w:id="48" w:name="_Toc184308045"/>
      <w:bookmarkEnd w:id="48"/>
      <w:bookmarkStart w:id="49" w:name="_Toc184314423"/>
      <w:bookmarkEnd w:id="49"/>
      <w:bookmarkStart w:id="50" w:name="_Toc184314430"/>
      <w:bookmarkEnd w:id="50"/>
      <w:bookmarkStart w:id="51" w:name="_Toc184310295"/>
      <w:bookmarkEnd w:id="51"/>
      <w:bookmarkStart w:id="52" w:name="_Toc184313272"/>
      <w:bookmarkEnd w:id="52"/>
      <w:bookmarkStart w:id="53" w:name="_Toc184314451"/>
      <w:bookmarkEnd w:id="53"/>
      <w:bookmarkStart w:id="54" w:name="_Toc184308082"/>
      <w:bookmarkEnd w:id="54"/>
      <w:bookmarkStart w:id="55" w:name="_Toc184308083"/>
      <w:bookmarkEnd w:id="55"/>
      <w:bookmarkStart w:id="56" w:name="_Toc184312111"/>
      <w:bookmarkEnd w:id="56"/>
      <w:bookmarkStart w:id="57" w:name="_Toc184308090"/>
      <w:bookmarkEnd w:id="57"/>
      <w:bookmarkStart w:id="58" w:name="_Toc184308084"/>
      <w:bookmarkEnd w:id="58"/>
      <w:bookmarkStart w:id="59" w:name="_Toc184314452"/>
      <w:bookmarkEnd w:id="59"/>
      <w:bookmarkStart w:id="60" w:name="_Toc184313273"/>
      <w:bookmarkEnd w:id="60"/>
      <w:bookmarkStart w:id="61" w:name="_Toc184310298"/>
      <w:bookmarkEnd w:id="61"/>
      <w:bookmarkStart w:id="62" w:name="_Toc184313247"/>
      <w:bookmarkEnd w:id="62"/>
      <w:bookmarkStart w:id="63" w:name="_Toc184310299"/>
      <w:bookmarkEnd w:id="63"/>
      <w:bookmarkStart w:id="64" w:name="_Toc184310287"/>
      <w:bookmarkEnd w:id="64"/>
      <w:bookmarkStart w:id="65" w:name="_Toc184308054"/>
      <w:bookmarkEnd w:id="65"/>
      <w:bookmarkStart w:id="66" w:name="_Toc184312083"/>
      <w:bookmarkEnd w:id="66"/>
      <w:bookmarkStart w:id="67" w:name="_Toc184313306"/>
      <w:bookmarkEnd w:id="67"/>
      <w:bookmarkStart w:id="68" w:name="_Toc184312134"/>
      <w:bookmarkEnd w:id="68"/>
      <w:bookmarkStart w:id="69" w:name="_Toc184314445"/>
      <w:bookmarkEnd w:id="69"/>
      <w:bookmarkStart w:id="70" w:name="_Toc184313259"/>
      <w:bookmarkEnd w:id="70"/>
      <w:bookmarkStart w:id="71" w:name="_Toc184310303"/>
      <w:bookmarkEnd w:id="71"/>
      <w:bookmarkStart w:id="72" w:name="_Toc184308065"/>
      <w:bookmarkEnd w:id="72"/>
      <w:bookmarkStart w:id="73" w:name="_Toc184313274"/>
      <w:bookmarkEnd w:id="73"/>
      <w:bookmarkStart w:id="74" w:name="_Toc184308069"/>
      <w:bookmarkEnd w:id="74"/>
      <w:bookmarkStart w:id="75" w:name="_Toc184313266"/>
      <w:bookmarkEnd w:id="75"/>
      <w:bookmarkStart w:id="76" w:name="_Toc184313243"/>
      <w:bookmarkEnd w:id="76"/>
      <w:bookmarkStart w:id="77" w:name="_Toc184313285"/>
      <w:bookmarkEnd w:id="77"/>
      <w:bookmarkStart w:id="78" w:name="_Toc184312125"/>
      <w:bookmarkEnd w:id="78"/>
      <w:bookmarkStart w:id="79" w:name="_Toc184313278"/>
      <w:bookmarkEnd w:id="79"/>
      <w:bookmarkStart w:id="80" w:name="_Toc184314415"/>
      <w:bookmarkEnd w:id="80"/>
      <w:bookmarkStart w:id="81" w:name="_Toc184313279"/>
      <w:bookmarkEnd w:id="81"/>
      <w:bookmarkStart w:id="82" w:name="_Toc184308096"/>
      <w:bookmarkEnd w:id="82"/>
      <w:bookmarkStart w:id="83" w:name="_Toc184310272"/>
      <w:bookmarkEnd w:id="83"/>
      <w:bookmarkStart w:id="84" w:name="_Toc184313241"/>
      <w:bookmarkEnd w:id="84"/>
      <w:bookmarkStart w:id="85" w:name="_Toc184313310"/>
      <w:bookmarkEnd w:id="85"/>
      <w:bookmarkStart w:id="86" w:name="_Toc184314462"/>
      <w:bookmarkEnd w:id="86"/>
      <w:bookmarkStart w:id="87" w:name="_Toc184312079"/>
      <w:bookmarkEnd w:id="87"/>
      <w:bookmarkStart w:id="88" w:name="_Toc184312123"/>
      <w:bookmarkEnd w:id="88"/>
      <w:bookmarkStart w:id="89" w:name="_Toc184308044"/>
      <w:bookmarkEnd w:id="89"/>
      <w:bookmarkStart w:id="90" w:name="_Toc184313277"/>
      <w:bookmarkEnd w:id="90"/>
      <w:bookmarkStart w:id="91" w:name="_Toc184308055"/>
      <w:bookmarkEnd w:id="91"/>
      <w:bookmarkStart w:id="92" w:name="_Toc184313304"/>
      <w:bookmarkEnd w:id="92"/>
      <w:bookmarkStart w:id="93" w:name="_Toc184308052"/>
      <w:bookmarkEnd w:id="93"/>
      <w:bookmarkStart w:id="94" w:name="_Toc184313281"/>
      <w:bookmarkEnd w:id="94"/>
      <w:bookmarkStart w:id="95" w:name="_Toc184314467"/>
      <w:bookmarkEnd w:id="95"/>
      <w:bookmarkStart w:id="96" w:name="_Toc184308072"/>
      <w:bookmarkEnd w:id="96"/>
      <w:bookmarkStart w:id="97" w:name="_Toc184310311"/>
      <w:bookmarkEnd w:id="97"/>
      <w:bookmarkStart w:id="98" w:name="_Toc184313258"/>
      <w:bookmarkEnd w:id="98"/>
      <w:bookmarkStart w:id="99" w:name="_Toc184314414"/>
      <w:bookmarkEnd w:id="99"/>
      <w:bookmarkStart w:id="100" w:name="_Toc184312127"/>
      <w:bookmarkEnd w:id="100"/>
      <w:bookmarkStart w:id="101" w:name="_Toc184313252"/>
      <w:bookmarkEnd w:id="101"/>
      <w:bookmarkStart w:id="102" w:name="_Toc184308040"/>
      <w:bookmarkEnd w:id="102"/>
      <w:bookmarkStart w:id="103" w:name="_Toc184312132"/>
      <w:bookmarkEnd w:id="103"/>
      <w:bookmarkStart w:id="104" w:name="_Toc184310335"/>
      <w:bookmarkEnd w:id="104"/>
      <w:bookmarkStart w:id="105" w:name="_Toc184312072"/>
      <w:bookmarkEnd w:id="105"/>
      <w:bookmarkStart w:id="106" w:name="_Toc184314432"/>
      <w:bookmarkEnd w:id="106"/>
      <w:bookmarkStart w:id="107" w:name="_Toc184310302"/>
      <w:bookmarkEnd w:id="107"/>
      <w:bookmarkStart w:id="108" w:name="_Toc184314461"/>
      <w:bookmarkEnd w:id="108"/>
      <w:bookmarkStart w:id="109" w:name="_Toc184308074"/>
      <w:bookmarkEnd w:id="109"/>
      <w:bookmarkStart w:id="110" w:name="_Toc184308081"/>
      <w:bookmarkEnd w:id="110"/>
      <w:bookmarkStart w:id="111" w:name="_Toc184314421"/>
      <w:bookmarkEnd w:id="111"/>
      <w:bookmarkStart w:id="112" w:name="_Toc184312139"/>
      <w:bookmarkEnd w:id="112"/>
      <w:bookmarkStart w:id="113" w:name="_Toc184310293"/>
      <w:bookmarkEnd w:id="113"/>
      <w:bookmarkStart w:id="114" w:name="_Toc184313283"/>
      <w:bookmarkEnd w:id="114"/>
      <w:bookmarkStart w:id="115" w:name="_Toc184310290"/>
      <w:bookmarkEnd w:id="115"/>
      <w:bookmarkStart w:id="116" w:name="_Toc184312085"/>
      <w:bookmarkEnd w:id="116"/>
      <w:bookmarkStart w:id="117" w:name="_Toc184312092"/>
      <w:bookmarkEnd w:id="117"/>
      <w:bookmarkStart w:id="118" w:name="_Toc184314453"/>
      <w:bookmarkEnd w:id="118"/>
      <w:bookmarkStart w:id="119" w:name="_Toc184308059"/>
      <w:bookmarkEnd w:id="119"/>
      <w:bookmarkStart w:id="120" w:name="_Toc184314459"/>
      <w:bookmarkEnd w:id="120"/>
      <w:bookmarkStart w:id="121" w:name="_Toc184308080"/>
      <w:bookmarkEnd w:id="121"/>
      <w:bookmarkStart w:id="122" w:name="_Toc184310341"/>
      <w:bookmarkEnd w:id="122"/>
      <w:bookmarkStart w:id="123" w:name="_Toc184313242"/>
      <w:bookmarkEnd w:id="123"/>
      <w:bookmarkStart w:id="124" w:name="_Toc184312117"/>
      <w:bookmarkEnd w:id="124"/>
      <w:bookmarkStart w:id="125" w:name="_Toc184310278"/>
      <w:bookmarkEnd w:id="125"/>
      <w:bookmarkStart w:id="126" w:name="_Toc184308042"/>
      <w:bookmarkEnd w:id="126"/>
      <w:bookmarkStart w:id="127" w:name="_Toc184314447"/>
      <w:bookmarkEnd w:id="127"/>
      <w:bookmarkStart w:id="128" w:name="_Toc184313253"/>
      <w:bookmarkEnd w:id="128"/>
      <w:bookmarkStart w:id="129" w:name="_Toc184308066"/>
      <w:bookmarkEnd w:id="129"/>
      <w:bookmarkStart w:id="130" w:name="_Toc184310320"/>
      <w:bookmarkEnd w:id="130"/>
      <w:bookmarkStart w:id="131" w:name="_Toc184310296"/>
      <w:bookmarkEnd w:id="131"/>
      <w:bookmarkStart w:id="132" w:name="_Toc184308049"/>
      <w:bookmarkEnd w:id="132"/>
      <w:bookmarkStart w:id="133" w:name="_Toc184313294"/>
      <w:bookmarkEnd w:id="133"/>
      <w:bookmarkStart w:id="134" w:name="_Toc184312089"/>
      <w:bookmarkEnd w:id="134"/>
      <w:bookmarkStart w:id="135" w:name="_Toc184310309"/>
      <w:bookmarkEnd w:id="135"/>
      <w:bookmarkStart w:id="136" w:name="_Toc184310329"/>
      <w:bookmarkEnd w:id="136"/>
      <w:bookmarkStart w:id="137" w:name="_Toc184314440"/>
      <w:bookmarkEnd w:id="137"/>
      <w:bookmarkStart w:id="138" w:name="_Toc184313307"/>
      <w:bookmarkEnd w:id="138"/>
      <w:bookmarkStart w:id="139" w:name="_Toc184313288"/>
      <w:bookmarkEnd w:id="139"/>
      <w:bookmarkStart w:id="140" w:name="_Toc184314469"/>
      <w:bookmarkEnd w:id="140"/>
      <w:bookmarkStart w:id="141" w:name="_Toc184314464"/>
      <w:bookmarkEnd w:id="141"/>
      <w:bookmarkStart w:id="142" w:name="_Toc184313267"/>
      <w:bookmarkEnd w:id="142"/>
      <w:bookmarkStart w:id="143" w:name="_Toc184312137"/>
      <w:bookmarkEnd w:id="143"/>
      <w:bookmarkStart w:id="144" w:name="_Toc184308079"/>
      <w:bookmarkEnd w:id="144"/>
      <w:bookmarkStart w:id="145" w:name="_Toc184314436"/>
      <w:bookmarkEnd w:id="145"/>
      <w:bookmarkStart w:id="146" w:name="_Toc184308073"/>
      <w:bookmarkEnd w:id="146"/>
      <w:bookmarkStart w:id="147" w:name="_Toc184308102"/>
      <w:bookmarkEnd w:id="147"/>
      <w:bookmarkStart w:id="148" w:name="_Toc184310317"/>
      <w:bookmarkEnd w:id="148"/>
      <w:bookmarkStart w:id="149" w:name="_Toc184310307"/>
      <w:bookmarkEnd w:id="149"/>
      <w:bookmarkStart w:id="150" w:name="_Toc184312136"/>
      <w:bookmarkEnd w:id="150"/>
      <w:bookmarkStart w:id="151" w:name="_Toc184308076"/>
      <w:bookmarkEnd w:id="151"/>
      <w:bookmarkStart w:id="152" w:name="_Toc184312077"/>
      <w:bookmarkEnd w:id="152"/>
      <w:bookmarkStart w:id="153" w:name="_Toc184310344"/>
      <w:bookmarkEnd w:id="153"/>
      <w:bookmarkStart w:id="154" w:name="_Toc184312096"/>
      <w:bookmarkEnd w:id="154"/>
      <w:bookmarkStart w:id="155" w:name="_Toc184310291"/>
      <w:bookmarkEnd w:id="155"/>
      <w:bookmarkStart w:id="156" w:name="_Toc184308093"/>
      <w:bookmarkEnd w:id="156"/>
      <w:bookmarkStart w:id="157" w:name="_Toc184312097"/>
      <w:bookmarkEnd w:id="157"/>
      <w:bookmarkStart w:id="158" w:name="_Toc184313291"/>
      <w:bookmarkEnd w:id="158"/>
      <w:bookmarkStart w:id="159" w:name="_Toc184313293"/>
      <w:bookmarkEnd w:id="159"/>
      <w:bookmarkStart w:id="160" w:name="_Toc184312138"/>
      <w:bookmarkEnd w:id="160"/>
      <w:bookmarkStart w:id="161" w:name="_Toc184310333"/>
      <w:bookmarkEnd w:id="161"/>
      <w:bookmarkStart w:id="162" w:name="_Toc184308095"/>
      <w:bookmarkEnd w:id="162"/>
      <w:bookmarkStart w:id="163" w:name="_Toc184310336"/>
      <w:bookmarkEnd w:id="163"/>
      <w:bookmarkStart w:id="164" w:name="_Toc184312109"/>
      <w:bookmarkEnd w:id="164"/>
      <w:bookmarkStart w:id="165" w:name="_Toc184310304"/>
      <w:bookmarkEnd w:id="165"/>
      <w:bookmarkStart w:id="166" w:name="_Toc184312104"/>
      <w:bookmarkEnd w:id="166"/>
      <w:bookmarkStart w:id="167" w:name="_Toc184312082"/>
      <w:bookmarkEnd w:id="167"/>
      <w:bookmarkStart w:id="168" w:name="_Toc184310273"/>
      <w:bookmarkEnd w:id="168"/>
      <w:bookmarkStart w:id="169" w:name="_Toc184313256"/>
      <w:bookmarkEnd w:id="169"/>
      <w:bookmarkStart w:id="170" w:name="_Toc184314458"/>
      <w:bookmarkEnd w:id="170"/>
      <w:bookmarkStart w:id="171" w:name="_Toc184308041"/>
      <w:bookmarkEnd w:id="171"/>
      <w:bookmarkStart w:id="172" w:name="_Toc184312121"/>
      <w:bookmarkEnd w:id="172"/>
      <w:bookmarkStart w:id="173" w:name="_Toc184310316"/>
      <w:bookmarkEnd w:id="173"/>
      <w:bookmarkStart w:id="174" w:name="_Toc184308036"/>
      <w:bookmarkEnd w:id="174"/>
      <w:bookmarkStart w:id="175" w:name="_Toc184314479"/>
      <w:bookmarkEnd w:id="175"/>
      <w:bookmarkStart w:id="176" w:name="_Toc184313290"/>
      <w:bookmarkEnd w:id="176"/>
      <w:bookmarkStart w:id="177" w:name="_Toc184313265"/>
      <w:bookmarkEnd w:id="177"/>
      <w:bookmarkStart w:id="178" w:name="_Toc184308104"/>
      <w:bookmarkEnd w:id="178"/>
      <w:bookmarkStart w:id="179" w:name="_Toc184310274"/>
      <w:bookmarkEnd w:id="179"/>
      <w:bookmarkStart w:id="180" w:name="_Toc184312067"/>
      <w:bookmarkEnd w:id="180"/>
      <w:bookmarkStart w:id="181" w:name="_Toc184314448"/>
      <w:bookmarkEnd w:id="181"/>
      <w:bookmarkStart w:id="182" w:name="_Toc184310340"/>
      <w:bookmarkEnd w:id="182"/>
      <w:bookmarkStart w:id="183" w:name="_Toc184308056"/>
      <w:bookmarkEnd w:id="183"/>
      <w:bookmarkStart w:id="184" w:name="_Toc184314437"/>
      <w:bookmarkEnd w:id="184"/>
      <w:bookmarkStart w:id="185" w:name="_Toc184312130"/>
      <w:bookmarkEnd w:id="185"/>
      <w:bookmarkStart w:id="186" w:name="_Toc184308043"/>
      <w:bookmarkEnd w:id="186"/>
      <w:bookmarkStart w:id="187" w:name="_Toc184314441"/>
      <w:bookmarkEnd w:id="187"/>
      <w:bookmarkStart w:id="188" w:name="_Toc184308060"/>
      <w:bookmarkEnd w:id="188"/>
      <w:bookmarkStart w:id="189" w:name="_Toc184310277"/>
      <w:bookmarkEnd w:id="189"/>
      <w:bookmarkStart w:id="190" w:name="_Toc184313263"/>
      <w:bookmarkEnd w:id="190"/>
      <w:bookmarkStart w:id="191" w:name="_Toc184313248"/>
      <w:bookmarkEnd w:id="191"/>
      <w:bookmarkStart w:id="192" w:name="_Toc184312075"/>
      <w:bookmarkEnd w:id="192"/>
      <w:bookmarkStart w:id="193" w:name="_Toc184314425"/>
      <w:bookmarkEnd w:id="193"/>
      <w:bookmarkStart w:id="194" w:name="_Toc184313255"/>
      <w:bookmarkEnd w:id="194"/>
      <w:bookmarkStart w:id="195" w:name="_Toc184310280"/>
      <w:bookmarkEnd w:id="195"/>
      <w:bookmarkStart w:id="196" w:name="_Toc184308107"/>
      <w:bookmarkEnd w:id="196"/>
      <w:bookmarkStart w:id="197" w:name="_Toc184312118"/>
      <w:bookmarkEnd w:id="197"/>
      <w:bookmarkStart w:id="198" w:name="_Toc184308089"/>
      <w:bookmarkEnd w:id="198"/>
      <w:bookmarkStart w:id="199" w:name="_Toc184312076"/>
      <w:bookmarkEnd w:id="199"/>
      <w:bookmarkStart w:id="200" w:name="_Toc184308050"/>
      <w:bookmarkEnd w:id="200"/>
      <w:bookmarkStart w:id="201" w:name="_Toc184314457"/>
      <w:bookmarkEnd w:id="201"/>
      <w:bookmarkStart w:id="202" w:name="_Toc184312073"/>
      <w:bookmarkEnd w:id="202"/>
      <w:bookmarkStart w:id="203" w:name="_Toc184314428"/>
      <w:bookmarkEnd w:id="203"/>
      <w:bookmarkStart w:id="204" w:name="_Toc184308105"/>
      <w:bookmarkEnd w:id="204"/>
      <w:bookmarkStart w:id="205" w:name="_Toc184308037"/>
      <w:bookmarkEnd w:id="205"/>
      <w:bookmarkStart w:id="206" w:name="_Toc184313297"/>
      <w:bookmarkEnd w:id="206"/>
      <w:bookmarkStart w:id="207" w:name="_Toc184310279"/>
      <w:bookmarkEnd w:id="207"/>
      <w:bookmarkStart w:id="208" w:name="_Toc184314456"/>
      <w:bookmarkEnd w:id="208"/>
      <w:bookmarkStart w:id="209" w:name="_Toc184313298"/>
      <w:bookmarkEnd w:id="209"/>
      <w:bookmarkStart w:id="210" w:name="_Toc184312124"/>
      <w:bookmarkEnd w:id="210"/>
      <w:bookmarkStart w:id="211" w:name="_Toc184313308"/>
      <w:bookmarkEnd w:id="211"/>
      <w:bookmarkStart w:id="212" w:name="_Toc184314471"/>
      <w:bookmarkEnd w:id="212"/>
      <w:bookmarkStart w:id="213" w:name="_Toc184310319"/>
      <w:bookmarkEnd w:id="213"/>
      <w:bookmarkStart w:id="214" w:name="_Toc184313245"/>
      <w:bookmarkEnd w:id="214"/>
      <w:bookmarkStart w:id="215" w:name="_Toc184314465"/>
      <w:bookmarkEnd w:id="215"/>
      <w:bookmarkStart w:id="216" w:name="_Toc184314444"/>
      <w:bookmarkEnd w:id="216"/>
      <w:bookmarkStart w:id="217" w:name="_Toc184310327"/>
      <w:bookmarkEnd w:id="217"/>
      <w:bookmarkStart w:id="218" w:name="_Toc184314454"/>
      <w:bookmarkEnd w:id="218"/>
      <w:bookmarkStart w:id="219" w:name="_Toc184313246"/>
      <w:bookmarkEnd w:id="219"/>
      <w:bookmarkStart w:id="220" w:name="_Toc184310297"/>
      <w:bookmarkEnd w:id="220"/>
      <w:bookmarkStart w:id="221" w:name="_Toc184314473"/>
      <w:bookmarkEnd w:id="221"/>
      <w:bookmarkStart w:id="222" w:name="_Toc184310301"/>
      <w:bookmarkEnd w:id="222"/>
      <w:bookmarkStart w:id="223" w:name="_Toc184308057"/>
      <w:bookmarkEnd w:id="223"/>
      <w:bookmarkStart w:id="224" w:name="_Toc184312074"/>
      <w:bookmarkEnd w:id="224"/>
      <w:bookmarkStart w:id="225" w:name="_Toc184308064"/>
      <w:bookmarkEnd w:id="225"/>
      <w:bookmarkStart w:id="226" w:name="_Toc184313301"/>
      <w:bookmarkEnd w:id="226"/>
      <w:bookmarkStart w:id="227" w:name="_Toc184313300"/>
      <w:bookmarkEnd w:id="227"/>
      <w:bookmarkStart w:id="228" w:name="_Toc184313240"/>
      <w:bookmarkEnd w:id="228"/>
      <w:bookmarkStart w:id="229" w:name="_Toc184310300"/>
      <w:bookmarkEnd w:id="229"/>
      <w:bookmarkStart w:id="230" w:name="_Toc184312071"/>
      <w:bookmarkEnd w:id="230"/>
      <w:bookmarkStart w:id="231" w:name="_Toc184310339"/>
      <w:bookmarkEnd w:id="231"/>
      <w:bookmarkStart w:id="232" w:name="_Toc184312105"/>
      <w:bookmarkEnd w:id="232"/>
      <w:bookmarkStart w:id="233" w:name="_Toc184314474"/>
      <w:bookmarkEnd w:id="233"/>
      <w:bookmarkStart w:id="234" w:name="_Toc184310343"/>
      <w:bookmarkEnd w:id="234"/>
      <w:bookmarkStart w:id="235" w:name="_Toc184308063"/>
      <w:bookmarkEnd w:id="235"/>
      <w:bookmarkStart w:id="236" w:name="_Toc184314419"/>
      <w:bookmarkEnd w:id="236"/>
      <w:bookmarkStart w:id="237" w:name="_Toc184313275"/>
      <w:bookmarkEnd w:id="237"/>
      <w:bookmarkStart w:id="238" w:name="_Toc184312107"/>
      <w:bookmarkEnd w:id="238"/>
      <w:bookmarkStart w:id="239" w:name="_Toc184314435"/>
      <w:bookmarkEnd w:id="239"/>
      <w:bookmarkStart w:id="240" w:name="_Toc184314470"/>
      <w:bookmarkEnd w:id="240"/>
      <w:bookmarkStart w:id="241" w:name="_Toc184312101"/>
      <w:bookmarkEnd w:id="241"/>
      <w:bookmarkStart w:id="242" w:name="_Toc184314455"/>
      <w:bookmarkEnd w:id="242"/>
      <w:bookmarkStart w:id="243" w:name="_Toc184312110"/>
      <w:bookmarkEnd w:id="243"/>
      <w:bookmarkStart w:id="244" w:name="_Toc184314478"/>
      <w:bookmarkEnd w:id="244"/>
      <w:bookmarkStart w:id="245" w:name="_Toc184308070"/>
      <w:bookmarkEnd w:id="245"/>
      <w:bookmarkStart w:id="246" w:name="_Toc184313239"/>
      <w:bookmarkEnd w:id="246"/>
      <w:bookmarkStart w:id="247" w:name="_Toc184314476"/>
      <w:bookmarkEnd w:id="247"/>
      <w:bookmarkStart w:id="248" w:name="_Toc184312116"/>
      <w:bookmarkEnd w:id="248"/>
      <w:bookmarkStart w:id="249" w:name="_Toc184310318"/>
      <w:bookmarkEnd w:id="249"/>
      <w:bookmarkStart w:id="250" w:name="_Toc184312088"/>
      <w:bookmarkEnd w:id="250"/>
      <w:bookmarkStart w:id="251" w:name="_Toc184313276"/>
      <w:bookmarkEnd w:id="251"/>
      <w:bookmarkStart w:id="252" w:name="_Toc184313302"/>
      <w:bookmarkEnd w:id="252"/>
      <w:bookmarkStart w:id="253" w:name="_Toc184313289"/>
      <w:bookmarkEnd w:id="253"/>
      <w:bookmarkStart w:id="254" w:name="_Toc184313270"/>
      <w:bookmarkEnd w:id="254"/>
      <w:bookmarkStart w:id="255" w:name="_Toc184310281"/>
      <w:bookmarkEnd w:id="255"/>
      <w:bookmarkStart w:id="256" w:name="_Toc184314472"/>
      <w:bookmarkEnd w:id="256"/>
      <w:bookmarkStart w:id="257" w:name="_Toc184308106"/>
      <w:bookmarkEnd w:id="257"/>
      <w:bookmarkStart w:id="258" w:name="_Toc184308068"/>
      <w:bookmarkEnd w:id="258"/>
      <w:bookmarkStart w:id="259" w:name="_Toc184310313"/>
      <w:bookmarkEnd w:id="259"/>
      <w:bookmarkStart w:id="260" w:name="_Toc184314468"/>
      <w:bookmarkEnd w:id="260"/>
      <w:bookmarkStart w:id="261" w:name="_Toc184313254"/>
      <w:bookmarkEnd w:id="261"/>
      <w:bookmarkStart w:id="262" w:name="_Toc184312113"/>
      <w:bookmarkEnd w:id="262"/>
      <w:bookmarkStart w:id="263" w:name="_Toc184313262"/>
      <w:bookmarkEnd w:id="263"/>
      <w:bookmarkStart w:id="264" w:name="_Toc184310283"/>
      <w:bookmarkEnd w:id="264"/>
      <w:bookmarkStart w:id="265" w:name="_Toc184312102"/>
      <w:bookmarkEnd w:id="265"/>
      <w:bookmarkStart w:id="266" w:name="_Toc184314466"/>
      <w:bookmarkEnd w:id="266"/>
      <w:bookmarkStart w:id="267" w:name="_Toc184313286"/>
      <w:bookmarkEnd w:id="267"/>
      <w:bookmarkStart w:id="268" w:name="_Toc184313257"/>
      <w:bookmarkEnd w:id="268"/>
      <w:bookmarkStart w:id="269" w:name="_Toc184312087"/>
      <w:bookmarkEnd w:id="269"/>
      <w:bookmarkStart w:id="270" w:name="_Toc184314422"/>
      <w:bookmarkEnd w:id="270"/>
      <w:bookmarkStart w:id="271" w:name="_Toc184310338"/>
      <w:bookmarkEnd w:id="271"/>
      <w:bookmarkStart w:id="272" w:name="_Toc184312070"/>
      <w:bookmarkEnd w:id="272"/>
      <w:bookmarkStart w:id="273" w:name="_Toc184314460"/>
      <w:bookmarkEnd w:id="273"/>
      <w:bookmarkStart w:id="274" w:name="_Toc184312068"/>
      <w:bookmarkEnd w:id="274"/>
      <w:bookmarkStart w:id="275" w:name="_Toc184314446"/>
      <w:bookmarkEnd w:id="275"/>
      <w:bookmarkStart w:id="276" w:name="_Toc184312094"/>
      <w:bookmarkEnd w:id="276"/>
      <w:bookmarkStart w:id="277" w:name="_Toc184314431"/>
      <w:bookmarkEnd w:id="277"/>
      <w:bookmarkStart w:id="278" w:name="_Toc184312115"/>
      <w:bookmarkEnd w:id="278"/>
      <w:bookmarkStart w:id="279" w:name="_Toc184313309"/>
      <w:bookmarkEnd w:id="279"/>
      <w:bookmarkStart w:id="280" w:name="_Toc184310326"/>
      <w:bookmarkEnd w:id="280"/>
      <w:bookmarkStart w:id="281" w:name="_Toc184310325"/>
      <w:bookmarkEnd w:id="281"/>
      <w:bookmarkStart w:id="282" w:name="_Toc184308097"/>
      <w:bookmarkEnd w:id="282"/>
      <w:bookmarkStart w:id="283" w:name="_Toc184313305"/>
      <w:bookmarkEnd w:id="283"/>
      <w:bookmarkStart w:id="284" w:name="_Toc184310289"/>
      <w:bookmarkEnd w:id="284"/>
      <w:bookmarkStart w:id="285" w:name="_Toc184312126"/>
      <w:bookmarkEnd w:id="285"/>
      <w:bookmarkStart w:id="286" w:name="_Toc184314413"/>
      <w:bookmarkEnd w:id="286"/>
      <w:bookmarkStart w:id="287" w:name="_Toc184310322"/>
      <w:bookmarkEnd w:id="287"/>
      <w:bookmarkStart w:id="288" w:name="_Toc184310331"/>
      <w:bookmarkEnd w:id="288"/>
      <w:bookmarkStart w:id="289" w:name="_Toc184308046"/>
      <w:bookmarkEnd w:id="289"/>
      <w:bookmarkStart w:id="290" w:name="_Toc184313295"/>
      <w:bookmarkEnd w:id="290"/>
      <w:bookmarkStart w:id="291" w:name="_Toc184310321"/>
      <w:bookmarkEnd w:id="291"/>
      <w:bookmarkStart w:id="292" w:name="_Toc184314442"/>
      <w:bookmarkEnd w:id="292"/>
      <w:bookmarkStart w:id="293" w:name="_Toc184308051"/>
      <w:bookmarkEnd w:id="293"/>
      <w:bookmarkStart w:id="294" w:name="_Toc184312129"/>
      <w:bookmarkEnd w:id="294"/>
      <w:bookmarkStart w:id="295" w:name="_Toc184308048"/>
      <w:bookmarkEnd w:id="295"/>
      <w:bookmarkStart w:id="296" w:name="_Toc184312108"/>
      <w:bookmarkEnd w:id="296"/>
      <w:bookmarkStart w:id="297" w:name="_Toc184314475"/>
      <w:bookmarkEnd w:id="297"/>
      <w:bookmarkStart w:id="298" w:name="_Toc184312131"/>
      <w:bookmarkEnd w:id="298"/>
      <w:bookmarkStart w:id="299" w:name="_Toc184314426"/>
      <w:bookmarkEnd w:id="299"/>
      <w:bookmarkStart w:id="300" w:name="_Toc184312133"/>
      <w:bookmarkEnd w:id="300"/>
      <w:bookmarkStart w:id="301" w:name="_Toc184308058"/>
      <w:bookmarkEnd w:id="301"/>
      <w:bookmarkStart w:id="302" w:name="_Toc184312120"/>
      <w:bookmarkEnd w:id="302"/>
      <w:bookmarkStart w:id="303" w:name="_Toc184310275"/>
      <w:bookmarkEnd w:id="303"/>
      <w:bookmarkStart w:id="304" w:name="_Toc184314427"/>
      <w:bookmarkEnd w:id="304"/>
      <w:bookmarkStart w:id="305" w:name="_Toc184313249"/>
      <w:bookmarkEnd w:id="305"/>
      <w:bookmarkStart w:id="306" w:name="_Toc184312106"/>
      <w:bookmarkEnd w:id="306"/>
      <w:bookmarkStart w:id="307" w:name="_Toc184308108"/>
      <w:bookmarkEnd w:id="307"/>
      <w:bookmarkStart w:id="308" w:name="_Toc184310324"/>
      <w:bookmarkEnd w:id="308"/>
      <w:bookmarkStart w:id="309" w:name="_Toc184308053"/>
      <w:bookmarkEnd w:id="309"/>
      <w:bookmarkStart w:id="310" w:name="_Toc184313284"/>
      <w:bookmarkEnd w:id="310"/>
      <w:bookmarkStart w:id="311" w:name="_Toc184310332"/>
      <w:bookmarkEnd w:id="311"/>
      <w:bookmarkStart w:id="312" w:name="_Toc184312090"/>
      <w:bookmarkEnd w:id="312"/>
      <w:bookmarkStart w:id="313" w:name="_Toc184313268"/>
      <w:bookmarkEnd w:id="313"/>
      <w:bookmarkStart w:id="314" w:name="_Toc184308101"/>
      <w:bookmarkEnd w:id="314"/>
      <w:bookmarkStart w:id="315" w:name="_Toc184310337"/>
      <w:bookmarkEnd w:id="315"/>
      <w:bookmarkStart w:id="316" w:name="_Toc184312122"/>
      <w:bookmarkEnd w:id="316"/>
      <w:bookmarkStart w:id="317" w:name="_Toc184310323"/>
      <w:bookmarkEnd w:id="317"/>
      <w:bookmarkStart w:id="318" w:name="_Toc184313287"/>
      <w:bookmarkEnd w:id="318"/>
      <w:bookmarkStart w:id="319" w:name="_Toc184314481"/>
      <w:bookmarkEnd w:id="319"/>
      <w:bookmarkStart w:id="320" w:name="_Toc184314480"/>
      <w:bookmarkEnd w:id="320"/>
      <w:bookmarkStart w:id="321" w:name="_Toc184312099"/>
      <w:bookmarkEnd w:id="321"/>
      <w:bookmarkStart w:id="322" w:name="_Toc184310315"/>
      <w:bookmarkEnd w:id="322"/>
      <w:bookmarkStart w:id="323" w:name="_Toc184308075"/>
      <w:bookmarkEnd w:id="323"/>
      <w:bookmarkStart w:id="324" w:name="_Toc184314438"/>
      <w:bookmarkEnd w:id="324"/>
      <w:bookmarkStart w:id="325" w:name="_Toc184310314"/>
      <w:bookmarkEnd w:id="325"/>
      <w:bookmarkStart w:id="326" w:name="_Toc184312091"/>
      <w:bookmarkEnd w:id="326"/>
      <w:bookmarkStart w:id="327" w:name="_Toc184313261"/>
      <w:bookmarkEnd w:id="327"/>
      <w:bookmarkStart w:id="328" w:name="_Toc184308094"/>
      <w:bookmarkEnd w:id="328"/>
      <w:bookmarkStart w:id="329" w:name="_Toc184308086"/>
      <w:bookmarkEnd w:id="329"/>
      <w:bookmarkStart w:id="330" w:name="_Toc184312103"/>
      <w:bookmarkEnd w:id="330"/>
      <w:bookmarkStart w:id="331" w:name="_Toc184310286"/>
      <w:bookmarkEnd w:id="331"/>
      <w:bookmarkStart w:id="332" w:name="_Toc184314424"/>
      <w:bookmarkEnd w:id="332"/>
      <w:bookmarkStart w:id="333" w:name="_Toc184313280"/>
      <w:bookmarkEnd w:id="333"/>
      <w:bookmarkStart w:id="334" w:name="_Toc184312078"/>
      <w:bookmarkEnd w:id="334"/>
      <w:bookmarkStart w:id="335" w:name="_Toc184314477"/>
      <w:bookmarkEnd w:id="335"/>
      <w:bookmarkStart w:id="336" w:name="_Toc184308062"/>
      <w:bookmarkEnd w:id="336"/>
      <w:bookmarkStart w:id="337" w:name="_Toc184310310"/>
      <w:bookmarkEnd w:id="337"/>
      <w:bookmarkStart w:id="338" w:name="_Toc184314420"/>
      <w:bookmarkEnd w:id="338"/>
      <w:bookmarkStart w:id="339" w:name="_Toc184312119"/>
      <w:bookmarkEnd w:id="339"/>
      <w:bookmarkStart w:id="340" w:name="_Toc184312081"/>
      <w:bookmarkEnd w:id="340"/>
      <w:bookmarkStart w:id="341" w:name="_Toc184308087"/>
      <w:bookmarkEnd w:id="341"/>
      <w:bookmarkStart w:id="342" w:name="_Toc184312093"/>
      <w:bookmarkEnd w:id="342"/>
      <w:bookmarkStart w:id="343" w:name="_Toc184314463"/>
      <w:bookmarkEnd w:id="343"/>
      <w:bookmarkStart w:id="344" w:name="_Toc184313296"/>
      <w:bookmarkEnd w:id="344"/>
      <w:bookmarkStart w:id="345" w:name="_Toc184313251"/>
      <w:bookmarkEnd w:id="345"/>
      <w:bookmarkStart w:id="346" w:name="_Toc184308092"/>
      <w:bookmarkEnd w:id="346"/>
      <w:bookmarkStart w:id="347" w:name="_Toc184314449"/>
      <w:bookmarkEnd w:id="347"/>
      <w:bookmarkStart w:id="348" w:name="_Toc184308061"/>
      <w:bookmarkEnd w:id="348"/>
      <w:bookmarkStart w:id="349" w:name="_Toc184312100"/>
      <w:bookmarkEnd w:id="349"/>
      <w:bookmarkStart w:id="350" w:name="_Toc184310312"/>
      <w:bookmarkEnd w:id="350"/>
      <w:bookmarkStart w:id="351" w:name="_Toc184314433"/>
      <w:bookmarkEnd w:id="351"/>
      <w:bookmarkStart w:id="352" w:name="_Toc184308091"/>
      <w:bookmarkEnd w:id="352"/>
      <w:bookmarkStart w:id="353" w:name="_Toc184313282"/>
      <w:bookmarkEnd w:id="353"/>
      <w:bookmarkStart w:id="354" w:name="_Toc184308071"/>
      <w:bookmarkEnd w:id="354"/>
      <w:bookmarkStart w:id="355" w:name="_Toc184313292"/>
      <w:bookmarkEnd w:id="355"/>
      <w:bookmarkStart w:id="356" w:name="_Toc184312135"/>
      <w:bookmarkEnd w:id="356"/>
      <w:bookmarkStart w:id="357" w:name="_Toc184310330"/>
      <w:bookmarkEnd w:id="357"/>
      <w:bookmarkStart w:id="358" w:name="_Toc184308098"/>
      <w:bookmarkEnd w:id="358"/>
      <w:bookmarkStart w:id="359" w:name="_Toc184310276"/>
      <w:bookmarkEnd w:id="359"/>
      <w:bookmarkStart w:id="360" w:name="_Toc184314439"/>
      <w:bookmarkEnd w:id="360"/>
      <w:bookmarkStart w:id="361" w:name="_Toc184310306"/>
      <w:bookmarkEnd w:id="361"/>
      <w:bookmarkStart w:id="362" w:name="_Toc184310282"/>
      <w:bookmarkEnd w:id="362"/>
      <w:bookmarkStart w:id="363" w:name="_Toc184308100"/>
      <w:bookmarkEnd w:id="363"/>
      <w:bookmarkStart w:id="364" w:name="_Toc184312080"/>
      <w:bookmarkEnd w:id="364"/>
      <w:bookmarkStart w:id="365" w:name="_Toc184314482"/>
      <w:bookmarkEnd w:id="365"/>
      <w:bookmarkStart w:id="366" w:name="_Toc184314429"/>
      <w:bookmarkEnd w:id="366"/>
      <w:bookmarkStart w:id="367" w:name="_Toc184308038"/>
      <w:bookmarkEnd w:id="367"/>
      <w:bookmarkStart w:id="368" w:name="_Toc184310334"/>
      <w:bookmarkEnd w:id="368"/>
      <w:bookmarkStart w:id="369" w:name="_Toc184313244"/>
      <w:bookmarkEnd w:id="369"/>
      <w:bookmarkStart w:id="370" w:name="_Toc184310288"/>
      <w:bookmarkEnd w:id="370"/>
      <w:bookmarkStart w:id="371" w:name="_Toc184314410"/>
      <w:bookmarkEnd w:id="371"/>
      <w:bookmarkStart w:id="372" w:name="_Toc184313299"/>
      <w:bookmarkEnd w:id="372"/>
      <w:bookmarkStart w:id="373" w:name="_Toc184313269"/>
      <w:bookmarkEnd w:id="373"/>
      <w:bookmarkStart w:id="374" w:name="_Toc184308067"/>
      <w:bookmarkEnd w:id="374"/>
      <w:bookmarkStart w:id="375" w:name="_Toc184310328"/>
      <w:bookmarkEnd w:id="375"/>
      <w:bookmarkStart w:id="376" w:name="_Toc184310294"/>
      <w:bookmarkEnd w:id="376"/>
      <w:bookmarkStart w:id="377" w:name="_Toc184314418"/>
      <w:bookmarkEnd w:id="377"/>
      <w:bookmarkStart w:id="378" w:name="_Toc184308103"/>
      <w:bookmarkEnd w:id="378"/>
      <w:bookmarkStart w:id="379" w:name="_Toc184310285"/>
      <w:bookmarkEnd w:id="379"/>
      <w:bookmarkStart w:id="380" w:name="_Toc184310342"/>
      <w:bookmarkEnd w:id="380"/>
      <w:bookmarkStart w:id="381" w:name="_Toc184310305"/>
      <w:bookmarkEnd w:id="381"/>
      <w:bookmarkStart w:id="382" w:name="_Toc184312095"/>
      <w:bookmarkEnd w:id="382"/>
      <w:bookmarkStart w:id="383" w:name="_Toc184314417"/>
      <w:bookmarkEnd w:id="383"/>
      <w:bookmarkStart w:id="384" w:name="_Toc184312112"/>
      <w:bookmarkEnd w:id="384"/>
      <w:bookmarkStart w:id="385" w:name="_Toc184308078"/>
      <w:bookmarkEnd w:id="385"/>
      <w:bookmarkStart w:id="386" w:name="_Toc184308047"/>
      <w:bookmarkEnd w:id="386"/>
      <w:bookmarkStart w:id="387" w:name="_Toc184313260"/>
      <w:bookmarkEnd w:id="387"/>
      <w:bookmarkStart w:id="388" w:name="_Toc184308039"/>
      <w:bookmarkEnd w:id="388"/>
      <w:bookmarkStart w:id="389" w:name="_Toc184312084"/>
      <w:bookmarkEnd w:id="389"/>
      <w:bookmarkStart w:id="390" w:name="_Toc184314443"/>
      <w:bookmarkEnd w:id="390"/>
      <w:bookmarkStart w:id="391" w:name="_Toc184310284"/>
      <w:bookmarkEnd w:id="391"/>
      <w:bookmarkStart w:id="392" w:name="_Toc184312098"/>
      <w:bookmarkEnd w:id="392"/>
      <w:bookmarkStart w:id="393" w:name="_Toc184308085"/>
      <w:bookmarkEnd w:id="393"/>
      <w:r>
        <w:rPr>
          <w:rFonts w:hint="eastAsia" w:ascii="宋体" w:hAnsi="宋体" w:cs="宋体"/>
          <w:b/>
          <w:color w:val="auto"/>
          <w:sz w:val="36"/>
          <w:szCs w:val="36"/>
          <w:highlight w:val="none"/>
        </w:rPr>
        <w:t>评标办法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商务资信及技术（70分）：</w:t>
      </w:r>
    </w:p>
    <w:tbl>
      <w:tblPr>
        <w:tblStyle w:val="6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60"/>
        <w:gridCol w:w="665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734" w:type="dxa"/>
            <w:noWrap w:val="0"/>
            <w:vAlign w:val="center"/>
          </w:tcPr>
          <w:p>
            <w:pPr>
              <w:jc w:val="center"/>
              <w:rPr>
                <w:rFonts w:ascii="宋体" w:hAnsi="宋体" w:eastAsia="宋体"/>
                <w:b/>
                <w:bCs/>
                <w:color w:val="000000"/>
                <w:sz w:val="22"/>
                <w:szCs w:val="22"/>
                <w:highlight w:val="none"/>
              </w:rPr>
            </w:pPr>
            <w:r>
              <w:rPr>
                <w:rFonts w:hint="eastAsia" w:ascii="宋体" w:hAnsi="宋体" w:eastAsia="宋体"/>
                <w:b/>
                <w:bCs/>
                <w:color w:val="000000"/>
                <w:sz w:val="22"/>
                <w:szCs w:val="22"/>
                <w:highlight w:val="none"/>
              </w:rPr>
              <w:t>序号</w:t>
            </w:r>
          </w:p>
        </w:tc>
        <w:tc>
          <w:tcPr>
            <w:tcW w:w="7914" w:type="dxa"/>
            <w:gridSpan w:val="2"/>
            <w:noWrap w:val="0"/>
            <w:vAlign w:val="center"/>
          </w:tcPr>
          <w:p>
            <w:pPr>
              <w:jc w:val="center"/>
              <w:rPr>
                <w:rFonts w:ascii="宋体" w:hAnsi="宋体" w:eastAsia="宋体"/>
                <w:b/>
                <w:bCs/>
                <w:color w:val="000000"/>
                <w:sz w:val="22"/>
                <w:szCs w:val="22"/>
                <w:highlight w:val="none"/>
              </w:rPr>
            </w:pPr>
            <w:r>
              <w:rPr>
                <w:rFonts w:hint="eastAsia" w:ascii="宋体" w:hAnsi="宋体" w:eastAsia="宋体"/>
                <w:b/>
                <w:bCs/>
                <w:color w:val="000000"/>
                <w:sz w:val="22"/>
                <w:szCs w:val="22"/>
                <w:highlight w:val="none"/>
              </w:rPr>
              <w:t>评分细则内容</w:t>
            </w:r>
          </w:p>
        </w:tc>
        <w:tc>
          <w:tcPr>
            <w:tcW w:w="1009" w:type="dxa"/>
            <w:noWrap w:val="0"/>
            <w:vAlign w:val="center"/>
          </w:tcPr>
          <w:p>
            <w:pPr>
              <w:jc w:val="center"/>
              <w:rPr>
                <w:rFonts w:ascii="宋体" w:hAnsi="宋体" w:eastAsia="宋体"/>
                <w:b/>
                <w:bCs/>
                <w:color w:val="000000"/>
                <w:sz w:val="22"/>
                <w:szCs w:val="22"/>
                <w:highlight w:val="none"/>
              </w:rPr>
            </w:pPr>
            <w:r>
              <w:rPr>
                <w:rFonts w:hint="eastAsia" w:ascii="宋体" w:hAnsi="宋体" w:eastAsia="宋体"/>
                <w:b/>
                <w:bCs/>
                <w:color w:val="000000"/>
                <w:sz w:val="22"/>
                <w:szCs w:val="22"/>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noWrap w:val="0"/>
            <w:vAlign w:val="center"/>
          </w:tcPr>
          <w:p>
            <w:pPr>
              <w:jc w:val="center"/>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1</w:t>
            </w:r>
          </w:p>
        </w:tc>
        <w:tc>
          <w:tcPr>
            <w:tcW w:w="1260" w:type="dxa"/>
            <w:noWrap w:val="0"/>
            <w:vAlign w:val="center"/>
          </w:tcPr>
          <w:p>
            <w:pPr>
              <w:jc w:val="center"/>
              <w:rPr>
                <w:rFonts w:hint="default"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lang w:val="en-US" w:eastAsia="zh-CN"/>
              </w:rPr>
              <w:t>体系认证</w:t>
            </w:r>
          </w:p>
        </w:tc>
        <w:tc>
          <w:tcPr>
            <w:tcW w:w="665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bidi="ar-SA"/>
              </w:rPr>
            </w:pPr>
            <w:r>
              <w:rPr>
                <w:rFonts w:hint="eastAsia" w:ascii="宋体" w:hAnsi="宋体" w:eastAsia="宋体" w:cs="宋体"/>
                <w:color w:val="000000"/>
                <w:sz w:val="22"/>
                <w:szCs w:val="22"/>
                <w:highlight w:val="none"/>
              </w:rPr>
              <w:t>投标人或核心产品制造商具有质量体系认证、能源管理体系认证、知识产权管理体系认证，每获得一个认证得1分,满分3分。（以上证书须提供国家市场监督管理总局信息中心“全国认证认可信息公共服务平台”（网址：www.cx.cnca.cn）查询截图，截图须含网址，否则不得分）</w:t>
            </w:r>
          </w:p>
        </w:tc>
        <w:tc>
          <w:tcPr>
            <w:tcW w:w="1009" w:type="dxa"/>
            <w:noWrap w:val="0"/>
            <w:vAlign w:val="center"/>
          </w:tcPr>
          <w:p>
            <w:pPr>
              <w:jc w:val="center"/>
              <w:rPr>
                <w:rFonts w:hint="eastAsia" w:ascii="宋体" w:hAnsi="宋体" w:eastAsia="宋体"/>
                <w:color w:val="000000"/>
                <w:sz w:val="22"/>
                <w:szCs w:val="22"/>
                <w:highlight w:val="none"/>
              </w:rPr>
            </w:pPr>
            <w:r>
              <w:rPr>
                <w:rFonts w:hint="eastAsia" w:ascii="宋体" w:hAnsi="宋体" w:eastAsia="宋体"/>
                <w:color w:val="000000"/>
                <w:sz w:val="22"/>
                <w:szCs w:val="22"/>
                <w:highlight w:val="none"/>
              </w:rPr>
              <w:t>0-</w:t>
            </w:r>
            <w:r>
              <w:rPr>
                <w:rFonts w:hint="eastAsia" w:ascii="宋体" w:hAnsi="宋体" w:eastAsia="宋体"/>
                <w:color w:val="000000"/>
                <w:sz w:val="22"/>
                <w:szCs w:val="22"/>
                <w:highlight w:val="none"/>
                <w:lang w:val="en-US" w:eastAsia="zh-CN"/>
              </w:rPr>
              <w:t>3</w:t>
            </w:r>
            <w:r>
              <w:rPr>
                <w:rFonts w:hint="eastAsia" w:ascii="宋体" w:hAnsi="宋体" w:eastAsia="宋体"/>
                <w:color w:val="00000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34" w:type="dxa"/>
            <w:noWrap w:val="0"/>
            <w:vAlign w:val="center"/>
          </w:tcPr>
          <w:p>
            <w:pPr>
              <w:jc w:val="center"/>
              <w:rPr>
                <w:rFonts w:ascii="宋体" w:hAnsi="宋体" w:eastAsia="宋体"/>
                <w:color w:val="000000"/>
                <w:sz w:val="22"/>
                <w:szCs w:val="22"/>
                <w:highlight w:val="none"/>
              </w:rPr>
            </w:pPr>
            <w:r>
              <w:rPr>
                <w:rFonts w:hint="eastAsia" w:ascii="宋体" w:hAnsi="宋体" w:eastAsia="宋体"/>
                <w:color w:val="000000"/>
                <w:sz w:val="22"/>
                <w:szCs w:val="22"/>
                <w:highlight w:val="none"/>
              </w:rPr>
              <w:t>2</w:t>
            </w:r>
          </w:p>
        </w:tc>
        <w:tc>
          <w:tcPr>
            <w:tcW w:w="1260" w:type="dxa"/>
            <w:noWrap w:val="0"/>
            <w:vAlign w:val="center"/>
          </w:tcPr>
          <w:p>
            <w:pPr>
              <w:jc w:val="center"/>
              <w:rPr>
                <w:rFonts w:ascii="宋体" w:hAnsi="宋体" w:eastAsia="宋体"/>
                <w:color w:val="000000"/>
                <w:sz w:val="22"/>
                <w:szCs w:val="22"/>
                <w:highlight w:val="none"/>
              </w:rPr>
            </w:pPr>
            <w:r>
              <w:rPr>
                <w:rFonts w:hint="eastAsia" w:ascii="宋体" w:hAnsi="宋体" w:eastAsia="宋体" w:cs="宋体"/>
                <w:color w:val="000000"/>
                <w:sz w:val="22"/>
                <w:szCs w:val="22"/>
                <w:highlight w:val="none"/>
              </w:rPr>
              <w:t>技术创新</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绿色发展水平</w:t>
            </w:r>
            <w:r>
              <w:rPr>
                <w:rFonts w:hint="eastAsia" w:ascii="宋体" w:hAnsi="宋体" w:eastAsia="宋体" w:cs="宋体"/>
                <w:color w:val="000000"/>
                <w:sz w:val="22"/>
                <w:szCs w:val="22"/>
                <w:highlight w:val="none"/>
                <w:lang w:val="en-US" w:eastAsia="zh-CN"/>
              </w:rPr>
              <w:t>及</w:t>
            </w:r>
            <w:r>
              <w:rPr>
                <w:rFonts w:hint="eastAsia" w:ascii="宋体" w:hAnsi="宋体" w:eastAsia="宋体" w:cs="宋体"/>
                <w:color w:val="000000"/>
                <w:sz w:val="22"/>
                <w:szCs w:val="22"/>
                <w:highlight w:val="none"/>
              </w:rPr>
              <w:t>制造水平</w:t>
            </w:r>
          </w:p>
        </w:tc>
        <w:tc>
          <w:tcPr>
            <w:tcW w:w="6654" w:type="dxa"/>
            <w:noWrap w:val="0"/>
            <w:vAlign w:val="center"/>
          </w:tcPr>
          <w:p>
            <w:pPr>
              <w:pStyle w:val="519"/>
              <w:numPr>
                <w:ilvl w:val="0"/>
                <w:numId w:val="0"/>
              </w:numPr>
              <w:rPr>
                <w:rFonts w:hint="default"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1、投标人或核心产品制造商制造水平先进，产品满足国家绿色制造标准，被工业和信息化部认定为绿色工厂的得3分，被工信厅认定的得1分。</w:t>
            </w:r>
          </w:p>
          <w:p>
            <w:pPr>
              <w:pStyle w:val="519"/>
              <w:numPr>
                <w:ilvl w:val="0"/>
                <w:numId w:val="4"/>
              </w:numP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bidi="ar-SA"/>
              </w:rPr>
              <w:t>投标人或核心产品制造商被列入工信部《环保装备制造业规范条件》企业名单的得3分，被工信厅认定的得1分。</w:t>
            </w:r>
          </w:p>
          <w:p>
            <w:pPr>
              <w:pStyle w:val="519"/>
              <w:numPr>
                <w:ilvl w:val="0"/>
                <w:numId w:val="0"/>
              </w:numPr>
              <w:rPr>
                <w:rFonts w:hint="eastAsia" w:eastAsia="宋体"/>
                <w:highlight w:val="none"/>
                <w:lang w:val="en-US" w:eastAsia="zh-CN"/>
              </w:rPr>
            </w:pPr>
            <w:r>
              <w:rPr>
                <w:rFonts w:hint="eastAsia" w:ascii="宋体" w:hAnsi="宋体" w:eastAsia="宋体" w:cs="宋体"/>
                <w:color w:val="000000"/>
                <w:kern w:val="0"/>
                <w:sz w:val="22"/>
                <w:szCs w:val="22"/>
                <w:highlight w:val="none"/>
                <w:lang w:val="en-US" w:eastAsia="zh-CN" w:bidi="ar-SA"/>
              </w:rPr>
              <w:t>注：以上提供国家工信部相关发文或工信部官网发文截图佐证。</w:t>
            </w:r>
          </w:p>
        </w:tc>
        <w:tc>
          <w:tcPr>
            <w:tcW w:w="1009" w:type="dxa"/>
            <w:noWrap w:val="0"/>
            <w:vAlign w:val="center"/>
          </w:tcPr>
          <w:p>
            <w:pPr>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olor w:val="000000"/>
                <w:sz w:val="22"/>
                <w:szCs w:val="22"/>
                <w:highlight w:val="none"/>
              </w:rPr>
              <w:t>0-</w:t>
            </w:r>
            <w:r>
              <w:rPr>
                <w:rFonts w:hint="eastAsia" w:ascii="宋体" w:hAnsi="宋体" w:eastAsia="宋体"/>
                <w:color w:val="000000"/>
                <w:sz w:val="22"/>
                <w:szCs w:val="22"/>
                <w:highlight w:val="none"/>
                <w:lang w:val="en-US" w:eastAsia="zh-CN"/>
              </w:rPr>
              <w:t>6</w:t>
            </w:r>
            <w:r>
              <w:rPr>
                <w:rFonts w:hint="eastAsia" w:ascii="宋体" w:hAnsi="宋体" w:eastAsia="宋体"/>
                <w:color w:val="00000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34" w:type="dxa"/>
            <w:noWrap w:val="0"/>
            <w:vAlign w:val="center"/>
          </w:tcPr>
          <w:p>
            <w:pPr>
              <w:jc w:val="center"/>
              <w:rPr>
                <w:rFonts w:ascii="宋体" w:hAnsi="宋体" w:eastAsia="宋体"/>
                <w:color w:val="000000"/>
                <w:sz w:val="22"/>
                <w:szCs w:val="22"/>
                <w:highlight w:val="none"/>
              </w:rPr>
            </w:pPr>
            <w:r>
              <w:rPr>
                <w:rFonts w:hint="eastAsia" w:ascii="宋体" w:hAnsi="宋体" w:eastAsia="宋体"/>
                <w:color w:val="000000"/>
                <w:sz w:val="22"/>
                <w:szCs w:val="22"/>
                <w:highlight w:val="none"/>
              </w:rPr>
              <w:t>3</w:t>
            </w:r>
          </w:p>
        </w:tc>
        <w:tc>
          <w:tcPr>
            <w:tcW w:w="1260" w:type="dxa"/>
            <w:noWrap w:val="0"/>
            <w:vAlign w:val="center"/>
          </w:tcPr>
          <w:p>
            <w:pPr>
              <w:jc w:val="center"/>
              <w:rPr>
                <w:rFonts w:ascii="宋体" w:hAnsi="宋体" w:eastAsia="宋体"/>
                <w:color w:val="000000"/>
                <w:sz w:val="22"/>
                <w:szCs w:val="22"/>
                <w:highlight w:val="none"/>
              </w:rPr>
            </w:pPr>
            <w:r>
              <w:rPr>
                <w:rFonts w:hint="eastAsia" w:ascii="宋体" w:hAnsi="宋体" w:eastAsia="宋体"/>
                <w:color w:val="000000"/>
                <w:sz w:val="22"/>
                <w:szCs w:val="22"/>
                <w:highlight w:val="none"/>
              </w:rPr>
              <w:t>业绩</w:t>
            </w:r>
          </w:p>
        </w:tc>
        <w:tc>
          <w:tcPr>
            <w:tcW w:w="665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投标人或所投产品制造商提供202</w:t>
            </w:r>
            <w:r>
              <w:rPr>
                <w:rFonts w:hint="eastAsia" w:ascii="宋体" w:hAnsi="宋体" w:eastAsia="宋体" w:cs="宋体"/>
                <w:color w:val="000000"/>
                <w:sz w:val="22"/>
                <w:szCs w:val="22"/>
                <w:highlight w:val="none"/>
                <w:lang w:val="en-US" w:eastAsia="zh-CN"/>
              </w:rPr>
              <w:t>1</w:t>
            </w:r>
            <w:r>
              <w:rPr>
                <w:rFonts w:hint="eastAsia" w:ascii="宋体" w:hAnsi="宋体" w:eastAsia="宋体" w:cs="宋体"/>
                <w:color w:val="000000"/>
                <w:sz w:val="22"/>
                <w:szCs w:val="22"/>
                <w:highlight w:val="none"/>
              </w:rPr>
              <w:t>年1月1日</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lang w:val="en-US" w:eastAsia="zh-CN"/>
              </w:rPr>
              <w:t>以合同签订时间为准</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之后的</w:t>
            </w:r>
            <w:r>
              <w:rPr>
                <w:rFonts w:hint="eastAsia" w:ascii="宋体" w:hAnsi="宋体" w:eastAsia="宋体" w:cs="宋体"/>
                <w:color w:val="000000"/>
                <w:sz w:val="22"/>
                <w:szCs w:val="22"/>
                <w:highlight w:val="none"/>
                <w:lang w:val="en-US" w:eastAsia="zh-CN"/>
              </w:rPr>
              <w:t>类似</w:t>
            </w:r>
            <w:r>
              <w:rPr>
                <w:rFonts w:hint="eastAsia" w:ascii="宋体" w:hAnsi="宋体" w:eastAsia="宋体" w:cs="宋体"/>
                <w:color w:val="000000"/>
                <w:sz w:val="22"/>
                <w:szCs w:val="22"/>
                <w:highlight w:val="none"/>
              </w:rPr>
              <w:t>项目</w:t>
            </w:r>
            <w:r>
              <w:rPr>
                <w:rFonts w:hint="eastAsia" w:ascii="宋体" w:hAnsi="宋体" w:eastAsia="宋体" w:cs="宋体"/>
                <w:color w:val="000000"/>
                <w:sz w:val="22"/>
                <w:szCs w:val="22"/>
                <w:highlight w:val="none"/>
                <w:lang w:val="en-US" w:eastAsia="zh-CN"/>
              </w:rPr>
              <w:t>业绩</w:t>
            </w:r>
            <w:r>
              <w:rPr>
                <w:rFonts w:hint="eastAsia" w:ascii="宋体" w:hAnsi="宋体" w:eastAsia="宋体" w:cs="宋体"/>
                <w:color w:val="000000"/>
                <w:sz w:val="22"/>
                <w:szCs w:val="22"/>
                <w:highlight w:val="none"/>
              </w:rPr>
              <w:t>，每提供一个得1分，最高得3分。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注：</w:t>
            </w:r>
            <w:r>
              <w:rPr>
                <w:rFonts w:hint="eastAsia" w:ascii="宋体" w:hAnsi="宋体" w:eastAsia="宋体" w:cs="宋体"/>
                <w:color w:val="000000"/>
                <w:sz w:val="22"/>
                <w:szCs w:val="22"/>
                <w:highlight w:val="none"/>
              </w:rPr>
              <w:t>提供合同复印件加盖公章</w:t>
            </w:r>
            <w:r>
              <w:rPr>
                <w:rFonts w:hint="eastAsia" w:ascii="宋体" w:hAnsi="宋体" w:cs="宋体"/>
                <w:color w:val="000000"/>
                <w:sz w:val="22"/>
                <w:szCs w:val="22"/>
                <w:highlight w:val="none"/>
                <w:lang w:eastAsia="zh-CN"/>
              </w:rPr>
              <w:t>上传。</w:t>
            </w:r>
          </w:p>
        </w:tc>
        <w:tc>
          <w:tcPr>
            <w:tcW w:w="1009" w:type="dxa"/>
            <w:noWrap w:val="0"/>
            <w:vAlign w:val="center"/>
          </w:tcPr>
          <w:p>
            <w:pPr>
              <w:jc w:val="center"/>
              <w:rPr>
                <w:rFonts w:ascii="宋体" w:hAnsi="宋体" w:eastAsia="宋体"/>
                <w:color w:val="000000"/>
                <w:sz w:val="22"/>
                <w:szCs w:val="22"/>
                <w:highlight w:val="none"/>
              </w:rPr>
            </w:pPr>
            <w:r>
              <w:rPr>
                <w:rFonts w:hint="eastAsia" w:ascii="宋体" w:hAnsi="宋体" w:eastAsia="宋体"/>
                <w:color w:val="000000"/>
                <w:sz w:val="22"/>
                <w:szCs w:val="22"/>
                <w:highlight w:val="none"/>
              </w:rPr>
              <w:t>0-</w:t>
            </w:r>
            <w:r>
              <w:rPr>
                <w:rFonts w:ascii="宋体" w:hAnsi="宋体" w:eastAsia="宋体"/>
                <w:color w:val="000000"/>
                <w:sz w:val="22"/>
                <w:szCs w:val="22"/>
                <w:highlight w:val="none"/>
              </w:rPr>
              <w:t>3</w:t>
            </w:r>
            <w:r>
              <w:rPr>
                <w:rFonts w:hint="eastAsia" w:ascii="宋体" w:hAnsi="宋体" w:eastAsia="宋体"/>
                <w:color w:val="00000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34" w:type="dxa"/>
            <w:noWrap w:val="0"/>
            <w:vAlign w:val="center"/>
          </w:tcPr>
          <w:p>
            <w:pPr>
              <w:jc w:val="center"/>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4</w:t>
            </w:r>
          </w:p>
        </w:tc>
        <w:tc>
          <w:tcPr>
            <w:tcW w:w="1260" w:type="dxa"/>
            <w:noWrap w:val="0"/>
            <w:vAlign w:val="center"/>
          </w:tcPr>
          <w:p>
            <w:pPr>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olor w:val="000000"/>
                <w:sz w:val="22"/>
                <w:szCs w:val="22"/>
                <w:highlight w:val="none"/>
              </w:rPr>
              <w:t>技术参数</w:t>
            </w:r>
          </w:p>
        </w:tc>
        <w:tc>
          <w:tcPr>
            <w:tcW w:w="665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olor w:val="000000"/>
                <w:sz w:val="22"/>
                <w:szCs w:val="22"/>
                <w:highlight w:val="none"/>
              </w:rPr>
            </w:pPr>
            <w:r>
              <w:rPr>
                <w:rFonts w:hint="eastAsia" w:ascii="宋体" w:hAnsi="宋体" w:eastAsia="宋体"/>
                <w:color w:val="000000"/>
                <w:sz w:val="22"/>
                <w:szCs w:val="22"/>
                <w:highlight w:val="none"/>
              </w:rPr>
              <w:t>所投车辆技术指标:所投车辆的基本技术指标与产品性能，完全</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olor w:val="000000"/>
                <w:sz w:val="22"/>
                <w:szCs w:val="22"/>
                <w:highlight w:val="none"/>
              </w:rPr>
            </w:pPr>
            <w:r>
              <w:rPr>
                <w:rFonts w:hint="eastAsia" w:ascii="宋体" w:hAnsi="宋体" w:eastAsia="宋体"/>
                <w:color w:val="000000"/>
                <w:sz w:val="22"/>
                <w:szCs w:val="22"/>
                <w:highlight w:val="none"/>
              </w:rPr>
              <w:t>满足招标文件要求的得</w:t>
            </w:r>
            <w:r>
              <w:rPr>
                <w:rFonts w:hint="eastAsia" w:ascii="宋体" w:hAnsi="宋体" w:eastAsia="宋体"/>
                <w:color w:val="000000"/>
                <w:sz w:val="22"/>
                <w:szCs w:val="22"/>
                <w:highlight w:val="none"/>
                <w:lang w:val="en-US" w:eastAsia="zh-CN"/>
              </w:rPr>
              <w:t>30</w:t>
            </w:r>
            <w:r>
              <w:rPr>
                <w:rFonts w:hint="eastAsia" w:ascii="宋体" w:hAnsi="宋体" w:eastAsia="宋体"/>
                <w:color w:val="000000"/>
                <w:sz w:val="22"/>
                <w:szCs w:val="22"/>
                <w:highlight w:val="none"/>
              </w:rPr>
              <w:t>分</w:t>
            </w:r>
            <w:r>
              <w:rPr>
                <w:rFonts w:hint="eastAsia" w:ascii="宋体" w:hAnsi="宋体" w:eastAsia="宋体"/>
                <w:color w:val="000000"/>
                <w:sz w:val="22"/>
                <w:szCs w:val="22"/>
                <w:highlight w:val="none"/>
                <w:lang w:eastAsia="zh-CN"/>
              </w:rPr>
              <w:t>；</w:t>
            </w:r>
            <w:r>
              <w:rPr>
                <w:rFonts w:hint="eastAsia" w:ascii="宋体" w:hAnsi="宋体" w:eastAsia="宋体"/>
                <w:color w:val="000000"/>
                <w:sz w:val="22"/>
                <w:szCs w:val="22"/>
                <w:highlight w:val="none"/>
              </w:rPr>
              <w:t>标注“</w:t>
            </w:r>
            <w:r>
              <w:rPr>
                <w:rFonts w:hint="eastAsia" w:ascii="宋体" w:hAnsi="宋体"/>
                <w:sz w:val="24"/>
                <w:szCs w:val="24"/>
                <w:highlight w:val="none"/>
                <w:lang w:val="en-US" w:eastAsia="zh-CN"/>
              </w:rPr>
              <w:t>▲</w:t>
            </w:r>
            <w:r>
              <w:rPr>
                <w:rFonts w:hint="eastAsia" w:ascii="宋体" w:hAnsi="宋体" w:eastAsia="宋体"/>
                <w:color w:val="000000"/>
                <w:sz w:val="22"/>
                <w:szCs w:val="22"/>
                <w:highlight w:val="none"/>
              </w:rPr>
              <w:t>”的指标如出现负偏离或</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olor w:val="000000"/>
                <w:sz w:val="22"/>
                <w:szCs w:val="22"/>
                <w:highlight w:val="none"/>
              </w:rPr>
            </w:pPr>
            <w:r>
              <w:rPr>
                <w:rFonts w:hint="eastAsia" w:ascii="宋体" w:hAnsi="宋体" w:eastAsia="宋体"/>
                <w:color w:val="000000"/>
                <w:sz w:val="22"/>
                <w:szCs w:val="22"/>
                <w:highlight w:val="none"/>
              </w:rPr>
              <w:t>不响应的，</w:t>
            </w:r>
            <w:r>
              <w:rPr>
                <w:rFonts w:hint="eastAsia" w:ascii="宋体" w:hAnsi="宋体" w:eastAsia="宋体"/>
                <w:color w:val="000000"/>
                <w:sz w:val="22"/>
                <w:szCs w:val="22"/>
                <w:highlight w:val="none"/>
                <w:lang w:val="en-US" w:eastAsia="zh-CN"/>
              </w:rPr>
              <w:t>作废标处理；</w:t>
            </w:r>
            <w:r>
              <w:rPr>
                <w:rFonts w:hint="eastAsia" w:ascii="宋体" w:hAnsi="宋体" w:eastAsia="宋体"/>
                <w:color w:val="000000"/>
                <w:sz w:val="22"/>
                <w:szCs w:val="22"/>
                <w:highlight w:val="none"/>
              </w:rPr>
              <w:t>标注“★”的指标如出现负偏离或</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olor w:val="000000"/>
                <w:sz w:val="22"/>
                <w:szCs w:val="22"/>
                <w:highlight w:val="none"/>
                <w:lang w:eastAsia="zh-CN"/>
              </w:rPr>
            </w:pPr>
            <w:r>
              <w:rPr>
                <w:rFonts w:hint="eastAsia" w:ascii="宋体" w:hAnsi="宋体" w:eastAsia="宋体"/>
                <w:color w:val="000000"/>
                <w:sz w:val="22"/>
                <w:szCs w:val="22"/>
                <w:highlight w:val="none"/>
              </w:rPr>
              <w:t>不响应的，每项扣</w:t>
            </w:r>
            <w:r>
              <w:rPr>
                <w:rFonts w:hint="eastAsia" w:ascii="宋体" w:hAnsi="宋体" w:eastAsia="宋体"/>
                <w:color w:val="000000"/>
                <w:sz w:val="22"/>
                <w:szCs w:val="22"/>
                <w:highlight w:val="none"/>
                <w:lang w:val="en-US" w:eastAsia="zh-CN"/>
              </w:rPr>
              <w:t>3</w:t>
            </w:r>
            <w:r>
              <w:rPr>
                <w:rFonts w:hint="eastAsia" w:ascii="宋体" w:hAnsi="宋体" w:eastAsia="宋体"/>
                <w:color w:val="000000"/>
                <w:sz w:val="22"/>
                <w:szCs w:val="22"/>
                <w:highlight w:val="none"/>
              </w:rPr>
              <w:t>分;其余指标每负偏离一项扣1分</w:t>
            </w:r>
            <w:r>
              <w:rPr>
                <w:rFonts w:hint="eastAsia" w:ascii="宋体" w:hAnsi="宋体" w:eastAsia="宋体"/>
                <w:color w:val="000000"/>
                <w:sz w:val="22"/>
                <w:szCs w:val="22"/>
                <w:highlight w:val="none"/>
                <w:lang w:eastAsia="zh-CN"/>
              </w:rPr>
              <w:t>；</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olor w:val="000000"/>
                <w:sz w:val="22"/>
                <w:szCs w:val="22"/>
                <w:highlight w:val="none"/>
              </w:rPr>
            </w:pPr>
            <w:r>
              <w:rPr>
                <w:rFonts w:hint="eastAsia" w:ascii="宋体" w:hAnsi="宋体" w:eastAsia="宋体"/>
                <w:color w:val="000000"/>
                <w:sz w:val="22"/>
                <w:szCs w:val="22"/>
                <w:highlight w:val="none"/>
                <w:lang w:val="en-US" w:eastAsia="zh-CN"/>
              </w:rPr>
              <w:t>本项</w:t>
            </w:r>
            <w:r>
              <w:rPr>
                <w:rFonts w:hint="eastAsia" w:ascii="宋体" w:hAnsi="宋体" w:eastAsia="宋体"/>
                <w:color w:val="000000"/>
                <w:sz w:val="22"/>
                <w:szCs w:val="22"/>
                <w:highlight w:val="none"/>
              </w:rPr>
              <w:t>扣完为止。</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bidi="ar-SA"/>
              </w:rPr>
            </w:pPr>
            <w:r>
              <w:rPr>
                <w:rFonts w:hint="eastAsia" w:ascii="宋体" w:hAnsi="宋体" w:eastAsia="宋体" w:cs="Times New Roman"/>
                <w:color w:val="000000"/>
                <w:sz w:val="22"/>
                <w:szCs w:val="22"/>
                <w:highlight w:val="none"/>
              </w:rPr>
              <w:t>注：标★技术参数均应提供国家工信部公告截图说明</w:t>
            </w:r>
            <w:r>
              <w:rPr>
                <w:rFonts w:hint="eastAsia" w:ascii="宋体" w:hAnsi="宋体" w:cs="Times New Roman"/>
                <w:color w:val="000000"/>
                <w:sz w:val="22"/>
                <w:szCs w:val="22"/>
                <w:highlight w:val="none"/>
                <w:lang w:eastAsia="zh-CN"/>
              </w:rPr>
              <w:t>或</w:t>
            </w:r>
            <w:r>
              <w:rPr>
                <w:rFonts w:hint="eastAsia" w:ascii="宋体" w:hAnsi="宋体" w:eastAsia="宋体" w:cs="Times New Roman"/>
                <w:color w:val="000000"/>
                <w:sz w:val="22"/>
                <w:szCs w:val="22"/>
                <w:highlight w:val="none"/>
              </w:rPr>
              <w:t>检测（实验）报告等第三方证明材料说明。</w:t>
            </w:r>
          </w:p>
        </w:tc>
        <w:tc>
          <w:tcPr>
            <w:tcW w:w="1009" w:type="dxa"/>
            <w:noWrap w:val="0"/>
            <w:vAlign w:val="center"/>
          </w:tcPr>
          <w:p>
            <w:pPr>
              <w:jc w:val="center"/>
              <w:rPr>
                <w:rFonts w:hint="eastAsia" w:ascii="宋体" w:hAnsi="宋体" w:eastAsia="宋体" w:cs="宋体"/>
                <w:color w:val="000000"/>
                <w:sz w:val="22"/>
                <w:szCs w:val="22"/>
                <w:highlight w:val="none"/>
                <w:lang w:val="en-US" w:eastAsia="zh-CN" w:bidi="ar-SA"/>
              </w:rPr>
            </w:pPr>
            <w:r>
              <w:rPr>
                <w:rFonts w:hint="eastAsia" w:ascii="宋体" w:hAnsi="宋体" w:eastAsia="宋体"/>
                <w:color w:val="000000"/>
                <w:sz w:val="22"/>
                <w:szCs w:val="22"/>
                <w:highlight w:val="none"/>
              </w:rPr>
              <w:t>0-</w:t>
            </w:r>
            <w:r>
              <w:rPr>
                <w:rFonts w:hint="eastAsia" w:ascii="宋体" w:hAnsi="宋体" w:eastAsia="宋体"/>
                <w:color w:val="000000"/>
                <w:sz w:val="22"/>
                <w:szCs w:val="22"/>
                <w:highlight w:val="none"/>
                <w:lang w:val="en-US" w:eastAsia="zh-CN"/>
              </w:rPr>
              <w:t>30</w:t>
            </w:r>
            <w:r>
              <w:rPr>
                <w:rFonts w:hint="eastAsia" w:ascii="宋体" w:hAnsi="宋体" w:eastAsia="宋体"/>
                <w:color w:val="00000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34" w:type="dxa"/>
            <w:vMerge w:val="restart"/>
            <w:noWrap w:val="0"/>
            <w:vAlign w:val="center"/>
          </w:tcPr>
          <w:p>
            <w:pPr>
              <w:jc w:val="center"/>
              <w:rPr>
                <w:rFonts w:hint="default"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5</w:t>
            </w:r>
          </w:p>
        </w:tc>
        <w:tc>
          <w:tcPr>
            <w:tcW w:w="1260" w:type="dxa"/>
            <w:vMerge w:val="restart"/>
            <w:noWrap w:val="0"/>
            <w:vAlign w:val="center"/>
          </w:tcPr>
          <w:p>
            <w:pPr>
              <w:jc w:val="center"/>
              <w:rPr>
                <w:rFonts w:hint="default"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人员配备情况</w:t>
            </w:r>
          </w:p>
        </w:tc>
        <w:tc>
          <w:tcPr>
            <w:tcW w:w="665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olor w:val="000000"/>
                <w:sz w:val="22"/>
                <w:szCs w:val="22"/>
                <w:highlight w:val="none"/>
              </w:rPr>
            </w:pPr>
            <w:r>
              <w:rPr>
                <w:rFonts w:hint="eastAsia" w:ascii="宋体" w:hAnsi="宋体" w:eastAsia="宋体"/>
                <w:color w:val="000000"/>
                <w:sz w:val="22"/>
                <w:szCs w:val="22"/>
                <w:highlight w:val="none"/>
              </w:rPr>
              <w:t>制造商技术力量配备情况:</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rPr>
              <w:t>本项目主要</w:t>
            </w:r>
            <w:r>
              <w:rPr>
                <w:rFonts w:hint="eastAsia" w:ascii="宋体" w:hAnsi="宋体" w:eastAsia="宋体"/>
                <w:color w:val="000000"/>
                <w:sz w:val="22"/>
                <w:szCs w:val="22"/>
                <w:highlight w:val="none"/>
                <w:lang w:val="en-US" w:eastAsia="zh-CN"/>
              </w:rPr>
              <w:t>项目</w:t>
            </w:r>
            <w:r>
              <w:rPr>
                <w:rFonts w:hint="eastAsia" w:ascii="宋体" w:hAnsi="宋体" w:eastAsia="宋体"/>
                <w:color w:val="000000"/>
                <w:sz w:val="22"/>
                <w:szCs w:val="22"/>
                <w:highlight w:val="none"/>
              </w:rPr>
              <w:t>负责人</w:t>
            </w:r>
            <w:r>
              <w:rPr>
                <w:rFonts w:hint="eastAsia" w:ascii="宋体" w:hAnsi="宋体" w:eastAsia="宋体"/>
                <w:color w:val="000000"/>
                <w:sz w:val="22"/>
                <w:szCs w:val="22"/>
                <w:highlight w:val="none"/>
                <w:lang w:val="en-US" w:eastAsia="zh-CN"/>
              </w:rPr>
              <w:t>同时具备</w:t>
            </w:r>
            <w:r>
              <w:rPr>
                <w:rFonts w:hint="eastAsia" w:ascii="宋体" w:hAnsi="宋体" w:eastAsia="宋体"/>
                <w:color w:val="000000"/>
                <w:sz w:val="22"/>
                <w:szCs w:val="22"/>
                <w:highlight w:val="none"/>
              </w:rPr>
              <w:t>环保</w:t>
            </w:r>
            <w:r>
              <w:rPr>
                <w:rFonts w:hint="eastAsia" w:ascii="宋体" w:hAnsi="宋体" w:eastAsia="宋体"/>
                <w:color w:val="000000"/>
                <w:sz w:val="22"/>
                <w:szCs w:val="22"/>
                <w:highlight w:val="none"/>
                <w:lang w:val="en-US" w:eastAsia="zh-CN"/>
              </w:rPr>
              <w:t>类、</w:t>
            </w:r>
            <w:r>
              <w:rPr>
                <w:rFonts w:hint="eastAsia" w:ascii="宋体" w:hAnsi="宋体" w:eastAsia="宋体"/>
                <w:color w:val="000000"/>
                <w:sz w:val="22"/>
                <w:szCs w:val="22"/>
                <w:highlight w:val="none"/>
              </w:rPr>
              <w:t>机械</w:t>
            </w:r>
            <w:r>
              <w:rPr>
                <w:rFonts w:hint="eastAsia" w:ascii="宋体" w:hAnsi="宋体" w:eastAsia="宋体"/>
                <w:color w:val="000000"/>
                <w:sz w:val="22"/>
                <w:szCs w:val="22"/>
                <w:highlight w:val="none"/>
                <w:lang w:val="en-US" w:eastAsia="zh-CN"/>
              </w:rPr>
              <w:t>类专业</w:t>
            </w:r>
            <w:r>
              <w:rPr>
                <w:rFonts w:hint="eastAsia" w:ascii="宋体" w:hAnsi="宋体" w:eastAsia="宋体"/>
                <w:color w:val="000000"/>
                <w:sz w:val="22"/>
                <w:szCs w:val="22"/>
                <w:highlight w:val="none"/>
              </w:rPr>
              <w:t>高级</w:t>
            </w:r>
            <w:r>
              <w:rPr>
                <w:rFonts w:hint="eastAsia" w:ascii="宋体" w:hAnsi="宋体" w:eastAsia="宋体"/>
                <w:color w:val="000000"/>
                <w:sz w:val="22"/>
                <w:szCs w:val="22"/>
                <w:highlight w:val="none"/>
                <w:lang w:val="en-US" w:eastAsia="zh-CN"/>
              </w:rPr>
              <w:t>及以上</w:t>
            </w:r>
            <w:r>
              <w:rPr>
                <w:rFonts w:hint="eastAsia" w:ascii="宋体" w:hAnsi="宋体" w:eastAsia="宋体"/>
                <w:color w:val="000000"/>
                <w:sz w:val="22"/>
                <w:szCs w:val="22"/>
                <w:highlight w:val="none"/>
              </w:rPr>
              <w:t>职称的得2</w:t>
            </w:r>
            <w:r>
              <w:rPr>
                <w:rFonts w:hint="eastAsia" w:ascii="宋体" w:hAnsi="宋体" w:eastAsia="宋体"/>
                <w:color w:val="000000"/>
                <w:sz w:val="22"/>
                <w:szCs w:val="22"/>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注：</w:t>
            </w:r>
            <w:r>
              <w:rPr>
                <w:rFonts w:hint="eastAsia"/>
                <w:b w:val="0"/>
                <w:bCs w:val="0"/>
                <w:color w:val="000000"/>
                <w:sz w:val="22"/>
                <w:szCs w:val="22"/>
                <w:highlight w:val="none"/>
                <w:lang w:bidi="ar"/>
              </w:rPr>
              <w:t>须提供相关证书和投标截止时间前本单位个人最近三个月内任意一个月社保缴费证明复印件（或扫描件）并加盖公章</w:t>
            </w:r>
            <w:r>
              <w:rPr>
                <w:rFonts w:hint="eastAsia"/>
                <w:b w:val="0"/>
                <w:bCs w:val="0"/>
                <w:color w:val="000000"/>
                <w:sz w:val="22"/>
                <w:szCs w:val="22"/>
                <w:highlight w:val="none"/>
                <w:lang w:eastAsia="zh-CN" w:bidi="ar"/>
              </w:rPr>
              <w:t>。</w:t>
            </w:r>
            <w:r>
              <w:rPr>
                <w:rFonts w:hint="eastAsia"/>
                <w:b w:val="0"/>
                <w:bCs w:val="0"/>
                <w:color w:val="000000"/>
                <w:sz w:val="22"/>
                <w:szCs w:val="22"/>
                <w:highlight w:val="none"/>
                <w:lang w:val="en-US" w:eastAsia="zh-CN" w:bidi="ar"/>
              </w:rPr>
              <w:t>不提供不得分。</w:t>
            </w:r>
          </w:p>
        </w:tc>
        <w:tc>
          <w:tcPr>
            <w:tcW w:w="1009" w:type="dxa"/>
            <w:noWrap w:val="0"/>
            <w:vAlign w:val="center"/>
          </w:tcPr>
          <w:p>
            <w:pPr>
              <w:jc w:val="center"/>
              <w:rPr>
                <w:rFonts w:hint="default"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34" w:type="dxa"/>
            <w:vMerge w:val="continue"/>
            <w:noWrap w:val="0"/>
            <w:vAlign w:val="center"/>
          </w:tcPr>
          <w:p>
            <w:pPr>
              <w:jc w:val="center"/>
              <w:rPr>
                <w:rFonts w:hint="eastAsia" w:ascii="宋体" w:hAnsi="宋体" w:eastAsia="宋体"/>
                <w:color w:val="000000"/>
                <w:sz w:val="22"/>
                <w:szCs w:val="22"/>
                <w:highlight w:val="none"/>
                <w:lang w:val="en-US" w:eastAsia="zh-CN"/>
              </w:rPr>
            </w:pPr>
          </w:p>
        </w:tc>
        <w:tc>
          <w:tcPr>
            <w:tcW w:w="1260" w:type="dxa"/>
            <w:vMerge w:val="continue"/>
            <w:noWrap w:val="0"/>
            <w:vAlign w:val="center"/>
          </w:tcPr>
          <w:p>
            <w:pPr>
              <w:jc w:val="center"/>
              <w:rPr>
                <w:rFonts w:hint="eastAsia" w:ascii="宋体" w:hAnsi="宋体" w:eastAsia="宋体"/>
                <w:color w:val="000000"/>
                <w:sz w:val="22"/>
                <w:szCs w:val="22"/>
                <w:highlight w:val="none"/>
                <w:lang w:val="en-US" w:eastAsia="zh-CN"/>
              </w:rPr>
            </w:pPr>
          </w:p>
        </w:tc>
        <w:tc>
          <w:tcPr>
            <w:tcW w:w="665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olor w:val="000000"/>
                <w:sz w:val="22"/>
                <w:szCs w:val="22"/>
                <w:highlight w:val="none"/>
              </w:rPr>
              <w:t>制造商</w:t>
            </w:r>
            <w:r>
              <w:rPr>
                <w:rFonts w:hint="eastAsia" w:ascii="宋体" w:hAnsi="宋体" w:eastAsia="宋体" w:cs="宋体"/>
                <w:color w:val="000000"/>
                <w:sz w:val="22"/>
                <w:szCs w:val="22"/>
                <w:highlight w:val="none"/>
                <w:lang w:val="en-US" w:eastAsia="zh-CN"/>
              </w:rPr>
              <w:t>其他设计施工、产品材料、以及各主要专业工种负责人，根据其职称证书、执业资格证书、职业水平证书或其取得的获奖(荣誉)</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证书等情况进行评分：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①评标委员会根据人员的资格、职业水平、专业技能等方面合理性进行评分（评分范围2、1、0）</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②评标委员会根据人员的履历、取得的获奖、荣誉等方面合理性进行评分（评分范围2、1、0）</w:t>
            </w:r>
          </w:p>
        </w:tc>
        <w:tc>
          <w:tcPr>
            <w:tcW w:w="1009" w:type="dxa"/>
            <w:noWrap w:val="0"/>
            <w:vAlign w:val="center"/>
          </w:tcPr>
          <w:p>
            <w:pPr>
              <w:jc w:val="center"/>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0-4分</w:t>
            </w:r>
          </w:p>
          <w:p>
            <w:pPr>
              <w:pStyle w:val="7"/>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734" w:type="dxa"/>
            <w:noWrap w:val="0"/>
            <w:vAlign w:val="center"/>
          </w:tcPr>
          <w:p>
            <w:pPr>
              <w:jc w:val="center"/>
              <w:rPr>
                <w:rFonts w:hint="default"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6</w:t>
            </w:r>
          </w:p>
        </w:tc>
        <w:tc>
          <w:tcPr>
            <w:tcW w:w="1260" w:type="dxa"/>
            <w:noWrap w:val="0"/>
            <w:vAlign w:val="center"/>
          </w:tcPr>
          <w:p>
            <w:pPr>
              <w:jc w:val="center"/>
              <w:rPr>
                <w:rFonts w:hint="default" w:ascii="宋体" w:hAnsi="宋体" w:eastAsia="宋体" w:cs="宋体"/>
                <w:kern w:val="0"/>
                <w:sz w:val="24"/>
                <w:szCs w:val="24"/>
                <w:highlight w:val="none"/>
                <w:lang w:val="en-US" w:eastAsia="zh-CN"/>
              </w:rPr>
            </w:pPr>
            <w:r>
              <w:rPr>
                <w:rFonts w:hint="eastAsia" w:cs="宋体"/>
                <w:kern w:val="0"/>
                <w:sz w:val="24"/>
                <w:szCs w:val="24"/>
                <w:highlight w:val="none"/>
                <w:lang w:val="en-US" w:eastAsia="zh-CN"/>
              </w:rPr>
              <w:t>供货方案</w:t>
            </w:r>
          </w:p>
        </w:tc>
        <w:tc>
          <w:tcPr>
            <w:tcW w:w="665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根据供应商提供的保障本项目供货、安装、调试方案进行评分。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①评标委员会根据</w:t>
            </w:r>
            <w:r>
              <w:rPr>
                <w:rStyle w:val="70"/>
                <w:rFonts w:ascii="Segoe UI" w:hAnsi="Segoe UI" w:eastAsia="Segoe UI" w:cs="Segoe UI"/>
                <w:b w:val="0"/>
                <w:bCs w:val="0"/>
                <w:i w:val="0"/>
                <w:iCs w:val="0"/>
                <w:caps w:val="0"/>
                <w:color w:val="05073B"/>
                <w:spacing w:val="0"/>
                <w:sz w:val="22"/>
                <w:szCs w:val="22"/>
                <w:highlight w:val="none"/>
                <w:shd w:val="clear" w:color="auto" w:fill="FDFDFE"/>
              </w:rPr>
              <w:t>供货</w:t>
            </w:r>
            <w:r>
              <w:rPr>
                <w:rStyle w:val="70"/>
                <w:rFonts w:hint="eastAsia" w:ascii="Segoe UI" w:hAnsi="Segoe UI" w:eastAsia="宋体" w:cs="Segoe UI"/>
                <w:b w:val="0"/>
                <w:bCs w:val="0"/>
                <w:i w:val="0"/>
                <w:iCs w:val="0"/>
                <w:caps w:val="0"/>
                <w:color w:val="05073B"/>
                <w:spacing w:val="0"/>
                <w:sz w:val="22"/>
                <w:szCs w:val="22"/>
                <w:highlight w:val="none"/>
                <w:shd w:val="clear" w:color="auto" w:fill="FDFDFE"/>
                <w:lang w:val="en-US" w:eastAsia="zh-CN"/>
              </w:rPr>
              <w:t>方案</w:t>
            </w:r>
            <w:r>
              <w:rPr>
                <w:rFonts w:ascii="Segoe UI" w:hAnsi="Segoe UI" w:eastAsia="Segoe UI" w:cs="Segoe UI"/>
                <w:b w:val="0"/>
                <w:bCs w:val="0"/>
                <w:i w:val="0"/>
                <w:iCs w:val="0"/>
                <w:caps w:val="0"/>
                <w:color w:val="05073B"/>
                <w:spacing w:val="0"/>
                <w:sz w:val="22"/>
                <w:szCs w:val="22"/>
                <w:highlight w:val="none"/>
                <w:shd w:val="clear" w:color="auto" w:fill="FDFDFE"/>
              </w:rPr>
              <w:t>是否详</w:t>
            </w:r>
            <w:r>
              <w:rPr>
                <w:rFonts w:ascii="Segoe UI" w:hAnsi="Segoe UI" w:eastAsia="Segoe UI" w:cs="Segoe UI"/>
                <w:i w:val="0"/>
                <w:iCs w:val="0"/>
                <w:caps w:val="0"/>
                <w:color w:val="05073B"/>
                <w:spacing w:val="0"/>
                <w:sz w:val="22"/>
                <w:szCs w:val="22"/>
                <w:highlight w:val="none"/>
                <w:shd w:val="clear" w:color="auto" w:fill="FDFDFE"/>
              </w:rPr>
              <w:t>细、合理，包括供货时间、数量、批次等</w:t>
            </w:r>
            <w:r>
              <w:rPr>
                <w:rFonts w:hint="eastAsia" w:ascii="宋体" w:hAnsi="宋体" w:eastAsia="宋体" w:cs="宋体"/>
                <w:color w:val="000000"/>
                <w:sz w:val="22"/>
                <w:szCs w:val="22"/>
                <w:highlight w:val="none"/>
                <w:lang w:val="en-US" w:eastAsia="zh-CN"/>
              </w:rPr>
              <w:t>合理性进行评分（评分范围2、1、0）</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②评标委员会根据安装计划详细性、调试计划与流程</w:t>
            </w:r>
            <w:r>
              <w:rPr>
                <w:rFonts w:ascii="Segoe UI" w:hAnsi="Segoe UI" w:eastAsia="Segoe UI" w:cs="Segoe UI"/>
                <w:i w:val="0"/>
                <w:iCs w:val="0"/>
                <w:caps w:val="0"/>
                <w:color w:val="05073B"/>
                <w:spacing w:val="0"/>
                <w:sz w:val="22"/>
                <w:szCs w:val="22"/>
                <w:highlight w:val="none"/>
                <w:shd w:val="clear" w:color="auto" w:fill="FDFDFE"/>
              </w:rPr>
              <w:t>等</w:t>
            </w:r>
            <w:r>
              <w:rPr>
                <w:rFonts w:hint="eastAsia" w:ascii="宋体" w:hAnsi="宋体" w:eastAsia="宋体" w:cs="宋体"/>
                <w:color w:val="000000"/>
                <w:sz w:val="22"/>
                <w:szCs w:val="22"/>
                <w:highlight w:val="none"/>
                <w:lang w:val="en-US" w:eastAsia="zh-CN"/>
              </w:rPr>
              <w:t>合理性进行评分（评分范围3、2、1、0）</w:t>
            </w:r>
          </w:p>
        </w:tc>
        <w:tc>
          <w:tcPr>
            <w:tcW w:w="1009" w:type="dxa"/>
            <w:noWrap w:val="0"/>
            <w:vAlign w:val="center"/>
          </w:tcPr>
          <w:p>
            <w:pPr>
              <w:jc w:val="center"/>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0-5</w:t>
            </w:r>
            <w:r>
              <w:rPr>
                <w:rFonts w:hint="eastAsia" w:ascii="宋体" w:hAnsi="宋体" w:eastAsia="宋体"/>
                <w:color w:val="00000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34" w:type="dxa"/>
            <w:noWrap w:val="0"/>
            <w:vAlign w:val="center"/>
          </w:tcPr>
          <w:p>
            <w:pPr>
              <w:jc w:val="center"/>
              <w:rPr>
                <w:rFonts w:hint="default"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7</w:t>
            </w:r>
          </w:p>
        </w:tc>
        <w:tc>
          <w:tcPr>
            <w:tcW w:w="1260" w:type="dxa"/>
            <w:noWrap w:val="0"/>
            <w:vAlign w:val="center"/>
          </w:tcPr>
          <w:p>
            <w:pPr>
              <w:jc w:val="center"/>
              <w:rPr>
                <w:rFonts w:hint="eastAsia" w:cs="宋体"/>
                <w:kern w:val="0"/>
                <w:sz w:val="24"/>
                <w:szCs w:val="24"/>
                <w:highlight w:val="none"/>
                <w:lang w:val="en-US" w:eastAsia="zh-CN"/>
              </w:rPr>
            </w:pPr>
            <w:r>
              <w:rPr>
                <w:rFonts w:hint="eastAsia" w:ascii="宋体" w:hAnsi="宋体" w:eastAsia="宋体"/>
                <w:color w:val="000000"/>
                <w:sz w:val="22"/>
                <w:szCs w:val="22"/>
                <w:highlight w:val="none"/>
              </w:rPr>
              <w:t>产品质量保证</w:t>
            </w:r>
          </w:p>
        </w:tc>
        <w:tc>
          <w:tcPr>
            <w:tcW w:w="665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根据制造商技术实力及其产品质量控制和保障措施：焊接工艺、涂装工艺、装配工艺、调试工艺等整体的生产规划措施进行评分。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①评标委员会根据焊接工艺、涂装工艺</w:t>
            </w:r>
            <w:r>
              <w:rPr>
                <w:rFonts w:ascii="Segoe UI" w:hAnsi="Segoe UI" w:eastAsia="Segoe UI" w:cs="Segoe UI"/>
                <w:i w:val="0"/>
                <w:iCs w:val="0"/>
                <w:caps w:val="0"/>
                <w:color w:val="05073B"/>
                <w:spacing w:val="0"/>
                <w:sz w:val="22"/>
                <w:szCs w:val="22"/>
                <w:highlight w:val="none"/>
                <w:shd w:val="clear" w:color="auto" w:fill="FDFDFE"/>
              </w:rPr>
              <w:t>等</w:t>
            </w:r>
            <w:r>
              <w:rPr>
                <w:rFonts w:hint="eastAsia" w:ascii="宋体" w:hAnsi="宋体" w:eastAsia="宋体" w:cs="宋体"/>
                <w:color w:val="000000"/>
                <w:sz w:val="22"/>
                <w:szCs w:val="22"/>
                <w:highlight w:val="none"/>
                <w:lang w:val="en-US" w:eastAsia="zh-CN"/>
              </w:rPr>
              <w:t>合理性进行评分（评分范围3、2、1、0）</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②评标委员会根据装配工艺、调试工艺</w:t>
            </w:r>
            <w:r>
              <w:rPr>
                <w:rFonts w:ascii="Segoe UI" w:hAnsi="Segoe UI" w:eastAsia="Segoe UI" w:cs="Segoe UI"/>
                <w:i w:val="0"/>
                <w:iCs w:val="0"/>
                <w:caps w:val="0"/>
                <w:color w:val="05073B"/>
                <w:spacing w:val="0"/>
                <w:sz w:val="22"/>
                <w:szCs w:val="22"/>
                <w:highlight w:val="none"/>
                <w:shd w:val="clear" w:color="auto" w:fill="FDFDFE"/>
              </w:rPr>
              <w:t>等</w:t>
            </w:r>
            <w:r>
              <w:rPr>
                <w:rFonts w:hint="eastAsia" w:ascii="宋体" w:hAnsi="宋体" w:eastAsia="宋体" w:cs="宋体"/>
                <w:color w:val="000000"/>
                <w:sz w:val="22"/>
                <w:szCs w:val="22"/>
                <w:highlight w:val="none"/>
                <w:lang w:val="en-US" w:eastAsia="zh-CN"/>
              </w:rPr>
              <w:t>合理性进行评分（评分范围2、1、0）</w:t>
            </w:r>
          </w:p>
        </w:tc>
        <w:tc>
          <w:tcPr>
            <w:tcW w:w="1009" w:type="dxa"/>
            <w:noWrap w:val="0"/>
            <w:vAlign w:val="center"/>
          </w:tcPr>
          <w:p>
            <w:pPr>
              <w:jc w:val="center"/>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0-5</w:t>
            </w:r>
            <w:r>
              <w:rPr>
                <w:rFonts w:hint="eastAsia" w:ascii="宋体" w:hAnsi="宋体" w:eastAsia="宋体"/>
                <w:color w:val="00000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noWrap w:val="0"/>
            <w:vAlign w:val="center"/>
          </w:tcPr>
          <w:p>
            <w:pPr>
              <w:jc w:val="center"/>
              <w:rPr>
                <w:rFonts w:hint="eastAsia"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8</w:t>
            </w:r>
          </w:p>
        </w:tc>
        <w:tc>
          <w:tcPr>
            <w:tcW w:w="1260" w:type="dxa"/>
            <w:noWrap w:val="0"/>
            <w:vAlign w:val="center"/>
          </w:tcPr>
          <w:p>
            <w:pPr>
              <w:jc w:val="center"/>
              <w:rPr>
                <w:rFonts w:ascii="宋体" w:hAnsi="宋体" w:eastAsia="宋体"/>
                <w:color w:val="000000"/>
                <w:sz w:val="22"/>
                <w:szCs w:val="22"/>
                <w:highlight w:val="none"/>
              </w:rPr>
            </w:pPr>
            <w:r>
              <w:rPr>
                <w:rFonts w:hint="eastAsia" w:ascii="宋体" w:hAnsi="宋体" w:eastAsia="宋体" w:cs="宋体"/>
                <w:color w:val="000000"/>
                <w:sz w:val="22"/>
                <w:szCs w:val="22"/>
                <w:highlight w:val="none"/>
                <w:lang w:val="en-US" w:eastAsia="zh-CN"/>
              </w:rPr>
              <w:t>生产工艺水平，产品配置情况</w:t>
            </w:r>
          </w:p>
        </w:tc>
        <w:tc>
          <w:tcPr>
            <w:tcW w:w="665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投标人需在投标文件中对车辆设备生产工艺水平及产品配置情况进行阐述：</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评标委员会根据生产工艺的生产工艺先进性、生产效率等方面合理性进行评分（评分范围2、1、0）</w:t>
            </w:r>
          </w:p>
        </w:tc>
        <w:tc>
          <w:tcPr>
            <w:tcW w:w="1009" w:type="dxa"/>
            <w:noWrap w:val="0"/>
            <w:vAlign w:val="center"/>
          </w:tcPr>
          <w:p>
            <w:pPr>
              <w:jc w:val="center"/>
              <w:rPr>
                <w:rFonts w:hint="default"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0-2</w:t>
            </w:r>
            <w:r>
              <w:rPr>
                <w:rFonts w:hint="eastAsia" w:ascii="宋体" w:hAnsi="宋体" w:eastAsia="宋体"/>
                <w:color w:val="000000"/>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34" w:type="dxa"/>
            <w:vMerge w:val="restart"/>
            <w:noWrap w:val="0"/>
            <w:vAlign w:val="center"/>
          </w:tcPr>
          <w:p>
            <w:pPr>
              <w:jc w:val="center"/>
              <w:rPr>
                <w:rFonts w:hint="eastAsia" w:ascii="宋体" w:hAnsi="宋体" w:eastAsia="宋体"/>
                <w:color w:val="000000"/>
                <w:sz w:val="22"/>
                <w:szCs w:val="22"/>
                <w:highlight w:val="none"/>
                <w:lang w:eastAsia="zh-CN"/>
              </w:rPr>
            </w:pPr>
            <w:r>
              <w:rPr>
                <w:rFonts w:hint="eastAsia" w:ascii="宋体" w:hAnsi="宋体" w:eastAsia="宋体"/>
                <w:color w:val="000000"/>
                <w:sz w:val="22"/>
                <w:szCs w:val="22"/>
                <w:highlight w:val="none"/>
                <w:lang w:val="en-US" w:eastAsia="zh-CN"/>
              </w:rPr>
              <w:t>9</w:t>
            </w:r>
          </w:p>
        </w:tc>
        <w:tc>
          <w:tcPr>
            <w:tcW w:w="1260" w:type="dxa"/>
            <w:vMerge w:val="restart"/>
            <w:noWrap w:val="0"/>
            <w:vAlign w:val="center"/>
          </w:tcPr>
          <w:p>
            <w:pPr>
              <w:jc w:val="center"/>
              <w:rPr>
                <w:rFonts w:ascii="宋体" w:hAnsi="宋体" w:eastAsia="宋体"/>
                <w:color w:val="000000"/>
                <w:sz w:val="22"/>
                <w:szCs w:val="22"/>
                <w:highlight w:val="none"/>
              </w:rPr>
            </w:pPr>
            <w:r>
              <w:rPr>
                <w:rFonts w:hint="eastAsia" w:ascii="宋体" w:hAnsi="宋体" w:eastAsia="宋体"/>
                <w:color w:val="000000"/>
                <w:sz w:val="22"/>
                <w:szCs w:val="22"/>
                <w:highlight w:val="none"/>
              </w:rPr>
              <w:t>培训方案</w:t>
            </w:r>
          </w:p>
        </w:tc>
        <w:tc>
          <w:tcPr>
            <w:tcW w:w="665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根据投标人对用户驾驶员进行操作、简单的故障识别及排除和安全知识的培训计划及承诺进行评分。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①评标委员会根据投标人对用户驾驶员操作、简单的故障识别及排除方案措施等方面进行评分（评分范围3、2、1、0）</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②评标委员会根据安全知识的培训计划及承诺等方面进行评分（评分范围2、1、0）</w:t>
            </w:r>
          </w:p>
        </w:tc>
        <w:tc>
          <w:tcPr>
            <w:tcW w:w="1009" w:type="dxa"/>
            <w:vMerge w:val="restart"/>
            <w:noWrap w:val="0"/>
            <w:vAlign w:val="center"/>
          </w:tcPr>
          <w:p>
            <w:pPr>
              <w:jc w:val="center"/>
              <w:rPr>
                <w:rFonts w:ascii="宋体" w:hAnsi="宋体" w:eastAsia="宋体"/>
                <w:color w:val="000000"/>
                <w:sz w:val="22"/>
                <w:szCs w:val="22"/>
                <w:highlight w:val="none"/>
              </w:rPr>
            </w:pPr>
            <w:r>
              <w:rPr>
                <w:rFonts w:hint="eastAsia" w:ascii="宋体" w:hAnsi="宋体" w:eastAsia="宋体"/>
                <w:color w:val="000000"/>
                <w:sz w:val="22"/>
                <w:szCs w:val="22"/>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34" w:type="dxa"/>
            <w:vMerge w:val="continue"/>
            <w:noWrap w:val="0"/>
            <w:vAlign w:val="center"/>
          </w:tcPr>
          <w:p>
            <w:pPr>
              <w:rPr>
                <w:rFonts w:ascii="宋体" w:hAnsi="宋体" w:eastAsia="宋体"/>
                <w:color w:val="000000"/>
                <w:sz w:val="22"/>
                <w:szCs w:val="22"/>
                <w:highlight w:val="none"/>
              </w:rPr>
            </w:pPr>
          </w:p>
        </w:tc>
        <w:tc>
          <w:tcPr>
            <w:tcW w:w="1260" w:type="dxa"/>
            <w:vMerge w:val="continue"/>
            <w:noWrap w:val="0"/>
            <w:vAlign w:val="center"/>
          </w:tcPr>
          <w:p>
            <w:pPr>
              <w:rPr>
                <w:rFonts w:ascii="宋体" w:hAnsi="宋体" w:eastAsia="宋体"/>
                <w:color w:val="000000"/>
                <w:sz w:val="22"/>
                <w:szCs w:val="22"/>
                <w:highlight w:val="none"/>
              </w:rPr>
            </w:pPr>
          </w:p>
        </w:tc>
        <w:tc>
          <w:tcPr>
            <w:tcW w:w="665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rPr>
            </w:pPr>
          </w:p>
        </w:tc>
        <w:tc>
          <w:tcPr>
            <w:tcW w:w="1009" w:type="dxa"/>
            <w:vMerge w:val="continue"/>
            <w:noWrap w:val="0"/>
            <w:vAlign w:val="center"/>
          </w:tcPr>
          <w:p>
            <w:pPr>
              <w:rPr>
                <w:rFonts w:ascii="宋体" w:hAnsi="宋体" w:eastAsia="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734" w:type="dxa"/>
            <w:noWrap w:val="0"/>
            <w:vAlign w:val="center"/>
          </w:tcPr>
          <w:p>
            <w:pPr>
              <w:jc w:val="center"/>
              <w:rPr>
                <w:rFonts w:hint="default" w:ascii="宋体" w:hAnsi="宋体" w:eastAsia="宋体"/>
                <w:color w:val="000000"/>
                <w:sz w:val="22"/>
                <w:szCs w:val="22"/>
                <w:highlight w:val="none"/>
                <w:lang w:val="en-US" w:eastAsia="zh-CN"/>
              </w:rPr>
            </w:pPr>
            <w:r>
              <w:rPr>
                <w:rFonts w:hint="eastAsia" w:ascii="宋体" w:hAnsi="宋体" w:eastAsia="宋体"/>
                <w:color w:val="000000"/>
                <w:sz w:val="22"/>
                <w:szCs w:val="22"/>
                <w:highlight w:val="none"/>
                <w:lang w:val="en-US" w:eastAsia="zh-CN"/>
              </w:rPr>
              <w:t>10</w:t>
            </w:r>
          </w:p>
        </w:tc>
        <w:tc>
          <w:tcPr>
            <w:tcW w:w="1260" w:type="dxa"/>
            <w:noWrap w:val="0"/>
            <w:vAlign w:val="center"/>
          </w:tcPr>
          <w:p>
            <w:pPr>
              <w:jc w:val="center"/>
              <w:rPr>
                <w:rFonts w:ascii="宋体" w:hAnsi="宋体" w:eastAsia="宋体"/>
                <w:color w:val="000000"/>
                <w:sz w:val="22"/>
                <w:szCs w:val="22"/>
                <w:highlight w:val="none"/>
              </w:rPr>
            </w:pPr>
            <w:r>
              <w:rPr>
                <w:rFonts w:hint="eastAsia" w:ascii="宋体" w:hAnsi="宋体" w:eastAsia="宋体"/>
                <w:color w:val="000000"/>
                <w:sz w:val="22"/>
                <w:szCs w:val="22"/>
                <w:highlight w:val="none"/>
              </w:rPr>
              <w:t>售后服务方案</w:t>
            </w:r>
          </w:p>
        </w:tc>
        <w:tc>
          <w:tcPr>
            <w:tcW w:w="6654" w:type="dxa"/>
            <w:noWrap w:val="0"/>
            <w:vAlign w:val="center"/>
          </w:tcPr>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根据投标人提供的质保期内售后服务方案进行评分。</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①评标委员会</w:t>
            </w:r>
            <w:r>
              <w:rPr>
                <w:rFonts w:hint="eastAsia" w:ascii="宋体" w:eastAsia="宋体" w:cs="宋体"/>
                <w:color w:val="auto"/>
                <w:sz w:val="22"/>
                <w:szCs w:val="22"/>
                <w:highlight w:val="none"/>
                <w:shd w:val="clear" w:color="auto" w:fill="auto"/>
                <w:lang w:val="en-US" w:eastAsia="zh-CN" w:bidi="ar-SA"/>
              </w:rPr>
              <w:t>根据售后服务方案内容的售后技术服务人员配备、故障响应时间科学合理程度进行评审（评分范围3、2、1、0）</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②评标委员会</w:t>
            </w:r>
            <w:r>
              <w:rPr>
                <w:rFonts w:hint="eastAsia" w:ascii="宋体" w:eastAsia="宋体" w:cs="宋体"/>
                <w:color w:val="auto"/>
                <w:sz w:val="22"/>
                <w:szCs w:val="22"/>
                <w:highlight w:val="none"/>
                <w:shd w:val="clear" w:color="auto" w:fill="auto"/>
                <w:lang w:val="en-US" w:eastAsia="zh-CN" w:bidi="ar-SA"/>
              </w:rPr>
              <w:t>根据售后服务方案内容的</w:t>
            </w:r>
            <w:r>
              <w:rPr>
                <w:rFonts w:hint="eastAsia" w:ascii="宋体" w:hAnsi="宋体" w:eastAsia="宋体" w:cs="宋体"/>
                <w:color w:val="000000"/>
                <w:sz w:val="22"/>
                <w:szCs w:val="22"/>
                <w:highlight w:val="none"/>
                <w:lang w:val="en-US" w:eastAsia="zh-CN"/>
              </w:rPr>
              <w:t>售后保养、维护及回访检查工作方案</w:t>
            </w:r>
            <w:r>
              <w:rPr>
                <w:rFonts w:hint="eastAsia" w:ascii="宋体" w:eastAsia="宋体" w:cs="宋体"/>
                <w:color w:val="auto"/>
                <w:sz w:val="22"/>
                <w:szCs w:val="22"/>
                <w:highlight w:val="none"/>
                <w:shd w:val="clear" w:color="auto" w:fill="auto"/>
                <w:lang w:val="en-US" w:eastAsia="zh-CN" w:bidi="ar-SA"/>
              </w:rPr>
              <w:t>科学合理程度进行评审（评分范围2、1、0）</w:t>
            </w:r>
          </w:p>
        </w:tc>
        <w:tc>
          <w:tcPr>
            <w:tcW w:w="1009" w:type="dxa"/>
            <w:noWrap w:val="0"/>
            <w:vAlign w:val="center"/>
          </w:tcPr>
          <w:p>
            <w:pPr>
              <w:jc w:val="center"/>
              <w:rPr>
                <w:rFonts w:ascii="宋体" w:hAnsi="宋体" w:eastAsia="宋体"/>
                <w:color w:val="000000"/>
                <w:sz w:val="22"/>
                <w:szCs w:val="22"/>
                <w:highlight w:val="none"/>
              </w:rPr>
            </w:pPr>
            <w:r>
              <w:rPr>
                <w:rFonts w:hint="eastAsia" w:ascii="宋体" w:hAnsi="宋体" w:eastAsia="宋体"/>
                <w:color w:val="000000"/>
                <w:sz w:val="22"/>
                <w:szCs w:val="22"/>
                <w:highlight w:val="none"/>
              </w:rPr>
              <w:t>0-5分</w:t>
            </w:r>
          </w:p>
        </w:tc>
      </w:tr>
    </w:tbl>
    <w:p>
      <w:pPr>
        <w:spacing w:line="360" w:lineRule="auto"/>
        <w:rPr>
          <w:rFonts w:hint="eastAsia" w:ascii="宋体" w:hAnsi="宋体" w:cs="宋体"/>
          <w:b/>
          <w:bCs/>
          <w:color w:val="auto"/>
          <w:sz w:val="24"/>
          <w:highlight w:val="none"/>
        </w:rPr>
      </w:pPr>
    </w:p>
    <w:p>
      <w:pPr>
        <w:spacing w:line="240" w:lineRule="auto"/>
        <w:rPr>
          <w:rFonts w:ascii="宋体" w:hAnsi="宋体" w:cs="宋体"/>
          <w:b/>
          <w:color w:val="auto"/>
          <w:sz w:val="24"/>
          <w:highlight w:val="none"/>
        </w:rPr>
      </w:pPr>
      <w:r>
        <w:rPr>
          <w:rFonts w:hint="eastAsia" w:ascii="宋体" w:hAnsi="宋体" w:cs="宋体"/>
          <w:b/>
          <w:color w:val="auto"/>
          <w:sz w:val="24"/>
          <w:highlight w:val="none"/>
        </w:rPr>
        <w:t>价格分（30分）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宋体" w:hAnsi="宋体" w:cs="仿宋"/>
          <w:sz w:val="24"/>
          <w:szCs w:val="24"/>
          <w:highlight w:val="none"/>
        </w:rPr>
      </w:pPr>
      <w:r>
        <w:rPr>
          <w:rFonts w:ascii="宋体" w:hAnsi="宋体"/>
          <w:sz w:val="24"/>
          <w:szCs w:val="24"/>
          <w:highlight w:val="none"/>
        </w:rPr>
        <w:t>以满足招标文件要求且投标价格最低的投标报价为评标基准价，其价格分为满分30分，投标报价得分=（评标基准价/投标报价）×30</w:t>
      </w:r>
      <w:r>
        <w:rPr>
          <w:rFonts w:ascii="宋体" w:hAnsi="宋体" w:cs="仿宋"/>
          <w:sz w:val="24"/>
          <w:szCs w:val="24"/>
          <w:highlight w:val="none"/>
        </w:rPr>
        <w:t>（保留小数点后两位有效数字）。</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sz w:val="24"/>
          <w:szCs w:val="24"/>
          <w:highlight w:val="none"/>
        </w:rPr>
      </w:pPr>
      <w:r>
        <w:rPr>
          <w:rFonts w:hint="eastAsia" w:ascii="宋体" w:hAnsi="宋体"/>
          <w:sz w:val="24"/>
          <w:szCs w:val="24"/>
          <w:highlight w:val="none"/>
        </w:rPr>
        <w:t>注意：1、根据《政府采购服务和货物招标投标管理办法》（财政部87号令）的规定，当投标人的报价明显低于其他通过符合性审查投标人报价时，该投标人应在评标现场合理时间内（具体时间以评标委员会要求为准）提供书面说明，并提交相关证明材料（具体材料以评标委员会要求为准），若不能证明其报价合理性的，评标委员会将作无效投标处理。</w:t>
      </w:r>
    </w:p>
    <w:p>
      <w:pPr>
        <w:pStyle w:val="80"/>
        <w:keepNext w:val="0"/>
        <w:keepLines w:val="0"/>
        <w:pageBreakBefore w:val="0"/>
        <w:widowControl w:val="0"/>
        <w:numPr>
          <w:ilvl w:val="0"/>
          <w:numId w:val="0"/>
        </w:numPr>
        <w:kinsoku/>
        <w:wordWrap/>
        <w:overflowPunct/>
        <w:topLinePunct w:val="0"/>
        <w:bidi w:val="0"/>
        <w:snapToGrid/>
        <w:spacing w:after="156" w:afterLines="50" w:line="360" w:lineRule="auto"/>
        <w:jc w:val="both"/>
        <w:textAlignment w:val="auto"/>
        <w:rPr>
          <w:rFonts w:hint="eastAsia" w:ascii="宋体" w:hAnsi="宋体" w:cs="宋体"/>
          <w:b/>
          <w:color w:val="auto"/>
          <w:sz w:val="32"/>
          <w:highlight w:val="none"/>
        </w:rPr>
      </w:pPr>
      <w:r>
        <w:rPr>
          <w:rFonts w:hint="eastAsia" w:ascii="宋体" w:hAnsi="宋体" w:eastAsia="宋体" w:cs="Times New Roman"/>
          <w:kern w:val="2"/>
          <w:sz w:val="24"/>
          <w:szCs w:val="24"/>
          <w:highlight w:val="none"/>
          <w:lang w:val="en-US" w:eastAsia="zh-CN" w:bidi="ar-SA"/>
        </w:rPr>
        <w:t>2、根据《政府采购促进中小企业发展管理办法》（财库2020-46号文）的规定，所投货物全部为小微企业制造的投标人给予10%的价格扣除，但小微企业与大企业的负责人为同一人，或者与大企业存在直接控股、管理关系的除外。</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hint="eastAsia" w:ascii="宋体" w:hAnsi="宋体" w:cs="宋体"/>
          <w:b/>
          <w:bCs/>
          <w:color w:val="auto"/>
          <w:kern w:val="0"/>
          <w:szCs w:val="24"/>
          <w:highlight w:val="none"/>
          <w:lang w:val="en-US" w:eastAsia="zh-CN"/>
        </w:rPr>
        <w:t>10</w:t>
      </w:r>
      <w:r>
        <w:rPr>
          <w:rFonts w:hint="eastAsia" w:ascii="宋体" w:hAnsi="宋体" w:cs="宋体"/>
          <w:b/>
          <w:bCs/>
          <w:color w:val="auto"/>
          <w:kern w:val="0"/>
          <w:szCs w:val="24"/>
          <w:highlight w:val="none"/>
        </w:rPr>
        <w:t>%的扣除</w:t>
      </w:r>
      <w:r>
        <w:rPr>
          <w:rFonts w:hint="eastAsia" w:ascii="宋体" w:hAnsi="宋体" w:cs="宋体"/>
          <w:color w:val="auto"/>
          <w:kern w:val="0"/>
          <w:szCs w:val="24"/>
          <w:highlight w:val="none"/>
        </w:rPr>
        <w:t>，用扣除后的价格参与评审。</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得分</w:t>
      </w:r>
      <w:r>
        <w:rPr>
          <w:rFonts w:hint="eastAsia" w:ascii="宋体" w:hAnsi="宋体" w:cs="宋体"/>
          <w:color w:val="auto"/>
          <w:kern w:val="0"/>
          <w:sz w:val="24"/>
          <w:highlight w:val="none"/>
          <w:lang w:eastAsia="zh-CN"/>
        </w:rPr>
        <w:t>次</w:t>
      </w:r>
      <w:r>
        <w:rPr>
          <w:rFonts w:hint="eastAsia" w:ascii="宋体" w:hAnsi="宋体" w:cs="宋体"/>
          <w:color w:val="auto"/>
          <w:kern w:val="0"/>
          <w:sz w:val="24"/>
          <w:highlight w:val="none"/>
        </w:rPr>
        <w:t>高的投标人为排名</w:t>
      </w:r>
      <w:r>
        <w:rPr>
          <w:rFonts w:hint="eastAsia" w:ascii="宋体" w:hAnsi="宋体" w:cs="宋体"/>
          <w:color w:val="auto"/>
          <w:kern w:val="0"/>
          <w:sz w:val="24"/>
          <w:highlight w:val="none"/>
          <w:lang w:eastAsia="zh-CN"/>
        </w:rPr>
        <w:t>二</w:t>
      </w:r>
      <w:r>
        <w:rPr>
          <w:rFonts w:hint="eastAsia" w:ascii="宋体" w:hAnsi="宋体" w:cs="宋体"/>
          <w:color w:val="auto"/>
          <w:kern w:val="0"/>
          <w:sz w:val="24"/>
          <w:highlight w:val="none"/>
        </w:rPr>
        <w:t>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3"/>
        <w:snapToGrid w:val="0"/>
        <w:spacing w:line="360" w:lineRule="auto"/>
        <w:rPr>
          <w:rFonts w:cs="宋体"/>
          <w:color w:val="auto"/>
          <w:highlight w:val="none"/>
        </w:rPr>
      </w:pPr>
      <w:r>
        <w:rPr>
          <w:rFonts w:hint="eastAsia" w:cs="宋体"/>
          <w:color w:val="auto"/>
          <w:highlight w:val="none"/>
        </w:rPr>
        <w:t>5.4因重大变故，采购任务取消的。</w:t>
      </w:r>
    </w:p>
    <w:p>
      <w:pPr>
        <w:pStyle w:val="3"/>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ind w:firstLine="0" w:firstLineChars="0"/>
        <w:rPr>
          <w:rFonts w:cs="宋体"/>
          <w:color w:val="auto"/>
          <w:highlight w:val="none"/>
        </w:rPr>
      </w:pPr>
    </w:p>
    <w:bookmarkEnd w:id="28"/>
    <w:p>
      <w:pPr>
        <w:spacing w:line="360" w:lineRule="auto"/>
        <w:ind w:left="720" w:leftChars="343" w:firstLine="1084" w:firstLineChars="300"/>
        <w:outlineLvl w:val="0"/>
        <w:rPr>
          <w:rFonts w:ascii="宋体" w:hAnsi="宋体" w:cs="宋体"/>
          <w:b/>
          <w:color w:val="auto"/>
          <w:sz w:val="36"/>
          <w:szCs w:val="36"/>
          <w:highlight w:val="none"/>
        </w:rPr>
      </w:pPr>
      <w:bookmarkStart w:id="394" w:name="第五部分"/>
      <w:bookmarkStart w:id="395"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700"/>
        <w:rPr>
          <w:rFonts w:ascii="宋体" w:hAnsi="宋体" w:cs="宋体"/>
          <w:color w:val="auto"/>
          <w:szCs w:val="24"/>
          <w:highlight w:val="none"/>
        </w:rPr>
      </w:pPr>
    </w:p>
    <w:p>
      <w:pPr>
        <w:pStyle w:val="700"/>
        <w:rPr>
          <w:rFonts w:ascii="宋体" w:hAnsi="宋体" w:cs="宋体"/>
          <w:color w:val="auto"/>
          <w:szCs w:val="24"/>
          <w:highlight w:val="none"/>
        </w:rPr>
      </w:pPr>
    </w:p>
    <w:p>
      <w:pPr>
        <w:pStyle w:val="700"/>
        <w:jc w:val="center"/>
        <w:rPr>
          <w:rFonts w:ascii="宋体" w:hAnsi="宋体" w:cs="宋体"/>
          <w:color w:val="auto"/>
          <w:szCs w:val="24"/>
          <w:highlight w:val="none"/>
        </w:rPr>
      </w:pPr>
    </w:p>
    <w:p>
      <w:pPr>
        <w:pStyle w:val="700"/>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700"/>
        <w:rPr>
          <w:rFonts w:ascii="宋体" w:hAnsi="宋体" w:cs="宋体"/>
          <w:color w:val="auto"/>
          <w:szCs w:val="24"/>
          <w:highlight w:val="none"/>
        </w:rPr>
      </w:pPr>
    </w:p>
    <w:p>
      <w:pPr>
        <w:pStyle w:val="700"/>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7"/>
        <w:spacing w:before="120" w:line="22" w:lineRule="atLeast"/>
        <w:rPr>
          <w:rFonts w:ascii="宋体" w:hAnsi="宋体" w:eastAsia="宋体" w:cs="宋体"/>
          <w:color w:val="auto"/>
          <w:szCs w:val="24"/>
          <w:highlight w:val="none"/>
        </w:rPr>
      </w:pPr>
    </w:p>
    <w:p>
      <w:pPr>
        <w:pStyle w:val="597"/>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396" w:name="_Toc3029"/>
      <w:bookmarkStart w:id="397" w:name="_Toc2232"/>
      <w:bookmarkStart w:id="398" w:name="_Toc24059"/>
      <w:r>
        <w:rPr>
          <w:rFonts w:hint="eastAsia" w:ascii="宋体" w:hAnsi="宋体" w:cs="宋体"/>
          <w:b/>
          <w:color w:val="auto"/>
          <w:sz w:val="24"/>
          <w:highlight w:val="none"/>
        </w:rPr>
        <w:t>1.1 合同组成部分</w:t>
      </w:r>
      <w:bookmarkEnd w:id="396"/>
      <w:bookmarkEnd w:id="397"/>
      <w:bookmarkEnd w:id="39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399" w:name="_Toc21295"/>
      <w:bookmarkStart w:id="400" w:name="_Toc24300"/>
      <w:bookmarkStart w:id="401" w:name="_Toc27126"/>
      <w:r>
        <w:rPr>
          <w:rFonts w:hint="eastAsia" w:ascii="宋体" w:hAnsi="宋体" w:cs="宋体"/>
          <w:b/>
          <w:color w:val="auto"/>
          <w:sz w:val="24"/>
          <w:highlight w:val="none"/>
        </w:rPr>
        <w:t>1.2 货物</w:t>
      </w:r>
      <w:bookmarkEnd w:id="399"/>
      <w:bookmarkEnd w:id="400"/>
      <w:bookmarkEnd w:id="401"/>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pPr>
        <w:spacing w:line="560" w:lineRule="exact"/>
        <w:ind w:firstLine="482" w:firstLineChars="200"/>
        <w:outlineLvl w:val="0"/>
        <w:rPr>
          <w:rFonts w:ascii="宋体" w:hAnsi="宋体" w:cs="宋体"/>
          <w:b/>
          <w:color w:val="auto"/>
          <w:sz w:val="24"/>
          <w:highlight w:val="none"/>
        </w:rPr>
      </w:pPr>
      <w:bookmarkStart w:id="402" w:name="_Toc21551"/>
      <w:bookmarkStart w:id="403" w:name="_Toc21631"/>
      <w:bookmarkStart w:id="404" w:name="_Toc23292"/>
      <w:r>
        <w:rPr>
          <w:rFonts w:hint="eastAsia" w:ascii="宋体" w:hAnsi="宋体" w:cs="宋体"/>
          <w:b/>
          <w:color w:val="auto"/>
          <w:sz w:val="24"/>
          <w:highlight w:val="none"/>
        </w:rPr>
        <w:t>1.3 价款</w:t>
      </w:r>
      <w:bookmarkEnd w:id="402"/>
      <w:bookmarkEnd w:id="403"/>
      <w:bookmarkEnd w:id="40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8"/>
              <w:spacing w:line="560" w:lineRule="exact"/>
              <w:ind w:firstLine="200"/>
              <w:jc w:val="center"/>
              <w:rPr>
                <w:rFonts w:hAnsi="宋体" w:cs="宋体"/>
                <w:color w:val="auto"/>
                <w:sz w:val="24"/>
                <w:szCs w:val="24"/>
                <w:highlight w:val="none"/>
              </w:rPr>
            </w:pPr>
          </w:p>
        </w:tc>
      </w:tr>
    </w:tbl>
    <w:p>
      <w:pPr>
        <w:pStyle w:val="958"/>
        <w:spacing w:before="0" w:beforeAutospacing="0" w:after="0" w:afterAutospacing="0" w:line="360" w:lineRule="auto"/>
        <w:ind w:firstLine="480"/>
        <w:rPr>
          <w:b/>
          <w:color w:val="auto"/>
          <w:highlight w:val="none"/>
        </w:rPr>
      </w:pPr>
      <w:bookmarkStart w:id="405" w:name="_Toc1814"/>
      <w:bookmarkStart w:id="406" w:name="_Toc22618"/>
      <w:bookmarkStart w:id="407" w:name="_Toc10340"/>
      <w:r>
        <w:rPr>
          <w:rFonts w:hint="eastAsia"/>
          <w:b/>
          <w:color w:val="auto"/>
          <w:highlight w:val="none"/>
        </w:rPr>
        <w:t>1.4履约保证金</w:t>
      </w:r>
    </w:p>
    <w:p>
      <w:pPr>
        <w:pStyle w:val="958"/>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5"/>
        <w:tabs>
          <w:tab w:val="left" w:pos="0"/>
          <w:tab w:val="clear" w:pos="432"/>
        </w:tabs>
        <w:spacing w:line="560" w:lineRule="exact"/>
        <w:ind w:left="0" w:firstLine="480" w:firstLineChars="200"/>
        <w:rPr>
          <w:rFonts w:eastAsia="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5"/>
      <w:bookmarkEnd w:id="406"/>
      <w:bookmarkEnd w:id="407"/>
      <w:r>
        <w:rPr>
          <w:rFonts w:hint="eastAsia" w:ascii="宋体" w:hAnsi="宋体" w:cs="宋体"/>
          <w:b/>
          <w:color w:val="auto"/>
          <w:sz w:val="24"/>
          <w:highlight w:val="none"/>
        </w:rPr>
        <w:t>预付款</w:t>
      </w:r>
    </w:p>
    <w:p>
      <w:pPr>
        <w:pStyle w:val="958"/>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eastAsia="zh-CN"/>
        </w:rPr>
        <w:t>是</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w:t>
      </w:r>
    </w:p>
    <w:p>
      <w:pPr>
        <w:pStyle w:val="958"/>
        <w:spacing w:before="0" w:beforeAutospacing="0" w:after="0" w:afterAutospacing="0" w:line="360" w:lineRule="auto"/>
        <w:ind w:firstLine="480"/>
        <w:rPr>
          <w:color w:val="auto"/>
          <w:highlight w:val="none"/>
          <w:u w:val="single"/>
        </w:rPr>
      </w:pPr>
      <w:r>
        <w:rPr>
          <w:rFonts w:hint="eastAsia"/>
          <w:color w:val="auto"/>
          <w:highlight w:val="none"/>
        </w:rPr>
        <w:t>若需要支付预付款的，</w:t>
      </w:r>
      <w:r>
        <w:rPr>
          <w:rFonts w:hint="eastAsia"/>
          <w:color w:val="auto"/>
          <w:highlight w:val="none"/>
          <w:lang w:val="en-US" w:eastAsia="zh-CN"/>
        </w:rPr>
        <w:t>则</w:t>
      </w:r>
      <w:r>
        <w:rPr>
          <w:rFonts w:hint="eastAsia" w:ascii="宋体" w:hAnsi="宋体" w:cs="宋体"/>
          <w:color w:val="auto"/>
          <w:kern w:val="0"/>
          <w:sz w:val="24"/>
          <w:highlight w:val="none"/>
        </w:rPr>
        <w:t>付款方式</w:t>
      </w:r>
      <w:r>
        <w:rPr>
          <w:rFonts w:hint="eastAsia" w:cs="宋体"/>
          <w:color w:val="auto"/>
          <w:kern w:val="0"/>
          <w:sz w:val="24"/>
          <w:highlight w:val="none"/>
          <w:lang w:val="en-US" w:eastAsia="zh-CN"/>
        </w:rPr>
        <w:t>为</w:t>
      </w:r>
      <w:r>
        <w:rPr>
          <w:rFonts w:hint="eastAsia" w:ascii="宋体" w:hAnsi="宋体" w:cs="宋体"/>
          <w:color w:val="auto"/>
          <w:kern w:val="0"/>
          <w:sz w:val="24"/>
          <w:highlight w:val="none"/>
        </w:rPr>
        <w:t>：在签订合同且具备实施条件后，甲方收到乙方提供合格税务发票并完成资金审批手续后7个工作日内，甲方向乙方支付合同总金额</w:t>
      </w:r>
      <w:r>
        <w:rPr>
          <w:rFonts w:hint="eastAsia" w:cs="宋体"/>
          <w:color w:val="auto"/>
          <w:kern w:val="0"/>
          <w:sz w:val="24"/>
          <w:highlight w:val="none"/>
          <w:lang w:val="en-US" w:eastAsia="zh-CN"/>
        </w:rPr>
        <w:t>4</w:t>
      </w:r>
      <w:r>
        <w:rPr>
          <w:rFonts w:hint="eastAsia" w:ascii="宋体" w:hAnsi="宋体" w:cs="宋体"/>
          <w:color w:val="auto"/>
          <w:kern w:val="0"/>
          <w:sz w:val="24"/>
          <w:highlight w:val="none"/>
        </w:rPr>
        <w:t>0%的预付款（在签订合同时，供应商明确表示无需预付款或者主动要求降低预付款比例的，采购单位可不适用该条规定）。</w:t>
      </w:r>
    </w:p>
    <w:p>
      <w:pPr>
        <w:pStyle w:val="958"/>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8"/>
        <w:spacing w:before="0" w:beforeAutospacing="0" w:after="0" w:afterAutospacing="0" w:line="360" w:lineRule="auto"/>
        <w:ind w:firstLine="480"/>
        <w:rPr>
          <w:color w:val="auto"/>
          <w:highlight w:val="none"/>
        </w:rPr>
      </w:pPr>
      <w:r>
        <w:rPr>
          <w:rFonts w:hint="eastAsia"/>
          <w:color w:val="auto"/>
          <w:highlight w:val="none"/>
        </w:rPr>
        <w:t>甲方应严格履行合同，及时组织验收，验收合格后及时将合同款支付完毕。</w:t>
      </w:r>
      <w:r>
        <w:rPr>
          <w:rFonts w:hint="default" w:ascii="宋体" w:hAnsi="宋体" w:cs="宋体"/>
          <w:b w:val="0"/>
          <w:bCs w:val="0"/>
          <w:color w:val="auto"/>
          <w:sz w:val="24"/>
          <w:szCs w:val="24"/>
          <w:highlight w:val="none"/>
          <w:lang w:val="en-US" w:eastAsia="zh-CN"/>
        </w:rPr>
        <w:t>乙方完成所有设备的供货及安装调试工作、待项目整体验收合格后</w:t>
      </w:r>
      <w:r>
        <w:rPr>
          <w:rFonts w:hint="eastAsia" w:ascii="宋体" w:hAnsi="宋体" w:cs="宋体"/>
          <w:color w:val="auto"/>
          <w:kern w:val="0"/>
          <w:sz w:val="24"/>
          <w:highlight w:val="none"/>
        </w:rPr>
        <w:t>，甲方收到乙方提供合格税务发票并完成资金审批手续后7个工作日内，甲方向乙方支付</w:t>
      </w:r>
      <w:r>
        <w:rPr>
          <w:rFonts w:hint="default" w:ascii="宋体" w:hAnsi="宋体" w:cs="宋体"/>
          <w:b w:val="0"/>
          <w:bCs w:val="0"/>
          <w:color w:val="auto"/>
          <w:sz w:val="24"/>
          <w:szCs w:val="24"/>
          <w:highlight w:val="none"/>
          <w:lang w:val="en-US" w:eastAsia="zh-CN"/>
        </w:rPr>
        <w:t>至合同款100%</w:t>
      </w:r>
      <w:r>
        <w:rPr>
          <w:rFonts w:hint="eastAsia" w:ascii="宋体" w:hAnsi="宋体" w:cs="宋体"/>
          <w:b w:val="0"/>
          <w:bCs w:val="0"/>
          <w:color w:val="auto"/>
          <w:sz w:val="24"/>
          <w:szCs w:val="24"/>
          <w:highlight w:val="none"/>
          <w:lang w:val="en-US" w:eastAsia="zh-CN"/>
        </w:rPr>
        <w:t>。</w:t>
      </w:r>
      <w:r>
        <w:rPr>
          <w:rFonts w:hint="eastAsia"/>
          <w:color w:val="auto"/>
          <w:highlight w:val="none"/>
        </w:rPr>
        <w:t>甲方不得以机构变动、人员更替、政策调整、单位放假等为由延迟付款。</w:t>
      </w:r>
    </w:p>
    <w:p>
      <w:pPr>
        <w:spacing w:line="560" w:lineRule="exact"/>
        <w:ind w:firstLine="482" w:firstLineChars="200"/>
        <w:outlineLvl w:val="0"/>
        <w:rPr>
          <w:rFonts w:ascii="宋体" w:hAnsi="宋体" w:cs="宋体"/>
          <w:b/>
          <w:color w:val="auto"/>
          <w:sz w:val="24"/>
          <w:highlight w:val="none"/>
        </w:rPr>
      </w:pPr>
      <w:bookmarkStart w:id="408" w:name="_Toc2846"/>
      <w:bookmarkStart w:id="409" w:name="_Toc32071"/>
      <w:bookmarkStart w:id="410" w:name="_Toc19304"/>
      <w:r>
        <w:rPr>
          <w:rFonts w:hint="eastAsia" w:ascii="宋体" w:hAnsi="宋体" w:cs="宋体"/>
          <w:b/>
          <w:color w:val="auto"/>
          <w:sz w:val="24"/>
          <w:highlight w:val="none"/>
        </w:rPr>
        <w:t>1.7货物交付期限、地点和方式</w:t>
      </w:r>
      <w:bookmarkEnd w:id="408"/>
      <w:bookmarkEnd w:id="409"/>
      <w:bookmarkEnd w:id="410"/>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11" w:name="_Toc27250"/>
      <w:bookmarkStart w:id="412" w:name="_Toc21423"/>
      <w:bookmarkStart w:id="413" w:name="_Toc19554"/>
      <w:r>
        <w:rPr>
          <w:rFonts w:hint="eastAsia" w:ascii="宋体" w:hAnsi="宋体" w:cs="宋体"/>
          <w:b/>
          <w:color w:val="auto"/>
          <w:sz w:val="24"/>
          <w:highlight w:val="none"/>
        </w:rPr>
        <w:t>1.8违约责任</w:t>
      </w:r>
      <w:bookmarkEnd w:id="411"/>
      <w:bookmarkEnd w:id="412"/>
      <w:bookmarkEnd w:id="4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414" w:name="_Toc16021"/>
      <w:bookmarkStart w:id="415" w:name="_Toc28375"/>
      <w:bookmarkStart w:id="416" w:name="_Toc15583"/>
      <w:r>
        <w:rPr>
          <w:rFonts w:hint="eastAsia" w:ascii="宋体" w:hAnsi="宋体" w:cs="宋体"/>
          <w:b/>
          <w:color w:val="auto"/>
          <w:sz w:val="24"/>
          <w:highlight w:val="none"/>
        </w:rPr>
        <w:t>1.9合同争议的解决</w:t>
      </w:r>
      <w:bookmarkEnd w:id="414"/>
      <w:bookmarkEnd w:id="415"/>
      <w:bookmarkEnd w:id="416"/>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417" w:name="_Toc11173"/>
      <w:bookmarkStart w:id="418" w:name="_Toc7245"/>
      <w:bookmarkStart w:id="419" w:name="_Toc15322"/>
      <w:r>
        <w:rPr>
          <w:rFonts w:hint="eastAsia" w:ascii="宋体" w:hAnsi="宋体" w:cs="宋体"/>
          <w:b/>
          <w:color w:val="auto"/>
          <w:sz w:val="24"/>
          <w:highlight w:val="none"/>
        </w:rPr>
        <w:t>2.0 合同生效</w:t>
      </w:r>
      <w:bookmarkEnd w:id="417"/>
      <w:bookmarkEnd w:id="418"/>
      <w:bookmarkEnd w:id="419"/>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pStyle w:val="5"/>
        <w:rPr>
          <w:rFonts w:ascii="宋体" w:hAnsi="宋体" w:cs="宋体"/>
          <w:color w:val="auto"/>
          <w:sz w:val="24"/>
          <w:highlight w:val="none"/>
        </w:rPr>
      </w:pPr>
    </w:p>
    <w:p>
      <w:pPr>
        <w:rPr>
          <w:rFonts w:ascii="宋体" w:hAnsi="宋体" w:cs="宋体"/>
          <w:color w:val="auto"/>
          <w:sz w:val="24"/>
          <w:highlight w:val="none"/>
        </w:rPr>
      </w:pPr>
    </w:p>
    <w:p>
      <w:pPr>
        <w:pStyle w:val="5"/>
        <w:rPr>
          <w:rFonts w:ascii="宋体" w:hAnsi="宋体" w:cs="宋体"/>
          <w:color w:val="auto"/>
          <w:sz w:val="24"/>
          <w:highlight w:val="none"/>
        </w:rPr>
      </w:pPr>
    </w:p>
    <w:p>
      <w:pPr>
        <w:pStyle w:val="700"/>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pPr>
        <w:spacing w:line="560" w:lineRule="exact"/>
        <w:ind w:firstLine="482" w:firstLineChars="200"/>
        <w:outlineLvl w:val="0"/>
        <w:rPr>
          <w:rFonts w:ascii="宋体" w:hAnsi="宋体" w:cs="宋体"/>
          <w:b/>
          <w:color w:val="auto"/>
          <w:sz w:val="24"/>
          <w:highlight w:val="none"/>
        </w:rPr>
      </w:pPr>
      <w:bookmarkStart w:id="420" w:name="_Toc16917"/>
      <w:bookmarkStart w:id="421" w:name="_Toc19614"/>
      <w:bookmarkStart w:id="422" w:name="_Ref467379094"/>
      <w:bookmarkStart w:id="423" w:name="_Ref467379225"/>
      <w:bookmarkStart w:id="424" w:name="_Toc259093669"/>
      <w:bookmarkStart w:id="425" w:name="_Toc279701240"/>
      <w:bookmarkStart w:id="426" w:name="_Ref467379195"/>
      <w:bookmarkStart w:id="427" w:name="_Ref467379214"/>
      <w:bookmarkStart w:id="428" w:name="_Ref467378499"/>
      <w:bookmarkStart w:id="429" w:name="_Toc487900349"/>
      <w:bookmarkStart w:id="430" w:name="_Ref467378404"/>
      <w:bookmarkStart w:id="431" w:name="_Ref467378463"/>
      <w:bookmarkStart w:id="432" w:name="_Ref467379205"/>
      <w:bookmarkStart w:id="433" w:name="_Toc28763"/>
      <w:bookmarkStart w:id="434" w:name="_Ref467379109"/>
      <w:bookmarkStart w:id="435" w:name="_Ref467379101"/>
      <w:r>
        <w:rPr>
          <w:rFonts w:hint="eastAsia" w:ascii="宋体" w:hAnsi="宋体" w:cs="宋体"/>
          <w:b/>
          <w:color w:val="auto"/>
          <w:sz w:val="24"/>
          <w:highlight w:val="none"/>
        </w:rPr>
        <w:t>2.1 定义</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436" w:name="_Ref467378840"/>
      <w:r>
        <w:rPr>
          <w:rFonts w:hint="eastAsia" w:ascii="宋体" w:hAnsi="宋体" w:cs="宋体"/>
          <w:color w:val="auto"/>
          <w:sz w:val="24"/>
          <w:highlight w:val="none"/>
        </w:rPr>
        <w:t>2.1.4 “甲方”系指与中标或成交供应商签署合同的采购人</w:t>
      </w:r>
      <w:bookmarkEnd w:id="436"/>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437" w:name="_Ref467379400"/>
      <w:r>
        <w:rPr>
          <w:rFonts w:hint="eastAsia" w:ascii="宋体" w:hAnsi="宋体" w:cs="宋体"/>
          <w:color w:val="auto"/>
          <w:sz w:val="24"/>
          <w:highlight w:val="none"/>
        </w:rPr>
        <w:t>2.1.5 “乙方”系指根据合同约定交付货物的中标或成交供应商</w:t>
      </w:r>
      <w:bookmarkEnd w:id="437"/>
      <w:r>
        <w:rPr>
          <w:rFonts w:hint="eastAsia" w:ascii="宋体" w:hAnsi="宋体" w:cs="宋体"/>
          <w:color w:val="auto"/>
          <w:sz w:val="24"/>
          <w:highlight w:val="none"/>
        </w:rPr>
        <w:t>，并就合同约定的事项对甲方承担连带责任。</w:t>
      </w:r>
    </w:p>
    <w:p>
      <w:pPr>
        <w:spacing w:line="560" w:lineRule="exact"/>
        <w:ind w:firstLine="480" w:firstLineChars="200"/>
        <w:rPr>
          <w:rFonts w:ascii="宋体" w:hAnsi="宋体" w:cs="宋体"/>
          <w:color w:val="auto"/>
          <w:sz w:val="24"/>
          <w:highlight w:val="none"/>
        </w:rPr>
      </w:pPr>
      <w:bookmarkStart w:id="438" w:name="_Ref467379436"/>
      <w:r>
        <w:rPr>
          <w:rFonts w:hint="eastAsia" w:ascii="宋体" w:hAnsi="宋体" w:cs="宋体"/>
          <w:color w:val="auto"/>
          <w:sz w:val="24"/>
          <w:highlight w:val="none"/>
        </w:rPr>
        <w:t>2.1.6 “现场”系指合同约定货物将要运至或者安装的地点。</w:t>
      </w:r>
      <w:bookmarkEnd w:id="438"/>
    </w:p>
    <w:p>
      <w:pPr>
        <w:spacing w:line="560" w:lineRule="exact"/>
        <w:ind w:firstLine="482" w:firstLineChars="200"/>
        <w:outlineLvl w:val="0"/>
        <w:rPr>
          <w:rFonts w:ascii="宋体" w:hAnsi="宋体" w:cs="宋体"/>
          <w:b/>
          <w:color w:val="auto"/>
          <w:sz w:val="24"/>
          <w:highlight w:val="none"/>
        </w:rPr>
      </w:pPr>
      <w:bookmarkStart w:id="439" w:name="_Toc279701241"/>
      <w:bookmarkStart w:id="440" w:name="_Toc259093670"/>
      <w:bookmarkStart w:id="441" w:name="_Toc27635"/>
      <w:bookmarkStart w:id="442" w:name="_Toc487900350"/>
      <w:bookmarkStart w:id="443" w:name="_Toc13336"/>
      <w:bookmarkStart w:id="444" w:name="_Toc32504"/>
      <w:r>
        <w:rPr>
          <w:rFonts w:hint="eastAsia" w:ascii="宋体" w:hAnsi="宋体" w:cs="宋体"/>
          <w:b/>
          <w:color w:val="auto"/>
          <w:sz w:val="24"/>
          <w:highlight w:val="none"/>
        </w:rPr>
        <w:t>2.2 技术规范</w:t>
      </w:r>
      <w:bookmarkEnd w:id="439"/>
      <w:bookmarkEnd w:id="440"/>
      <w:bookmarkEnd w:id="441"/>
      <w:bookmarkEnd w:id="442"/>
      <w:bookmarkEnd w:id="443"/>
      <w:bookmarkEnd w:id="4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445" w:name="_Toc279701242"/>
      <w:bookmarkStart w:id="446" w:name="_Toc31634"/>
      <w:bookmarkStart w:id="447" w:name="_Toc9829"/>
      <w:bookmarkStart w:id="448" w:name="_Toc487900351"/>
      <w:bookmarkStart w:id="449" w:name="_Toc259093671"/>
      <w:bookmarkStart w:id="450" w:name="_Toc27853"/>
      <w:r>
        <w:rPr>
          <w:rFonts w:hint="eastAsia" w:ascii="宋体" w:hAnsi="宋体" w:cs="宋体"/>
          <w:b/>
          <w:color w:val="auto"/>
          <w:sz w:val="24"/>
          <w:highlight w:val="none"/>
        </w:rPr>
        <w:t>2.3 知识产权</w:t>
      </w:r>
      <w:bookmarkEnd w:id="445"/>
      <w:bookmarkEnd w:id="446"/>
      <w:bookmarkEnd w:id="447"/>
      <w:bookmarkEnd w:id="448"/>
      <w:bookmarkEnd w:id="449"/>
      <w:bookmarkEnd w:id="45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1" w:name="_Toc11932"/>
      <w:bookmarkStart w:id="452" w:name="_Toc29149"/>
      <w:bookmarkStart w:id="453" w:name="_Toc4194"/>
      <w:r>
        <w:rPr>
          <w:rFonts w:hint="eastAsia" w:ascii="宋体" w:hAnsi="宋体" w:cs="宋体"/>
          <w:b/>
          <w:color w:val="auto"/>
          <w:sz w:val="24"/>
          <w:highlight w:val="none"/>
        </w:rPr>
        <w:t>2.4 包装和装运</w:t>
      </w:r>
      <w:bookmarkEnd w:id="451"/>
      <w:bookmarkEnd w:id="452"/>
      <w:bookmarkEnd w:id="45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54" w:name="_Ref467379542"/>
      <w:bookmarkStart w:id="455" w:name="_Ref467379536"/>
      <w:bookmarkStart w:id="456" w:name="_Ref467378591"/>
      <w:bookmarkStart w:id="457" w:name="_Toc279701245"/>
      <w:bookmarkStart w:id="458" w:name="_Toc487900354"/>
      <w:bookmarkStart w:id="459" w:name="_Toc259093674"/>
      <w:bookmarkStart w:id="460" w:name="_Ref467379527"/>
      <w:bookmarkStart w:id="461" w:name="_Ref467378541"/>
      <w:bookmarkStart w:id="462" w:name="_Toc30272"/>
      <w:bookmarkStart w:id="463" w:name="_Toc26182"/>
      <w:bookmarkStart w:id="464" w:name="_Toc19074"/>
      <w:r>
        <w:rPr>
          <w:rFonts w:hint="eastAsia" w:ascii="宋体" w:hAnsi="宋体" w:cs="宋体"/>
          <w:b/>
          <w:color w:val="auto"/>
          <w:sz w:val="24"/>
          <w:highlight w:val="none"/>
        </w:rPr>
        <w:t>2.</w:t>
      </w:r>
      <w:bookmarkEnd w:id="454"/>
      <w:bookmarkEnd w:id="455"/>
      <w:bookmarkEnd w:id="456"/>
      <w:bookmarkEnd w:id="457"/>
      <w:bookmarkEnd w:id="458"/>
      <w:bookmarkEnd w:id="459"/>
      <w:bookmarkEnd w:id="460"/>
      <w:bookmarkEnd w:id="461"/>
      <w:r>
        <w:rPr>
          <w:rFonts w:hint="eastAsia" w:ascii="宋体" w:hAnsi="宋体" w:cs="宋体"/>
          <w:b/>
          <w:color w:val="auto"/>
          <w:sz w:val="24"/>
          <w:highlight w:val="none"/>
        </w:rPr>
        <w:t>5 履约检查和问题反馈</w:t>
      </w:r>
      <w:bookmarkEnd w:id="462"/>
      <w:bookmarkEnd w:id="463"/>
      <w:bookmarkEnd w:id="464"/>
    </w:p>
    <w:p>
      <w:pPr>
        <w:spacing w:line="560" w:lineRule="exact"/>
        <w:ind w:firstLine="480" w:firstLineChars="200"/>
        <w:rPr>
          <w:rFonts w:ascii="宋体" w:hAnsi="宋体" w:cs="宋体"/>
          <w:color w:val="auto"/>
          <w:sz w:val="24"/>
          <w:highlight w:val="none"/>
        </w:rPr>
      </w:pPr>
      <w:bookmarkStart w:id="465" w:name="_Ref467379657"/>
      <w:r>
        <w:rPr>
          <w:rFonts w:hint="eastAsia" w:ascii="宋体" w:hAnsi="宋体" w:cs="宋体"/>
          <w:color w:val="auto"/>
          <w:sz w:val="24"/>
          <w:highlight w:val="none"/>
        </w:rPr>
        <w:t>2.5.1</w:t>
      </w:r>
      <w:bookmarkEnd w:id="465"/>
      <w:bookmarkStart w:id="466" w:name="_Toc186431854"/>
      <w:bookmarkStart w:id="467" w:name="_Ref467379807"/>
      <w:bookmarkStart w:id="468" w:name="_Toc279701247"/>
      <w:bookmarkStart w:id="469" w:name="_Ref467379793"/>
      <w:bookmarkStart w:id="470" w:name="_Toc259093676"/>
      <w:bookmarkStart w:id="471"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6"/>
      <w:bookmarkStart w:id="472" w:name="_Toc186431855"/>
      <w:r>
        <w:rPr>
          <w:rFonts w:hint="eastAsia" w:ascii="宋体" w:hAnsi="宋体" w:cs="宋体"/>
          <w:color w:val="auto"/>
          <w:sz w:val="24"/>
          <w:highlight w:val="none"/>
        </w:rPr>
        <w:t>。</w:t>
      </w:r>
    </w:p>
    <w:bookmarkEnd w:id="467"/>
    <w:bookmarkEnd w:id="468"/>
    <w:bookmarkEnd w:id="469"/>
    <w:bookmarkEnd w:id="470"/>
    <w:bookmarkEnd w:id="471"/>
    <w:bookmarkEnd w:id="472"/>
    <w:p>
      <w:pPr>
        <w:spacing w:line="560" w:lineRule="exact"/>
        <w:ind w:firstLine="482" w:firstLineChars="200"/>
        <w:outlineLvl w:val="0"/>
        <w:rPr>
          <w:rFonts w:ascii="宋体" w:hAnsi="宋体" w:cs="宋体"/>
          <w:b/>
          <w:color w:val="auto"/>
          <w:sz w:val="24"/>
          <w:highlight w:val="none"/>
        </w:rPr>
      </w:pPr>
      <w:bookmarkStart w:id="473" w:name="_Ref467379852"/>
      <w:bookmarkStart w:id="474" w:name="_Toc487900358"/>
      <w:bookmarkStart w:id="475" w:name="_Ref467379863"/>
      <w:bookmarkStart w:id="476" w:name="_Toc259093677"/>
      <w:bookmarkStart w:id="477" w:name="_Toc279701248"/>
      <w:bookmarkStart w:id="478" w:name="_Ref467379923"/>
      <w:bookmarkStart w:id="479" w:name="_Toc16110"/>
      <w:bookmarkStart w:id="480" w:name="_Toc774"/>
      <w:bookmarkStart w:id="481" w:name="_Toc3225"/>
      <w:r>
        <w:rPr>
          <w:rFonts w:hint="eastAsia" w:ascii="宋体" w:hAnsi="宋体" w:cs="宋体"/>
          <w:b/>
          <w:color w:val="auto"/>
          <w:sz w:val="24"/>
          <w:highlight w:val="none"/>
        </w:rPr>
        <w:t>2.6 技术资料</w:t>
      </w:r>
      <w:bookmarkEnd w:id="473"/>
      <w:bookmarkEnd w:id="474"/>
      <w:bookmarkEnd w:id="475"/>
      <w:bookmarkEnd w:id="476"/>
      <w:bookmarkEnd w:id="477"/>
      <w:bookmarkEnd w:id="478"/>
      <w:r>
        <w:rPr>
          <w:rFonts w:hint="eastAsia" w:ascii="宋体" w:hAnsi="宋体" w:cs="宋体"/>
          <w:b/>
          <w:color w:val="auto"/>
          <w:sz w:val="24"/>
          <w:highlight w:val="none"/>
        </w:rPr>
        <w:t>和保密义务</w:t>
      </w:r>
      <w:bookmarkEnd w:id="479"/>
      <w:bookmarkEnd w:id="480"/>
      <w:bookmarkEnd w:id="48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482" w:name="_Toc7860"/>
      <w:r>
        <w:rPr>
          <w:rFonts w:hint="eastAsia" w:ascii="宋体" w:hAnsi="宋体" w:cs="宋体"/>
          <w:b/>
          <w:color w:val="auto"/>
          <w:sz w:val="24"/>
          <w:highlight w:val="none"/>
        </w:rPr>
        <w:t>2.7 质量保证</w:t>
      </w:r>
      <w:bookmarkEnd w:id="48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483" w:name="_Toc17244"/>
      <w:bookmarkStart w:id="484" w:name="_Toc279701252"/>
      <w:bookmarkStart w:id="485" w:name="_Toc487900362"/>
      <w:bookmarkStart w:id="486" w:name="_Toc259093681"/>
      <w:r>
        <w:rPr>
          <w:rFonts w:hint="eastAsia" w:ascii="宋体" w:hAnsi="宋体" w:cs="宋体"/>
          <w:b/>
          <w:color w:val="auto"/>
          <w:sz w:val="24"/>
          <w:highlight w:val="none"/>
        </w:rPr>
        <w:t>2.8 货物的风险负担</w:t>
      </w:r>
      <w:bookmarkEnd w:id="483"/>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87" w:name="_Toc14055"/>
      <w:r>
        <w:rPr>
          <w:rFonts w:hint="eastAsia" w:ascii="宋体" w:hAnsi="宋体" w:cs="宋体"/>
          <w:b/>
          <w:color w:val="auto"/>
          <w:sz w:val="24"/>
          <w:highlight w:val="none"/>
        </w:rPr>
        <w:t>2.9 延迟交货</w:t>
      </w:r>
      <w:bookmarkEnd w:id="484"/>
      <w:bookmarkEnd w:id="485"/>
      <w:bookmarkEnd w:id="486"/>
      <w:bookmarkEnd w:id="487"/>
    </w:p>
    <w:p>
      <w:pPr>
        <w:spacing w:line="560" w:lineRule="exact"/>
        <w:ind w:firstLine="480" w:firstLineChars="200"/>
        <w:rPr>
          <w:rFonts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488" w:name="_Toc7502"/>
      <w:bookmarkStart w:id="489" w:name="_Toc259093683"/>
      <w:bookmarkStart w:id="490" w:name="_Toc279701254"/>
      <w:bookmarkStart w:id="491" w:name="_Toc487900364"/>
      <w:bookmarkStart w:id="492" w:name="_Ref467378121"/>
      <w:r>
        <w:rPr>
          <w:rFonts w:hint="eastAsia" w:ascii="宋体" w:hAnsi="宋体" w:cs="宋体"/>
          <w:b/>
          <w:color w:val="auto"/>
          <w:sz w:val="24"/>
          <w:highlight w:val="none"/>
        </w:rPr>
        <w:t>2.10 合同变更</w:t>
      </w:r>
      <w:bookmarkEnd w:id="48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3" w:name="_Toc279701259"/>
      <w:bookmarkStart w:id="494" w:name="_Toc487900369"/>
      <w:bookmarkStart w:id="495" w:name="_Toc259093688"/>
    </w:p>
    <w:p>
      <w:pPr>
        <w:spacing w:line="560" w:lineRule="exact"/>
        <w:ind w:firstLine="482" w:firstLineChars="200"/>
        <w:outlineLvl w:val="0"/>
        <w:rPr>
          <w:rFonts w:ascii="宋体" w:hAnsi="宋体" w:cs="宋体"/>
          <w:b/>
          <w:color w:val="auto"/>
          <w:sz w:val="24"/>
          <w:highlight w:val="none"/>
        </w:rPr>
      </w:pPr>
      <w:bookmarkStart w:id="496" w:name="_Toc10366"/>
      <w:bookmarkStart w:id="497" w:name="_Toc15237"/>
      <w:bookmarkStart w:id="498" w:name="_Toc22955"/>
      <w:r>
        <w:rPr>
          <w:rFonts w:hint="eastAsia" w:ascii="宋体" w:hAnsi="宋体" w:cs="宋体"/>
          <w:b/>
          <w:color w:val="auto"/>
          <w:sz w:val="24"/>
          <w:highlight w:val="none"/>
        </w:rPr>
        <w:t>2.11 合同转让</w:t>
      </w:r>
      <w:bookmarkEnd w:id="493"/>
      <w:bookmarkEnd w:id="494"/>
      <w:bookmarkEnd w:id="495"/>
      <w:r>
        <w:rPr>
          <w:rFonts w:hint="eastAsia" w:ascii="宋体" w:hAnsi="宋体" w:cs="宋体"/>
          <w:b/>
          <w:color w:val="auto"/>
          <w:sz w:val="24"/>
          <w:highlight w:val="none"/>
        </w:rPr>
        <w:t>和分包</w:t>
      </w:r>
      <w:bookmarkEnd w:id="496"/>
      <w:bookmarkEnd w:id="497"/>
      <w:bookmarkEnd w:id="49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499" w:name="_Toc14066"/>
      <w:bookmarkStart w:id="500" w:name="_Toc13566"/>
      <w:bookmarkStart w:id="501" w:name="_Toc16508"/>
      <w:r>
        <w:rPr>
          <w:rFonts w:hint="eastAsia" w:ascii="宋体" w:hAnsi="宋体" w:cs="宋体"/>
          <w:b/>
          <w:color w:val="auto"/>
          <w:sz w:val="24"/>
          <w:highlight w:val="none"/>
        </w:rPr>
        <w:t>2.12 不可抗力</w:t>
      </w:r>
      <w:bookmarkEnd w:id="499"/>
      <w:bookmarkEnd w:id="500"/>
      <w:bookmarkEnd w:id="5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502" w:name="_Toc487900365"/>
      <w:bookmarkStart w:id="503" w:name="_Toc689"/>
      <w:bookmarkStart w:id="504" w:name="_Toc6969"/>
      <w:bookmarkStart w:id="505" w:name="_Toc30676"/>
      <w:bookmarkStart w:id="506" w:name="_Toc279701255"/>
      <w:bookmarkStart w:id="507" w:name="_Toc259093684"/>
      <w:r>
        <w:rPr>
          <w:rFonts w:hint="eastAsia" w:ascii="宋体" w:hAnsi="宋体" w:cs="宋体"/>
          <w:b/>
          <w:color w:val="auto"/>
          <w:sz w:val="24"/>
          <w:highlight w:val="none"/>
        </w:rPr>
        <w:t>2.13 税费</w:t>
      </w:r>
      <w:bookmarkEnd w:id="502"/>
      <w:bookmarkEnd w:id="503"/>
      <w:bookmarkEnd w:id="504"/>
      <w:bookmarkEnd w:id="505"/>
      <w:bookmarkEnd w:id="506"/>
      <w:bookmarkEnd w:id="507"/>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508" w:name="_Toc16959"/>
      <w:bookmarkStart w:id="509" w:name="_Toc8298"/>
      <w:bookmarkStart w:id="510" w:name="_Toc487900368"/>
      <w:bookmarkStart w:id="511" w:name="_Toc259093687"/>
      <w:bookmarkStart w:id="512" w:name="_Toc279701258"/>
      <w:bookmarkStart w:id="513" w:name="_Toc7102"/>
      <w:r>
        <w:rPr>
          <w:rFonts w:hint="eastAsia" w:ascii="宋体" w:hAnsi="宋体" w:cs="宋体"/>
          <w:b/>
          <w:color w:val="auto"/>
          <w:sz w:val="24"/>
          <w:highlight w:val="none"/>
        </w:rPr>
        <w:t>2.14乙方破产</w:t>
      </w:r>
      <w:bookmarkEnd w:id="508"/>
      <w:bookmarkEnd w:id="509"/>
      <w:bookmarkEnd w:id="510"/>
      <w:bookmarkEnd w:id="511"/>
      <w:bookmarkEnd w:id="512"/>
      <w:bookmarkEnd w:id="51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514" w:name="_Toc15387"/>
      <w:bookmarkStart w:id="515" w:name="_Toc6134"/>
      <w:bookmarkStart w:id="516" w:name="_Toc29333"/>
      <w:r>
        <w:rPr>
          <w:rFonts w:hint="eastAsia" w:ascii="宋体" w:hAnsi="宋体" w:cs="宋体"/>
          <w:b/>
          <w:color w:val="auto"/>
          <w:sz w:val="24"/>
          <w:highlight w:val="none"/>
        </w:rPr>
        <w:t>2.15 合同中止、终止</w:t>
      </w:r>
      <w:bookmarkEnd w:id="514"/>
      <w:bookmarkEnd w:id="515"/>
      <w:bookmarkEnd w:id="51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517" w:name="_Toc14563"/>
      <w:bookmarkStart w:id="518" w:name="_Toc1125"/>
      <w:bookmarkStart w:id="519" w:name="_Toc6596"/>
      <w:r>
        <w:rPr>
          <w:rFonts w:hint="eastAsia" w:ascii="宋体" w:hAnsi="宋体" w:cs="宋体"/>
          <w:b/>
          <w:color w:val="auto"/>
          <w:sz w:val="24"/>
          <w:highlight w:val="none"/>
        </w:rPr>
        <w:t>2.16检验和验收</w:t>
      </w:r>
      <w:bookmarkEnd w:id="517"/>
      <w:bookmarkEnd w:id="518"/>
      <w:bookmarkEnd w:id="519"/>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9"/>
    <w:bookmarkEnd w:id="490"/>
    <w:bookmarkEnd w:id="491"/>
    <w:bookmarkEnd w:id="492"/>
    <w:p>
      <w:pPr>
        <w:spacing w:line="560" w:lineRule="exact"/>
        <w:ind w:firstLine="482" w:firstLineChars="200"/>
        <w:outlineLvl w:val="0"/>
        <w:rPr>
          <w:rFonts w:ascii="宋体" w:hAnsi="宋体" w:cs="宋体"/>
          <w:b/>
          <w:color w:val="auto"/>
          <w:sz w:val="24"/>
          <w:highlight w:val="none"/>
        </w:rPr>
      </w:pPr>
      <w:bookmarkStart w:id="520" w:name="_Toc279701261"/>
      <w:bookmarkStart w:id="521" w:name="_Toc259093690"/>
      <w:bookmarkStart w:id="522" w:name="_Toc487900371"/>
      <w:bookmarkStart w:id="523" w:name="_Toc11284"/>
      <w:bookmarkStart w:id="524" w:name="_Toc25182"/>
      <w:bookmarkStart w:id="525" w:name="_Toc19604"/>
      <w:r>
        <w:rPr>
          <w:rFonts w:hint="eastAsia" w:ascii="宋体" w:hAnsi="宋体" w:cs="宋体"/>
          <w:b/>
          <w:color w:val="auto"/>
          <w:sz w:val="24"/>
          <w:highlight w:val="none"/>
        </w:rPr>
        <w:t>2.17 通知</w:t>
      </w:r>
      <w:bookmarkEnd w:id="520"/>
      <w:bookmarkEnd w:id="521"/>
      <w:bookmarkEnd w:id="522"/>
      <w:r>
        <w:rPr>
          <w:rFonts w:hint="eastAsia" w:ascii="宋体" w:hAnsi="宋体" w:cs="宋体"/>
          <w:b/>
          <w:color w:val="auto"/>
          <w:sz w:val="24"/>
          <w:highlight w:val="none"/>
        </w:rPr>
        <w:t>和送达</w:t>
      </w:r>
      <w:bookmarkEnd w:id="523"/>
      <w:bookmarkEnd w:id="524"/>
      <w:bookmarkEnd w:id="525"/>
    </w:p>
    <w:p>
      <w:pPr>
        <w:spacing w:line="560" w:lineRule="exact"/>
        <w:ind w:firstLine="480" w:firstLineChars="200"/>
        <w:rPr>
          <w:rFonts w:ascii="宋体" w:hAnsi="宋体" w:cs="宋体"/>
          <w:color w:val="auto"/>
          <w:sz w:val="24"/>
          <w:highlight w:val="none"/>
        </w:rPr>
      </w:pPr>
      <w:bookmarkStart w:id="526" w:name="_Toc3135"/>
      <w:bookmarkStart w:id="527" w:name="_Toc6698"/>
      <w:bookmarkStart w:id="528" w:name="_Toc279701262"/>
      <w:bookmarkStart w:id="529" w:name="_Toc259093691"/>
      <w:bookmarkStart w:id="530"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6"/>
      <w:bookmarkEnd w:id="527"/>
    </w:p>
    <w:p>
      <w:pPr>
        <w:spacing w:line="560" w:lineRule="exact"/>
        <w:ind w:firstLine="480" w:firstLineChars="200"/>
        <w:rPr>
          <w:rFonts w:ascii="宋体" w:hAnsi="宋体" w:cs="宋体"/>
          <w:color w:val="auto"/>
          <w:sz w:val="24"/>
          <w:highlight w:val="none"/>
        </w:rPr>
      </w:pPr>
      <w:bookmarkStart w:id="531" w:name="_Toc23128"/>
      <w:bookmarkStart w:id="532"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560" w:lineRule="exact"/>
        <w:ind w:firstLine="482" w:firstLineChars="200"/>
        <w:outlineLvl w:val="0"/>
        <w:rPr>
          <w:rFonts w:ascii="宋体" w:hAnsi="宋体" w:cs="宋体"/>
          <w:b/>
          <w:color w:val="auto"/>
          <w:sz w:val="24"/>
          <w:highlight w:val="none"/>
        </w:rPr>
      </w:pPr>
      <w:bookmarkStart w:id="533" w:name="_Toc4355"/>
      <w:bookmarkStart w:id="534" w:name="_Toc30599"/>
      <w:bookmarkStart w:id="535" w:name="_Toc18540"/>
      <w:r>
        <w:rPr>
          <w:rFonts w:hint="eastAsia" w:ascii="宋体" w:hAnsi="宋体" w:cs="宋体"/>
          <w:b/>
          <w:color w:val="auto"/>
          <w:sz w:val="24"/>
          <w:highlight w:val="none"/>
        </w:rPr>
        <w:t>2.18 计量单位</w:t>
      </w:r>
      <w:bookmarkEnd w:id="528"/>
      <w:bookmarkEnd w:id="529"/>
      <w:bookmarkEnd w:id="530"/>
      <w:bookmarkEnd w:id="533"/>
      <w:bookmarkEnd w:id="534"/>
      <w:bookmarkEnd w:id="53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536" w:name="_Toc12773"/>
      <w:bookmarkStart w:id="537" w:name="_Toc18567"/>
      <w:bookmarkStart w:id="538" w:name="_Toc259093692"/>
      <w:bookmarkStart w:id="539" w:name="_Toc279701263"/>
      <w:bookmarkStart w:id="540" w:name="_Toc487900373"/>
      <w:bookmarkStart w:id="541" w:name="_Toc10330"/>
      <w:r>
        <w:rPr>
          <w:rFonts w:hint="eastAsia" w:ascii="宋体" w:hAnsi="宋体" w:cs="宋体"/>
          <w:b/>
          <w:color w:val="auto"/>
          <w:sz w:val="24"/>
          <w:highlight w:val="none"/>
        </w:rPr>
        <w:t>2.19 合同使用的文字和适用的法律</w:t>
      </w:r>
      <w:bookmarkEnd w:id="536"/>
      <w:bookmarkEnd w:id="537"/>
      <w:bookmarkEnd w:id="538"/>
      <w:bookmarkEnd w:id="539"/>
      <w:bookmarkEnd w:id="540"/>
      <w:bookmarkEnd w:id="54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542" w:name="_Toc6885"/>
      <w:bookmarkStart w:id="543" w:name="_Toc19890"/>
      <w:bookmarkStart w:id="544" w:name="_Toc14001"/>
      <w:r>
        <w:rPr>
          <w:rFonts w:hint="eastAsia" w:ascii="宋体" w:hAnsi="宋体" w:cs="宋体"/>
          <w:b/>
          <w:color w:val="auto"/>
          <w:sz w:val="24"/>
          <w:highlight w:val="none"/>
        </w:rPr>
        <w:t>2.20 合同份数</w:t>
      </w:r>
      <w:bookmarkEnd w:id="542"/>
      <w:bookmarkEnd w:id="543"/>
      <w:bookmarkEnd w:id="54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adjustRightInd/>
        <w:spacing w:line="360" w:lineRule="auto"/>
        <w:ind w:firstLine="2513" w:firstLineChars="1197"/>
        <w:outlineLvl w:val="0"/>
        <w:rPr>
          <w:rFonts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pPr>
              <w:spacing w:line="360" w:lineRule="auto"/>
              <w:rPr>
                <w:rFonts w:ascii="宋体" w:hAnsi="宋体" w:cs="宋体"/>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pPr>
              <w:spacing w:line="360" w:lineRule="auto"/>
              <w:rPr>
                <w:rFonts w:ascii="宋体" w:hAnsi="宋体" w:cs="宋体"/>
                <w:color w:val="auto"/>
                <w:sz w:val="24"/>
                <w:highlight w:val="none"/>
              </w:rPr>
            </w:pP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5"/>
        <w:rPr>
          <w:color w:val="auto"/>
          <w:highlight w:val="none"/>
        </w:rPr>
      </w:pPr>
    </w:p>
    <w:p>
      <w:pPr>
        <w:rPr>
          <w:color w:val="auto"/>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val="en-US" w:eastAsia="zh-CN"/>
        </w:rPr>
        <w:t xml:space="preserve">  (项目名称）</w:t>
      </w:r>
      <w:r>
        <w:rPr>
          <w:rFonts w:hint="eastAsia" w:ascii="宋体" w:hAnsi="宋体" w:cs="宋体"/>
          <w:color w:val="auto"/>
          <w:sz w:val="24"/>
          <w:highlight w:val="none"/>
        </w:rPr>
        <w:t>【招标编号：】政府采购活动，郑重承诺：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hint="eastAsia" w:ascii="宋体" w:hAnsi="宋体" w:cs="宋体"/>
          <w:color w:val="auto"/>
          <w:kern w:val="0"/>
          <w:sz w:val="24"/>
          <w:highlight w:val="none"/>
          <w:lang w:val="zh-CN"/>
        </w:rPr>
      </w:pPr>
    </w:p>
    <w:p>
      <w:pPr>
        <w:snapToGrid w:val="0"/>
        <w:spacing w:line="360" w:lineRule="auto"/>
        <w:ind w:right="480" w:firstLine="559" w:firstLineChars="233"/>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snapToGrid w:val="0"/>
        <w:spacing w:before="50" w:after="50"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b/>
          <w:color w:val="auto"/>
          <w:sz w:val="24"/>
          <w:highlight w:val="none"/>
        </w:rPr>
        <w:t xml:space="preserve">    </w:t>
      </w:r>
    </w:p>
    <w:p>
      <w:pPr>
        <w:widowControl/>
        <w:spacing w:line="360" w:lineRule="auto"/>
        <w:ind w:left="15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sz w:val="24"/>
          <w:highlight w:val="none"/>
          <w:lang w:val="en-US" w:eastAsia="zh-CN"/>
        </w:rPr>
        <w:t xml:space="preserve"> </w:t>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widowControl/>
        <w:adjustRightInd/>
        <w:jc w:val="left"/>
        <w:rPr>
          <w:rFonts w:hint="eastAsia" w:ascii="宋体" w:hAnsi="宋体" w:eastAsia="宋体" w:cs="宋体"/>
          <w:b/>
          <w:color w:val="auto"/>
          <w:kern w:val="0"/>
          <w:sz w:val="32"/>
          <w:szCs w:val="32"/>
          <w:highlight w:val="none"/>
          <w:lang w:val="en-US" w:eastAsia="zh-CN"/>
        </w:rPr>
      </w:pPr>
    </w:p>
    <w:p>
      <w:pPr>
        <w:widowControl/>
        <w:adjustRightInd/>
        <w:jc w:val="left"/>
        <w:rPr>
          <w:rFonts w:hint="eastAsia" w:ascii="宋体" w:hAnsi="宋体" w:eastAsia="宋体" w:cs="宋体"/>
          <w:b/>
          <w:color w:val="auto"/>
          <w:kern w:val="0"/>
          <w:sz w:val="32"/>
          <w:szCs w:val="32"/>
          <w:highlight w:val="none"/>
          <w:lang w:val="en-US" w:eastAsia="zh-CN"/>
        </w:rPr>
      </w:pPr>
    </w:p>
    <w:p>
      <w:pPr>
        <w:widowControl/>
        <w:adjustRightInd/>
        <w:jc w:val="left"/>
        <w:rPr>
          <w:rFonts w:hint="eastAsia" w:ascii="宋体" w:hAnsi="宋体" w:eastAsia="宋体" w:cs="宋体"/>
          <w:b/>
          <w:color w:val="auto"/>
          <w:kern w:val="0"/>
          <w:sz w:val="32"/>
          <w:szCs w:val="32"/>
          <w:highlight w:val="none"/>
          <w:lang w:val="en-US" w:eastAsia="zh-CN"/>
        </w:rPr>
      </w:pPr>
    </w:p>
    <w:p>
      <w:pPr>
        <w:widowControl/>
        <w:adjustRightInd/>
        <w:jc w:val="left"/>
        <w:rPr>
          <w:rFonts w:hint="eastAsia" w:ascii="宋体" w:hAnsi="宋体" w:eastAsia="宋体" w:cs="宋体"/>
          <w:b/>
          <w:color w:val="auto"/>
          <w:kern w:val="0"/>
          <w:sz w:val="32"/>
          <w:szCs w:val="32"/>
          <w:highlight w:val="none"/>
          <w:lang w:val="en-US" w:eastAsia="zh-CN"/>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val="en-US" w:eastAsia="zh-CN"/>
        </w:rPr>
        <w:t xml:space="preserve">  (项目名称）</w:t>
      </w:r>
      <w:r>
        <w:rPr>
          <w:rFonts w:hint="eastAsia" w:ascii="宋体" w:hAnsi="宋体" w:cs="宋体"/>
          <w:color w:val="auto"/>
          <w:sz w:val="24"/>
          <w:highlight w:val="none"/>
        </w:rPr>
        <w:t>【招标编号：】招标的有关活动，并对此项目进行投标。为此：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2</w:t>
      </w: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b/>
          <w:color w:val="auto"/>
          <w:kern w:val="0"/>
          <w:sz w:val="32"/>
          <w:szCs w:val="32"/>
          <w:highlight w:val="none"/>
          <w:lang w:val="en-US" w:eastAsia="zh-CN"/>
        </w:rPr>
        <w:t xml:space="preserve"> </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val="en-US" w:eastAsia="zh-CN"/>
        </w:rPr>
        <w:t xml:space="preserve">  (项目名称）</w:t>
      </w:r>
      <w:r>
        <w:rPr>
          <w:rFonts w:hint="eastAsia" w:ascii="宋体" w:hAnsi="宋体" w:cs="宋体"/>
          <w:color w:val="auto"/>
          <w:sz w:val="24"/>
          <w:highlight w:val="none"/>
        </w:rPr>
        <w:t>【招标编号：】</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kern w:val="0"/>
          <w:sz w:val="32"/>
          <w:szCs w:val="32"/>
          <w:highlight w:val="none"/>
          <w:lang w:val="zh-CN" w:eastAsia="zh-CN"/>
        </w:rPr>
      </w:pPr>
      <w:r>
        <w:rPr>
          <w:rFonts w:hint="eastAsia" w:ascii="宋体" w:hAnsi="宋体" w:cs="宋体"/>
          <w:b/>
          <w:color w:val="auto"/>
          <w:kern w:val="0"/>
          <w:sz w:val="32"/>
          <w:szCs w:val="32"/>
          <w:highlight w:val="none"/>
          <w:lang w:val="en-US" w:eastAsia="zh-CN"/>
        </w:rPr>
        <w:t xml:space="preserve"> </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8"/>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bookmarkStart w:id="545"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5"/>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p>
    <w:p>
      <w:pPr>
        <w:pStyle w:val="5"/>
        <w:rPr>
          <w:color w:val="auto"/>
          <w:highlight w:val="none"/>
          <w:lang w:val="en-US"/>
        </w:rPr>
      </w:pPr>
    </w:p>
    <w:p>
      <w:pPr>
        <w:rPr>
          <w:color w:val="auto"/>
          <w:highlight w:val="none"/>
        </w:rPr>
      </w:pPr>
    </w:p>
    <w:p>
      <w:pPr>
        <w:pStyle w:val="5"/>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 xml:space="preserve"> </w:t>
      </w:r>
      <w:r>
        <w:rPr>
          <w:rFonts w:hint="eastAsia" w:ascii="宋体" w:hAnsi="宋体" w:cs="宋体"/>
          <w:color w:val="auto"/>
          <w:sz w:val="24"/>
          <w:highlight w:val="none"/>
          <w:u w:val="single"/>
          <w:lang w:val="en-US" w:eastAsia="zh-CN"/>
        </w:rPr>
        <w:t xml:space="preserve">  (项目名称）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p>
        </w:tc>
        <w:tc>
          <w:tcPr>
            <w:tcW w:w="1417" w:type="dxa"/>
            <w:vAlign w:val="center"/>
          </w:tcPr>
          <w:p>
            <w:pPr>
              <w:snapToGrid w:val="0"/>
              <w:spacing w:line="360" w:lineRule="auto"/>
              <w:jc w:val="center"/>
              <w:rPr>
                <w:rFonts w:ascii="宋体" w:hAnsi="宋体" w:cs="宋体"/>
                <w:color w:val="auto"/>
                <w:sz w:val="24"/>
                <w:highlight w:val="none"/>
              </w:rPr>
            </w:pPr>
          </w:p>
        </w:tc>
        <w:tc>
          <w:tcPr>
            <w:tcW w:w="1843" w:type="dxa"/>
            <w:vAlign w:val="center"/>
          </w:tcPr>
          <w:p>
            <w:pPr>
              <w:snapToGrid w:val="0"/>
              <w:spacing w:line="360" w:lineRule="auto"/>
              <w:jc w:val="center"/>
              <w:rPr>
                <w:rFonts w:ascii="宋体" w:hAnsi="宋体" w:cs="宋体"/>
                <w:color w:val="auto"/>
                <w:sz w:val="24"/>
                <w:highlight w:val="none"/>
              </w:rPr>
            </w:pPr>
          </w:p>
        </w:tc>
        <w:tc>
          <w:tcPr>
            <w:tcW w:w="3118" w:type="dxa"/>
            <w:vAlign w:val="center"/>
          </w:tcPr>
          <w:p>
            <w:pPr>
              <w:snapToGrid w:val="0"/>
              <w:spacing w:line="360" w:lineRule="auto"/>
              <w:jc w:val="center"/>
              <w:rPr>
                <w:rFonts w:ascii="宋体" w:hAnsi="宋体" w:cs="宋体"/>
                <w:color w:val="auto"/>
                <w:sz w:val="24"/>
                <w:highlight w:val="none"/>
              </w:rPr>
            </w:pPr>
          </w:p>
        </w:tc>
        <w:tc>
          <w:tcPr>
            <w:tcW w:w="993"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5、特别说明：▲供应商报价低于项目预算50%的，应当在报价文件中详细阐述不影响产品质量或者诚信履约的具体原因，未做阐述说明的，投标无效。</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46" w:name="_Hlk101259491"/>
      <w:r>
        <w:rPr>
          <w:rFonts w:hint="eastAsia" w:ascii="宋体" w:hAnsi="宋体" w:eastAsia="宋体" w:cs="宋体"/>
          <w:color w:val="auto"/>
          <w:sz w:val="32"/>
          <w:szCs w:val="32"/>
          <w:highlight w:val="none"/>
        </w:rPr>
        <w:t>（如果有）</w:t>
      </w:r>
      <w:bookmarkEnd w:id="546"/>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547" w:name="_Toc465665161"/>
      <w:r>
        <w:rPr>
          <w:rFonts w:hint="eastAsia" w:ascii="宋体" w:hAnsi="宋体" w:cs="宋体"/>
          <w:color w:val="auto"/>
          <w:highlight w:val="none"/>
        </w:rPr>
        <w:t>附件</w:t>
      </w:r>
      <w:bookmarkEnd w:id="547"/>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48" w:name="OLE_LINK13"/>
      <w:bookmarkStart w:id="549" w:name="OLE_LINK14"/>
      <w:r>
        <w:rPr>
          <w:rFonts w:hint="eastAsia" w:ascii="宋体" w:hAnsi="宋体" w:cs="宋体"/>
          <w:b/>
          <w:color w:val="auto"/>
          <w:spacing w:val="6"/>
          <w:sz w:val="32"/>
          <w:szCs w:val="32"/>
          <w:highlight w:val="none"/>
        </w:rPr>
        <w:t>残疾人福利性单位声明函</w:t>
      </w:r>
    </w:p>
    <w:bookmarkEnd w:id="548"/>
    <w:bookmarkEnd w:id="54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lang w:val="en-US" w:eastAsia="zh-CN"/>
        </w:rPr>
        <w:t xml:space="preserve">  (项目名称）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rPr>
          <w:rFonts w:ascii="宋体" w:hAnsi="宋体" w:cs="宋体"/>
          <w:b/>
          <w:color w:val="auto"/>
          <w:spacing w:val="6"/>
          <w:sz w:val="32"/>
          <w:szCs w:val="32"/>
          <w:highlight w:val="none"/>
        </w:rPr>
      </w:pPr>
    </w:p>
    <w:p>
      <w:pPr>
        <w:autoSpaceDE w:val="0"/>
        <w:autoSpaceDN w:val="0"/>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lang w:val="en-US" w:eastAsia="zh-CN"/>
        </w:rPr>
        <w:t xml:space="preserve">  (项目名称）</w:t>
      </w:r>
      <w:r>
        <w:rPr>
          <w:rFonts w:hint="eastAsia" w:ascii="宋体" w:hAnsi="宋体" w:cs="宋体"/>
          <w:color w:val="auto"/>
          <w:sz w:val="24"/>
          <w:highlight w:val="none"/>
        </w:rPr>
        <w:t>【招标编号：】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both"/>
        <w:rPr>
          <w:rFonts w:ascii="宋体" w:hAnsi="宋体" w:cs="宋体"/>
          <w:b/>
          <w:color w:val="auto"/>
          <w:spacing w:val="6"/>
          <w:sz w:val="32"/>
          <w:szCs w:val="32"/>
          <w:highlight w:val="none"/>
        </w:rPr>
      </w:pPr>
    </w:p>
    <w:p>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本公司郑重声明，根据《政府采购促进中小企业发展管理办法》（财库﹝2020﹞46 号）的规定，本公司参加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(项目名称）</w:t>
      </w:r>
      <w:r>
        <w:rPr>
          <w:rFonts w:hint="eastAsia" w:ascii="宋体" w:hAnsi="宋体" w:cs="宋体"/>
          <w:color w:val="auto"/>
          <w:sz w:val="24"/>
          <w:highlight w:val="none"/>
        </w:rPr>
        <w:t xml:space="preserve"> 采购活动，提供的货物全部由符合政策要求的中小企业制造。相关企业（的具体情况如下：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r>
        <w:rPr>
          <w:rFonts w:ascii="宋体" w:hAnsi="宋体" w:cs="宋体"/>
          <w:b/>
          <w:color w:val="auto"/>
          <w:sz w:val="32"/>
          <w:szCs w:val="32"/>
          <w:highlight w:val="none"/>
        </w:rPr>
        <w:br w:type="page"/>
      </w:r>
    </w:p>
    <w:p>
      <w:pPr>
        <w:pStyle w:val="5"/>
        <w:rPr>
          <w:rFonts w:cs="仿宋_GB2312"/>
          <w:color w:val="auto"/>
          <w:sz w:val="24"/>
          <w:highlight w:val="none"/>
        </w:rPr>
      </w:pPr>
      <w:r>
        <w:rPr>
          <w:rFonts w:hint="eastAsia"/>
          <w:color w:val="auto"/>
          <w:highlight w:val="none"/>
        </w:rPr>
        <w:t>附件</w:t>
      </w:r>
      <w:r>
        <w:rPr>
          <w:rFonts w:hint="eastAsia"/>
          <w:color w:val="auto"/>
          <w:highlight w:val="none"/>
          <w:lang w:val="en-US"/>
        </w:rPr>
        <w:t>8</w:t>
      </w:r>
      <w:r>
        <w:rPr>
          <w:rFonts w:hint="eastAsia"/>
          <w:color w:val="auto"/>
          <w:highlight w:val="none"/>
        </w:rPr>
        <w:t>样品（演示）授权委托书</w:t>
      </w:r>
    </w:p>
    <w:p>
      <w:pPr>
        <w:jc w:val="center"/>
        <w:rPr>
          <w:color w:val="auto"/>
          <w:sz w:val="40"/>
          <w:highlight w:val="none"/>
        </w:rPr>
      </w:pPr>
      <w:r>
        <w:rPr>
          <w:rFonts w:hint="eastAsia"/>
          <w:color w:val="auto"/>
          <w:sz w:val="40"/>
          <w:highlight w:val="none"/>
        </w:rPr>
        <w:t>样品（演示）授权委托书</w:t>
      </w:r>
    </w:p>
    <w:p>
      <w:pPr>
        <w:jc w:val="center"/>
        <w:rPr>
          <w:color w:val="auto"/>
          <w:sz w:val="40"/>
          <w:highlight w:val="none"/>
        </w:rPr>
      </w:pPr>
    </w:p>
    <w:p>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pPr>
        <w:snapToGrid w:val="0"/>
        <w:spacing w:line="360" w:lineRule="auto"/>
        <w:rPr>
          <w:rFonts w:cs="仿宋"/>
          <w:color w:val="auto"/>
          <w:highlight w:val="none"/>
          <w:lang w:val="zh-CN"/>
        </w:rPr>
      </w:pPr>
      <w:r>
        <w:rPr>
          <w:rFonts w:hint="eastAsia" w:cs="仿宋"/>
          <w:color w:val="auto"/>
          <w:highlight w:val="none"/>
          <w:lang w:val="zh-CN"/>
        </w:rPr>
        <w:t xml:space="preserve">  </w:t>
      </w:r>
    </w:p>
    <w:p>
      <w:pPr>
        <w:snapToGrid w:val="0"/>
        <w:spacing w:line="360" w:lineRule="auto"/>
        <w:rPr>
          <w:rFonts w:cs="仿宋"/>
          <w:color w:val="auto"/>
          <w:highlight w:val="none"/>
        </w:rPr>
      </w:pPr>
      <w:r>
        <w:rPr>
          <w:rFonts w:hint="eastAsia" w:cs="仿宋"/>
          <w:color w:val="auto"/>
          <w:highlight w:val="none"/>
          <w:lang w:val="zh-CN"/>
        </w:rPr>
        <w:t xml:space="preserve">    特此告知。</w:t>
      </w:r>
    </w:p>
    <w:p>
      <w:pPr>
        <w:snapToGrid w:val="0"/>
        <w:spacing w:line="360" w:lineRule="auto"/>
        <w:rPr>
          <w:rFonts w:cs="仿宋"/>
          <w:color w:val="auto"/>
          <w:highlight w:val="none"/>
        </w:rPr>
      </w:pPr>
      <w:r>
        <w:rPr>
          <w:rFonts w:hint="eastAsia" w:cs="仿宋"/>
          <w:color w:val="auto"/>
          <w:highlight w:val="none"/>
          <w:lang w:val="zh-CN"/>
        </w:rPr>
        <w:t xml:space="preserve">                                                  投标人名称(公章)：</w:t>
      </w:r>
    </w:p>
    <w:p>
      <w:pPr>
        <w:snapToGrid w:val="0"/>
        <w:spacing w:line="360" w:lineRule="auto"/>
        <w:rPr>
          <w:rFonts w:cs="仿宋"/>
          <w:color w:val="auto"/>
          <w:highlight w:val="none"/>
        </w:rPr>
      </w:pPr>
      <w:r>
        <w:rPr>
          <w:rFonts w:hint="eastAsia" w:cs="仿宋"/>
          <w:color w:val="auto"/>
          <w:highlight w:val="none"/>
          <w:lang w:val="zh-CN"/>
        </w:rPr>
        <w:t xml:space="preserve">                                                  </w:t>
      </w:r>
    </w:p>
    <w:p>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pPr>
        <w:snapToGrid w:val="0"/>
        <w:spacing w:line="360" w:lineRule="auto"/>
        <w:ind w:right="240"/>
        <w:jc w:val="right"/>
        <w:rPr>
          <w:rFonts w:cs="仿宋"/>
          <w:color w:val="auto"/>
          <w:highlight w:val="none"/>
          <w:lang w:val="zh-CN"/>
        </w:rPr>
      </w:pPr>
    </w:p>
    <w:p>
      <w:pPr>
        <w:snapToGrid w:val="0"/>
        <w:spacing w:line="360" w:lineRule="auto"/>
        <w:ind w:right="1920"/>
        <w:rPr>
          <w:rFonts w:cs="仿宋"/>
          <w:color w:val="auto"/>
          <w:highlight w:val="none"/>
          <w:lang w:val="zh-CN"/>
        </w:rPr>
      </w:pPr>
    </w:p>
    <w:p>
      <w:pPr>
        <w:snapToGrid w:val="0"/>
        <w:spacing w:line="360" w:lineRule="auto"/>
        <w:ind w:right="240"/>
        <w:jc w:val="right"/>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pPr>
        <w:snapToGrid w:val="0"/>
        <w:spacing w:line="360" w:lineRule="auto"/>
        <w:ind w:right="240"/>
        <w:rPr>
          <w:rFonts w:cs="仿宋"/>
          <w:color w:val="auto"/>
          <w:highlight w:val="none"/>
          <w:lang w:val="zh-CN"/>
        </w:rPr>
      </w:pPr>
    </w:p>
    <w:p>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pPr>
        <w:spacing w:line="360" w:lineRule="auto"/>
        <w:rPr>
          <w:rFonts w:cs="仿宋_GB2312"/>
          <w:b/>
          <w:color w:val="auto"/>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p>
      <w:pPr>
        <w:pStyle w:val="5"/>
        <w:rPr>
          <w:color w:val="auto"/>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0" w:name="_Toc164085800"/>
    <w:bookmarkStart w:id="551" w:name="_Toc91899912"/>
    <w:bookmarkStart w:id="552" w:name="_Toc36110187"/>
    <w:bookmarkStart w:id="553" w:name="_Toc131845147"/>
    <w:r>
      <w:rPr>
        <w:rFonts w:hint="eastAsia" w:ascii="仿宋_GB2312" w:eastAsia="仿宋_GB2312"/>
        <w:kern w:val="0"/>
        <w:szCs w:val="21"/>
      </w:rPr>
      <w:t xml:space="preserve"> 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720"/>
      <w:rPr>
        <w:rFonts w:ascii="宋体" w:eastAsia="宋体"/>
        <w:b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hint="default" w:eastAsia="仿宋_GB2312"/>
        <w:lang w:val="en-US" w:eastAsia="zh-CN"/>
      </w:rPr>
    </w:pPr>
    <w:r>
      <w:rPr>
        <w:rFonts w:hint="eastAsia"/>
        <w:lang w:val="en-US" w:eastAsia="zh-CN"/>
      </w:rPr>
      <w:t>温州韩诚工程项目管理有限公司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rPr>
        <w:rFonts w:hint="eastAsia"/>
        <w:lang w:val="en-US" w:eastAsia="zh-CN"/>
      </w:rPr>
      <w:t xml:space="preserve"> </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 xml:space="preserve"> </w:t>
    </w:r>
    <w:r>
      <w:rPr>
        <w:lang w:val="zh-CN"/>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CAC48"/>
    <w:multiLevelType w:val="singleLevel"/>
    <w:tmpl w:val="98FCAC48"/>
    <w:lvl w:ilvl="0" w:tentative="0">
      <w:start w:val="3"/>
      <w:numFmt w:val="chineseCounting"/>
      <w:suff w:val="space"/>
      <w:lvlText w:val="第%1部分"/>
      <w:lvlJc w:val="left"/>
      <w:rPr>
        <w:rFonts w:hint="eastAsia"/>
      </w:rPr>
    </w:lvl>
  </w:abstractNum>
  <w:abstractNum w:abstractNumId="1">
    <w:nsid w:val="0A88E3C6"/>
    <w:multiLevelType w:val="singleLevel"/>
    <w:tmpl w:val="0A88E3C6"/>
    <w:lvl w:ilvl="0" w:tentative="0">
      <w:start w:val="2"/>
      <w:numFmt w:val="decimal"/>
      <w:suff w:val="nothing"/>
      <w:lvlText w:val="%1、"/>
      <w:lvlJc w:val="left"/>
    </w:lvl>
  </w:abstractNum>
  <w:abstractNum w:abstractNumId="2">
    <w:nsid w:val="2F1F71CF"/>
    <w:multiLevelType w:val="multilevel"/>
    <w:tmpl w:val="2F1F71CF"/>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98AC11"/>
    <w:multiLevelType w:val="singleLevel"/>
    <w:tmpl w:val="7F98AC11"/>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MGIwZjVlYzVhNmE3MDQ1MGMwOTM3MDM4ZDY0YT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664"/>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4FB6"/>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62B"/>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5DB6"/>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0CA"/>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6F9"/>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35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51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3AF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36EA"/>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E59"/>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7F"/>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BD8"/>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5BC1"/>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66"/>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141"/>
    <w:rsid w:val="00A0700C"/>
    <w:rsid w:val="00A102F8"/>
    <w:rsid w:val="00A10A20"/>
    <w:rsid w:val="00A117D5"/>
    <w:rsid w:val="00A11C11"/>
    <w:rsid w:val="00A12073"/>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46EF"/>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B2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3014"/>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89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A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1E0"/>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5B4FE6"/>
    <w:rsid w:val="019F7441"/>
    <w:rsid w:val="01B37585"/>
    <w:rsid w:val="01D55165"/>
    <w:rsid w:val="01DF6BF8"/>
    <w:rsid w:val="01EC2C57"/>
    <w:rsid w:val="025F0711"/>
    <w:rsid w:val="026B2E25"/>
    <w:rsid w:val="02824D4D"/>
    <w:rsid w:val="028C4485"/>
    <w:rsid w:val="029F2E1F"/>
    <w:rsid w:val="02DC4B10"/>
    <w:rsid w:val="02DD76CE"/>
    <w:rsid w:val="02F36323"/>
    <w:rsid w:val="02F5619C"/>
    <w:rsid w:val="0326446A"/>
    <w:rsid w:val="032D5555"/>
    <w:rsid w:val="036634D2"/>
    <w:rsid w:val="038B7097"/>
    <w:rsid w:val="03B74E41"/>
    <w:rsid w:val="03DD35E4"/>
    <w:rsid w:val="03EE0393"/>
    <w:rsid w:val="04076900"/>
    <w:rsid w:val="041A5A3B"/>
    <w:rsid w:val="042311BA"/>
    <w:rsid w:val="042B157A"/>
    <w:rsid w:val="04404903"/>
    <w:rsid w:val="04824B9E"/>
    <w:rsid w:val="048F763B"/>
    <w:rsid w:val="049F330E"/>
    <w:rsid w:val="04AA775C"/>
    <w:rsid w:val="04AF1889"/>
    <w:rsid w:val="04F66F48"/>
    <w:rsid w:val="050634BB"/>
    <w:rsid w:val="05251E14"/>
    <w:rsid w:val="05A16594"/>
    <w:rsid w:val="05A33A8F"/>
    <w:rsid w:val="05A7762D"/>
    <w:rsid w:val="06094862"/>
    <w:rsid w:val="060E5941"/>
    <w:rsid w:val="06110FAF"/>
    <w:rsid w:val="06493CA7"/>
    <w:rsid w:val="065A6178"/>
    <w:rsid w:val="066F1CF3"/>
    <w:rsid w:val="068A3C77"/>
    <w:rsid w:val="06930BB8"/>
    <w:rsid w:val="06A92350"/>
    <w:rsid w:val="07245D42"/>
    <w:rsid w:val="07264C62"/>
    <w:rsid w:val="074A0BA4"/>
    <w:rsid w:val="0779354C"/>
    <w:rsid w:val="07A64AE1"/>
    <w:rsid w:val="08061376"/>
    <w:rsid w:val="08452D77"/>
    <w:rsid w:val="08517143"/>
    <w:rsid w:val="086401F8"/>
    <w:rsid w:val="08751CAA"/>
    <w:rsid w:val="087E4C40"/>
    <w:rsid w:val="08A871D0"/>
    <w:rsid w:val="08D66AD6"/>
    <w:rsid w:val="08DA33A3"/>
    <w:rsid w:val="08E80F13"/>
    <w:rsid w:val="09104908"/>
    <w:rsid w:val="09335624"/>
    <w:rsid w:val="094445B2"/>
    <w:rsid w:val="0944690F"/>
    <w:rsid w:val="09535675"/>
    <w:rsid w:val="095F057D"/>
    <w:rsid w:val="09642282"/>
    <w:rsid w:val="096864F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564C66"/>
    <w:rsid w:val="0B631A88"/>
    <w:rsid w:val="0B683D45"/>
    <w:rsid w:val="0B7F3F11"/>
    <w:rsid w:val="0B884417"/>
    <w:rsid w:val="0BCB4B16"/>
    <w:rsid w:val="0BF6188C"/>
    <w:rsid w:val="0BF73C91"/>
    <w:rsid w:val="0C170175"/>
    <w:rsid w:val="0C571A41"/>
    <w:rsid w:val="0C5C1171"/>
    <w:rsid w:val="0C5E1CBC"/>
    <w:rsid w:val="0C615B50"/>
    <w:rsid w:val="0C8445DA"/>
    <w:rsid w:val="0C87121B"/>
    <w:rsid w:val="0C9F17F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43173"/>
    <w:rsid w:val="0DD63300"/>
    <w:rsid w:val="0DF177D2"/>
    <w:rsid w:val="0DF50604"/>
    <w:rsid w:val="0DF702FE"/>
    <w:rsid w:val="0E060E51"/>
    <w:rsid w:val="0E39045D"/>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2722C"/>
    <w:rsid w:val="110765F0"/>
    <w:rsid w:val="110F1D40"/>
    <w:rsid w:val="11266F33"/>
    <w:rsid w:val="118963A1"/>
    <w:rsid w:val="11C6522A"/>
    <w:rsid w:val="11E104CC"/>
    <w:rsid w:val="11E20309"/>
    <w:rsid w:val="12255233"/>
    <w:rsid w:val="12530213"/>
    <w:rsid w:val="12645C11"/>
    <w:rsid w:val="127723A9"/>
    <w:rsid w:val="12862074"/>
    <w:rsid w:val="12883966"/>
    <w:rsid w:val="129E45B4"/>
    <w:rsid w:val="12D81596"/>
    <w:rsid w:val="13072A44"/>
    <w:rsid w:val="133E02C4"/>
    <w:rsid w:val="135F4BE2"/>
    <w:rsid w:val="139B1A0A"/>
    <w:rsid w:val="139D25C7"/>
    <w:rsid w:val="13A46196"/>
    <w:rsid w:val="13BF3CE4"/>
    <w:rsid w:val="13F113DB"/>
    <w:rsid w:val="141008D8"/>
    <w:rsid w:val="14125FE6"/>
    <w:rsid w:val="1415556D"/>
    <w:rsid w:val="143C6E52"/>
    <w:rsid w:val="146D271E"/>
    <w:rsid w:val="14982588"/>
    <w:rsid w:val="149A5AD9"/>
    <w:rsid w:val="14A7619D"/>
    <w:rsid w:val="150536C3"/>
    <w:rsid w:val="150C1963"/>
    <w:rsid w:val="151447A0"/>
    <w:rsid w:val="154A6454"/>
    <w:rsid w:val="15762120"/>
    <w:rsid w:val="1683496B"/>
    <w:rsid w:val="1684100F"/>
    <w:rsid w:val="16A8729C"/>
    <w:rsid w:val="16B33777"/>
    <w:rsid w:val="16BC70A7"/>
    <w:rsid w:val="16C6339E"/>
    <w:rsid w:val="172F2D79"/>
    <w:rsid w:val="17557BEF"/>
    <w:rsid w:val="17D349C1"/>
    <w:rsid w:val="18244F26"/>
    <w:rsid w:val="1830729E"/>
    <w:rsid w:val="183A54FD"/>
    <w:rsid w:val="18650755"/>
    <w:rsid w:val="1870062C"/>
    <w:rsid w:val="187B448D"/>
    <w:rsid w:val="18817102"/>
    <w:rsid w:val="18830A15"/>
    <w:rsid w:val="18852B28"/>
    <w:rsid w:val="188B5321"/>
    <w:rsid w:val="194B54E8"/>
    <w:rsid w:val="19563CB9"/>
    <w:rsid w:val="1974592D"/>
    <w:rsid w:val="19932372"/>
    <w:rsid w:val="19A20DD5"/>
    <w:rsid w:val="19A838D1"/>
    <w:rsid w:val="19AE03F1"/>
    <w:rsid w:val="19B25567"/>
    <w:rsid w:val="19DC4392"/>
    <w:rsid w:val="1A071A03"/>
    <w:rsid w:val="1A1F16AE"/>
    <w:rsid w:val="1A3B5C77"/>
    <w:rsid w:val="1A8C5DB8"/>
    <w:rsid w:val="1A984BAD"/>
    <w:rsid w:val="1AAF7BF6"/>
    <w:rsid w:val="1AB8220E"/>
    <w:rsid w:val="1AE4166C"/>
    <w:rsid w:val="1AF06CFB"/>
    <w:rsid w:val="1AF11B8D"/>
    <w:rsid w:val="1B11359C"/>
    <w:rsid w:val="1B2A271F"/>
    <w:rsid w:val="1B530544"/>
    <w:rsid w:val="1B713184"/>
    <w:rsid w:val="1B7F0741"/>
    <w:rsid w:val="1B803B6F"/>
    <w:rsid w:val="1BA209CF"/>
    <w:rsid w:val="1BB4777D"/>
    <w:rsid w:val="1BD75AB8"/>
    <w:rsid w:val="1C0459C2"/>
    <w:rsid w:val="1C1B3B4A"/>
    <w:rsid w:val="1C88086E"/>
    <w:rsid w:val="1CEB40BD"/>
    <w:rsid w:val="1D266CE1"/>
    <w:rsid w:val="1D2F3166"/>
    <w:rsid w:val="1D3963AF"/>
    <w:rsid w:val="1D5B6E50"/>
    <w:rsid w:val="1D6A673C"/>
    <w:rsid w:val="1D85546D"/>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B96F1B"/>
    <w:rsid w:val="1FD52574"/>
    <w:rsid w:val="1FE868A9"/>
    <w:rsid w:val="20034907"/>
    <w:rsid w:val="20173E4B"/>
    <w:rsid w:val="204E48BC"/>
    <w:rsid w:val="205D622D"/>
    <w:rsid w:val="208921B3"/>
    <w:rsid w:val="208D5628"/>
    <w:rsid w:val="20973DEB"/>
    <w:rsid w:val="20B26522"/>
    <w:rsid w:val="20B44310"/>
    <w:rsid w:val="211116EB"/>
    <w:rsid w:val="216133FC"/>
    <w:rsid w:val="21690C01"/>
    <w:rsid w:val="217575A6"/>
    <w:rsid w:val="21D56769"/>
    <w:rsid w:val="21E52EF3"/>
    <w:rsid w:val="21FB5D7B"/>
    <w:rsid w:val="22015E94"/>
    <w:rsid w:val="220B1C3D"/>
    <w:rsid w:val="221D1D20"/>
    <w:rsid w:val="22334A87"/>
    <w:rsid w:val="227A4A01"/>
    <w:rsid w:val="229F6C4E"/>
    <w:rsid w:val="22BE6801"/>
    <w:rsid w:val="233500BF"/>
    <w:rsid w:val="23377FF7"/>
    <w:rsid w:val="236B425F"/>
    <w:rsid w:val="23836192"/>
    <w:rsid w:val="238925B2"/>
    <w:rsid w:val="23901F29"/>
    <w:rsid w:val="239C0061"/>
    <w:rsid w:val="23B908A4"/>
    <w:rsid w:val="23BA7198"/>
    <w:rsid w:val="23E95BEF"/>
    <w:rsid w:val="23FD0064"/>
    <w:rsid w:val="241A61E3"/>
    <w:rsid w:val="245375B0"/>
    <w:rsid w:val="24642C0A"/>
    <w:rsid w:val="24B22173"/>
    <w:rsid w:val="24B95AD9"/>
    <w:rsid w:val="24BE24DA"/>
    <w:rsid w:val="24CF5825"/>
    <w:rsid w:val="24D663E6"/>
    <w:rsid w:val="24D77F2B"/>
    <w:rsid w:val="24E40CD4"/>
    <w:rsid w:val="25496D80"/>
    <w:rsid w:val="257946A2"/>
    <w:rsid w:val="258B00E2"/>
    <w:rsid w:val="25A917A6"/>
    <w:rsid w:val="25BE27CC"/>
    <w:rsid w:val="25D56627"/>
    <w:rsid w:val="25F74A5C"/>
    <w:rsid w:val="2628662C"/>
    <w:rsid w:val="262D45DE"/>
    <w:rsid w:val="26451C3D"/>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5E6B72"/>
    <w:rsid w:val="2976210D"/>
    <w:rsid w:val="29806583"/>
    <w:rsid w:val="298B3C4C"/>
    <w:rsid w:val="29E67BCF"/>
    <w:rsid w:val="29F26D24"/>
    <w:rsid w:val="2A15033F"/>
    <w:rsid w:val="2A1662C1"/>
    <w:rsid w:val="2A1C7367"/>
    <w:rsid w:val="2A2815FA"/>
    <w:rsid w:val="2A6D6092"/>
    <w:rsid w:val="2A7D76B4"/>
    <w:rsid w:val="2AD17872"/>
    <w:rsid w:val="2B437463"/>
    <w:rsid w:val="2B7807EE"/>
    <w:rsid w:val="2BA50BF7"/>
    <w:rsid w:val="2BBF00EC"/>
    <w:rsid w:val="2BC37CFD"/>
    <w:rsid w:val="2BD5237F"/>
    <w:rsid w:val="2BE536CE"/>
    <w:rsid w:val="2BE758D9"/>
    <w:rsid w:val="2BF346BB"/>
    <w:rsid w:val="2C09049E"/>
    <w:rsid w:val="2C0A653C"/>
    <w:rsid w:val="2C191F85"/>
    <w:rsid w:val="2CE5647E"/>
    <w:rsid w:val="2CE82D6F"/>
    <w:rsid w:val="2D343236"/>
    <w:rsid w:val="2D4632E8"/>
    <w:rsid w:val="2D575011"/>
    <w:rsid w:val="2D5E540F"/>
    <w:rsid w:val="2DD15014"/>
    <w:rsid w:val="2DF72DE4"/>
    <w:rsid w:val="2E0220AF"/>
    <w:rsid w:val="2E4B082A"/>
    <w:rsid w:val="2E5D4E86"/>
    <w:rsid w:val="2E5D790B"/>
    <w:rsid w:val="2E9A3C18"/>
    <w:rsid w:val="2EBB0FEE"/>
    <w:rsid w:val="2EC63002"/>
    <w:rsid w:val="2F0A6B38"/>
    <w:rsid w:val="2F4245CF"/>
    <w:rsid w:val="2F946CCB"/>
    <w:rsid w:val="2FC811E9"/>
    <w:rsid w:val="2FCD1783"/>
    <w:rsid w:val="2FD25781"/>
    <w:rsid w:val="2FDC745C"/>
    <w:rsid w:val="2FFD7934"/>
    <w:rsid w:val="303F3FA2"/>
    <w:rsid w:val="303F594F"/>
    <w:rsid w:val="30733ACD"/>
    <w:rsid w:val="308C3862"/>
    <w:rsid w:val="309379D8"/>
    <w:rsid w:val="30A270F7"/>
    <w:rsid w:val="30DF1478"/>
    <w:rsid w:val="30EC586F"/>
    <w:rsid w:val="30F77374"/>
    <w:rsid w:val="310E70FE"/>
    <w:rsid w:val="319C6071"/>
    <w:rsid w:val="31AC537E"/>
    <w:rsid w:val="31E3679B"/>
    <w:rsid w:val="31E732FD"/>
    <w:rsid w:val="32517576"/>
    <w:rsid w:val="32BE5C2C"/>
    <w:rsid w:val="32FA5B5D"/>
    <w:rsid w:val="32FB6478"/>
    <w:rsid w:val="33263B3F"/>
    <w:rsid w:val="336963EB"/>
    <w:rsid w:val="33816EEB"/>
    <w:rsid w:val="33EB55CD"/>
    <w:rsid w:val="33EC4C02"/>
    <w:rsid w:val="340D2360"/>
    <w:rsid w:val="3410665D"/>
    <w:rsid w:val="34211214"/>
    <w:rsid w:val="342E63AB"/>
    <w:rsid w:val="34950E68"/>
    <w:rsid w:val="34986E94"/>
    <w:rsid w:val="34AE30A3"/>
    <w:rsid w:val="34AF62C9"/>
    <w:rsid w:val="34CB4388"/>
    <w:rsid w:val="34FA6E12"/>
    <w:rsid w:val="354D7158"/>
    <w:rsid w:val="358D5588"/>
    <w:rsid w:val="359327BC"/>
    <w:rsid w:val="363A3B40"/>
    <w:rsid w:val="365302AE"/>
    <w:rsid w:val="36545584"/>
    <w:rsid w:val="36607A0A"/>
    <w:rsid w:val="366E227C"/>
    <w:rsid w:val="366F2E0D"/>
    <w:rsid w:val="367B6A5C"/>
    <w:rsid w:val="36A74ADA"/>
    <w:rsid w:val="36AD60D5"/>
    <w:rsid w:val="36B224F9"/>
    <w:rsid w:val="36EC0CC9"/>
    <w:rsid w:val="36FC6058"/>
    <w:rsid w:val="37337C1B"/>
    <w:rsid w:val="373F410B"/>
    <w:rsid w:val="37EE7094"/>
    <w:rsid w:val="380F5C07"/>
    <w:rsid w:val="381D5BF1"/>
    <w:rsid w:val="38296C89"/>
    <w:rsid w:val="383002EB"/>
    <w:rsid w:val="38586797"/>
    <w:rsid w:val="385D15DF"/>
    <w:rsid w:val="38BC0149"/>
    <w:rsid w:val="38D87D1C"/>
    <w:rsid w:val="390D29BC"/>
    <w:rsid w:val="39636459"/>
    <w:rsid w:val="396B7F6C"/>
    <w:rsid w:val="39B417A9"/>
    <w:rsid w:val="39FC5695"/>
    <w:rsid w:val="3A006D8E"/>
    <w:rsid w:val="3A136626"/>
    <w:rsid w:val="3A1E0383"/>
    <w:rsid w:val="3A3651E5"/>
    <w:rsid w:val="3A744481"/>
    <w:rsid w:val="3A8A5A19"/>
    <w:rsid w:val="3A8C7BEF"/>
    <w:rsid w:val="3A8F4744"/>
    <w:rsid w:val="3A906246"/>
    <w:rsid w:val="3AB40CE8"/>
    <w:rsid w:val="3B2349B7"/>
    <w:rsid w:val="3B457B92"/>
    <w:rsid w:val="3B47390A"/>
    <w:rsid w:val="3B616CFF"/>
    <w:rsid w:val="3B6259F6"/>
    <w:rsid w:val="3B976654"/>
    <w:rsid w:val="3BC01EFC"/>
    <w:rsid w:val="3BCA786A"/>
    <w:rsid w:val="3BD31E2F"/>
    <w:rsid w:val="3BE73968"/>
    <w:rsid w:val="3BF15831"/>
    <w:rsid w:val="3C0331F7"/>
    <w:rsid w:val="3C105946"/>
    <w:rsid w:val="3C123F18"/>
    <w:rsid w:val="3C471448"/>
    <w:rsid w:val="3C5F759A"/>
    <w:rsid w:val="3C6C525A"/>
    <w:rsid w:val="3CCE23CB"/>
    <w:rsid w:val="3CD17D17"/>
    <w:rsid w:val="3CD411CD"/>
    <w:rsid w:val="3D3C7F39"/>
    <w:rsid w:val="3D440F09"/>
    <w:rsid w:val="3D4504A0"/>
    <w:rsid w:val="3D5062D5"/>
    <w:rsid w:val="3D5E0F86"/>
    <w:rsid w:val="3D8734BB"/>
    <w:rsid w:val="3D9616FC"/>
    <w:rsid w:val="3D9A11D4"/>
    <w:rsid w:val="3DA16D89"/>
    <w:rsid w:val="3DA364BE"/>
    <w:rsid w:val="3DE041CB"/>
    <w:rsid w:val="3E0D48F6"/>
    <w:rsid w:val="3E1868B4"/>
    <w:rsid w:val="3E254896"/>
    <w:rsid w:val="3E377251"/>
    <w:rsid w:val="3E42664B"/>
    <w:rsid w:val="3E5A7334"/>
    <w:rsid w:val="3E7B5D6B"/>
    <w:rsid w:val="3E843E66"/>
    <w:rsid w:val="3E8F51FE"/>
    <w:rsid w:val="3E926F87"/>
    <w:rsid w:val="3E9A59DE"/>
    <w:rsid w:val="3EAF4836"/>
    <w:rsid w:val="3EC33DFA"/>
    <w:rsid w:val="3F060E16"/>
    <w:rsid w:val="3F1D1096"/>
    <w:rsid w:val="3F2F0234"/>
    <w:rsid w:val="3F5239A3"/>
    <w:rsid w:val="3F6363FE"/>
    <w:rsid w:val="3F756B8F"/>
    <w:rsid w:val="3F95482B"/>
    <w:rsid w:val="3FFC04B4"/>
    <w:rsid w:val="4019356B"/>
    <w:rsid w:val="40592157"/>
    <w:rsid w:val="406E1CAE"/>
    <w:rsid w:val="40A0133A"/>
    <w:rsid w:val="40A23390"/>
    <w:rsid w:val="40C31A53"/>
    <w:rsid w:val="40FF545D"/>
    <w:rsid w:val="410067C8"/>
    <w:rsid w:val="416A035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84172B"/>
    <w:rsid w:val="449101DD"/>
    <w:rsid w:val="44DE1391"/>
    <w:rsid w:val="451B225C"/>
    <w:rsid w:val="452410C9"/>
    <w:rsid w:val="45317DFB"/>
    <w:rsid w:val="456D3CE4"/>
    <w:rsid w:val="4579042C"/>
    <w:rsid w:val="457F0571"/>
    <w:rsid w:val="45851176"/>
    <w:rsid w:val="458F482B"/>
    <w:rsid w:val="45B778DE"/>
    <w:rsid w:val="45C63B94"/>
    <w:rsid w:val="45D95AA6"/>
    <w:rsid w:val="460E7DA5"/>
    <w:rsid w:val="46422483"/>
    <w:rsid w:val="4659254A"/>
    <w:rsid w:val="465B0637"/>
    <w:rsid w:val="465E3F0D"/>
    <w:rsid w:val="466A16E6"/>
    <w:rsid w:val="46893F2B"/>
    <w:rsid w:val="46C4686E"/>
    <w:rsid w:val="472865F9"/>
    <w:rsid w:val="4738264E"/>
    <w:rsid w:val="475278BE"/>
    <w:rsid w:val="477B778F"/>
    <w:rsid w:val="478203EC"/>
    <w:rsid w:val="47B025FA"/>
    <w:rsid w:val="47E8769C"/>
    <w:rsid w:val="4809698F"/>
    <w:rsid w:val="4811697D"/>
    <w:rsid w:val="487A3E25"/>
    <w:rsid w:val="488B5503"/>
    <w:rsid w:val="48937E21"/>
    <w:rsid w:val="489A0361"/>
    <w:rsid w:val="48A26623"/>
    <w:rsid w:val="48B94FF3"/>
    <w:rsid w:val="48E37AAB"/>
    <w:rsid w:val="48FD4B4C"/>
    <w:rsid w:val="490A68E0"/>
    <w:rsid w:val="491055FE"/>
    <w:rsid w:val="495F5B3E"/>
    <w:rsid w:val="496F77D7"/>
    <w:rsid w:val="497654FD"/>
    <w:rsid w:val="49B64211"/>
    <w:rsid w:val="49F6167F"/>
    <w:rsid w:val="4A064FA0"/>
    <w:rsid w:val="4A16615C"/>
    <w:rsid w:val="4A4424D7"/>
    <w:rsid w:val="4AB30200"/>
    <w:rsid w:val="4AB82D0F"/>
    <w:rsid w:val="4AEB7664"/>
    <w:rsid w:val="4AFD7C19"/>
    <w:rsid w:val="4B0567D1"/>
    <w:rsid w:val="4B236AAE"/>
    <w:rsid w:val="4B707271"/>
    <w:rsid w:val="4B9739F7"/>
    <w:rsid w:val="4BEE2503"/>
    <w:rsid w:val="4BF47196"/>
    <w:rsid w:val="4C245A30"/>
    <w:rsid w:val="4C5852A2"/>
    <w:rsid w:val="4CB6685F"/>
    <w:rsid w:val="4CC367FE"/>
    <w:rsid w:val="4CE865CF"/>
    <w:rsid w:val="4D077F3C"/>
    <w:rsid w:val="4D123355"/>
    <w:rsid w:val="4D2A3B31"/>
    <w:rsid w:val="4D312C52"/>
    <w:rsid w:val="4D905305"/>
    <w:rsid w:val="4D964A72"/>
    <w:rsid w:val="4D9C1254"/>
    <w:rsid w:val="4E451F2B"/>
    <w:rsid w:val="4E793892"/>
    <w:rsid w:val="4E800872"/>
    <w:rsid w:val="4EC569ED"/>
    <w:rsid w:val="4ED50EA1"/>
    <w:rsid w:val="4EEC050C"/>
    <w:rsid w:val="4F104EC3"/>
    <w:rsid w:val="4F47354A"/>
    <w:rsid w:val="4F74239C"/>
    <w:rsid w:val="4F911C54"/>
    <w:rsid w:val="4FB05286"/>
    <w:rsid w:val="4FE625E0"/>
    <w:rsid w:val="5021480F"/>
    <w:rsid w:val="50262A53"/>
    <w:rsid w:val="50940F47"/>
    <w:rsid w:val="50962ECB"/>
    <w:rsid w:val="50A42E38"/>
    <w:rsid w:val="50A4577F"/>
    <w:rsid w:val="50B73D1F"/>
    <w:rsid w:val="50BD5BC9"/>
    <w:rsid w:val="50C11EEE"/>
    <w:rsid w:val="50E97CFC"/>
    <w:rsid w:val="50F6575E"/>
    <w:rsid w:val="50FA4028"/>
    <w:rsid w:val="510D65B7"/>
    <w:rsid w:val="511157AB"/>
    <w:rsid w:val="5142540C"/>
    <w:rsid w:val="518832C8"/>
    <w:rsid w:val="519D3C50"/>
    <w:rsid w:val="51A0432A"/>
    <w:rsid w:val="51A86090"/>
    <w:rsid w:val="51B7396D"/>
    <w:rsid w:val="51DF608B"/>
    <w:rsid w:val="52081755"/>
    <w:rsid w:val="52293911"/>
    <w:rsid w:val="522E4CC3"/>
    <w:rsid w:val="5244713B"/>
    <w:rsid w:val="52615633"/>
    <w:rsid w:val="526F4DE4"/>
    <w:rsid w:val="52977FD4"/>
    <w:rsid w:val="52A25790"/>
    <w:rsid w:val="52A96B6F"/>
    <w:rsid w:val="52B45975"/>
    <w:rsid w:val="52C113D3"/>
    <w:rsid w:val="52D94AA4"/>
    <w:rsid w:val="52EA3A62"/>
    <w:rsid w:val="52F50BB8"/>
    <w:rsid w:val="53097272"/>
    <w:rsid w:val="530B3D85"/>
    <w:rsid w:val="53544462"/>
    <w:rsid w:val="5386726D"/>
    <w:rsid w:val="5397158E"/>
    <w:rsid w:val="53A72B6C"/>
    <w:rsid w:val="53D34F38"/>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951EF"/>
    <w:rsid w:val="55DC29B6"/>
    <w:rsid w:val="55DD4241"/>
    <w:rsid w:val="560F2A98"/>
    <w:rsid w:val="561B338B"/>
    <w:rsid w:val="566B6D1E"/>
    <w:rsid w:val="56D71D47"/>
    <w:rsid w:val="56E61DD1"/>
    <w:rsid w:val="57032A2C"/>
    <w:rsid w:val="570F5219"/>
    <w:rsid w:val="571D6954"/>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7342B3"/>
    <w:rsid w:val="588E74D1"/>
    <w:rsid w:val="58917D2F"/>
    <w:rsid w:val="5894085C"/>
    <w:rsid w:val="58AE4F0C"/>
    <w:rsid w:val="58B85899"/>
    <w:rsid w:val="58E363A9"/>
    <w:rsid w:val="59166304"/>
    <w:rsid w:val="595474C6"/>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761D1"/>
    <w:rsid w:val="5C2A048C"/>
    <w:rsid w:val="5C327B4C"/>
    <w:rsid w:val="5C3E7FB9"/>
    <w:rsid w:val="5C757080"/>
    <w:rsid w:val="5C80234E"/>
    <w:rsid w:val="5C8A680C"/>
    <w:rsid w:val="5CCC1A69"/>
    <w:rsid w:val="5D0C4701"/>
    <w:rsid w:val="5D0F0395"/>
    <w:rsid w:val="5D221076"/>
    <w:rsid w:val="5D397964"/>
    <w:rsid w:val="5D3C67AC"/>
    <w:rsid w:val="5D513695"/>
    <w:rsid w:val="5D5A391C"/>
    <w:rsid w:val="5D5F10C0"/>
    <w:rsid w:val="5D891B7B"/>
    <w:rsid w:val="5DAD38EE"/>
    <w:rsid w:val="5E006862"/>
    <w:rsid w:val="5E0207B9"/>
    <w:rsid w:val="5E1834A1"/>
    <w:rsid w:val="5E261785"/>
    <w:rsid w:val="5E4A7017"/>
    <w:rsid w:val="5E552BBA"/>
    <w:rsid w:val="5E611C10"/>
    <w:rsid w:val="5E7A0F3F"/>
    <w:rsid w:val="5E8B164D"/>
    <w:rsid w:val="5EFC7377"/>
    <w:rsid w:val="5F06174D"/>
    <w:rsid w:val="5F3A3602"/>
    <w:rsid w:val="5F4504DF"/>
    <w:rsid w:val="5F45733B"/>
    <w:rsid w:val="5F482646"/>
    <w:rsid w:val="5F6277C6"/>
    <w:rsid w:val="5F6D0B1D"/>
    <w:rsid w:val="5F8D0B82"/>
    <w:rsid w:val="5F93686E"/>
    <w:rsid w:val="5FA40637"/>
    <w:rsid w:val="5FCC5339"/>
    <w:rsid w:val="5FE34A5B"/>
    <w:rsid w:val="5FFE1E36"/>
    <w:rsid w:val="60232584"/>
    <w:rsid w:val="604D2EC1"/>
    <w:rsid w:val="607330CE"/>
    <w:rsid w:val="60825176"/>
    <w:rsid w:val="609F2AC4"/>
    <w:rsid w:val="60C70EC5"/>
    <w:rsid w:val="60FA2EE8"/>
    <w:rsid w:val="61054A27"/>
    <w:rsid w:val="610A52BC"/>
    <w:rsid w:val="611D2366"/>
    <w:rsid w:val="61421856"/>
    <w:rsid w:val="61477910"/>
    <w:rsid w:val="615227C4"/>
    <w:rsid w:val="61654E3F"/>
    <w:rsid w:val="6182292A"/>
    <w:rsid w:val="619F7F92"/>
    <w:rsid w:val="61BC20AC"/>
    <w:rsid w:val="61C64CD9"/>
    <w:rsid w:val="61D47A14"/>
    <w:rsid w:val="61F94C26"/>
    <w:rsid w:val="62000E56"/>
    <w:rsid w:val="624F3E49"/>
    <w:rsid w:val="62632286"/>
    <w:rsid w:val="62637587"/>
    <w:rsid w:val="62885958"/>
    <w:rsid w:val="62F40B65"/>
    <w:rsid w:val="62FC2CFE"/>
    <w:rsid w:val="63024505"/>
    <w:rsid w:val="635600A5"/>
    <w:rsid w:val="635B1DB5"/>
    <w:rsid w:val="63626C83"/>
    <w:rsid w:val="63711FED"/>
    <w:rsid w:val="63880DDC"/>
    <w:rsid w:val="638D750D"/>
    <w:rsid w:val="63AC6CC0"/>
    <w:rsid w:val="64055776"/>
    <w:rsid w:val="64240056"/>
    <w:rsid w:val="643E143A"/>
    <w:rsid w:val="64491666"/>
    <w:rsid w:val="64646CC2"/>
    <w:rsid w:val="648B6EEF"/>
    <w:rsid w:val="64AC70A5"/>
    <w:rsid w:val="64C158BF"/>
    <w:rsid w:val="64CE2EAA"/>
    <w:rsid w:val="651641C9"/>
    <w:rsid w:val="653761CE"/>
    <w:rsid w:val="653C3090"/>
    <w:rsid w:val="65854376"/>
    <w:rsid w:val="658767BE"/>
    <w:rsid w:val="65892531"/>
    <w:rsid w:val="66195831"/>
    <w:rsid w:val="662E75B1"/>
    <w:rsid w:val="66342C2E"/>
    <w:rsid w:val="663E784C"/>
    <w:rsid w:val="668B6A45"/>
    <w:rsid w:val="66D9725C"/>
    <w:rsid w:val="672F3F24"/>
    <w:rsid w:val="673E055F"/>
    <w:rsid w:val="67551CE3"/>
    <w:rsid w:val="67A22552"/>
    <w:rsid w:val="67B22DCC"/>
    <w:rsid w:val="67BE71AA"/>
    <w:rsid w:val="67BF28F6"/>
    <w:rsid w:val="67C823EF"/>
    <w:rsid w:val="67D143D7"/>
    <w:rsid w:val="67D90273"/>
    <w:rsid w:val="67DE5875"/>
    <w:rsid w:val="67E55852"/>
    <w:rsid w:val="67EB1AB4"/>
    <w:rsid w:val="67FA1285"/>
    <w:rsid w:val="68171E45"/>
    <w:rsid w:val="682269E1"/>
    <w:rsid w:val="68551F4F"/>
    <w:rsid w:val="68776D2D"/>
    <w:rsid w:val="687C10C9"/>
    <w:rsid w:val="68840C16"/>
    <w:rsid w:val="68876EFB"/>
    <w:rsid w:val="68884654"/>
    <w:rsid w:val="689F444F"/>
    <w:rsid w:val="68B96DBB"/>
    <w:rsid w:val="68BC69A9"/>
    <w:rsid w:val="68CA2805"/>
    <w:rsid w:val="68E07E9F"/>
    <w:rsid w:val="68E937A3"/>
    <w:rsid w:val="691967F0"/>
    <w:rsid w:val="693E15D3"/>
    <w:rsid w:val="69627681"/>
    <w:rsid w:val="69766FE4"/>
    <w:rsid w:val="6977531D"/>
    <w:rsid w:val="69CC2BFF"/>
    <w:rsid w:val="69FD55B8"/>
    <w:rsid w:val="6A0B1C62"/>
    <w:rsid w:val="6A2406C8"/>
    <w:rsid w:val="6ADE0BD1"/>
    <w:rsid w:val="6AE96859"/>
    <w:rsid w:val="6B106FC5"/>
    <w:rsid w:val="6B147746"/>
    <w:rsid w:val="6B24787C"/>
    <w:rsid w:val="6B573233"/>
    <w:rsid w:val="6B5B6274"/>
    <w:rsid w:val="6B935D53"/>
    <w:rsid w:val="6B9E0A74"/>
    <w:rsid w:val="6BB05EA5"/>
    <w:rsid w:val="6BDD6A62"/>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765F90"/>
    <w:rsid w:val="6F8331F1"/>
    <w:rsid w:val="6FAE1A09"/>
    <w:rsid w:val="6FD75BF8"/>
    <w:rsid w:val="70713D1E"/>
    <w:rsid w:val="707723D0"/>
    <w:rsid w:val="70CB1B7B"/>
    <w:rsid w:val="70F5661B"/>
    <w:rsid w:val="71360107"/>
    <w:rsid w:val="713B688E"/>
    <w:rsid w:val="715F441E"/>
    <w:rsid w:val="7164006A"/>
    <w:rsid w:val="719F449E"/>
    <w:rsid w:val="71D43752"/>
    <w:rsid w:val="71F1796A"/>
    <w:rsid w:val="72154626"/>
    <w:rsid w:val="72262B5D"/>
    <w:rsid w:val="72283FF7"/>
    <w:rsid w:val="722C0B88"/>
    <w:rsid w:val="722E7212"/>
    <w:rsid w:val="723A0474"/>
    <w:rsid w:val="725923E4"/>
    <w:rsid w:val="72864BF7"/>
    <w:rsid w:val="729023FC"/>
    <w:rsid w:val="73125DDE"/>
    <w:rsid w:val="731F249B"/>
    <w:rsid w:val="73633995"/>
    <w:rsid w:val="73C0646E"/>
    <w:rsid w:val="742222F5"/>
    <w:rsid w:val="74243882"/>
    <w:rsid w:val="743261FE"/>
    <w:rsid w:val="74476126"/>
    <w:rsid w:val="74706664"/>
    <w:rsid w:val="747F3682"/>
    <w:rsid w:val="749C4185"/>
    <w:rsid w:val="74C257AA"/>
    <w:rsid w:val="75067759"/>
    <w:rsid w:val="751002ED"/>
    <w:rsid w:val="752E6DCD"/>
    <w:rsid w:val="7551380D"/>
    <w:rsid w:val="75600BE5"/>
    <w:rsid w:val="7564475C"/>
    <w:rsid w:val="7583797F"/>
    <w:rsid w:val="75CB28BD"/>
    <w:rsid w:val="75D20F1D"/>
    <w:rsid w:val="75DA2C18"/>
    <w:rsid w:val="75F54412"/>
    <w:rsid w:val="761D08E0"/>
    <w:rsid w:val="76200A04"/>
    <w:rsid w:val="765D347C"/>
    <w:rsid w:val="766D3069"/>
    <w:rsid w:val="76826699"/>
    <w:rsid w:val="76C87133"/>
    <w:rsid w:val="76CD08D5"/>
    <w:rsid w:val="76DB4B92"/>
    <w:rsid w:val="76FF5330"/>
    <w:rsid w:val="77020109"/>
    <w:rsid w:val="77052AA4"/>
    <w:rsid w:val="77136511"/>
    <w:rsid w:val="77167A87"/>
    <w:rsid w:val="77340A39"/>
    <w:rsid w:val="77351FD0"/>
    <w:rsid w:val="77472422"/>
    <w:rsid w:val="777F31F2"/>
    <w:rsid w:val="77D1700D"/>
    <w:rsid w:val="77EA74CC"/>
    <w:rsid w:val="77EC04CC"/>
    <w:rsid w:val="784A7FBA"/>
    <w:rsid w:val="78775729"/>
    <w:rsid w:val="78A42DB0"/>
    <w:rsid w:val="78A656AB"/>
    <w:rsid w:val="78B2245C"/>
    <w:rsid w:val="78E172CC"/>
    <w:rsid w:val="78EA1D1F"/>
    <w:rsid w:val="7904172F"/>
    <w:rsid w:val="790F7E27"/>
    <w:rsid w:val="792A231A"/>
    <w:rsid w:val="79316829"/>
    <w:rsid w:val="79635B60"/>
    <w:rsid w:val="797E66A9"/>
    <w:rsid w:val="798518A4"/>
    <w:rsid w:val="79A97383"/>
    <w:rsid w:val="79B7342D"/>
    <w:rsid w:val="79E27E8B"/>
    <w:rsid w:val="79E63D12"/>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F77AE"/>
    <w:rsid w:val="7BEE0103"/>
    <w:rsid w:val="7C0A0FE4"/>
    <w:rsid w:val="7C232FFC"/>
    <w:rsid w:val="7C254906"/>
    <w:rsid w:val="7C590818"/>
    <w:rsid w:val="7C6732F0"/>
    <w:rsid w:val="7C7C10F6"/>
    <w:rsid w:val="7C853BEA"/>
    <w:rsid w:val="7C881368"/>
    <w:rsid w:val="7CE27788"/>
    <w:rsid w:val="7D0C32F1"/>
    <w:rsid w:val="7D0F408D"/>
    <w:rsid w:val="7D491C6C"/>
    <w:rsid w:val="7D5429C0"/>
    <w:rsid w:val="7D6E6D43"/>
    <w:rsid w:val="7DAA32A9"/>
    <w:rsid w:val="7DB57A34"/>
    <w:rsid w:val="7DCE343B"/>
    <w:rsid w:val="7DE60973"/>
    <w:rsid w:val="7DEF0916"/>
    <w:rsid w:val="7E1E5218"/>
    <w:rsid w:val="7E1F4B53"/>
    <w:rsid w:val="7E81225C"/>
    <w:rsid w:val="7E9A4E1F"/>
    <w:rsid w:val="7EA7723A"/>
    <w:rsid w:val="7EF56FBB"/>
    <w:rsid w:val="7F0768EB"/>
    <w:rsid w:val="7F143BEC"/>
    <w:rsid w:val="7F376DB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20"/>
    <w:autoRedefine/>
    <w:qFormat/>
    <w:uiPriority w:val="0"/>
    <w:pPr>
      <w:adjustRightInd/>
      <w:spacing w:after="120" w:line="240" w:lineRule="auto"/>
      <w:ind w:left="420" w:leftChars="200" w:firstLine="210"/>
    </w:pPr>
    <w:rPr>
      <w:sz w:val="21"/>
    </w:rPr>
  </w:style>
  <w:style w:type="paragraph" w:styleId="3">
    <w:name w:val="Body Text Indent"/>
    <w:basedOn w:val="1"/>
    <w:link w:val="263"/>
    <w:autoRedefine/>
    <w:qFormat/>
    <w:uiPriority w:val="0"/>
    <w:pPr>
      <w:spacing w:line="480" w:lineRule="exact"/>
      <w:ind w:firstLine="480" w:firstLineChars="200"/>
    </w:pPr>
    <w:rPr>
      <w:rFonts w:ascii="宋体" w:hAnsi="宋体"/>
      <w:sz w:val="24"/>
    </w:rPr>
  </w:style>
  <w:style w:type="paragraph" w:styleId="7">
    <w:name w:val="Normal Indent"/>
    <w:basedOn w:val="1"/>
    <w:next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8"/>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1"/>
    <w:autoRedefine/>
    <w:qFormat/>
    <w:uiPriority w:val="0"/>
    <w:pPr>
      <w:shd w:val="clear" w:color="auto" w:fill="000080"/>
    </w:pPr>
  </w:style>
  <w:style w:type="paragraph" w:styleId="21">
    <w:name w:val="annotation text"/>
    <w:basedOn w:val="1"/>
    <w:link w:val="342"/>
    <w:autoRedefine/>
    <w:qFormat/>
    <w:uiPriority w:val="99"/>
    <w:pPr>
      <w:jc w:val="left"/>
    </w:pPr>
  </w:style>
  <w:style w:type="paragraph" w:styleId="22">
    <w:name w:val="Salutation"/>
    <w:basedOn w:val="1"/>
    <w:next w:val="1"/>
    <w:link w:val="296"/>
    <w:autoRedefine/>
    <w:qFormat/>
    <w:uiPriority w:val="0"/>
    <w:rPr>
      <w:rFonts w:ascii="仿宋_GB2312" w:eastAsia="仿宋_GB2312"/>
      <w:sz w:val="28"/>
      <w:szCs w:val="20"/>
    </w:rPr>
  </w:style>
  <w:style w:type="paragraph" w:styleId="23">
    <w:name w:val="Body Text 3"/>
    <w:basedOn w:val="1"/>
    <w:link w:val="328"/>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28"/>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6"/>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1"/>
    <w:autoRedefine/>
    <w:qFormat/>
    <w:uiPriority w:val="99"/>
    <w:pPr>
      <w:tabs>
        <w:tab w:val="center" w:pos="4153"/>
        <w:tab w:val="right" w:pos="8306"/>
      </w:tabs>
      <w:snapToGrid w:val="0"/>
      <w:jc w:val="left"/>
    </w:pPr>
    <w:rPr>
      <w:sz w:val="18"/>
      <w:szCs w:val="18"/>
    </w:rPr>
  </w:style>
  <w:style w:type="paragraph" w:styleId="41">
    <w:name w:val="header"/>
    <w:basedOn w:val="1"/>
    <w:link w:val="39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8"/>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3"/>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0"/>
    <w:autoRedefine/>
    <w:qFormat/>
    <w:uiPriority w:val="0"/>
    <w:pPr>
      <w:spacing w:after="120" w:line="480" w:lineRule="auto"/>
    </w:pPr>
  </w:style>
  <w:style w:type="paragraph" w:styleId="57">
    <w:name w:val="HTML Preformatted"/>
    <w:basedOn w:val="1"/>
    <w:link w:val="29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5"/>
    <w:autoRedefine/>
    <w:qFormat/>
    <w:uiPriority w:val="0"/>
    <w:rPr>
      <w:b/>
      <w:bCs/>
    </w:rPr>
  </w:style>
  <w:style w:type="paragraph" w:styleId="61">
    <w:name w:val="Body Text First Indent"/>
    <w:basedOn w:val="25"/>
    <w:next w:val="1"/>
    <w:link w:val="319"/>
    <w:autoRedefine/>
    <w:qFormat/>
    <w:uiPriority w:val="0"/>
    <w:pPr>
      <w:ind w:firstLine="420"/>
    </w:pPr>
    <w:rPr>
      <w:rFonts w:hAnsi="Calibri" w:cs="Times New Roman"/>
      <w:snapToGrid/>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styleId="8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字符"/>
    <w:link w:val="10"/>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5"/>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6"/>
    <w:autoRedefine/>
    <w:qFormat/>
    <w:uiPriority w:val="0"/>
    <w:rPr>
      <w:rFonts w:ascii="宋体"/>
      <w:kern w:val="2"/>
      <w:sz w:val="24"/>
      <w:szCs w:val="21"/>
      <w:lang w:val="zh-CN"/>
    </w:rPr>
  </w:style>
  <w:style w:type="character" w:customStyle="1" w:styleId="181">
    <w:name w:val="标题 9 字符"/>
    <w:link w:val="13"/>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7"/>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20"/>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8"/>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8"/>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80"/>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autoRedefine/>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字符1"/>
    <w:link w:val="3"/>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autoRedefine/>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autoRedefine/>
    <w:qFormat/>
    <w:uiPriority w:val="9"/>
    <w:rPr>
      <w:rFonts w:ascii="Cambria" w:hAnsi="Cambria" w:eastAsia="宋体" w:cs="Times New Roman"/>
      <w:b/>
      <w:bCs/>
      <w:kern w:val="2"/>
      <w:sz w:val="28"/>
      <w:szCs w:val="28"/>
    </w:rPr>
  </w:style>
  <w:style w:type="character" w:customStyle="1" w:styleId="268">
    <w:name w:val="批注文字 Char2"/>
    <w:autoRedefine/>
    <w:qFormat/>
    <w:uiPriority w:val="99"/>
    <w:rPr>
      <w:rFonts w:ascii="Times New Roman" w:hAnsi="Times New Roman" w:eastAsia="宋体" w:cs="Times New Roman"/>
      <w:snapToGrid w:val="0"/>
      <w:kern w:val="0"/>
      <w:szCs w:val="24"/>
    </w:rPr>
  </w:style>
  <w:style w:type="character" w:customStyle="1" w:styleId="269">
    <w:name w:val="正文文本 2 Char"/>
    <w:autoRedefine/>
    <w:qFormat/>
    <w:uiPriority w:val="0"/>
    <w:rPr>
      <w:rFonts w:eastAsia="宋体"/>
      <w:kern w:val="2"/>
      <w:sz w:val="21"/>
      <w:szCs w:val="24"/>
      <w:lang w:val="en-US" w:eastAsia="zh-CN" w:bidi="ar-SA"/>
    </w:rPr>
  </w:style>
  <w:style w:type="character" w:customStyle="1" w:styleId="270">
    <w:name w:val="Ò³Ã¼ Char Char"/>
    <w:autoRedefine/>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autoRedefine/>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autoRedefine/>
    <w:qFormat/>
    <w:locked/>
    <w:uiPriority w:val="0"/>
    <w:rPr>
      <w:rFonts w:ascii="宋体" w:hAnsi="宋体" w:eastAsia="宋体"/>
      <w:b/>
      <w:bCs/>
      <w:kern w:val="2"/>
      <w:sz w:val="24"/>
      <w:szCs w:val="24"/>
      <w:lang w:val="en-US" w:eastAsia="zh-CN" w:bidi="ar-SA"/>
    </w:rPr>
  </w:style>
  <w:style w:type="character" w:customStyle="1" w:styleId="278">
    <w:name w:val="此正文 Char"/>
    <w:link w:val="279"/>
    <w:autoRedefine/>
    <w:qFormat/>
    <w:uiPriority w:val="0"/>
    <w:rPr>
      <w:kern w:val="2"/>
      <w:sz w:val="24"/>
      <w:szCs w:val="24"/>
    </w:rPr>
  </w:style>
  <w:style w:type="paragraph" w:customStyle="1" w:styleId="279">
    <w:name w:val="此正文"/>
    <w:basedOn w:val="1"/>
    <w:link w:val="278"/>
    <w:autoRedefine/>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字符1"/>
    <w:link w:val="4"/>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autoRedefine/>
    <w:qFormat/>
    <w:uiPriority w:val="6"/>
    <w:rPr>
      <w:rFonts w:ascii="Arial" w:hAnsi="Arial" w:eastAsia="微软雅黑"/>
      <w:b/>
      <w:kern w:val="1"/>
      <w:sz w:val="44"/>
      <w:szCs w:val="32"/>
      <w:lang w:val="en-US" w:eastAsia="zh-CN" w:bidi="ar-SA"/>
    </w:rPr>
  </w:style>
  <w:style w:type="character" w:customStyle="1" w:styleId="284">
    <w:name w:val="标题 字符"/>
    <w:link w:val="59"/>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autoRedefine/>
    <w:qFormat/>
    <w:uiPriority w:val="0"/>
    <w:rPr>
      <w:rFonts w:ascii="Calibri" w:hAnsi="Calibri" w:eastAsia="黑体" w:cs="Arial"/>
      <w:snapToGrid w:val="0"/>
      <w:kern w:val="2"/>
      <w:sz w:val="28"/>
      <w:szCs w:val="21"/>
    </w:rPr>
  </w:style>
  <w:style w:type="character" w:customStyle="1" w:styleId="291">
    <w:name w:val="标题 5 字符"/>
    <w:link w:val="9"/>
    <w:autoRedefine/>
    <w:qFormat/>
    <w:uiPriority w:val="9"/>
    <w:rPr>
      <w:b/>
      <w:bCs/>
      <w:kern w:val="2"/>
      <w:sz w:val="28"/>
      <w:szCs w:val="28"/>
    </w:rPr>
  </w:style>
  <w:style w:type="character" w:customStyle="1" w:styleId="292">
    <w:name w:val="标题 6 Char1"/>
    <w:autoRedefine/>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autoRedefine/>
    <w:qFormat/>
    <w:uiPriority w:val="0"/>
    <w:rPr>
      <w:rFonts w:ascii="宋体" w:eastAsia="宋体"/>
      <w:kern w:val="2"/>
      <w:sz w:val="24"/>
      <w:szCs w:val="24"/>
      <w:lang w:val="zh-CN" w:bidi="ar-SA"/>
    </w:rPr>
  </w:style>
  <w:style w:type="character" w:customStyle="1" w:styleId="296">
    <w:name w:val="称呼 字符"/>
    <w:link w:val="22"/>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autoRedefine/>
    <w:qFormat/>
    <w:uiPriority w:val="0"/>
    <w:rPr>
      <w:rFonts w:ascii="宋体" w:eastAsia="宋体"/>
      <w:snapToGrid w:val="0"/>
      <w:color w:val="000000"/>
      <w:kern w:val="28"/>
      <w:sz w:val="28"/>
      <w:lang w:val="en-US" w:eastAsia="zh-CN" w:bidi="ar-SA"/>
    </w:rPr>
  </w:style>
  <w:style w:type="character" w:customStyle="1" w:styleId="299">
    <w:name w:val="HTML 预设格式 字符"/>
    <w:link w:val="57"/>
    <w:autoRedefine/>
    <w:qFormat/>
    <w:uiPriority w:val="0"/>
    <w:rPr>
      <w:rFonts w:ascii="黑体" w:hAnsi="Courier New" w:eastAsia="黑体"/>
    </w:rPr>
  </w:style>
  <w:style w:type="character" w:customStyle="1" w:styleId="300">
    <w:name w:val="正文文本 2 字符1"/>
    <w:link w:val="56"/>
    <w:autoRedefine/>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autoRedefine/>
    <w:qFormat/>
    <w:uiPriority w:val="0"/>
    <w:pPr>
      <w:tabs>
        <w:tab w:val="left" w:pos="2356"/>
      </w:tabs>
    </w:pPr>
  </w:style>
  <w:style w:type="paragraph" w:customStyle="1" w:styleId="303">
    <w:name w:val="样式 标题 4h4H4Fab-4T5Ref Heading 1rh1Heading sqlsect 1.2.3...."/>
    <w:basedOn w:val="8"/>
    <w:link w:val="41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autoRedefine/>
    <w:qFormat/>
    <w:uiPriority w:val="0"/>
    <w:rPr>
      <w:rFonts w:ascii="宋体" w:eastAsia="宋体"/>
      <w:snapToGrid w:val="0"/>
      <w:color w:val="000000"/>
      <w:kern w:val="28"/>
      <w:sz w:val="28"/>
      <w:lang w:val="en-US" w:eastAsia="zh-CN" w:bidi="ar-SA"/>
    </w:rPr>
  </w:style>
  <w:style w:type="character" w:customStyle="1" w:styleId="305">
    <w:name w:val="标题 7 字符"/>
    <w:link w:val="11"/>
    <w:autoRedefine/>
    <w:qFormat/>
    <w:uiPriority w:val="0"/>
    <w:rPr>
      <w:b/>
      <w:bCs/>
      <w:kern w:val="2"/>
      <w:sz w:val="24"/>
      <w:szCs w:val="24"/>
    </w:rPr>
  </w:style>
  <w:style w:type="character" w:customStyle="1" w:styleId="306">
    <w:name w:val="正文文本缩进 2 字符"/>
    <w:link w:val="37"/>
    <w:autoRedefine/>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autoRedefine/>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autoRedefine/>
    <w:qFormat/>
    <w:uiPriority w:val="0"/>
    <w:rPr>
      <w:kern w:val="2"/>
      <w:sz w:val="21"/>
      <w:szCs w:val="24"/>
    </w:rPr>
  </w:style>
  <w:style w:type="character" w:customStyle="1" w:styleId="343">
    <w:name w:val="签名 字符"/>
    <w:link w:val="42"/>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autoRedefine/>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autoRedefine/>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字符2"/>
    <w:link w:val="40"/>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字符2"/>
    <w:link w:val="41"/>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7"/>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autoRedefine/>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autoRedefine/>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autoRedefine/>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autoRedefine/>
    <w:qFormat/>
    <w:uiPriority w:val="0"/>
    <w:pPr>
      <w:tabs>
        <w:tab w:val="left" w:pos="1260"/>
        <w:tab w:val="left" w:pos="1680"/>
        <w:tab w:val="left" w:pos="2100"/>
      </w:tabs>
      <w:ind w:left="0"/>
      <w:outlineLvl w:val="3"/>
    </w:pPr>
  </w:style>
  <w:style w:type="paragraph" w:customStyle="1" w:styleId="655">
    <w:name w:val="一级条标题"/>
    <w:basedOn w:val="656"/>
    <w:next w:val="638"/>
    <w:autoRedefine/>
    <w:qFormat/>
    <w:uiPriority w:val="0"/>
    <w:pPr>
      <w:tabs>
        <w:tab w:val="left" w:pos="1260"/>
        <w:tab w:val="left" w:pos="1680"/>
      </w:tabs>
      <w:spacing w:before="0" w:beforeLines="0" w:after="0" w:afterLines="0"/>
      <w:ind w:left="1680"/>
      <w:outlineLvl w:val="2"/>
    </w:pPr>
  </w:style>
  <w:style w:type="paragraph" w:customStyle="1" w:styleId="656">
    <w:name w:val="章标题"/>
    <w:next w:val="6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autoRedefine/>
    <w:qFormat/>
    <w:uiPriority w:val="0"/>
    <w:pPr>
      <w:tabs>
        <w:tab w:val="left" w:pos="840"/>
      </w:tabs>
      <w:spacing w:after="0"/>
      <w:ind w:left="900"/>
    </w:pPr>
  </w:style>
  <w:style w:type="paragraph" w:customStyle="1" w:styleId="66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autoRedefine/>
    <w:qFormat/>
    <w:uiPriority w:val="6"/>
    <w:pPr>
      <w:widowControl/>
      <w:adjustRightInd/>
      <w:ind w:left="720" w:hanging="720"/>
    </w:pPr>
    <w:rPr>
      <w:color w:val="000000"/>
      <w:kern w:val="0"/>
      <w:sz w:val="24"/>
      <w:szCs w:val="20"/>
      <w:lang w:val="en-GB"/>
    </w:rPr>
  </w:style>
  <w:style w:type="paragraph" w:customStyle="1" w:styleId="666">
    <w:name w:val="表1"/>
    <w:basedOn w:val="1"/>
    <w:autoRedefine/>
    <w:qFormat/>
    <w:uiPriority w:val="0"/>
    <w:pPr>
      <w:tabs>
        <w:tab w:val="left" w:pos="703"/>
      </w:tabs>
      <w:adjustRightInd/>
      <w:spacing w:line="360" w:lineRule="auto"/>
      <w:ind w:left="703"/>
      <w:jc w:val="center"/>
    </w:pPr>
  </w:style>
  <w:style w:type="paragraph" w:customStyle="1" w:styleId="66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autoRedefine/>
    <w:qFormat/>
    <w:uiPriority w:val="0"/>
    <w:pPr>
      <w:jc w:val="left"/>
      <w:outlineLvl w:val="1"/>
    </w:pPr>
    <w:rPr>
      <w:rFonts w:ascii="Times New Roman" w:hAnsi="Times New Roman" w:eastAsia="仿宋"/>
      <w:sz w:val="30"/>
    </w:rPr>
  </w:style>
  <w:style w:type="paragraph" w:customStyle="1" w:styleId="67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autoRedefine/>
    <w:qFormat/>
    <w:uiPriority w:val="0"/>
    <w:pPr>
      <w:tabs>
        <w:tab w:val="left" w:pos="840"/>
      </w:tabs>
      <w:adjustRightInd/>
      <w:ind w:left="840" w:hanging="420"/>
    </w:pPr>
  </w:style>
  <w:style w:type="paragraph" w:customStyle="1" w:styleId="67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8"/>
    <w:autoRedefine/>
    <w:qFormat/>
    <w:uiPriority w:val="0"/>
    <w:pPr>
      <w:tabs>
        <w:tab w:val="left" w:pos="2100"/>
      </w:tabs>
      <w:adjustRightInd/>
      <w:ind w:left="2100" w:hanging="420"/>
    </w:pPr>
    <w:rPr>
      <w:lang w:val="en-US"/>
    </w:rPr>
  </w:style>
  <w:style w:type="paragraph" w:customStyle="1" w:styleId="68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autoRedefine/>
    <w:qFormat/>
    <w:uiPriority w:val="6"/>
    <w:pPr>
      <w:spacing w:line="360" w:lineRule="auto"/>
    </w:pPr>
    <w:rPr>
      <w:szCs w:val="20"/>
    </w:rPr>
  </w:style>
  <w:style w:type="paragraph" w:customStyle="1" w:styleId="68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autoRedefine/>
    <w:qFormat/>
    <w:uiPriority w:val="0"/>
    <w:pPr>
      <w:adjustRightInd/>
      <w:spacing w:line="360" w:lineRule="auto"/>
      <w:jc w:val="center"/>
    </w:pPr>
    <w:rPr>
      <w:sz w:val="24"/>
    </w:rPr>
  </w:style>
  <w:style w:type="paragraph" w:customStyle="1" w:styleId="69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autoRedefine/>
    <w:qFormat/>
    <w:uiPriority w:val="6"/>
    <w:rPr>
      <w:rFonts w:ascii="仿宋_GB2312" w:eastAsia="仿宋_GB2312"/>
      <w:b/>
      <w:sz w:val="32"/>
      <w:szCs w:val="32"/>
    </w:rPr>
  </w:style>
  <w:style w:type="paragraph" w:customStyle="1" w:styleId="700">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autoRedefine/>
    <w:qFormat/>
    <w:uiPriority w:val="0"/>
    <w:pPr>
      <w:widowControl/>
      <w:adjustRightInd/>
      <w:spacing w:after="160" w:line="240" w:lineRule="exact"/>
      <w:jc w:val="left"/>
    </w:pPr>
    <w:rPr>
      <w:szCs w:val="20"/>
    </w:rPr>
  </w:style>
  <w:style w:type="paragraph" w:customStyle="1" w:styleId="703">
    <w:name w:val="Char Char1121"/>
    <w:basedOn w:val="1"/>
    <w:autoRedefine/>
    <w:qFormat/>
    <w:uiPriority w:val="0"/>
    <w:pPr>
      <w:spacing w:line="360" w:lineRule="auto"/>
    </w:pPr>
    <w:rPr>
      <w:szCs w:val="20"/>
    </w:rPr>
  </w:style>
  <w:style w:type="paragraph" w:customStyle="1" w:styleId="7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autoRedefine/>
    <w:qFormat/>
    <w:uiPriority w:val="0"/>
    <w:rPr>
      <w:rFonts w:ascii="Times New Roman" w:hAnsi="Times New Roman" w:eastAsia="宋体" w:cs="Times New Roman"/>
      <w:lang w:val="en-US" w:eastAsia="en-US" w:bidi="ar-SA"/>
    </w:rPr>
  </w:style>
  <w:style w:type="paragraph" w:customStyle="1" w:styleId="707">
    <w:name w:val="带编号样式"/>
    <w:basedOn w:val="625"/>
    <w:autoRedefine/>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autoRedefine/>
    <w:qFormat/>
    <w:uiPriority w:val="0"/>
    <w:pPr>
      <w:spacing w:line="240" w:lineRule="atLeast"/>
      <w:ind w:left="420" w:firstLine="420"/>
    </w:pPr>
    <w:rPr>
      <w:sz w:val="24"/>
    </w:rPr>
  </w:style>
  <w:style w:type="paragraph" w:customStyle="1" w:styleId="714">
    <w:name w:val="WW-正文文字缩进 2"/>
    <w:basedOn w:val="1"/>
    <w:autoRedefine/>
    <w:qFormat/>
    <w:uiPriority w:val="0"/>
    <w:pPr>
      <w:suppressAutoHyphens/>
      <w:adjustRightInd/>
      <w:ind w:firstLine="420"/>
    </w:pPr>
    <w:rPr>
      <w:kern w:val="1"/>
      <w:szCs w:val="20"/>
    </w:rPr>
  </w:style>
  <w:style w:type="paragraph" w:customStyle="1" w:styleId="7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next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9"/>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0"/>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jd-正文1"/>
    <w:qFormat/>
    <w:uiPriority w:val="0"/>
    <w:pPr>
      <w:adjustRightInd w:val="0"/>
      <w:spacing w:line="360" w:lineRule="auto"/>
      <w:ind w:firstLine="482" w:firstLineChars="200"/>
      <w:jc w:val="both"/>
    </w:pPr>
    <w:rPr>
      <w:rFonts w:ascii="宋体" w:hAnsi="宋体" w:eastAsia="宋体" w:cs="宋体"/>
      <w:kern w:val="2"/>
      <w:sz w:val="24"/>
      <w:szCs w:val="24"/>
      <w:lang w:val="en-US" w:eastAsia="zh-CN" w:bidi="ar-SA"/>
    </w:rPr>
  </w:style>
  <w:style w:type="table" w:customStyle="1" w:styleId="96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72B4D-9256-4782-95A6-08916EF33AD5}">
  <ds:schemaRefs/>
</ds:datastoreItem>
</file>

<file path=docProps/app.xml><?xml version="1.0" encoding="utf-8"?>
<Properties xmlns="http://schemas.openxmlformats.org/officeDocument/2006/extended-properties" xmlns:vt="http://schemas.openxmlformats.org/officeDocument/2006/docPropsVTypes">
  <Template>Normal</Template>
  <Pages>67</Pages>
  <Words>31841</Words>
  <Characters>34035</Characters>
  <Lines>391</Lines>
  <Paragraphs>110</Paragraphs>
  <TotalTime>75</TotalTime>
  <ScaleCrop>false</ScaleCrop>
  <LinksUpToDate>false</LinksUpToDate>
  <CharactersWithSpaces>38658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HP</dc:creator>
  <cp:lastModifiedBy>英子</cp:lastModifiedBy>
  <cp:lastPrinted>2024-05-23T15:43:00Z</cp:lastPrinted>
  <dcterms:modified xsi:type="dcterms:W3CDTF">2024-09-18T03:24:05Z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3C8CF1F291504C29AC9480618163AFCF_13</vt:lpwstr>
  </property>
</Properties>
</file>