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70FC9F">
      <w:pPr>
        <w:widowControl/>
        <w:adjustRightInd/>
        <w:spacing w:line="240" w:lineRule="atLeast"/>
        <w:rPr>
          <w:rFonts w:ascii="仿宋" w:hAnsi="仿宋" w:eastAsia="仿宋" w:cs="仿宋"/>
          <w:color w:val="auto"/>
          <w:sz w:val="36"/>
          <w:szCs w:val="36"/>
          <w:highlight w:val="none"/>
        </w:rPr>
      </w:pPr>
      <w:bookmarkStart w:id="0" w:name="_Toc491959005"/>
    </w:p>
    <w:bookmarkEnd w:id="0"/>
    <w:p w14:paraId="0242B4AC">
      <w:pPr>
        <w:adjustRightInd/>
        <w:spacing w:line="360" w:lineRule="auto"/>
        <w:jc w:val="center"/>
        <w:rPr>
          <w:rFonts w:ascii="仿宋" w:hAnsi="仿宋" w:eastAsia="仿宋" w:cs="仿宋"/>
          <w:color w:val="auto"/>
          <w:sz w:val="48"/>
          <w:szCs w:val="48"/>
          <w:highlight w:val="none"/>
          <w:u w:val="single"/>
        </w:rPr>
      </w:pPr>
    </w:p>
    <w:p w14:paraId="41646437">
      <w:pPr>
        <w:adjustRightInd/>
        <w:spacing w:line="360" w:lineRule="auto"/>
        <w:jc w:val="center"/>
        <w:rPr>
          <w:rFonts w:hint="eastAsia" w:ascii="仿宋" w:hAnsi="仿宋" w:eastAsia="仿宋" w:cs="仿宋"/>
          <w:color w:val="auto"/>
          <w:sz w:val="52"/>
          <w:szCs w:val="52"/>
          <w:highlight w:val="none"/>
          <w:lang w:eastAsia="zh-CN"/>
        </w:rPr>
      </w:pPr>
      <w:r>
        <w:rPr>
          <w:rFonts w:hint="eastAsia" w:ascii="仿宋" w:hAnsi="仿宋" w:eastAsia="仿宋" w:cs="仿宋"/>
          <w:color w:val="auto"/>
          <w:sz w:val="52"/>
          <w:szCs w:val="52"/>
          <w:highlight w:val="none"/>
          <w:lang w:eastAsia="zh-CN"/>
        </w:rPr>
        <w:t>2025年交管局核心设备、系统和计算机综</w:t>
      </w:r>
      <w:bookmarkStart w:id="554" w:name="_GoBack"/>
      <w:bookmarkEnd w:id="554"/>
      <w:r>
        <w:rPr>
          <w:rFonts w:hint="eastAsia" w:ascii="仿宋" w:hAnsi="仿宋" w:eastAsia="仿宋" w:cs="仿宋"/>
          <w:color w:val="auto"/>
          <w:sz w:val="52"/>
          <w:szCs w:val="52"/>
          <w:highlight w:val="none"/>
          <w:lang w:eastAsia="zh-CN"/>
        </w:rPr>
        <w:t>合维保项目</w:t>
      </w:r>
    </w:p>
    <w:p w14:paraId="683D9F72">
      <w:pPr>
        <w:adjustRightInd/>
        <w:spacing w:line="360" w:lineRule="auto"/>
        <w:jc w:val="center"/>
        <w:rPr>
          <w:rFonts w:ascii="仿宋" w:hAnsi="仿宋" w:eastAsia="仿宋" w:cs="仿宋"/>
          <w:color w:val="auto"/>
          <w:sz w:val="48"/>
          <w:szCs w:val="48"/>
          <w:highlight w:val="none"/>
        </w:rPr>
      </w:pPr>
    </w:p>
    <w:p w14:paraId="713D7081">
      <w:pPr>
        <w:adjustRightInd/>
        <w:spacing w:line="360" w:lineRule="auto"/>
        <w:jc w:val="center"/>
        <w:rPr>
          <w:rFonts w:ascii="仿宋" w:hAnsi="仿宋" w:eastAsia="仿宋" w:cs="仿宋"/>
          <w:color w:val="auto"/>
          <w:sz w:val="48"/>
          <w:szCs w:val="48"/>
          <w:highlight w:val="none"/>
        </w:rPr>
      </w:pPr>
    </w:p>
    <w:p w14:paraId="31FC6A4B">
      <w:pPr>
        <w:adjustRightInd/>
        <w:jc w:val="center"/>
        <w:rPr>
          <w:rFonts w:ascii="仿宋" w:hAnsi="仿宋" w:eastAsia="仿宋" w:cs="仿宋"/>
          <w:color w:val="auto"/>
          <w:sz w:val="96"/>
          <w:szCs w:val="96"/>
          <w:highlight w:val="none"/>
        </w:rPr>
      </w:pPr>
      <w:r>
        <w:rPr>
          <w:rFonts w:hint="eastAsia" w:ascii="仿宋" w:hAnsi="仿宋" w:eastAsia="仿宋" w:cs="仿宋"/>
          <w:color w:val="auto"/>
          <w:sz w:val="104"/>
          <w:szCs w:val="104"/>
          <w:highlight w:val="none"/>
        </w:rPr>
        <w:t>招标文件</w:t>
      </w:r>
      <w:r>
        <w:rPr>
          <w:rFonts w:hint="eastAsia" w:ascii="仿宋" w:hAnsi="仿宋" w:eastAsia="仿宋" w:cs="仿宋"/>
          <w:color w:val="auto"/>
          <w:sz w:val="96"/>
          <w:szCs w:val="96"/>
          <w:highlight w:val="none"/>
        </w:rPr>
        <w:t xml:space="preserve"> </w:t>
      </w:r>
    </w:p>
    <w:p w14:paraId="15A5AB7B">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FDCAF53">
      <w:pPr>
        <w:snapToGrid w:val="0"/>
        <w:spacing w:line="360" w:lineRule="auto"/>
        <w:jc w:val="center"/>
        <w:rPr>
          <w:rFonts w:ascii="仿宋" w:hAnsi="仿宋" w:eastAsia="仿宋" w:cs="仿宋"/>
          <w:color w:val="auto"/>
          <w:sz w:val="30"/>
          <w:szCs w:val="30"/>
          <w:highlight w:val="none"/>
        </w:rPr>
      </w:pPr>
    </w:p>
    <w:p w14:paraId="6969C8B5">
      <w:pPr>
        <w:snapToGrid w:val="0"/>
        <w:spacing w:line="360" w:lineRule="auto"/>
        <w:jc w:val="center"/>
        <w:rPr>
          <w:rFonts w:ascii="仿宋" w:hAnsi="仿宋" w:eastAsia="仿宋" w:cs="仿宋"/>
          <w:color w:val="auto"/>
          <w:sz w:val="30"/>
          <w:szCs w:val="30"/>
          <w:highlight w:val="none"/>
        </w:rPr>
      </w:pPr>
    </w:p>
    <w:p w14:paraId="13D4F28C">
      <w:pPr>
        <w:spacing w:line="360" w:lineRule="auto"/>
        <w:jc w:val="center"/>
        <w:rPr>
          <w:rFonts w:ascii="仿宋" w:hAnsi="仿宋" w:eastAsia="仿宋" w:cs="仿宋"/>
          <w:b/>
          <w:color w:val="auto"/>
          <w:sz w:val="44"/>
          <w:szCs w:val="44"/>
          <w:highlight w:val="none"/>
        </w:rPr>
      </w:pPr>
    </w:p>
    <w:p w14:paraId="09E9991D">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采购方式：公开招标</w:t>
      </w:r>
    </w:p>
    <w:p w14:paraId="110E76FA">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 xml:space="preserve">编号: </w:t>
      </w:r>
      <w:r>
        <w:rPr>
          <w:rFonts w:hint="eastAsia" w:ascii="仿宋" w:hAnsi="仿宋" w:eastAsia="仿宋" w:cs="仿宋"/>
          <w:color w:val="auto"/>
          <w:sz w:val="30"/>
          <w:szCs w:val="30"/>
          <w:highlight w:val="none"/>
          <w:lang w:eastAsia="zh-CN"/>
        </w:rPr>
        <w:t>HYZB20241201</w:t>
      </w:r>
    </w:p>
    <w:p w14:paraId="2F3F0440">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51F2EBA">
      <w:pPr>
        <w:spacing w:line="360" w:lineRule="auto"/>
        <w:jc w:val="center"/>
        <w:rPr>
          <w:rFonts w:ascii="仿宋" w:hAnsi="仿宋" w:eastAsia="仿宋" w:cs="仿宋"/>
          <w:b/>
          <w:color w:val="auto"/>
          <w:sz w:val="44"/>
          <w:szCs w:val="44"/>
          <w:highlight w:val="none"/>
        </w:rPr>
      </w:pPr>
    </w:p>
    <w:p w14:paraId="7B105ECF">
      <w:pPr>
        <w:snapToGrid w:val="0"/>
        <w:spacing w:line="360" w:lineRule="auto"/>
        <w:ind w:firstLine="1600" w:firstLineChars="5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    购   人：</w:t>
      </w:r>
      <w:r>
        <w:rPr>
          <w:rFonts w:hint="eastAsia" w:ascii="仿宋" w:hAnsi="仿宋" w:eastAsia="仿宋" w:cs="仿宋"/>
          <w:color w:val="auto"/>
          <w:sz w:val="32"/>
          <w:szCs w:val="32"/>
          <w:highlight w:val="none"/>
          <w:u w:val="single"/>
        </w:rPr>
        <w:t xml:space="preserve">温州市公安局交通管理局 </w:t>
      </w:r>
    </w:p>
    <w:p w14:paraId="69C64B3A">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采购代理机构</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highlight w:val="none"/>
          <w:u w:val="single"/>
        </w:rPr>
        <w:t>温州市华越招标代理有限公司</w:t>
      </w:r>
    </w:p>
    <w:p w14:paraId="71288CF1">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月</w:t>
      </w:r>
    </w:p>
    <w:p w14:paraId="5C9C7BB9">
      <w:pPr>
        <w:adjustRightInd/>
        <w:spacing w:line="360" w:lineRule="auto"/>
        <w:jc w:val="center"/>
        <w:outlineLvl w:val="1"/>
        <w:rPr>
          <w:rStyle w:val="84"/>
          <w:rFonts w:hint="eastAsia" w:ascii="仿宋" w:eastAsia="仿宋"/>
          <w:bCs w:val="0"/>
          <w:color w:val="auto"/>
          <w:highlight w:val="none"/>
        </w:rPr>
        <w:sectPr>
          <w:pgSz w:w="11906" w:h="16838"/>
          <w:pgMar w:top="1247" w:right="1293" w:bottom="1247" w:left="1293" w:header="851" w:footer="850" w:gutter="0"/>
          <w:pgBorders>
            <w:top w:val="none" w:sz="0" w:space="0"/>
            <w:left w:val="none" w:sz="0" w:space="0"/>
            <w:bottom w:val="none" w:sz="0" w:space="0"/>
            <w:right w:val="none" w:sz="0" w:space="0"/>
          </w:pgBorders>
          <w:pgNumType w:start="0"/>
          <w:cols w:space="720" w:num="1"/>
          <w:titlePg/>
          <w:docGrid w:linePitch="312" w:charSpace="0"/>
        </w:sectPr>
      </w:pPr>
      <w:bookmarkStart w:id="1" w:name="_Hlt67893495"/>
      <w:bookmarkEnd w:id="1"/>
      <w:bookmarkStart w:id="2" w:name="_Toc133499537"/>
    </w:p>
    <w:p w14:paraId="6DED5C80">
      <w:pPr>
        <w:adjustRightInd/>
        <w:spacing w:line="360" w:lineRule="auto"/>
        <w:jc w:val="center"/>
        <w:outlineLvl w:val="1"/>
        <w:rPr>
          <w:rStyle w:val="84"/>
          <w:rFonts w:ascii="仿宋" w:eastAsia="仿宋"/>
          <w:bCs w:val="0"/>
          <w:color w:val="auto"/>
          <w:highlight w:val="none"/>
        </w:rPr>
      </w:pPr>
      <w:r>
        <w:rPr>
          <w:rStyle w:val="84"/>
          <w:rFonts w:hint="eastAsia" w:ascii="仿宋" w:eastAsia="仿宋"/>
          <w:bCs w:val="0"/>
          <w:color w:val="auto"/>
          <w:highlight w:val="none"/>
        </w:rPr>
        <w:t>目  录</w:t>
      </w:r>
      <w:bookmarkEnd w:id="2"/>
    </w:p>
    <w:p w14:paraId="5FBFCF51">
      <w:pPr>
        <w:pStyle w:val="53"/>
        <w:tabs>
          <w:tab w:val="right" w:leader="dot" w:pos="9310"/>
        </w:tabs>
        <w:spacing w:line="400" w:lineRule="exact"/>
        <w:ind w:left="0" w:leftChars="0"/>
        <w:rPr>
          <w:rFonts w:ascii="仿宋" w:hAnsi="仿宋" w:eastAsia="仿宋"/>
          <w:color w:val="auto"/>
          <w:sz w:val="24"/>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"1-3" \h \u </w:instrText>
      </w:r>
      <w:r>
        <w:rPr>
          <w:rFonts w:hint="eastAsia" w:ascii="仿宋" w:hAnsi="仿宋" w:eastAsia="仿宋" w:cs="仿宋"/>
          <w:color w:val="auto"/>
          <w:sz w:val="22"/>
          <w:szCs w:val="22"/>
          <w:highlight w:val="none"/>
        </w:rPr>
        <w:fldChar w:fldCharType="separate"/>
      </w:r>
      <w:r>
        <w:rPr>
          <w:color w:val="auto"/>
          <w:highlight w:val="none"/>
        </w:rPr>
        <w:fldChar w:fldCharType="begin"/>
      </w:r>
      <w:r>
        <w:rPr>
          <w:color w:val="auto"/>
          <w:highlight w:val="none"/>
        </w:rPr>
        <w:instrText xml:space="preserve"> HYPERLINK \l "_Toc133499537" </w:instrText>
      </w:r>
      <w:r>
        <w:rPr>
          <w:color w:val="auto"/>
          <w:highlight w:val="none"/>
        </w:rPr>
        <w:fldChar w:fldCharType="separate"/>
      </w:r>
      <w:r>
        <w:rPr>
          <w:rStyle w:val="76"/>
          <w:rFonts w:ascii="仿宋" w:hAnsi="仿宋" w:eastAsia="仿宋"/>
          <w:b/>
          <w:color w:val="auto"/>
          <w:sz w:val="24"/>
          <w:szCs w:val="24"/>
          <w:highlight w:val="none"/>
          <w:lang w:val="zh-CN"/>
        </w:rPr>
        <w:t>目  录</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_Toc133499537 \h </w:instrText>
      </w:r>
      <w:r>
        <w:rPr>
          <w:rFonts w:ascii="仿宋" w:hAnsi="仿宋" w:eastAsia="仿宋"/>
          <w:color w:val="auto"/>
          <w:sz w:val="24"/>
          <w:highlight w:val="none"/>
        </w:rPr>
        <w:fldChar w:fldCharType="separate"/>
      </w:r>
      <w:r>
        <w:rPr>
          <w:rFonts w:ascii="仿宋" w:hAnsi="仿宋" w:eastAsia="仿宋"/>
          <w:color w:val="auto"/>
          <w:sz w:val="24"/>
          <w:highlight w:val="none"/>
        </w:rPr>
        <w:t>1</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10022C3F">
      <w:pPr>
        <w:pStyle w:val="43"/>
        <w:tabs>
          <w:tab w:val="right" w:leader="dot" w:pos="9310"/>
        </w:tabs>
        <w:spacing w:line="400" w:lineRule="exact"/>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"_Toc133499538" </w:instrText>
      </w:r>
      <w:r>
        <w:rPr>
          <w:color w:val="auto"/>
          <w:highlight w:val="none"/>
        </w:rPr>
        <w:fldChar w:fldCharType="separate"/>
      </w:r>
      <w:r>
        <w:rPr>
          <w:rStyle w:val="76"/>
          <w:rFonts w:ascii="仿宋" w:hAnsi="仿宋" w:eastAsia="仿宋" w:cs="仿宋"/>
          <w:b/>
          <w:bCs/>
          <w:color w:val="auto"/>
          <w:sz w:val="24"/>
          <w:szCs w:val="24"/>
          <w:highlight w:val="none"/>
          <w:lang w:val="zh-CN"/>
        </w:rPr>
        <w:t>第一部分 招标公告</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_Toc133499538 \h </w:instrText>
      </w:r>
      <w:r>
        <w:rPr>
          <w:rFonts w:ascii="仿宋" w:hAnsi="仿宋" w:eastAsia="仿宋"/>
          <w:color w:val="auto"/>
          <w:sz w:val="24"/>
          <w:highlight w:val="none"/>
        </w:rPr>
        <w:fldChar w:fldCharType="separate"/>
      </w:r>
      <w:r>
        <w:rPr>
          <w:rFonts w:ascii="仿宋" w:hAnsi="仿宋" w:eastAsia="仿宋"/>
          <w:color w:val="auto"/>
          <w:sz w:val="24"/>
          <w:highlight w:val="none"/>
        </w:rPr>
        <w:t>2</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0429ED45">
      <w:pPr>
        <w:pStyle w:val="43"/>
        <w:tabs>
          <w:tab w:val="right" w:leader="dot" w:pos="9310"/>
        </w:tabs>
        <w:spacing w:line="400" w:lineRule="exact"/>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"_Toc133499539" </w:instrText>
      </w:r>
      <w:r>
        <w:rPr>
          <w:color w:val="auto"/>
          <w:highlight w:val="none"/>
        </w:rPr>
        <w:fldChar w:fldCharType="separate"/>
      </w:r>
      <w:r>
        <w:rPr>
          <w:rStyle w:val="76"/>
          <w:rFonts w:ascii="仿宋" w:hAnsi="仿宋" w:eastAsia="仿宋" w:cs="仿宋"/>
          <w:b/>
          <w:bCs/>
          <w:color w:val="auto"/>
          <w:sz w:val="24"/>
          <w:szCs w:val="24"/>
          <w:highlight w:val="none"/>
          <w:lang w:val="zh-CN"/>
        </w:rPr>
        <w:t>第二部分 投标人须知</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_Toc133499539 \h </w:instrText>
      </w:r>
      <w:r>
        <w:rPr>
          <w:rFonts w:ascii="仿宋" w:hAnsi="仿宋" w:eastAsia="仿宋"/>
          <w:color w:val="auto"/>
          <w:sz w:val="24"/>
          <w:highlight w:val="none"/>
        </w:rPr>
        <w:fldChar w:fldCharType="separate"/>
      </w:r>
      <w:r>
        <w:rPr>
          <w:rFonts w:ascii="仿宋" w:hAnsi="仿宋" w:eastAsia="仿宋"/>
          <w:color w:val="auto"/>
          <w:sz w:val="24"/>
          <w:highlight w:val="none"/>
        </w:rPr>
        <w:t>6</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6FDF2208">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"_Toc133499540" </w:instrText>
      </w:r>
      <w:r>
        <w:rPr>
          <w:color w:val="auto"/>
          <w:highlight w:val="none"/>
        </w:rPr>
        <w:fldChar w:fldCharType="separate"/>
      </w:r>
      <w:r>
        <w:rPr>
          <w:rStyle w:val="76"/>
          <w:rFonts w:ascii="仿宋" w:hAnsi="仿宋" w:eastAsia="仿宋"/>
          <w:color w:val="auto"/>
          <w:sz w:val="24"/>
          <w:szCs w:val="24"/>
          <w:highlight w:val="none"/>
        </w:rPr>
        <w:t>前附表</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_Toc133499540 \h </w:instrText>
      </w:r>
      <w:r>
        <w:rPr>
          <w:rFonts w:ascii="仿宋" w:hAnsi="仿宋" w:eastAsia="仿宋"/>
          <w:color w:val="auto"/>
          <w:sz w:val="24"/>
          <w:highlight w:val="none"/>
        </w:rPr>
        <w:fldChar w:fldCharType="separate"/>
      </w:r>
      <w:r>
        <w:rPr>
          <w:rFonts w:ascii="仿宋" w:hAnsi="仿宋" w:eastAsia="仿宋"/>
          <w:color w:val="auto"/>
          <w:sz w:val="24"/>
          <w:highlight w:val="none"/>
        </w:rPr>
        <w:t>6</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3E5FF318">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"_Toc133499541" </w:instrText>
      </w:r>
      <w:r>
        <w:rPr>
          <w:color w:val="auto"/>
          <w:highlight w:val="none"/>
        </w:rPr>
        <w:fldChar w:fldCharType="separate"/>
      </w:r>
      <w:r>
        <w:rPr>
          <w:rStyle w:val="76"/>
          <w:rFonts w:ascii="仿宋" w:hAnsi="仿宋" w:eastAsia="仿宋"/>
          <w:color w:val="auto"/>
          <w:sz w:val="24"/>
          <w:szCs w:val="24"/>
          <w:highlight w:val="none"/>
        </w:rPr>
        <w:t>一、总则</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_Toc133499541 \h </w:instrText>
      </w:r>
      <w:r>
        <w:rPr>
          <w:rFonts w:ascii="仿宋" w:hAnsi="仿宋" w:eastAsia="仿宋"/>
          <w:color w:val="auto"/>
          <w:sz w:val="24"/>
          <w:highlight w:val="none"/>
        </w:rPr>
        <w:fldChar w:fldCharType="separate"/>
      </w:r>
      <w:r>
        <w:rPr>
          <w:rFonts w:ascii="仿宋" w:hAnsi="仿宋" w:eastAsia="仿宋"/>
          <w:color w:val="auto"/>
          <w:sz w:val="24"/>
          <w:highlight w:val="none"/>
        </w:rPr>
        <w:t>12</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5D1FBBEC">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"_Toc133499542" </w:instrText>
      </w:r>
      <w:r>
        <w:rPr>
          <w:color w:val="auto"/>
          <w:highlight w:val="none"/>
        </w:rPr>
        <w:fldChar w:fldCharType="separate"/>
      </w:r>
      <w:r>
        <w:rPr>
          <w:rStyle w:val="76"/>
          <w:rFonts w:ascii="仿宋" w:hAnsi="仿宋" w:eastAsia="仿宋"/>
          <w:color w:val="auto"/>
          <w:sz w:val="24"/>
          <w:szCs w:val="24"/>
          <w:highlight w:val="none"/>
        </w:rPr>
        <w:t>二、招标文件的构成、澄清、修改</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_Toc133499542 \h </w:instrText>
      </w:r>
      <w:r>
        <w:rPr>
          <w:rFonts w:ascii="仿宋" w:hAnsi="仿宋" w:eastAsia="仿宋"/>
          <w:color w:val="auto"/>
          <w:sz w:val="24"/>
          <w:highlight w:val="none"/>
        </w:rPr>
        <w:fldChar w:fldCharType="separate"/>
      </w:r>
      <w:r>
        <w:rPr>
          <w:rFonts w:ascii="仿宋" w:hAnsi="仿宋" w:eastAsia="仿宋"/>
          <w:color w:val="auto"/>
          <w:sz w:val="24"/>
          <w:highlight w:val="none"/>
        </w:rPr>
        <w:t>16</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2BFDE40C">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"_Toc133499543" </w:instrText>
      </w:r>
      <w:r>
        <w:rPr>
          <w:color w:val="auto"/>
          <w:highlight w:val="none"/>
        </w:rPr>
        <w:fldChar w:fldCharType="separate"/>
      </w:r>
      <w:r>
        <w:rPr>
          <w:rStyle w:val="76"/>
          <w:rFonts w:ascii="仿宋" w:hAnsi="仿宋" w:eastAsia="仿宋"/>
          <w:color w:val="auto"/>
          <w:sz w:val="24"/>
          <w:szCs w:val="24"/>
          <w:highlight w:val="none"/>
        </w:rPr>
        <w:t>三、投标</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_Toc133499543 \h </w:instrText>
      </w:r>
      <w:r>
        <w:rPr>
          <w:rFonts w:ascii="仿宋" w:hAnsi="仿宋" w:eastAsia="仿宋"/>
          <w:color w:val="auto"/>
          <w:sz w:val="24"/>
          <w:highlight w:val="none"/>
        </w:rPr>
        <w:fldChar w:fldCharType="separate"/>
      </w:r>
      <w:r>
        <w:rPr>
          <w:rFonts w:ascii="仿宋" w:hAnsi="仿宋" w:eastAsia="仿宋"/>
          <w:color w:val="auto"/>
          <w:sz w:val="24"/>
          <w:highlight w:val="none"/>
        </w:rPr>
        <w:t>17</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5A2A15F8">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"_Toc133499544" </w:instrText>
      </w:r>
      <w:r>
        <w:rPr>
          <w:color w:val="auto"/>
          <w:highlight w:val="none"/>
        </w:rPr>
        <w:fldChar w:fldCharType="separate"/>
      </w:r>
      <w:r>
        <w:rPr>
          <w:rStyle w:val="76"/>
          <w:rFonts w:ascii="仿宋" w:hAnsi="仿宋" w:eastAsia="仿宋" w:cs="仿宋"/>
          <w:color w:val="auto"/>
          <w:sz w:val="24"/>
          <w:szCs w:val="24"/>
          <w:highlight w:val="none"/>
        </w:rPr>
        <w:t>四、开标、资格审查与信用信息查询</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_Toc133499544 \h </w:instrText>
      </w:r>
      <w:r>
        <w:rPr>
          <w:rFonts w:ascii="仿宋" w:hAnsi="仿宋" w:eastAsia="仿宋"/>
          <w:color w:val="auto"/>
          <w:sz w:val="24"/>
          <w:highlight w:val="none"/>
        </w:rPr>
        <w:fldChar w:fldCharType="separate"/>
      </w:r>
      <w:r>
        <w:rPr>
          <w:rFonts w:ascii="仿宋" w:hAnsi="仿宋" w:eastAsia="仿宋"/>
          <w:color w:val="auto"/>
          <w:sz w:val="24"/>
          <w:highlight w:val="none"/>
        </w:rPr>
        <w:t>21</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3415B23F">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"_Toc133499545" </w:instrText>
      </w:r>
      <w:r>
        <w:rPr>
          <w:color w:val="auto"/>
          <w:highlight w:val="none"/>
        </w:rPr>
        <w:fldChar w:fldCharType="separate"/>
      </w:r>
      <w:r>
        <w:rPr>
          <w:rStyle w:val="76"/>
          <w:rFonts w:ascii="仿宋" w:hAnsi="仿宋" w:eastAsia="仿宋" w:cs="仿宋"/>
          <w:color w:val="auto"/>
          <w:sz w:val="24"/>
          <w:szCs w:val="24"/>
          <w:highlight w:val="none"/>
        </w:rPr>
        <w:t>五、评标</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_Toc133499545 \h </w:instrText>
      </w:r>
      <w:r>
        <w:rPr>
          <w:rFonts w:ascii="仿宋" w:hAnsi="仿宋" w:eastAsia="仿宋"/>
          <w:color w:val="auto"/>
          <w:sz w:val="24"/>
          <w:highlight w:val="none"/>
        </w:rPr>
        <w:fldChar w:fldCharType="separate"/>
      </w:r>
      <w:r>
        <w:rPr>
          <w:rFonts w:ascii="仿宋" w:hAnsi="仿宋" w:eastAsia="仿宋"/>
          <w:color w:val="auto"/>
          <w:sz w:val="24"/>
          <w:highlight w:val="none"/>
        </w:rPr>
        <w:t>22</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4CDB9EB6">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"_Toc133499546" </w:instrText>
      </w:r>
      <w:r>
        <w:rPr>
          <w:color w:val="auto"/>
          <w:highlight w:val="none"/>
        </w:rPr>
        <w:fldChar w:fldCharType="separate"/>
      </w:r>
      <w:r>
        <w:rPr>
          <w:rStyle w:val="76"/>
          <w:rFonts w:ascii="仿宋" w:hAnsi="仿宋" w:eastAsia="仿宋" w:cs="仿宋"/>
          <w:color w:val="auto"/>
          <w:sz w:val="24"/>
          <w:szCs w:val="24"/>
          <w:highlight w:val="none"/>
        </w:rPr>
        <w:t>六、定 标</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_Toc133499546 \h </w:instrText>
      </w:r>
      <w:r>
        <w:rPr>
          <w:rFonts w:ascii="仿宋" w:hAnsi="仿宋" w:eastAsia="仿宋"/>
          <w:color w:val="auto"/>
          <w:sz w:val="24"/>
          <w:highlight w:val="none"/>
        </w:rPr>
        <w:fldChar w:fldCharType="separate"/>
      </w:r>
      <w:r>
        <w:rPr>
          <w:rFonts w:ascii="仿宋" w:hAnsi="仿宋" w:eastAsia="仿宋"/>
          <w:color w:val="auto"/>
          <w:sz w:val="24"/>
          <w:highlight w:val="none"/>
        </w:rPr>
        <w:t>22</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64A6F491">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"_Toc133499547" </w:instrText>
      </w:r>
      <w:r>
        <w:rPr>
          <w:color w:val="auto"/>
          <w:highlight w:val="none"/>
        </w:rPr>
        <w:fldChar w:fldCharType="separate"/>
      </w:r>
      <w:r>
        <w:rPr>
          <w:rStyle w:val="76"/>
          <w:rFonts w:ascii="仿宋" w:hAnsi="仿宋" w:eastAsia="仿宋" w:cs="仿宋"/>
          <w:color w:val="auto"/>
          <w:sz w:val="24"/>
          <w:szCs w:val="24"/>
          <w:highlight w:val="none"/>
        </w:rPr>
        <w:t>七、合同授予</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_Toc133499547 \h </w:instrText>
      </w:r>
      <w:r>
        <w:rPr>
          <w:rFonts w:ascii="仿宋" w:hAnsi="仿宋" w:eastAsia="仿宋"/>
          <w:color w:val="auto"/>
          <w:sz w:val="24"/>
          <w:highlight w:val="none"/>
        </w:rPr>
        <w:fldChar w:fldCharType="separate"/>
      </w:r>
      <w:r>
        <w:rPr>
          <w:rFonts w:ascii="仿宋" w:hAnsi="仿宋" w:eastAsia="仿宋"/>
          <w:color w:val="auto"/>
          <w:sz w:val="24"/>
          <w:highlight w:val="none"/>
        </w:rPr>
        <w:t>22</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738145D8">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"_Toc133499548" </w:instrText>
      </w:r>
      <w:r>
        <w:rPr>
          <w:color w:val="auto"/>
          <w:highlight w:val="none"/>
        </w:rPr>
        <w:fldChar w:fldCharType="separate"/>
      </w:r>
      <w:r>
        <w:rPr>
          <w:rStyle w:val="76"/>
          <w:rFonts w:ascii="仿宋" w:hAnsi="仿宋" w:eastAsia="仿宋" w:cs="仿宋"/>
          <w:color w:val="auto"/>
          <w:sz w:val="24"/>
          <w:szCs w:val="24"/>
          <w:highlight w:val="none"/>
        </w:rPr>
        <w:t>八、电子交易活动的中止</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_Toc133499548 \h </w:instrText>
      </w:r>
      <w:r>
        <w:rPr>
          <w:rFonts w:ascii="仿宋" w:hAnsi="仿宋" w:eastAsia="仿宋"/>
          <w:color w:val="auto"/>
          <w:sz w:val="24"/>
          <w:highlight w:val="none"/>
        </w:rPr>
        <w:fldChar w:fldCharType="separate"/>
      </w:r>
      <w:r>
        <w:rPr>
          <w:rFonts w:ascii="仿宋" w:hAnsi="仿宋" w:eastAsia="仿宋"/>
          <w:color w:val="auto"/>
          <w:sz w:val="24"/>
          <w:highlight w:val="none"/>
        </w:rPr>
        <w:t>23</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7088C9F6">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"_Toc133499549" </w:instrText>
      </w:r>
      <w:r>
        <w:rPr>
          <w:color w:val="auto"/>
          <w:highlight w:val="none"/>
        </w:rPr>
        <w:fldChar w:fldCharType="separate"/>
      </w:r>
      <w:r>
        <w:rPr>
          <w:rStyle w:val="76"/>
          <w:rFonts w:ascii="仿宋" w:hAnsi="仿宋" w:eastAsia="仿宋" w:cs="仿宋"/>
          <w:color w:val="auto"/>
          <w:sz w:val="24"/>
          <w:szCs w:val="24"/>
          <w:highlight w:val="none"/>
        </w:rPr>
        <w:t>九、验收</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_Toc133499549 \h </w:instrText>
      </w:r>
      <w:r>
        <w:rPr>
          <w:rFonts w:ascii="仿宋" w:hAnsi="仿宋" w:eastAsia="仿宋"/>
          <w:color w:val="auto"/>
          <w:sz w:val="24"/>
          <w:highlight w:val="none"/>
        </w:rPr>
        <w:fldChar w:fldCharType="separate"/>
      </w:r>
      <w:r>
        <w:rPr>
          <w:rFonts w:ascii="仿宋" w:hAnsi="仿宋" w:eastAsia="仿宋"/>
          <w:color w:val="auto"/>
          <w:sz w:val="24"/>
          <w:highlight w:val="none"/>
        </w:rPr>
        <w:t>24</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11E40945">
      <w:pPr>
        <w:pStyle w:val="43"/>
        <w:tabs>
          <w:tab w:val="right" w:leader="dot" w:pos="9310"/>
        </w:tabs>
        <w:spacing w:line="400" w:lineRule="exact"/>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"_Toc133499550" </w:instrText>
      </w:r>
      <w:r>
        <w:rPr>
          <w:color w:val="auto"/>
          <w:highlight w:val="none"/>
        </w:rPr>
        <w:fldChar w:fldCharType="separate"/>
      </w:r>
      <w:r>
        <w:rPr>
          <w:rStyle w:val="76"/>
          <w:rFonts w:ascii="仿宋" w:hAnsi="仿宋" w:eastAsia="仿宋" w:cs="仿宋"/>
          <w:b/>
          <w:bCs/>
          <w:color w:val="auto"/>
          <w:sz w:val="24"/>
          <w:szCs w:val="24"/>
          <w:highlight w:val="none"/>
          <w:lang w:val="zh-CN"/>
        </w:rPr>
        <w:t>第三部分 采购需求</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_Toc133499550 \h </w:instrText>
      </w:r>
      <w:r>
        <w:rPr>
          <w:rFonts w:ascii="仿宋" w:hAnsi="仿宋" w:eastAsia="仿宋"/>
          <w:color w:val="auto"/>
          <w:sz w:val="24"/>
          <w:highlight w:val="none"/>
        </w:rPr>
        <w:fldChar w:fldCharType="separate"/>
      </w:r>
      <w:r>
        <w:rPr>
          <w:rFonts w:ascii="仿宋" w:hAnsi="仿宋" w:eastAsia="仿宋"/>
          <w:color w:val="auto"/>
          <w:sz w:val="24"/>
          <w:highlight w:val="none"/>
        </w:rPr>
        <w:t>25</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4919DD35">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"_Toc133499551" </w:instrText>
      </w:r>
      <w:r>
        <w:rPr>
          <w:color w:val="auto"/>
          <w:highlight w:val="none"/>
        </w:rPr>
        <w:fldChar w:fldCharType="separate"/>
      </w:r>
      <w:r>
        <w:rPr>
          <w:rStyle w:val="76"/>
          <w:rFonts w:ascii="仿宋" w:hAnsi="仿宋" w:eastAsia="仿宋"/>
          <w:color w:val="auto"/>
          <w:sz w:val="24"/>
          <w:szCs w:val="24"/>
          <w:highlight w:val="none"/>
        </w:rPr>
        <w:t>一、标的需求概况</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_Toc133499551 \h </w:instrText>
      </w:r>
      <w:r>
        <w:rPr>
          <w:rFonts w:ascii="仿宋" w:hAnsi="仿宋" w:eastAsia="仿宋"/>
          <w:color w:val="auto"/>
          <w:sz w:val="24"/>
          <w:highlight w:val="none"/>
        </w:rPr>
        <w:fldChar w:fldCharType="separate"/>
      </w:r>
      <w:r>
        <w:rPr>
          <w:rFonts w:ascii="仿宋" w:hAnsi="仿宋" w:eastAsia="仿宋"/>
          <w:color w:val="auto"/>
          <w:sz w:val="24"/>
          <w:highlight w:val="none"/>
        </w:rPr>
        <w:t>25</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43F6D27E">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"_Toc133499552" </w:instrText>
      </w:r>
      <w:r>
        <w:rPr>
          <w:color w:val="auto"/>
          <w:highlight w:val="none"/>
        </w:rPr>
        <w:fldChar w:fldCharType="separate"/>
      </w:r>
      <w:r>
        <w:rPr>
          <w:rStyle w:val="76"/>
          <w:rFonts w:ascii="仿宋" w:hAnsi="仿宋" w:eastAsia="仿宋"/>
          <w:color w:val="auto"/>
          <w:sz w:val="24"/>
          <w:szCs w:val="24"/>
          <w:highlight w:val="none"/>
        </w:rPr>
        <w:t>二、采购清单</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_Toc133499552 \h </w:instrText>
      </w:r>
      <w:r>
        <w:rPr>
          <w:rFonts w:ascii="仿宋" w:hAnsi="仿宋" w:eastAsia="仿宋"/>
          <w:color w:val="auto"/>
          <w:sz w:val="24"/>
          <w:highlight w:val="none"/>
        </w:rPr>
        <w:fldChar w:fldCharType="separate"/>
      </w:r>
      <w:r>
        <w:rPr>
          <w:rFonts w:ascii="仿宋" w:hAnsi="仿宋" w:eastAsia="仿宋"/>
          <w:color w:val="auto"/>
          <w:sz w:val="24"/>
          <w:highlight w:val="none"/>
        </w:rPr>
        <w:t>25</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38DA8473">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"_Toc133499553" </w:instrText>
      </w:r>
      <w:r>
        <w:rPr>
          <w:color w:val="auto"/>
          <w:highlight w:val="none"/>
        </w:rPr>
        <w:fldChar w:fldCharType="separate"/>
      </w:r>
      <w:r>
        <w:rPr>
          <w:rStyle w:val="76"/>
          <w:rFonts w:ascii="仿宋" w:hAnsi="仿宋" w:eastAsia="仿宋"/>
          <w:color w:val="auto"/>
          <w:sz w:val="24"/>
          <w:szCs w:val="24"/>
          <w:highlight w:val="none"/>
        </w:rPr>
        <w:t>三、履约验收要求</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_Toc133499553 \h </w:instrText>
      </w:r>
      <w:r>
        <w:rPr>
          <w:rFonts w:ascii="仿宋" w:hAnsi="仿宋" w:eastAsia="仿宋"/>
          <w:color w:val="auto"/>
          <w:sz w:val="24"/>
          <w:highlight w:val="none"/>
        </w:rPr>
        <w:fldChar w:fldCharType="separate"/>
      </w:r>
      <w:r>
        <w:rPr>
          <w:rFonts w:ascii="仿宋" w:hAnsi="仿宋" w:eastAsia="仿宋"/>
          <w:color w:val="auto"/>
          <w:sz w:val="24"/>
          <w:highlight w:val="none"/>
        </w:rPr>
        <w:t>54</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3CBF16F9">
      <w:pPr>
        <w:pStyle w:val="43"/>
        <w:tabs>
          <w:tab w:val="right" w:leader="dot" w:pos="9310"/>
        </w:tabs>
        <w:spacing w:line="400" w:lineRule="exact"/>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"_Toc133499555" </w:instrText>
      </w:r>
      <w:r>
        <w:rPr>
          <w:color w:val="auto"/>
          <w:highlight w:val="none"/>
        </w:rPr>
        <w:fldChar w:fldCharType="separate"/>
      </w:r>
      <w:r>
        <w:rPr>
          <w:rStyle w:val="76"/>
          <w:rFonts w:ascii="仿宋" w:hAnsi="仿宋" w:eastAsia="仿宋"/>
          <w:b/>
          <w:bCs/>
          <w:color w:val="auto"/>
          <w:sz w:val="24"/>
          <w:szCs w:val="24"/>
          <w:highlight w:val="none"/>
          <w:lang w:val="zh-CN"/>
        </w:rPr>
        <w:t>第四部分</w:t>
      </w:r>
      <w:r>
        <w:rPr>
          <w:rStyle w:val="76"/>
          <w:rFonts w:ascii="仿宋" w:hAnsi="仿宋" w:eastAsia="仿宋" w:cs="仿宋"/>
          <w:b/>
          <w:bCs/>
          <w:color w:val="auto"/>
          <w:sz w:val="24"/>
          <w:szCs w:val="24"/>
          <w:highlight w:val="none"/>
          <w:lang w:val="zh-CN"/>
        </w:rPr>
        <w:t xml:space="preserve"> 评标办法</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_Toc133499555 \h </w:instrText>
      </w:r>
      <w:r>
        <w:rPr>
          <w:rFonts w:ascii="仿宋" w:hAnsi="仿宋" w:eastAsia="仿宋"/>
          <w:color w:val="auto"/>
          <w:sz w:val="24"/>
          <w:highlight w:val="none"/>
        </w:rPr>
        <w:fldChar w:fldCharType="separate"/>
      </w:r>
      <w:r>
        <w:rPr>
          <w:rFonts w:ascii="仿宋" w:hAnsi="仿宋" w:eastAsia="仿宋"/>
          <w:color w:val="auto"/>
          <w:sz w:val="24"/>
          <w:highlight w:val="none"/>
        </w:rPr>
        <w:t>5</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7</w:t>
      </w:r>
    </w:p>
    <w:p w14:paraId="48BEFDDE">
      <w:pPr>
        <w:pStyle w:val="53"/>
        <w:tabs>
          <w:tab w:val="right" w:leader="dot" w:pos="9310"/>
        </w:tabs>
        <w:spacing w:line="400" w:lineRule="exact"/>
        <w:ind w:left="0" w:leftChars="0" w:firstLine="420" w:firstLineChars="200"/>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"_Toc133499556" </w:instrText>
      </w:r>
      <w:r>
        <w:rPr>
          <w:color w:val="auto"/>
          <w:highlight w:val="none"/>
        </w:rPr>
        <w:fldChar w:fldCharType="separate"/>
      </w:r>
      <w:r>
        <w:rPr>
          <w:rStyle w:val="76"/>
          <w:rFonts w:ascii="仿宋" w:hAnsi="仿宋" w:eastAsia="仿宋"/>
          <w:color w:val="auto"/>
          <w:sz w:val="24"/>
          <w:szCs w:val="24"/>
          <w:highlight w:val="none"/>
        </w:rPr>
        <w:t>评标办法前附表</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_Toc133499556 \h </w:instrText>
      </w:r>
      <w:r>
        <w:rPr>
          <w:rFonts w:ascii="仿宋" w:hAnsi="仿宋" w:eastAsia="仿宋"/>
          <w:color w:val="auto"/>
          <w:sz w:val="24"/>
          <w:highlight w:val="none"/>
        </w:rPr>
        <w:fldChar w:fldCharType="separate"/>
      </w:r>
      <w:r>
        <w:rPr>
          <w:rFonts w:ascii="仿宋" w:hAnsi="仿宋" w:eastAsia="仿宋"/>
          <w:color w:val="auto"/>
          <w:sz w:val="24"/>
          <w:highlight w:val="none"/>
        </w:rPr>
        <w:t>5</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7</w:t>
      </w:r>
    </w:p>
    <w:p w14:paraId="782FB29A">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"_Toc133499557" </w:instrText>
      </w:r>
      <w:r>
        <w:rPr>
          <w:color w:val="auto"/>
          <w:highlight w:val="none"/>
        </w:rPr>
        <w:fldChar w:fldCharType="separate"/>
      </w:r>
      <w:r>
        <w:rPr>
          <w:rStyle w:val="76"/>
          <w:rFonts w:ascii="仿宋" w:hAnsi="仿宋" w:eastAsia="仿宋"/>
          <w:color w:val="auto"/>
          <w:sz w:val="24"/>
          <w:szCs w:val="24"/>
          <w:highlight w:val="none"/>
        </w:rPr>
        <w:t>1.评标方法</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_Toc133499557 \h </w:instrText>
      </w:r>
      <w:r>
        <w:rPr>
          <w:rFonts w:ascii="仿宋" w:hAnsi="仿宋" w:eastAsia="仿宋"/>
          <w:color w:val="auto"/>
          <w:sz w:val="24"/>
          <w:highlight w:val="none"/>
        </w:rPr>
        <w:fldChar w:fldCharType="separate"/>
      </w:r>
      <w:r>
        <w:rPr>
          <w:rFonts w:ascii="仿宋" w:hAnsi="仿宋" w:eastAsia="仿宋"/>
          <w:color w:val="auto"/>
          <w:sz w:val="24"/>
          <w:highlight w:val="none"/>
        </w:rPr>
        <w:t>61</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12111B36">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"_Toc133499558" </w:instrText>
      </w:r>
      <w:r>
        <w:rPr>
          <w:color w:val="auto"/>
          <w:highlight w:val="none"/>
        </w:rPr>
        <w:fldChar w:fldCharType="separate"/>
      </w:r>
      <w:r>
        <w:rPr>
          <w:rStyle w:val="76"/>
          <w:rFonts w:ascii="仿宋" w:hAnsi="仿宋" w:eastAsia="仿宋"/>
          <w:color w:val="auto"/>
          <w:sz w:val="24"/>
          <w:szCs w:val="24"/>
          <w:highlight w:val="none"/>
        </w:rPr>
        <w:t>2.评标程序及标准</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_Toc133499558 \h </w:instrText>
      </w:r>
      <w:r>
        <w:rPr>
          <w:rFonts w:ascii="仿宋" w:hAnsi="仿宋" w:eastAsia="仿宋"/>
          <w:color w:val="auto"/>
          <w:sz w:val="24"/>
          <w:highlight w:val="none"/>
        </w:rPr>
        <w:fldChar w:fldCharType="separate"/>
      </w:r>
      <w:r>
        <w:rPr>
          <w:rFonts w:ascii="仿宋" w:hAnsi="仿宋" w:eastAsia="仿宋"/>
          <w:color w:val="auto"/>
          <w:sz w:val="24"/>
          <w:highlight w:val="none"/>
        </w:rPr>
        <w:t>61</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027BEA89">
      <w:pPr>
        <w:pStyle w:val="53"/>
        <w:tabs>
          <w:tab w:val="right" w:leader="dot" w:pos="9310"/>
        </w:tabs>
        <w:spacing w:line="400" w:lineRule="exact"/>
        <w:ind w:left="0" w:leftChars="0" w:firstLine="420" w:firstLineChars="200"/>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"_Toc133499559" </w:instrText>
      </w:r>
      <w:r>
        <w:rPr>
          <w:color w:val="auto"/>
          <w:highlight w:val="none"/>
        </w:rPr>
        <w:fldChar w:fldCharType="separate"/>
      </w:r>
      <w:r>
        <w:rPr>
          <w:rStyle w:val="76"/>
          <w:rFonts w:ascii="仿宋" w:hAnsi="仿宋" w:eastAsia="仿宋"/>
          <w:color w:val="auto"/>
          <w:sz w:val="24"/>
          <w:szCs w:val="24"/>
          <w:highlight w:val="none"/>
        </w:rPr>
        <w:t>3.评标结果</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_Toc133499559 \h </w:instrText>
      </w:r>
      <w:r>
        <w:rPr>
          <w:rFonts w:ascii="仿宋" w:hAnsi="仿宋" w:eastAsia="仿宋"/>
          <w:color w:val="auto"/>
          <w:sz w:val="24"/>
          <w:highlight w:val="none"/>
        </w:rPr>
        <w:fldChar w:fldCharType="separate"/>
      </w:r>
      <w:r>
        <w:rPr>
          <w:rFonts w:ascii="仿宋" w:hAnsi="仿宋" w:eastAsia="仿宋"/>
          <w:color w:val="auto"/>
          <w:sz w:val="24"/>
          <w:highlight w:val="none"/>
        </w:rPr>
        <w:t>6</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5</w:t>
      </w:r>
    </w:p>
    <w:p w14:paraId="56EB1339">
      <w:pPr>
        <w:pStyle w:val="53"/>
        <w:tabs>
          <w:tab w:val="right" w:leader="dot" w:pos="9310"/>
        </w:tabs>
        <w:spacing w:line="400" w:lineRule="exact"/>
        <w:ind w:left="0" w:leftChars="0" w:firstLine="420" w:firstLineChars="200"/>
        <w:rPr>
          <w:rFonts w:ascii="仿宋" w:hAnsi="仿宋" w:eastAsia="仿宋"/>
          <w:color w:val="auto"/>
          <w:sz w:val="24"/>
          <w:highlight w:val="none"/>
        </w:rPr>
      </w:pPr>
      <w:r>
        <w:rPr>
          <w:color w:val="auto"/>
          <w:highlight w:val="none"/>
        </w:rPr>
        <w:fldChar w:fldCharType="begin"/>
      </w:r>
      <w:r>
        <w:rPr>
          <w:color w:val="auto"/>
          <w:highlight w:val="none"/>
        </w:rPr>
        <w:instrText xml:space="preserve"> HYPERLINK \l "_Toc133499560" </w:instrText>
      </w:r>
      <w:r>
        <w:rPr>
          <w:color w:val="auto"/>
          <w:highlight w:val="none"/>
        </w:rPr>
        <w:fldChar w:fldCharType="separate"/>
      </w:r>
      <w:r>
        <w:rPr>
          <w:rStyle w:val="76"/>
          <w:rFonts w:ascii="仿宋" w:hAnsi="仿宋" w:eastAsia="仿宋"/>
          <w:color w:val="auto"/>
          <w:sz w:val="24"/>
          <w:szCs w:val="24"/>
          <w:highlight w:val="none"/>
        </w:rPr>
        <w:t>4.其他</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_Toc133499560 \h </w:instrText>
      </w:r>
      <w:r>
        <w:rPr>
          <w:rFonts w:ascii="仿宋" w:hAnsi="仿宋" w:eastAsia="仿宋"/>
          <w:color w:val="auto"/>
          <w:sz w:val="24"/>
          <w:highlight w:val="none"/>
        </w:rPr>
        <w:fldChar w:fldCharType="separate"/>
      </w:r>
      <w:r>
        <w:rPr>
          <w:rFonts w:ascii="仿宋" w:hAnsi="仿宋" w:eastAsia="仿宋"/>
          <w:color w:val="auto"/>
          <w:sz w:val="24"/>
          <w:highlight w:val="none"/>
        </w:rPr>
        <w:t>65</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p>
    <w:p w14:paraId="54E616D4">
      <w:pPr>
        <w:pStyle w:val="43"/>
        <w:tabs>
          <w:tab w:val="right" w:leader="dot" w:pos="9310"/>
        </w:tabs>
        <w:spacing w:line="400" w:lineRule="exact"/>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"_Toc133499561" </w:instrText>
      </w:r>
      <w:r>
        <w:rPr>
          <w:color w:val="auto"/>
          <w:highlight w:val="none"/>
        </w:rPr>
        <w:fldChar w:fldCharType="separate"/>
      </w:r>
      <w:r>
        <w:rPr>
          <w:rStyle w:val="76"/>
          <w:rFonts w:ascii="仿宋" w:hAnsi="仿宋" w:eastAsia="仿宋" w:cs="仿宋"/>
          <w:b/>
          <w:bCs/>
          <w:color w:val="auto"/>
          <w:sz w:val="24"/>
          <w:szCs w:val="24"/>
          <w:highlight w:val="none"/>
          <w:lang w:val="zh-CN"/>
        </w:rPr>
        <w:t>第五部分 拟签订的合同文本</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_Toc133499561 \h </w:instrText>
      </w:r>
      <w:r>
        <w:rPr>
          <w:rFonts w:ascii="仿宋" w:hAnsi="仿宋" w:eastAsia="仿宋"/>
          <w:color w:val="auto"/>
          <w:sz w:val="24"/>
          <w:highlight w:val="none"/>
        </w:rPr>
        <w:fldChar w:fldCharType="separate"/>
      </w:r>
      <w:r>
        <w:rPr>
          <w:rFonts w:ascii="仿宋" w:hAnsi="仿宋" w:eastAsia="仿宋"/>
          <w:color w:val="auto"/>
          <w:sz w:val="24"/>
          <w:highlight w:val="none"/>
        </w:rPr>
        <w:t>6</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7</w:t>
      </w:r>
    </w:p>
    <w:p w14:paraId="6873AC84">
      <w:pPr>
        <w:pStyle w:val="43"/>
        <w:tabs>
          <w:tab w:val="right" w:leader="dot" w:pos="9310"/>
        </w:tabs>
        <w:spacing w:line="400" w:lineRule="exact"/>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"_Toc133499562" </w:instrText>
      </w:r>
      <w:r>
        <w:rPr>
          <w:color w:val="auto"/>
          <w:highlight w:val="none"/>
        </w:rPr>
        <w:fldChar w:fldCharType="separate"/>
      </w:r>
      <w:r>
        <w:rPr>
          <w:rStyle w:val="76"/>
          <w:rFonts w:ascii="仿宋" w:hAnsi="仿宋" w:eastAsia="仿宋"/>
          <w:b/>
          <w:bCs/>
          <w:color w:val="auto"/>
          <w:sz w:val="24"/>
          <w:szCs w:val="24"/>
          <w:highlight w:val="none"/>
          <w:lang w:val="zh-CN"/>
        </w:rPr>
        <w:t>第六部分 应提交的有关格式范例</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_Toc133499562 \h </w:instrText>
      </w:r>
      <w:r>
        <w:rPr>
          <w:rFonts w:ascii="仿宋" w:hAnsi="仿宋" w:eastAsia="仿宋"/>
          <w:color w:val="auto"/>
          <w:sz w:val="24"/>
          <w:highlight w:val="none"/>
        </w:rPr>
        <w:fldChar w:fldCharType="separate"/>
      </w:r>
      <w:r>
        <w:rPr>
          <w:rFonts w:ascii="仿宋" w:hAnsi="仿宋" w:eastAsia="仿宋"/>
          <w:color w:val="auto"/>
          <w:sz w:val="24"/>
          <w:highlight w:val="none"/>
        </w:rPr>
        <w:t>8</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7</w:t>
      </w:r>
    </w:p>
    <w:p w14:paraId="616E69B8">
      <w:pPr>
        <w:pStyle w:val="53"/>
        <w:tabs>
          <w:tab w:val="right" w:leader="dot" w:pos="9310"/>
        </w:tabs>
        <w:spacing w:line="400" w:lineRule="exact"/>
        <w:ind w:left="0" w:leftChars="0" w:firstLine="420" w:firstLineChars="200"/>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"_Toc133499563" </w:instrText>
      </w:r>
      <w:r>
        <w:rPr>
          <w:color w:val="auto"/>
          <w:highlight w:val="none"/>
        </w:rPr>
        <w:fldChar w:fldCharType="separate"/>
      </w:r>
      <w:r>
        <w:rPr>
          <w:rStyle w:val="76"/>
          <w:rFonts w:ascii="仿宋" w:hAnsi="仿宋" w:eastAsia="仿宋" w:cs="仿宋"/>
          <w:color w:val="auto"/>
          <w:sz w:val="24"/>
          <w:szCs w:val="24"/>
          <w:highlight w:val="none"/>
        </w:rPr>
        <w:t>资格文件部分</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_Toc133499563 \h </w:instrText>
      </w:r>
      <w:r>
        <w:rPr>
          <w:rFonts w:ascii="仿宋" w:hAnsi="仿宋" w:eastAsia="仿宋"/>
          <w:color w:val="auto"/>
          <w:sz w:val="24"/>
          <w:highlight w:val="none"/>
        </w:rPr>
        <w:fldChar w:fldCharType="separate"/>
      </w:r>
      <w:r>
        <w:rPr>
          <w:rFonts w:ascii="仿宋" w:hAnsi="仿宋" w:eastAsia="仿宋"/>
          <w:color w:val="auto"/>
          <w:sz w:val="24"/>
          <w:highlight w:val="none"/>
        </w:rPr>
        <w:t>8</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7</w:t>
      </w:r>
    </w:p>
    <w:p w14:paraId="094FF05E">
      <w:pPr>
        <w:pStyle w:val="53"/>
        <w:tabs>
          <w:tab w:val="right" w:leader="dot" w:pos="9310"/>
        </w:tabs>
        <w:spacing w:line="400" w:lineRule="exact"/>
        <w:ind w:left="0" w:leftChars="0" w:firstLine="420" w:firstLineChars="200"/>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"_Toc133499564" </w:instrText>
      </w:r>
      <w:r>
        <w:rPr>
          <w:color w:val="auto"/>
          <w:highlight w:val="none"/>
        </w:rPr>
        <w:fldChar w:fldCharType="separate"/>
      </w:r>
      <w:r>
        <w:rPr>
          <w:rStyle w:val="76"/>
          <w:rFonts w:ascii="仿宋" w:hAnsi="仿宋" w:eastAsia="仿宋"/>
          <w:color w:val="auto"/>
          <w:sz w:val="24"/>
          <w:szCs w:val="24"/>
          <w:highlight w:val="none"/>
        </w:rPr>
        <w:t>商务技术文件部分</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_Toc133499564 \h </w:instrText>
      </w:r>
      <w:r>
        <w:rPr>
          <w:rFonts w:ascii="仿宋" w:hAnsi="仿宋" w:eastAsia="仿宋"/>
          <w:color w:val="auto"/>
          <w:sz w:val="24"/>
          <w:highlight w:val="none"/>
        </w:rPr>
        <w:fldChar w:fldCharType="separate"/>
      </w:r>
      <w:r>
        <w:rPr>
          <w:rFonts w:ascii="仿宋" w:hAnsi="仿宋" w:eastAsia="仿宋"/>
          <w:color w:val="auto"/>
          <w:sz w:val="24"/>
          <w:highlight w:val="none"/>
        </w:rPr>
        <w:t>9</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4</w:t>
      </w:r>
    </w:p>
    <w:p w14:paraId="61BA3D23">
      <w:pPr>
        <w:pStyle w:val="53"/>
        <w:tabs>
          <w:tab w:val="right" w:leader="dot" w:pos="9310"/>
        </w:tabs>
        <w:spacing w:line="400" w:lineRule="exact"/>
        <w:ind w:left="0" w:leftChars="0" w:firstLine="420" w:firstLineChars="200"/>
        <w:rPr>
          <w:rFonts w:hint="eastAsia" w:ascii="仿宋" w:hAnsi="仿宋" w:eastAsia="仿宋"/>
          <w:color w:val="auto"/>
          <w:sz w:val="24"/>
          <w:highlight w:val="none"/>
          <w:lang w:eastAsia="zh-CN"/>
        </w:rPr>
      </w:pPr>
      <w:r>
        <w:rPr>
          <w:color w:val="auto"/>
          <w:highlight w:val="none"/>
        </w:rPr>
        <w:fldChar w:fldCharType="begin"/>
      </w:r>
      <w:r>
        <w:rPr>
          <w:color w:val="auto"/>
          <w:highlight w:val="none"/>
        </w:rPr>
        <w:instrText xml:space="preserve"> HYPERLINK \l "_Toc133499565" </w:instrText>
      </w:r>
      <w:r>
        <w:rPr>
          <w:color w:val="auto"/>
          <w:highlight w:val="none"/>
        </w:rPr>
        <w:fldChar w:fldCharType="separate"/>
      </w:r>
      <w:r>
        <w:rPr>
          <w:rStyle w:val="76"/>
          <w:rFonts w:ascii="仿宋" w:hAnsi="仿宋" w:eastAsia="仿宋"/>
          <w:color w:val="auto"/>
          <w:sz w:val="24"/>
          <w:szCs w:val="24"/>
          <w:highlight w:val="none"/>
        </w:rPr>
        <w:t>报价文件部分</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_Toc133499565 \h </w:instrText>
      </w:r>
      <w:r>
        <w:rPr>
          <w:rFonts w:ascii="仿宋" w:hAnsi="仿宋" w:eastAsia="仿宋"/>
          <w:color w:val="auto"/>
          <w:sz w:val="24"/>
          <w:highlight w:val="none"/>
        </w:rPr>
        <w:fldChar w:fldCharType="separate"/>
      </w:r>
      <w:r>
        <w:rPr>
          <w:rFonts w:ascii="仿宋" w:hAnsi="仿宋" w:eastAsia="仿宋"/>
          <w:color w:val="auto"/>
          <w:sz w:val="24"/>
          <w:highlight w:val="none"/>
        </w:rPr>
        <w:t>10</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3</w:t>
      </w:r>
    </w:p>
    <w:p w14:paraId="117DA0AF">
      <w:pPr>
        <w:pStyle w:val="43"/>
        <w:tabs>
          <w:tab w:val="right" w:leader="dot" w:pos="9310"/>
        </w:tabs>
        <w:spacing w:line="400" w:lineRule="exact"/>
        <w:ind w:firstLine="420" w:firstLineChars="200"/>
        <w:rPr>
          <w:rStyle w:val="76"/>
          <w:rFonts w:hint="eastAsia" w:ascii="仿宋" w:hAnsi="仿宋" w:eastAsia="仿宋"/>
          <w:color w:val="auto"/>
          <w:sz w:val="24"/>
          <w:szCs w:val="24"/>
          <w:highlight w:val="none"/>
          <w:lang w:eastAsia="zh-CN"/>
        </w:rPr>
      </w:pPr>
      <w:r>
        <w:rPr>
          <w:color w:val="auto"/>
          <w:highlight w:val="none"/>
        </w:rPr>
        <w:fldChar w:fldCharType="begin"/>
      </w:r>
      <w:r>
        <w:rPr>
          <w:color w:val="auto"/>
          <w:highlight w:val="none"/>
        </w:rPr>
        <w:instrText xml:space="preserve"> HYPERLINK \l "_Toc133499566" </w:instrText>
      </w:r>
      <w:r>
        <w:rPr>
          <w:color w:val="auto"/>
          <w:highlight w:val="none"/>
        </w:rPr>
        <w:fldChar w:fldCharType="separate"/>
      </w:r>
      <w:r>
        <w:rPr>
          <w:rStyle w:val="76"/>
          <w:rFonts w:ascii="仿宋" w:hAnsi="仿宋" w:eastAsia="仿宋" w:cs="仿宋"/>
          <w:color w:val="auto"/>
          <w:sz w:val="24"/>
          <w:szCs w:val="24"/>
          <w:highlight w:val="none"/>
        </w:rPr>
        <w:t>附件</w:t>
      </w:r>
      <w:r>
        <w:rPr>
          <w:rFonts w:ascii="仿宋" w:hAnsi="仿宋" w:eastAsia="仿宋"/>
          <w:color w:val="auto"/>
          <w:sz w:val="24"/>
          <w:highlight w:val="none"/>
        </w:rPr>
        <w:tab/>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PAGEREF _Toc133499566 \h </w:instrText>
      </w:r>
      <w:r>
        <w:rPr>
          <w:rFonts w:ascii="仿宋" w:hAnsi="仿宋" w:eastAsia="仿宋"/>
          <w:color w:val="auto"/>
          <w:sz w:val="24"/>
          <w:highlight w:val="none"/>
        </w:rPr>
        <w:fldChar w:fldCharType="separate"/>
      </w:r>
      <w:r>
        <w:rPr>
          <w:rFonts w:ascii="仿宋" w:hAnsi="仿宋" w:eastAsia="仿宋"/>
          <w:color w:val="auto"/>
          <w:sz w:val="24"/>
          <w:highlight w:val="none"/>
        </w:rPr>
        <w:t>10</w:t>
      </w:r>
      <w:r>
        <w:rPr>
          <w:rFonts w:ascii="仿宋" w:hAnsi="仿宋" w:eastAsia="仿宋"/>
          <w:color w:val="auto"/>
          <w:sz w:val="24"/>
          <w:highlight w:val="none"/>
        </w:rPr>
        <w:fldChar w:fldCharType="end"/>
      </w:r>
      <w:r>
        <w:rPr>
          <w:rFonts w:ascii="仿宋" w:hAnsi="仿宋" w:eastAsia="仿宋"/>
          <w:color w:val="auto"/>
          <w:sz w:val="24"/>
          <w:highlight w:val="none"/>
        </w:rPr>
        <w:fldChar w:fldCharType="end"/>
      </w:r>
      <w:r>
        <w:rPr>
          <w:rFonts w:hint="eastAsia" w:ascii="仿宋" w:hAnsi="仿宋" w:eastAsia="仿宋"/>
          <w:color w:val="auto"/>
          <w:sz w:val="24"/>
          <w:highlight w:val="none"/>
          <w:lang w:val="en-US" w:eastAsia="zh-CN"/>
        </w:rPr>
        <w:t>8</w:t>
      </w:r>
    </w:p>
    <w:p w14:paraId="2776DC17">
      <w:pPr>
        <w:pStyle w:val="61"/>
        <w:ind w:firstLine="480"/>
        <w:rPr>
          <w:rFonts w:ascii="等线" w:hAnsi="等线" w:eastAsia="等线"/>
          <w:color w:val="auto"/>
          <w:szCs w:val="22"/>
          <w:highlight w:val="none"/>
        </w:rPr>
      </w:pPr>
      <w:r>
        <w:rPr>
          <w:rStyle w:val="76"/>
          <w:rFonts w:ascii="仿宋" w:hAnsi="仿宋" w:eastAsia="仿宋"/>
          <w:color w:val="auto"/>
          <w:sz w:val="24"/>
          <w:szCs w:val="24"/>
          <w:highlight w:val="none"/>
        </w:rPr>
        <w:br w:type="page"/>
      </w:r>
    </w:p>
    <w:p w14:paraId="6AA4A56D">
      <w:pPr>
        <w:numPr>
          <w:ilvl w:val="0"/>
          <w:numId w:val="1"/>
        </w:numPr>
        <w:adjustRightInd/>
        <w:spacing w:line="360" w:lineRule="auto"/>
        <w:jc w:val="center"/>
        <w:outlineLvl w:val="0"/>
        <w:rPr>
          <w:rStyle w:val="84"/>
          <w:rFonts w:ascii="仿宋" w:eastAsia="仿宋" w:cs="仿宋"/>
          <w:color w:val="auto"/>
          <w:highlight w:val="none"/>
        </w:rPr>
      </w:pPr>
      <w:r>
        <w:rPr>
          <w:rFonts w:hint="eastAsia" w:ascii="仿宋" w:hAnsi="仿宋" w:eastAsia="仿宋" w:cs="仿宋"/>
          <w:color w:val="auto"/>
          <w:szCs w:val="22"/>
          <w:highlight w:val="none"/>
        </w:rPr>
        <w:fldChar w:fldCharType="end"/>
      </w:r>
      <w:bookmarkStart w:id="3" w:name="_Toc133499538"/>
      <w:bookmarkStart w:id="4" w:name="第二部分"/>
      <w:bookmarkStart w:id="5" w:name="_Toc91899870"/>
      <w:bookmarkStart w:id="6" w:name="_Toc91899871"/>
      <w:r>
        <w:rPr>
          <w:rStyle w:val="84"/>
          <w:rFonts w:hint="eastAsia" w:ascii="仿宋" w:eastAsia="仿宋" w:cs="仿宋"/>
          <w:color w:val="auto"/>
          <w:highlight w:val="none"/>
        </w:rPr>
        <w:t>招标公告</w:t>
      </w:r>
      <w:bookmarkEnd w:id="3"/>
    </w:p>
    <w:p w14:paraId="16E1589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D181F8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2025年交管局核心设备、系统和计算机综合维保项目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"https://www.zcygov.cn/）获取（下载）招标文件，并于2023年6月15日14点30分00秒"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点30分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CF43B7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49ECBDD">
      <w:pPr>
        <w:spacing w:line="360" w:lineRule="auto"/>
        <w:ind w:firstLine="480"/>
        <w:rPr>
          <w:rFonts w:ascii="仿宋" w:hAnsi="仿宋" w:eastAsia="仿宋" w:cs="仿宋"/>
          <w:color w:val="auto"/>
          <w:highlight w:val="none"/>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eastAsia="zh-CN"/>
        </w:rPr>
        <w:t>HYZB20241201</w:t>
      </w:r>
      <w:r>
        <w:rPr>
          <w:rFonts w:hint="eastAsia" w:ascii="仿宋" w:hAnsi="仿宋" w:eastAsia="仿宋" w:cs="仿宋"/>
          <w:bCs/>
          <w:color w:val="auto"/>
          <w:highlight w:val="none"/>
        </w:rPr>
        <w:t xml:space="preserve"> </w:t>
      </w:r>
    </w:p>
    <w:p w14:paraId="5C92D97F">
      <w:pPr>
        <w:spacing w:line="360" w:lineRule="auto"/>
        <w:ind w:firstLine="480"/>
        <w:rPr>
          <w:rFonts w:ascii="仿宋" w:hAnsi="仿宋" w:eastAsia="仿宋" w:cs="仿宋"/>
          <w:color w:val="auto"/>
          <w:sz w:val="24"/>
          <w:highlight w:val="none"/>
          <w:u w:val="singl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single"/>
          <w:lang w:eastAsia="zh-CN"/>
        </w:rPr>
        <w:t>2025年交管局核心设备、系统和计算机综合维保项目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highlight w:val="none"/>
        </w:rPr>
        <w:t xml:space="preserve"> </w:t>
      </w:r>
    </w:p>
    <w:p w14:paraId="01F11BE8">
      <w:pPr>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highlight w:val="none"/>
          <w:u w:val="single"/>
        </w:rPr>
        <w:t xml:space="preserve"> </w:t>
      </w:r>
      <w:r>
        <w:rPr>
          <w:rFonts w:hint="eastAsia" w:ascii="仿宋" w:hAnsi="仿宋" w:eastAsia="仿宋" w:cs="仿宋"/>
          <w:bCs/>
          <w:snapToGrid w:val="0"/>
          <w:color w:val="auto"/>
          <w:kern w:val="28"/>
          <w:sz w:val="24"/>
          <w:szCs w:val="20"/>
          <w:highlight w:val="none"/>
          <w:u w:val="single"/>
          <w:lang w:val="en-US" w:eastAsia="zh-CN"/>
        </w:rPr>
        <w:t>2100000</w:t>
      </w:r>
    </w:p>
    <w:p w14:paraId="36A0642F">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highlight w:val="none"/>
          <w:u w:val="single"/>
        </w:rPr>
        <w:t xml:space="preserve"> </w:t>
      </w:r>
      <w:r>
        <w:rPr>
          <w:rFonts w:hint="eastAsia" w:ascii="仿宋" w:hAnsi="仿宋" w:eastAsia="仿宋" w:cs="仿宋"/>
          <w:bCs/>
          <w:snapToGrid w:val="0"/>
          <w:color w:val="auto"/>
          <w:kern w:val="28"/>
          <w:sz w:val="24"/>
          <w:szCs w:val="20"/>
          <w:highlight w:val="none"/>
          <w:u w:val="single"/>
          <w:lang w:val="en-US" w:eastAsia="zh-CN"/>
        </w:rPr>
        <w:t>2073</w:t>
      </w:r>
      <w:r>
        <w:rPr>
          <w:rFonts w:hint="eastAsia" w:ascii="仿宋" w:hAnsi="仿宋" w:eastAsia="仿宋" w:cs="仿宋"/>
          <w:bCs/>
          <w:snapToGrid w:val="0"/>
          <w:color w:val="auto"/>
          <w:kern w:val="28"/>
          <w:sz w:val="24"/>
          <w:szCs w:val="20"/>
          <w:highlight w:val="none"/>
          <w:u w:val="single"/>
          <w:lang w:eastAsia="zh-CN"/>
        </w:rPr>
        <w:t>000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p>
    <w:p w14:paraId="06931278">
      <w:pPr>
        <w:pStyle w:val="1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u w:val="single"/>
          <w:lang w:eastAsia="zh-CN"/>
        </w:rPr>
        <w:t>2025年交管局核心设备、系统和计算机综合维保项目</w:t>
      </w:r>
      <w:r>
        <w:rPr>
          <w:rFonts w:hint="eastAsia" w:ascii="仿宋" w:hAnsi="仿宋" w:eastAsia="仿宋" w:cs="仿宋"/>
          <w:bCs/>
          <w:snapToGrid/>
          <w:color w:val="auto"/>
          <w:kern w:val="2"/>
          <w:sz w:val="24"/>
          <w:szCs w:val="24"/>
          <w:highlight w:val="none"/>
          <w:u w:val="single"/>
        </w:rPr>
        <w:t>，主要内容：</w:t>
      </w:r>
      <w:r>
        <w:rPr>
          <w:rFonts w:hint="eastAsia" w:ascii="仿宋" w:hAnsi="仿宋" w:eastAsia="仿宋" w:cs="仿宋"/>
          <w:bCs/>
          <w:snapToGrid/>
          <w:color w:val="auto"/>
          <w:kern w:val="2"/>
          <w:sz w:val="24"/>
          <w:szCs w:val="24"/>
          <w:highlight w:val="none"/>
          <w:u w:val="single"/>
          <w:lang w:eastAsia="zh-CN"/>
        </w:rPr>
        <w:t>2025年交管局核心设备、系统和计算机综合维保项目</w:t>
      </w:r>
      <w:r>
        <w:rPr>
          <w:rFonts w:hint="eastAsia" w:ascii="仿宋" w:hAnsi="仿宋" w:eastAsia="仿宋" w:cs="仿宋"/>
          <w:bCs/>
          <w:snapToGrid/>
          <w:color w:val="auto"/>
          <w:kern w:val="2"/>
          <w:sz w:val="24"/>
          <w:szCs w:val="24"/>
          <w:highlight w:val="none"/>
          <w:u w:val="single"/>
        </w:rPr>
        <w:t>。详见招标文件第三部分采购需求</w:t>
      </w:r>
      <w:r>
        <w:rPr>
          <w:rFonts w:hint="eastAsia" w:ascii="仿宋" w:hAnsi="仿宋" w:eastAsia="仿宋" w:cs="仿宋"/>
          <w:bCs/>
          <w:snapToGrid/>
          <w:color w:val="auto"/>
          <w:kern w:val="2"/>
          <w:sz w:val="24"/>
          <w:szCs w:val="24"/>
          <w:highlight w:val="none"/>
        </w:rPr>
        <w:t>。</w:t>
      </w:r>
    </w:p>
    <w:p w14:paraId="0F47803B">
      <w:pPr>
        <w:pStyle w:val="15"/>
        <w:spacing w:line="360" w:lineRule="auto"/>
        <w:ind w:firstLine="480"/>
        <w:rPr>
          <w:rFonts w:ascii="仿宋" w:hAnsi="仿宋" w:eastAsia="仿宋" w:cs="仿宋"/>
          <w:bCs/>
          <w:snapToGrid/>
          <w:color w:val="auto"/>
          <w:kern w:val="2"/>
          <w:sz w:val="24"/>
          <w:szCs w:val="24"/>
          <w:highlight w:val="none"/>
        </w:rPr>
      </w:pPr>
    </w:p>
    <w:p w14:paraId="0196C4BE">
      <w:pPr>
        <w:spacing w:line="360" w:lineRule="auto"/>
        <w:ind w:firstLine="480"/>
        <w:rPr>
          <w:rFonts w:ascii="仿宋" w:hAnsi="仿宋" w:eastAsia="仿宋" w:cs="仿宋"/>
          <w:b/>
          <w:bCs/>
          <w:snapToGrid w:val="0"/>
          <w:color w:val="auto"/>
          <w:kern w:val="28"/>
          <w:sz w:val="24"/>
          <w:szCs w:val="20"/>
          <w:highlight w:val="none"/>
        </w:rPr>
      </w:pPr>
      <w:bookmarkStart w:id="7" w:name="_Toc26996"/>
      <w:bookmarkStart w:id="8" w:name="_Toc142"/>
      <w:bookmarkStart w:id="9" w:name="_Toc28404"/>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olor w:val="auto"/>
          <w:highlight w:val="none"/>
        </w:rPr>
        <w:t xml:space="preserve"> </w:t>
      </w:r>
      <w:r>
        <w:rPr>
          <w:rFonts w:hint="eastAsia" w:ascii="仿宋" w:hAnsi="仿宋" w:eastAsia="仿宋" w:cs="仿宋"/>
          <w:color w:val="auto"/>
          <w:sz w:val="24"/>
          <w:highlight w:val="none"/>
          <w:u w:val="single"/>
          <w:lang w:eastAsia="zh-CN"/>
        </w:rPr>
        <w:t>2025年交管局核心设备、系统和计算机综合维保项目</w:t>
      </w:r>
      <w:r>
        <w:rPr>
          <w:rFonts w:hint="eastAsia" w:ascii="仿宋" w:hAnsi="仿宋" w:eastAsia="仿宋" w:cs="仿宋"/>
          <w:b/>
          <w:bCs/>
          <w:snapToGrid w:val="0"/>
          <w:color w:val="auto"/>
          <w:kern w:val="28"/>
          <w:sz w:val="24"/>
          <w:szCs w:val="20"/>
          <w:highlight w:val="none"/>
        </w:rPr>
        <w:t>   </w:t>
      </w:r>
    </w:p>
    <w:p w14:paraId="7DE88B36">
      <w:pPr>
        <w:spacing w:line="360" w:lineRule="auto"/>
        <w:ind w:firstLine="48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bCs/>
          <w:snapToGrid w:val="0"/>
          <w:color w:val="auto"/>
          <w:kern w:val="28"/>
          <w:sz w:val="24"/>
          <w:szCs w:val="20"/>
          <w:highlight w:val="none"/>
          <w:u w:val="single"/>
        </w:rPr>
        <w:t xml:space="preserve"> 1批</w:t>
      </w:r>
      <w:r>
        <w:rPr>
          <w:rFonts w:hint="eastAsia" w:ascii="仿宋" w:hAnsi="仿宋" w:eastAsia="仿宋" w:cs="仿宋"/>
          <w:b/>
          <w:bCs/>
          <w:snapToGrid w:val="0"/>
          <w:color w:val="auto"/>
          <w:kern w:val="28"/>
          <w:sz w:val="24"/>
          <w:szCs w:val="20"/>
          <w:highlight w:val="none"/>
          <w:u w:val="single"/>
        </w:rPr>
        <w:t xml:space="preserve"> </w:t>
      </w:r>
      <w:r>
        <w:rPr>
          <w:rFonts w:hint="eastAsia" w:ascii="仿宋" w:hAnsi="仿宋" w:eastAsia="仿宋" w:cs="仿宋"/>
          <w:b/>
          <w:bCs/>
          <w:snapToGrid w:val="0"/>
          <w:color w:val="auto"/>
          <w:kern w:val="28"/>
          <w:sz w:val="24"/>
          <w:szCs w:val="20"/>
          <w:highlight w:val="none"/>
        </w:rPr>
        <w:t>    </w:t>
      </w:r>
    </w:p>
    <w:p w14:paraId="0FEEBF6C">
      <w:pPr>
        <w:spacing w:line="360" w:lineRule="auto"/>
        <w:ind w:firstLine="480"/>
        <w:rPr>
          <w:rFonts w:hint="default" w:ascii="仿宋" w:hAnsi="仿宋" w:eastAsia="仿宋" w:cs="仿宋"/>
          <w:b/>
          <w:bCs/>
          <w:snapToGrid w:val="0"/>
          <w:color w:val="auto"/>
          <w:kern w:val="28"/>
          <w:sz w:val="24"/>
          <w:szCs w:val="20"/>
          <w:highlight w:val="none"/>
          <w:u w:val="single"/>
          <w:lang w:val="en-US" w:eastAsia="zh-CN"/>
        </w:rPr>
      </w:pPr>
      <w:r>
        <w:rPr>
          <w:rFonts w:hint="eastAsia" w:ascii="仿宋" w:hAnsi="仿宋" w:eastAsia="仿宋" w:cs="仿宋"/>
          <w:b/>
          <w:bCs/>
          <w:snapToGrid w:val="0"/>
          <w:color w:val="auto"/>
          <w:kern w:val="28"/>
          <w:sz w:val="24"/>
          <w:szCs w:val="20"/>
          <w:highlight w:val="none"/>
        </w:rPr>
        <w:t>     预算金额（元）:</w:t>
      </w:r>
      <w:r>
        <w:rPr>
          <w:rFonts w:ascii="仿宋" w:hAnsi="仿宋" w:eastAsia="仿宋" w:cs="仿宋"/>
          <w:bCs/>
          <w:snapToGrid w:val="0"/>
          <w:color w:val="auto"/>
          <w:kern w:val="28"/>
          <w:sz w:val="24"/>
          <w:szCs w:val="20"/>
          <w:highlight w:val="none"/>
          <w:u w:val="single"/>
        </w:rPr>
        <w:t xml:space="preserve"> </w:t>
      </w:r>
      <w:r>
        <w:rPr>
          <w:rFonts w:hint="eastAsia" w:ascii="仿宋" w:hAnsi="仿宋" w:eastAsia="仿宋" w:cs="仿宋"/>
          <w:bCs/>
          <w:snapToGrid w:val="0"/>
          <w:color w:val="auto"/>
          <w:kern w:val="28"/>
          <w:sz w:val="24"/>
          <w:szCs w:val="20"/>
          <w:highlight w:val="none"/>
          <w:u w:val="single"/>
          <w:lang w:val="en-US" w:eastAsia="zh-CN"/>
        </w:rPr>
        <w:t>2100000</w:t>
      </w:r>
    </w:p>
    <w:p w14:paraId="6D782118">
      <w:pPr>
        <w:spacing w:line="360" w:lineRule="auto"/>
        <w:ind w:firstLine="1306" w:firstLineChars="542"/>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snapToGrid w:val="0"/>
          <w:color w:val="auto"/>
          <w:kern w:val="28"/>
          <w:sz w:val="24"/>
          <w:szCs w:val="20"/>
          <w:highlight w:val="none"/>
          <w:u w:val="single"/>
          <w:lang w:val="en-US" w:eastAsia="zh-CN"/>
        </w:rPr>
        <w:t>2073</w:t>
      </w:r>
      <w:r>
        <w:rPr>
          <w:rFonts w:hint="eastAsia" w:ascii="仿宋" w:hAnsi="仿宋" w:eastAsia="仿宋" w:cs="仿宋"/>
          <w:bCs/>
          <w:snapToGrid w:val="0"/>
          <w:color w:val="auto"/>
          <w:kern w:val="28"/>
          <w:sz w:val="24"/>
          <w:szCs w:val="20"/>
          <w:highlight w:val="none"/>
          <w:u w:val="single"/>
          <w:lang w:eastAsia="zh-CN"/>
        </w:rPr>
        <w:t>000</w:t>
      </w:r>
      <w:r>
        <w:rPr>
          <w:rFonts w:hint="eastAsia" w:ascii="仿宋" w:hAnsi="仿宋" w:eastAsia="仿宋" w:cs="仿宋"/>
          <w:bCs/>
          <w:snapToGrid w:val="0"/>
          <w:color w:val="auto"/>
          <w:kern w:val="28"/>
          <w:sz w:val="24"/>
          <w:szCs w:val="20"/>
          <w:highlight w:val="none"/>
          <w:u w:val="single"/>
        </w:rPr>
        <w:t xml:space="preserve"> </w:t>
      </w:r>
    </w:p>
    <w:p w14:paraId="7F8AE7AF">
      <w:pPr>
        <w:spacing w:line="360" w:lineRule="auto"/>
        <w:ind w:firstLine="834" w:firstLineChars="346"/>
        <w:rPr>
          <w:rFonts w:ascii="仿宋" w:hAnsi="仿宋" w:eastAsia="仿宋" w:cs="仿宋"/>
          <w:b/>
          <w:bCs/>
          <w:snapToGrid w:val="0"/>
          <w:color w:val="auto"/>
          <w:kern w:val="28"/>
          <w:sz w:val="24"/>
          <w:szCs w:val="20"/>
          <w:highlight w:val="none"/>
          <w:u w:val="single"/>
        </w:rPr>
      </w:pPr>
      <w:r>
        <w:rPr>
          <w:rFonts w:hint="eastAsia" w:ascii="仿宋" w:hAnsi="仿宋" w:eastAsia="仿宋" w:cs="仿宋"/>
          <w:b/>
          <w:bCs/>
          <w:snapToGrid w:val="0"/>
          <w:color w:val="auto"/>
          <w:kern w:val="28"/>
          <w:sz w:val="24"/>
          <w:szCs w:val="20"/>
          <w:highlight w:val="none"/>
        </w:rPr>
        <w:t>     简要规格描述或项目基本概况介绍、用途：</w:t>
      </w:r>
      <w:r>
        <w:rPr>
          <w:rFonts w:hint="eastAsia" w:ascii="仿宋" w:hAnsi="仿宋" w:eastAsia="仿宋" w:cs="仿宋"/>
          <w:bCs/>
          <w:snapToGrid w:val="0"/>
          <w:color w:val="auto"/>
          <w:kern w:val="28"/>
          <w:sz w:val="24"/>
          <w:szCs w:val="20"/>
          <w:highlight w:val="none"/>
          <w:u w:val="single"/>
        </w:rPr>
        <w:t>详见招标文件</w:t>
      </w:r>
    </w:p>
    <w:p w14:paraId="05F78529">
      <w:pPr>
        <w:spacing w:line="360" w:lineRule="auto"/>
        <w:ind w:firstLine="480"/>
        <w:rPr>
          <w:rFonts w:ascii="仿宋" w:hAnsi="仿宋" w:eastAsia="仿宋" w:cs="仿宋"/>
          <w:b/>
          <w:bCs/>
          <w:snapToGrid w:val="0"/>
          <w:color w:val="auto"/>
          <w:kern w:val="28"/>
          <w:sz w:val="24"/>
          <w:szCs w:val="20"/>
          <w:highlight w:val="none"/>
          <w:u w:val="single"/>
        </w:rPr>
      </w:pPr>
      <w:r>
        <w:rPr>
          <w:rFonts w:hint="eastAsia" w:ascii="仿宋" w:hAnsi="仿宋" w:eastAsia="仿宋" w:cs="仿宋"/>
          <w:b/>
          <w:bCs/>
          <w:snapToGrid w:val="0"/>
          <w:color w:val="auto"/>
          <w:kern w:val="28"/>
          <w:sz w:val="24"/>
          <w:szCs w:val="20"/>
          <w:highlight w:val="none"/>
        </w:rPr>
        <w:t>备注：</w:t>
      </w:r>
    </w:p>
    <w:p w14:paraId="754FA0CD">
      <w:pPr>
        <w:spacing w:line="360" w:lineRule="auto"/>
        <w:ind w:firstLine="48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合同履约期限：</w:t>
      </w:r>
      <w:bookmarkEnd w:id="7"/>
      <w:bookmarkEnd w:id="8"/>
      <w:r>
        <w:rPr>
          <w:rFonts w:hint="eastAsia" w:ascii="仿宋" w:hAnsi="仿宋" w:eastAsia="仿宋" w:cs="仿宋"/>
          <w:b/>
          <w:bCs/>
          <w:snapToGrid w:val="0"/>
          <w:color w:val="auto"/>
          <w:kern w:val="28"/>
          <w:sz w:val="24"/>
          <w:szCs w:val="20"/>
          <w:highlight w:val="none"/>
        </w:rPr>
        <w:t>具体详见招标文件第三部分采购需求。</w:t>
      </w:r>
      <w:bookmarkEnd w:id="9"/>
      <w:r>
        <w:rPr>
          <w:rFonts w:hint="eastAsia" w:ascii="仿宋" w:hAnsi="仿宋" w:eastAsia="仿宋" w:cs="仿宋"/>
          <w:b/>
          <w:bCs/>
          <w:snapToGrid w:val="0"/>
          <w:color w:val="auto"/>
          <w:kern w:val="28"/>
          <w:sz w:val="24"/>
          <w:szCs w:val="20"/>
          <w:highlight w:val="none"/>
        </w:rPr>
        <w:t xml:space="preserve"> </w:t>
      </w:r>
    </w:p>
    <w:p w14:paraId="2FA3F61C">
      <w:pPr>
        <w:pStyle w:val="1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b/>
          <w:color w:val="auto"/>
          <w:sz w:val="24"/>
          <w:highlight w:val="none"/>
        </w:rPr>
        <w:t>否）接受联合体投标</w:t>
      </w:r>
      <w:r>
        <w:rPr>
          <w:rFonts w:hint="eastAsia" w:ascii="仿宋" w:hAnsi="仿宋" w:eastAsia="仿宋" w:cs="仿宋"/>
          <w:color w:val="auto"/>
          <w:kern w:val="0"/>
          <w:sz w:val="24"/>
          <w:highlight w:val="none"/>
        </w:rPr>
        <w:t>。</w:t>
      </w:r>
    </w:p>
    <w:p w14:paraId="09E8162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AAC2896">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E36F4F">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14:paraId="75917E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无；</w:t>
      </w:r>
    </w:p>
    <w:p w14:paraId="6F9B0B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91EA505">
      <w:pPr>
        <w:spacing w:line="360" w:lineRule="auto"/>
        <w:ind w:firstLine="897" w:firstLineChars="374"/>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14:paraId="75934B40">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14:paraId="5CD052A8">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服务全部由符合政策要求的中小企业承接，提供中小企业声明函；</w:t>
      </w:r>
    </w:p>
    <w:p w14:paraId="30DB2B80">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14:paraId="5FF622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如果投标人本身提供所有标的均由中小企业制造、承建或承接，视同符合了资格条件，无需再与其他中小企业组成联合体参加政府采购活动，无需提供联合协议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253BC9E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如果投标人本身提供所有标的均由中小企业制造、承建或承接，视同符合了资格条件，无需再向中小企业分包，无需提供分包意向协议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13B6A27D">
      <w:pPr>
        <w:spacing w:line="360" w:lineRule="auto"/>
        <w:ind w:left="480"/>
        <w:rPr>
          <w:rFonts w:ascii="仿宋" w:hAnsi="仿宋" w:eastAsia="仿宋" w:cs="仿宋"/>
          <w:color w:val="auto"/>
          <w:sz w:val="24"/>
          <w:highlight w:val="none"/>
          <w:u w:val="singl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u w:val="single"/>
        </w:rPr>
        <w:t>无;</w:t>
      </w:r>
    </w:p>
    <w:p w14:paraId="3C4120A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725567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ascii="仿宋" w:hAnsi="仿宋" w:eastAsia="仿宋" w:cs="仿宋"/>
          <w:color w:val="auto"/>
          <w:sz w:val="24"/>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100751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A81F4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2889DF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E17F75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7444BC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点30分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04F37D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DBEDF32">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点30分</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（北京时间）</w:t>
      </w:r>
    </w:p>
    <w:p w14:paraId="7F510C7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295404C">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3613E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82E993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DFA43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601E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F4607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14:paraId="470BA5D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BA5A1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1B6DE6D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称：温州市公安局交通管理局</w:t>
      </w:r>
    </w:p>
    <w:p w14:paraId="23ED5A1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址：浙江省温州市鹿城区金桥路1号       </w:t>
      </w:r>
    </w:p>
    <w:p w14:paraId="4421BA6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129BE438">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黄警官</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7B54F8BA">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：0577-88300188</w:t>
      </w:r>
    </w:p>
    <w:p w14:paraId="4AB1AB96">
      <w:pPr>
        <w:keepNext w:val="0"/>
        <w:keepLines w:val="0"/>
        <w:widowControl/>
        <w:suppressLineNumbers w:val="0"/>
        <w:spacing w:line="360" w:lineRule="auto"/>
        <w:jc w:val="left"/>
        <w:rPr>
          <w:color w:val="auto"/>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陈警官</w:t>
      </w:r>
    </w:p>
    <w:p w14:paraId="6118E4C6">
      <w:pPr>
        <w:keepNext w:val="0"/>
        <w:keepLines w:val="0"/>
        <w:widowControl/>
        <w:suppressLineNumbers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0577-88300295</w:t>
      </w:r>
    </w:p>
    <w:p w14:paraId="39F12DE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236BCE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称：温州市华越招标代理有限公司</w:t>
      </w:r>
    </w:p>
    <w:p w14:paraId="411383BE">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址：温州市鹿城区划龙桥路398号奥乐大楼二楼西首1号  </w:t>
      </w:r>
    </w:p>
    <w:p w14:paraId="6F1E9D4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项目联系人（询问）：李先生</w:t>
      </w:r>
    </w:p>
    <w:p w14:paraId="6A04EF3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项目联系方式（询问）：13706699786</w:t>
      </w:r>
    </w:p>
    <w:p w14:paraId="3C5A9A8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质疑联系人：张先生               </w:t>
      </w:r>
    </w:p>
    <w:p w14:paraId="02C3ED7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质疑联系方式：13676418638 </w:t>
      </w:r>
    </w:p>
    <w:p w14:paraId="14062F5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337672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称：温州市财政局政府采购监管处  </w:t>
      </w:r>
    </w:p>
    <w:p w14:paraId="7EC5FAA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址：温州市鹿城区绣山路299号  </w:t>
      </w:r>
    </w:p>
    <w:p w14:paraId="2D4AA3A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43E46E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：项先生、蔡女士     </w:t>
      </w:r>
    </w:p>
    <w:p w14:paraId="5F7DCA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监督投诉电话：0577-88532725、88521948     </w:t>
      </w:r>
    </w:p>
    <w:p w14:paraId="1EE7BA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D5628E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95199C1">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2278F4F7">
      <w:pPr>
        <w:numPr>
          <w:ilvl w:val="0"/>
          <w:numId w:val="1"/>
        </w:numPr>
        <w:adjustRightInd/>
        <w:spacing w:line="360" w:lineRule="auto"/>
        <w:jc w:val="center"/>
        <w:outlineLvl w:val="0"/>
        <w:rPr>
          <w:rStyle w:val="84"/>
          <w:rFonts w:ascii="仿宋" w:eastAsia="仿宋" w:cs="仿宋"/>
          <w:color w:val="auto"/>
          <w:highlight w:val="none"/>
        </w:rPr>
      </w:pPr>
      <w:r>
        <w:rPr>
          <w:rFonts w:hint="eastAsia" w:ascii="仿宋" w:hAnsi="仿宋" w:eastAsia="仿宋" w:cs="仿宋"/>
          <w:b/>
          <w:color w:val="auto"/>
          <w:sz w:val="36"/>
          <w:szCs w:val="20"/>
          <w:highlight w:val="none"/>
        </w:rPr>
        <w:br w:type="page"/>
      </w:r>
      <w:bookmarkEnd w:id="4"/>
      <w:bookmarkStart w:id="10" w:name="_Toc133499539"/>
      <w:r>
        <w:rPr>
          <w:rStyle w:val="84"/>
          <w:rFonts w:hint="eastAsia" w:ascii="仿宋" w:eastAsia="仿宋" w:cs="仿宋"/>
          <w:color w:val="auto"/>
          <w:highlight w:val="none"/>
        </w:rPr>
        <w:t>投标人须知</w:t>
      </w:r>
      <w:bookmarkEnd w:id="5"/>
      <w:bookmarkEnd w:id="10"/>
    </w:p>
    <w:p w14:paraId="4642B5CF">
      <w:pPr>
        <w:pStyle w:val="3"/>
        <w:jc w:val="center"/>
        <w:rPr>
          <w:rStyle w:val="84"/>
          <w:rFonts w:ascii="仿宋" w:eastAsia="仿宋"/>
          <w:b/>
          <w:bCs w:val="0"/>
          <w:color w:val="auto"/>
          <w:kern w:val="2"/>
          <w:sz w:val="30"/>
          <w:szCs w:val="30"/>
          <w:highlight w:val="none"/>
        </w:rPr>
      </w:pPr>
      <w:bookmarkStart w:id="11" w:name="_Toc133499540"/>
      <w:r>
        <w:rPr>
          <w:rStyle w:val="84"/>
          <w:rFonts w:hint="eastAsia" w:ascii="仿宋" w:eastAsia="仿宋"/>
          <w:b/>
          <w:bCs w:val="0"/>
          <w:color w:val="auto"/>
          <w:kern w:val="2"/>
          <w:sz w:val="30"/>
          <w:szCs w:val="30"/>
          <w:highlight w:val="none"/>
        </w:rPr>
        <w:t>前附表</w:t>
      </w:r>
      <w:bookmarkEnd w:id="11"/>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9"/>
        <w:gridCol w:w="1826"/>
        <w:gridCol w:w="6499"/>
      </w:tblGrid>
      <w:tr w14:paraId="7BFCA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779" w:type="dxa"/>
            <w:vAlign w:val="center"/>
          </w:tcPr>
          <w:p w14:paraId="74A347E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26" w:type="dxa"/>
            <w:vAlign w:val="center"/>
          </w:tcPr>
          <w:p w14:paraId="7D7E1E7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   目</w:t>
            </w:r>
          </w:p>
        </w:tc>
        <w:tc>
          <w:tcPr>
            <w:tcW w:w="6499" w:type="dxa"/>
            <w:vAlign w:val="center"/>
          </w:tcPr>
          <w:p w14:paraId="232EF47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内       容</w:t>
            </w:r>
          </w:p>
        </w:tc>
      </w:tr>
      <w:tr w14:paraId="254E3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3B9174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6" w:type="dxa"/>
            <w:vAlign w:val="center"/>
          </w:tcPr>
          <w:p w14:paraId="4E9AAE7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499" w:type="dxa"/>
            <w:vAlign w:val="center"/>
          </w:tcPr>
          <w:p w14:paraId="57E6EFEE">
            <w:pPr>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详见第一部分“招标公告”</w:t>
            </w:r>
          </w:p>
        </w:tc>
      </w:tr>
      <w:tr w14:paraId="27E80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5BE227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6" w:type="dxa"/>
            <w:vAlign w:val="center"/>
          </w:tcPr>
          <w:p w14:paraId="642617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合同履行地点</w:t>
            </w:r>
          </w:p>
        </w:tc>
        <w:tc>
          <w:tcPr>
            <w:tcW w:w="6499" w:type="dxa"/>
            <w:vAlign w:val="center"/>
          </w:tcPr>
          <w:p w14:paraId="5D9F700B">
            <w:pPr>
              <w:rPr>
                <w:rFonts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详见第一部分“招标公告”</w:t>
            </w:r>
          </w:p>
        </w:tc>
      </w:tr>
      <w:tr w14:paraId="34277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39D2458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6" w:type="dxa"/>
            <w:vAlign w:val="center"/>
          </w:tcPr>
          <w:p w14:paraId="4438E59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499" w:type="dxa"/>
            <w:vAlign w:val="center"/>
          </w:tcPr>
          <w:p w14:paraId="45109F1F">
            <w:pPr>
              <w:rPr>
                <w:rFonts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详见第一部分“招标公告”</w:t>
            </w:r>
          </w:p>
        </w:tc>
      </w:tr>
      <w:tr w14:paraId="71636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62764C1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6" w:type="dxa"/>
            <w:vAlign w:val="center"/>
          </w:tcPr>
          <w:p w14:paraId="3D04974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采购方式</w:t>
            </w:r>
          </w:p>
        </w:tc>
        <w:tc>
          <w:tcPr>
            <w:tcW w:w="6499" w:type="dxa"/>
            <w:vAlign w:val="center"/>
          </w:tcPr>
          <w:p w14:paraId="742B0842">
            <w:pPr>
              <w:rPr>
                <w:rFonts w:ascii="仿宋" w:hAnsi="仿宋" w:eastAsia="仿宋" w:cs="仿宋"/>
                <w:bCs/>
                <w:color w:val="auto"/>
                <w:sz w:val="24"/>
                <w:highlight w:val="none"/>
              </w:rPr>
            </w:pPr>
            <w:r>
              <w:rPr>
                <w:rFonts w:hint="eastAsia" w:ascii="仿宋" w:hAnsi="仿宋" w:eastAsia="仿宋" w:cs="仿宋"/>
                <w:bCs/>
                <w:color w:val="auto"/>
                <w:sz w:val="24"/>
                <w:highlight w:val="none"/>
              </w:rPr>
              <w:t>公开招标</w:t>
            </w:r>
          </w:p>
        </w:tc>
      </w:tr>
      <w:tr w14:paraId="16BF12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799929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6" w:type="dxa"/>
            <w:vAlign w:val="center"/>
          </w:tcPr>
          <w:p w14:paraId="2C3A5BC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采购需求</w:t>
            </w:r>
          </w:p>
        </w:tc>
        <w:tc>
          <w:tcPr>
            <w:tcW w:w="6499" w:type="dxa"/>
            <w:vAlign w:val="center"/>
          </w:tcPr>
          <w:p w14:paraId="18F9CE1F">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详见第一部分“招标公告”</w:t>
            </w:r>
          </w:p>
        </w:tc>
      </w:tr>
      <w:tr w14:paraId="7E61F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401703F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6" w:type="dxa"/>
            <w:vAlign w:val="center"/>
          </w:tcPr>
          <w:p w14:paraId="4FF6C9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6499" w:type="dxa"/>
            <w:vAlign w:val="center"/>
          </w:tcPr>
          <w:p w14:paraId="7B8412CB">
            <w:pPr>
              <w:rPr>
                <w:rFonts w:ascii="仿宋" w:hAnsi="仿宋" w:eastAsia="仿宋" w:cs="仿宋"/>
                <w:color w:val="auto"/>
                <w:kern w:val="0"/>
                <w:sz w:val="24"/>
                <w:highlight w:val="none"/>
              </w:rPr>
            </w:pPr>
            <w:r>
              <w:rPr>
                <w:rFonts w:hint="eastAsia" w:ascii="仿宋" w:hAnsi="仿宋" w:eastAsia="仿宋" w:cs="仿宋"/>
                <w:bCs/>
                <w:color w:val="auto"/>
                <w:kern w:val="0"/>
                <w:sz w:val="24"/>
                <w:highlight w:val="none"/>
              </w:rPr>
              <w:t>详见第一部分“招标公告”</w:t>
            </w:r>
          </w:p>
        </w:tc>
      </w:tr>
      <w:tr w14:paraId="39678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270071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6" w:type="dxa"/>
            <w:vAlign w:val="center"/>
          </w:tcPr>
          <w:p w14:paraId="788BFB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6499" w:type="dxa"/>
            <w:vAlign w:val="center"/>
          </w:tcPr>
          <w:p w14:paraId="3C856532">
            <w:pPr>
              <w:rPr>
                <w:rFonts w:ascii="仿宋" w:hAnsi="仿宋" w:eastAsia="仿宋" w:cs="仿宋"/>
                <w:color w:val="auto"/>
                <w:sz w:val="24"/>
                <w:highlight w:val="none"/>
              </w:rPr>
            </w:pPr>
            <w:r>
              <w:rPr>
                <w:rFonts w:hint="eastAsia" w:ascii="仿宋" w:hAnsi="仿宋" w:eastAsia="仿宋" w:cs="仿宋"/>
                <w:color w:val="auto"/>
                <w:sz w:val="24"/>
                <w:highlight w:val="none"/>
              </w:rPr>
              <w:t>财政资金</w:t>
            </w:r>
          </w:p>
        </w:tc>
      </w:tr>
      <w:tr w14:paraId="2F1A6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1B1D51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6" w:type="dxa"/>
            <w:vAlign w:val="center"/>
          </w:tcPr>
          <w:p w14:paraId="08B77C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499" w:type="dxa"/>
            <w:vAlign w:val="center"/>
          </w:tcPr>
          <w:p w14:paraId="771F8EE4">
            <w:pPr>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tc>
      </w:tr>
      <w:tr w14:paraId="5D606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0EBC3AD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6" w:type="dxa"/>
            <w:vAlign w:val="center"/>
          </w:tcPr>
          <w:p w14:paraId="37F52D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499" w:type="dxa"/>
            <w:vAlign w:val="center"/>
          </w:tcPr>
          <w:p w14:paraId="3C9A0728">
            <w:pPr>
              <w:rPr>
                <w:rFonts w:ascii="仿宋" w:hAnsi="仿宋" w:eastAsia="仿宋" w:cs="仿宋"/>
                <w:color w:val="auto"/>
                <w:sz w:val="24"/>
                <w:highlight w:val="none"/>
              </w:rPr>
            </w:pPr>
            <w:r>
              <w:rPr>
                <w:rFonts w:hint="eastAsia" w:ascii="仿宋" w:hAnsi="仿宋" w:eastAsia="仿宋" w:cs="仿宋"/>
                <w:bCs/>
                <w:color w:val="auto"/>
                <w:kern w:val="0"/>
                <w:sz w:val="24"/>
                <w:highlight w:val="none"/>
              </w:rPr>
              <w:t>详见合同一般条款。</w:t>
            </w:r>
          </w:p>
        </w:tc>
      </w:tr>
      <w:tr w14:paraId="065D93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9" w:type="dxa"/>
            <w:vAlign w:val="center"/>
          </w:tcPr>
          <w:p w14:paraId="1026FC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6" w:type="dxa"/>
            <w:vAlign w:val="center"/>
          </w:tcPr>
          <w:p w14:paraId="03998A7C">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▲最高限价</w:t>
            </w:r>
          </w:p>
        </w:tc>
        <w:tc>
          <w:tcPr>
            <w:tcW w:w="6499" w:type="dxa"/>
            <w:vAlign w:val="center"/>
          </w:tcPr>
          <w:p w14:paraId="260438E0">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详见第一部分“招标公告”</w:t>
            </w:r>
          </w:p>
        </w:tc>
      </w:tr>
      <w:tr w14:paraId="7CF58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779" w:type="dxa"/>
            <w:vAlign w:val="center"/>
          </w:tcPr>
          <w:p w14:paraId="4084F8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6" w:type="dxa"/>
            <w:vAlign w:val="center"/>
          </w:tcPr>
          <w:p w14:paraId="28D07FC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开标前答疑会或现场踏勘</w:t>
            </w:r>
          </w:p>
        </w:tc>
        <w:tc>
          <w:tcPr>
            <w:tcW w:w="6499" w:type="dxa"/>
            <w:vAlign w:val="center"/>
          </w:tcPr>
          <w:p w14:paraId="7ACF3071">
            <w:pPr>
              <w:rPr>
                <w:rFonts w:ascii="仿宋" w:hAnsi="仿宋" w:eastAsia="仿宋" w:cs="仿宋"/>
                <w:color w:val="auto"/>
                <w:kern w:val="0"/>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kern w:val="0"/>
                <w:sz w:val="24"/>
                <w:highlight w:val="none"/>
              </w:rPr>
              <w:t xml:space="preserve"> 不组织。</w:t>
            </w:r>
          </w:p>
          <w:p w14:paraId="44C977EB">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组织，时间：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tc>
      </w:tr>
      <w:tr w14:paraId="10FDF5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779" w:type="dxa"/>
            <w:vAlign w:val="center"/>
          </w:tcPr>
          <w:p w14:paraId="7D5DC56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6" w:type="dxa"/>
            <w:vAlign w:val="center"/>
          </w:tcPr>
          <w:p w14:paraId="25AE8A37">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分包与转包</w:t>
            </w:r>
          </w:p>
        </w:tc>
        <w:tc>
          <w:tcPr>
            <w:tcW w:w="6499" w:type="dxa"/>
            <w:vAlign w:val="center"/>
          </w:tcPr>
          <w:p w14:paraId="692F74F8">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（1）分包：</w:t>
            </w:r>
          </w:p>
          <w:p w14:paraId="7CCAC980">
            <w:pPr>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Cs/>
                <w:color w:val="auto"/>
                <w:kern w:val="0"/>
                <w:sz w:val="24"/>
                <w:highlight w:val="none"/>
              </w:rPr>
              <w:t xml:space="preserve">  同意将非主体、非关键性的工作分包。</w:t>
            </w:r>
          </w:p>
          <w:p w14:paraId="491A2C2C">
            <w:pPr>
              <w:rPr>
                <w:rFonts w:ascii="仿宋" w:hAnsi="仿宋" w:eastAsia="仿宋" w:cs="仿宋"/>
                <w:bCs/>
                <w:color w:val="auto"/>
                <w:kern w:val="0"/>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kern w:val="0"/>
                <w:sz w:val="24"/>
                <w:highlight w:val="non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kern w:val="0"/>
                <w:sz w:val="24"/>
                <w:highlight w:val="none"/>
              </w:rPr>
              <w:t>不同意分包。</w:t>
            </w:r>
          </w:p>
          <w:p w14:paraId="206EA4FA">
            <w:pPr>
              <w:rPr>
                <w:rFonts w:ascii="仿宋" w:hAnsi="仿宋" w:eastAsia="仿宋"/>
                <w:color w:val="auto"/>
                <w:highlight w:val="none"/>
              </w:rPr>
            </w:pPr>
            <w:r>
              <w:rPr>
                <w:rFonts w:hint="eastAsia" w:ascii="仿宋" w:hAnsi="仿宋" w:eastAsia="仿宋" w:cs="仿宋"/>
                <w:bCs/>
                <w:color w:val="auto"/>
                <w:kern w:val="0"/>
                <w:sz w:val="24"/>
                <w:highlight w:val="none"/>
              </w:rPr>
              <w:t>（2）转包：本项目不允许转包。</w:t>
            </w:r>
          </w:p>
        </w:tc>
      </w:tr>
      <w:tr w14:paraId="24BB5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779" w:type="dxa"/>
            <w:vAlign w:val="center"/>
          </w:tcPr>
          <w:p w14:paraId="2E233ECE">
            <w:pPr>
              <w:jc w:val="center"/>
              <w:rPr>
                <w:rFonts w:ascii="仿宋" w:hAnsi="仿宋" w:eastAsia="仿宋" w:cs="仿宋"/>
                <w:color w:val="auto"/>
                <w:sz w:val="24"/>
                <w:highlight w:val="none"/>
              </w:rPr>
            </w:pPr>
            <w:bookmarkStart w:id="12" w:name="_Hlk133582849"/>
            <w:r>
              <w:rPr>
                <w:rFonts w:hint="eastAsia" w:ascii="仿宋" w:hAnsi="仿宋" w:eastAsia="仿宋" w:cs="仿宋"/>
                <w:color w:val="auto"/>
                <w:sz w:val="24"/>
                <w:highlight w:val="none"/>
              </w:rPr>
              <w:t>13</w:t>
            </w:r>
          </w:p>
        </w:tc>
        <w:tc>
          <w:tcPr>
            <w:tcW w:w="1826" w:type="dxa"/>
            <w:vAlign w:val="center"/>
          </w:tcPr>
          <w:p w14:paraId="7D39D88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项目属性与核心产品</w:t>
            </w:r>
          </w:p>
        </w:tc>
        <w:tc>
          <w:tcPr>
            <w:tcW w:w="6499" w:type="dxa"/>
            <w:vAlign w:val="center"/>
          </w:tcPr>
          <w:p w14:paraId="7C62B42E">
            <w:pPr>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kern w:val="0"/>
                <w:sz w:val="24"/>
                <w:highlight w:val="none"/>
              </w:rPr>
              <w:t>货物类。</w:t>
            </w:r>
          </w:p>
          <w:p w14:paraId="4F5E9014">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服务类。</w:t>
            </w:r>
          </w:p>
        </w:tc>
      </w:tr>
      <w:bookmarkEnd w:id="12"/>
      <w:tr w14:paraId="24B3C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779" w:type="dxa"/>
            <w:vAlign w:val="center"/>
          </w:tcPr>
          <w:p w14:paraId="61377CD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26" w:type="dxa"/>
            <w:vAlign w:val="center"/>
          </w:tcPr>
          <w:p w14:paraId="3BC93D68">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是否允许采购进口产品</w:t>
            </w:r>
          </w:p>
        </w:tc>
        <w:tc>
          <w:tcPr>
            <w:tcW w:w="6499" w:type="dxa"/>
            <w:vAlign w:val="center"/>
          </w:tcPr>
          <w:p w14:paraId="5EB64B6E">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FE"/>
            </w:r>
            <w:r>
              <w:rPr>
                <w:rFonts w:hint="eastAsia" w:ascii="仿宋" w:hAnsi="仿宋" w:eastAsia="仿宋" w:cs="仿宋"/>
                <w:bCs/>
                <w:color w:val="auto"/>
                <w:kern w:val="0"/>
                <w:sz w:val="24"/>
                <w:highlight w:val="none"/>
              </w:rPr>
              <w:t>本项目不允许采购进口产品。</w:t>
            </w:r>
          </w:p>
          <w:p w14:paraId="5AD8AE13">
            <w:pPr>
              <w:rPr>
                <w:rFonts w:ascii="仿宋" w:hAnsi="仿宋" w:eastAsia="仿宋" w:cs="仿宋"/>
                <w:bCs/>
                <w:color w:val="auto"/>
                <w:kern w:val="0"/>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95DD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14" w:hRule="atLeast"/>
          <w:jc w:val="center"/>
        </w:trPr>
        <w:tc>
          <w:tcPr>
            <w:tcW w:w="779" w:type="dxa"/>
            <w:vAlign w:val="center"/>
          </w:tcPr>
          <w:p w14:paraId="488DBB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26" w:type="dxa"/>
            <w:vAlign w:val="center"/>
          </w:tcPr>
          <w:p w14:paraId="1BCC67E5">
            <w:pPr>
              <w:jc w:val="center"/>
              <w:rPr>
                <w:rFonts w:ascii="仿宋" w:hAnsi="仿宋" w:eastAsia="仿宋" w:cs="仿宋"/>
                <w:bCs/>
                <w:snapToGrid w:val="0"/>
                <w:color w:val="auto"/>
                <w:kern w:val="0"/>
                <w:sz w:val="24"/>
                <w:highlight w:val="none"/>
              </w:rPr>
            </w:pPr>
            <w:r>
              <w:rPr>
                <w:rFonts w:hint="eastAsia" w:ascii="仿宋" w:hAnsi="仿宋" w:eastAsia="仿宋" w:cs="仿宋"/>
                <w:bCs/>
                <w:color w:val="auto"/>
                <w:sz w:val="24"/>
                <w:highlight w:val="none"/>
              </w:rPr>
              <w:t>样品提供</w:t>
            </w:r>
          </w:p>
        </w:tc>
        <w:tc>
          <w:tcPr>
            <w:tcW w:w="6499" w:type="dxa"/>
            <w:vAlign w:val="center"/>
          </w:tcPr>
          <w:p w14:paraId="5CC700FB">
            <w:pP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不要求提供。</w:t>
            </w:r>
          </w:p>
          <w:p w14:paraId="51631504">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要求提供：</w:t>
            </w:r>
          </w:p>
          <w:p w14:paraId="7284758C">
            <w:pPr>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lang w:bidi="ar"/>
              </w:rPr>
              <w:t xml:space="preserve">                     </w:t>
            </w:r>
          </w:p>
          <w:p w14:paraId="75D586D4">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按技术要求执行 </w:t>
            </w:r>
            <w:r>
              <w:rPr>
                <w:rFonts w:hint="eastAsia" w:ascii="仿宋" w:hAnsi="仿宋" w:eastAsia="仿宋" w:cs="仿宋"/>
                <w:color w:val="auto"/>
                <w:kern w:val="0"/>
                <w:sz w:val="24"/>
                <w:highlight w:val="none"/>
              </w:rPr>
              <w:t>；</w:t>
            </w:r>
          </w:p>
          <w:p w14:paraId="335B1336">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45F72DC">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sz w:val="24"/>
                <w:highlight w:val="none"/>
              </w:rPr>
              <w:sym w:font="Wingdings" w:char="0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AF3442A">
            <w:pPr>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开标截止时间前</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B374B8E">
            <w:pPr>
              <w:rPr>
                <w:rFonts w:ascii="仿宋" w:hAnsi="仿宋" w:eastAsia="仿宋" w:cs="仿宋"/>
                <w:color w:val="auto"/>
                <w:sz w:val="24"/>
                <w:highlight w:val="none"/>
              </w:rPr>
            </w:pPr>
            <w:r>
              <w:rPr>
                <w:rFonts w:hint="eastAsia" w:ascii="仿宋" w:hAnsi="仿宋" w:eastAsia="仿宋" w:cs="仿宋"/>
                <w:color w:val="auto"/>
                <w:sz w:val="24"/>
                <w:highlight w:val="none"/>
              </w:rPr>
              <w:t>（6）样品的标记：</w:t>
            </w:r>
          </w:p>
          <w:p w14:paraId="4D71684A">
            <w:pPr>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样品名称、项目名称以及供应商名称由供应商自行标记。</w:t>
            </w:r>
          </w:p>
          <w:p w14:paraId="64DE1B65">
            <w:pPr>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样品名称、项目名称以及供应商名称、均不得标注，由采购代理机构对投标样品签收后统一标注。</w:t>
            </w:r>
          </w:p>
          <w:p w14:paraId="0BAA4D79">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75C937">
            <w:pPr>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（8）制作、运输、安装和保管样品所发生的一切费用由投标人自理。</w:t>
            </w:r>
          </w:p>
        </w:tc>
      </w:tr>
      <w:tr w14:paraId="4724DA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38" w:hRule="atLeast"/>
          <w:jc w:val="center"/>
        </w:trPr>
        <w:tc>
          <w:tcPr>
            <w:tcW w:w="779" w:type="dxa"/>
            <w:vAlign w:val="center"/>
          </w:tcPr>
          <w:p w14:paraId="70F7EFB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26" w:type="dxa"/>
            <w:vAlign w:val="center"/>
          </w:tcPr>
          <w:p w14:paraId="6492BC3C">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方案讲解演示</w:t>
            </w:r>
          </w:p>
        </w:tc>
        <w:tc>
          <w:tcPr>
            <w:tcW w:w="6499" w:type="dxa"/>
            <w:vAlign w:val="center"/>
          </w:tcPr>
          <w:p w14:paraId="0F9432FE">
            <w:pP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不组织。</w:t>
            </w:r>
          </w:p>
          <w:p w14:paraId="7AD33ADC">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组织，采用方式（ </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w:t>
            </w:r>
          </w:p>
          <w:p w14:paraId="5DBFC3D5">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1808386">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FFC8907">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3C87091">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253C60F7">
            <w:pPr>
              <w:rPr>
                <w:rFonts w:ascii="仿宋" w:hAnsi="仿宋" w:eastAsia="仿宋" w:cs="仿宋"/>
                <w:color w:val="auto"/>
                <w:highlight w:val="none"/>
              </w:rPr>
            </w:pPr>
            <w:r>
              <w:rPr>
                <w:rFonts w:hint="eastAsia" w:ascii="仿宋" w:hAnsi="仿宋" w:eastAsia="仿宋" w:cs="仿宋"/>
                <w:color w:val="auto"/>
                <w:kern w:val="0"/>
                <w:sz w:val="24"/>
                <w:highlight w:val="none"/>
              </w:rPr>
              <w:t>方式三：以介质存储（U盘）的数据电文形式的项目演示文件，密封包装后（建议以顺丰快递形式）在</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年</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月</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日</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时</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分前由采购代理机构签收，不少于一份，邮寄地址：</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，收件人及联系方式：</w:t>
            </w:r>
            <w:r>
              <w:rPr>
                <w:rFonts w:hint="eastAsia"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，投标人应加强U盘的包装与保护，因包装不当而造成项目演示文件损坏或不能在开评标现场设备上正确读取并播放的责任由投标人自负。</w:t>
            </w:r>
          </w:p>
          <w:p w14:paraId="5DDE8333">
            <w:pPr>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23A4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779" w:type="dxa"/>
            <w:vAlign w:val="center"/>
          </w:tcPr>
          <w:p w14:paraId="007C7B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26" w:type="dxa"/>
            <w:vAlign w:val="center"/>
          </w:tcPr>
          <w:p w14:paraId="5E3C528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投标文件的编制</w:t>
            </w:r>
          </w:p>
        </w:tc>
        <w:tc>
          <w:tcPr>
            <w:tcW w:w="6499" w:type="dxa"/>
            <w:vAlign w:val="center"/>
          </w:tcPr>
          <w:p w14:paraId="39A9D1FB">
            <w:pPr>
              <w:rPr>
                <w:rFonts w:ascii="仿宋" w:hAnsi="仿宋" w:eastAsia="仿宋" w:cs="仿宋"/>
                <w:color w:val="auto"/>
                <w:sz w:val="24"/>
                <w:highlight w:val="none"/>
              </w:rPr>
            </w:pPr>
            <w:r>
              <w:rPr>
                <w:rFonts w:hint="eastAsia" w:ascii="仿宋" w:hAnsi="仿宋" w:eastAsia="仿宋" w:cs="仿宋"/>
                <w:bCs/>
                <w:color w:val="auto"/>
                <w:kern w:val="0"/>
                <w:sz w:val="24"/>
                <w:highlight w:val="none"/>
              </w:rPr>
              <w:t>详见第二部分“</w:t>
            </w:r>
            <w:r>
              <w:rPr>
                <w:rFonts w:hint="eastAsia" w:ascii="仿宋" w:hAnsi="仿宋" w:eastAsia="仿宋" w:cs="仿宋"/>
                <w:color w:val="auto"/>
                <w:sz w:val="24"/>
                <w:highlight w:val="none"/>
                <w:lang w:val="zh-CN"/>
              </w:rPr>
              <w:t>投标人须知</w:t>
            </w:r>
            <w:r>
              <w:rPr>
                <w:rFonts w:hint="eastAsia" w:ascii="仿宋" w:hAnsi="仿宋" w:eastAsia="仿宋" w:cs="仿宋"/>
                <w:bCs/>
                <w:color w:val="auto"/>
                <w:kern w:val="0"/>
                <w:sz w:val="24"/>
                <w:highlight w:val="none"/>
              </w:rPr>
              <w:t>”</w:t>
            </w:r>
            <w:r>
              <w:rPr>
                <w:rFonts w:hint="eastAsia" w:ascii="仿宋" w:hAnsi="仿宋" w:eastAsia="仿宋" w:cs="仿宋"/>
                <w:color w:val="auto"/>
                <w:sz w:val="24"/>
                <w:highlight w:val="none"/>
                <w:lang w:val="zh-CN"/>
              </w:rPr>
              <w:t>第</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款“</w:t>
            </w:r>
            <w:r>
              <w:rPr>
                <w:rFonts w:hint="eastAsia" w:ascii="仿宋" w:hAnsi="仿宋" w:eastAsia="仿宋" w:cs="仿宋"/>
                <w:color w:val="auto"/>
                <w:sz w:val="24"/>
                <w:highlight w:val="none"/>
              </w:rPr>
              <w:t>投标文件的组成”</w:t>
            </w:r>
          </w:p>
        </w:tc>
      </w:tr>
      <w:tr w14:paraId="50F792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65" w:hRule="atLeast"/>
          <w:jc w:val="center"/>
        </w:trPr>
        <w:tc>
          <w:tcPr>
            <w:tcW w:w="779" w:type="dxa"/>
            <w:vAlign w:val="center"/>
          </w:tcPr>
          <w:p w14:paraId="466187C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26" w:type="dxa"/>
            <w:vAlign w:val="center"/>
          </w:tcPr>
          <w:p w14:paraId="1332246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投标文件的形式</w:t>
            </w:r>
          </w:p>
        </w:tc>
        <w:tc>
          <w:tcPr>
            <w:tcW w:w="6499" w:type="dxa"/>
            <w:vAlign w:val="center"/>
          </w:tcPr>
          <w:p w14:paraId="7CFBAAE1">
            <w:pPr>
              <w:rPr>
                <w:rFonts w:ascii="仿宋" w:hAnsi="仿宋" w:eastAsia="仿宋" w:cs="仿宋"/>
                <w:color w:val="auto"/>
                <w:sz w:val="24"/>
                <w:highlight w:val="none"/>
              </w:rPr>
            </w:pPr>
            <w:r>
              <w:rPr>
                <w:rFonts w:hint="eastAsia" w:ascii="仿宋" w:hAnsi="仿宋" w:eastAsia="仿宋" w:cs="仿宋"/>
                <w:color w:val="auto"/>
                <w:sz w:val="24"/>
                <w:highlight w:val="none"/>
              </w:rPr>
              <w:t>电子投标文件（包括“电子加密投标文件”和“备份投标文件”，在投标文件编制完成后同时生成）；</w:t>
            </w:r>
          </w:p>
          <w:p w14:paraId="4772304D">
            <w:pPr>
              <w:rPr>
                <w:rFonts w:ascii="仿宋" w:hAnsi="仿宋" w:eastAsia="仿宋" w:cs="仿宋"/>
                <w:color w:val="auto"/>
                <w:sz w:val="24"/>
                <w:highlight w:val="none"/>
              </w:rPr>
            </w:pPr>
            <w:r>
              <w:rPr>
                <w:rFonts w:hint="eastAsia" w:ascii="仿宋" w:hAnsi="仿宋" w:eastAsia="仿宋" w:cs="仿宋"/>
                <w:color w:val="auto"/>
                <w:sz w:val="24"/>
                <w:highlight w:val="none"/>
              </w:rPr>
              <w:t>（1）“电子加密投标文件”是指通过“政采云电子交易客户端”完成投标文件编制后生成并加密的数据电文形式的投标文件。</w:t>
            </w:r>
          </w:p>
          <w:p w14:paraId="19382A70">
            <w:pPr>
              <w:rPr>
                <w:rFonts w:ascii="仿宋" w:hAnsi="仿宋" w:eastAsia="仿宋" w:cs="仿宋"/>
                <w:color w:val="auto"/>
                <w:sz w:val="24"/>
                <w:highlight w:val="none"/>
              </w:rPr>
            </w:pPr>
            <w:r>
              <w:rPr>
                <w:rFonts w:hint="eastAsia" w:ascii="仿宋" w:hAnsi="仿宋" w:eastAsia="仿宋" w:cs="仿宋"/>
                <w:color w:val="auto"/>
                <w:sz w:val="24"/>
                <w:highlight w:val="none"/>
              </w:rPr>
              <w:t>（2）“备份投标文件”是指与“电子加密投标文件”同时生成的数据电文形式的电子文件（备份标书，用于供应商标书解密异常时应急使用），其他方式编制的备份投标文件视为无效备份投标文件。</w:t>
            </w:r>
          </w:p>
        </w:tc>
      </w:tr>
      <w:tr w14:paraId="569FD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79" w:type="dxa"/>
            <w:vAlign w:val="center"/>
          </w:tcPr>
          <w:p w14:paraId="130B518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826" w:type="dxa"/>
            <w:vAlign w:val="center"/>
          </w:tcPr>
          <w:p w14:paraId="68D2AF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投标文件的传输递交</w:t>
            </w:r>
          </w:p>
        </w:tc>
        <w:tc>
          <w:tcPr>
            <w:tcW w:w="6499" w:type="dxa"/>
            <w:vAlign w:val="center"/>
          </w:tcPr>
          <w:p w14:paraId="215799BA">
            <w:pPr>
              <w:rPr>
                <w:rFonts w:ascii="仿宋" w:hAnsi="仿宋" w:eastAsia="仿宋" w:cs="仿宋"/>
                <w:color w:val="auto"/>
                <w:sz w:val="24"/>
                <w:highlight w:val="none"/>
              </w:rPr>
            </w:pPr>
            <w:r>
              <w:rPr>
                <w:rFonts w:hint="eastAsia" w:ascii="仿宋" w:hAnsi="仿宋" w:eastAsia="仿宋" w:cs="仿宋"/>
                <w:color w:val="auto"/>
                <w:sz w:val="24"/>
                <w:highlight w:val="none"/>
              </w:rPr>
              <w:t>详见第二部分“投标人须知”第15款</w:t>
            </w:r>
          </w:p>
          <w:p w14:paraId="5A809B04">
            <w:pPr>
              <w:rPr>
                <w:rFonts w:ascii="仿宋" w:hAnsi="仿宋" w:eastAsia="仿宋" w:cs="仿宋"/>
                <w:color w:val="auto"/>
                <w:sz w:val="24"/>
                <w:highlight w:val="none"/>
              </w:rPr>
            </w:pPr>
            <w:r>
              <w:rPr>
                <w:rFonts w:hint="eastAsia" w:ascii="仿宋" w:hAnsi="仿宋" w:eastAsia="仿宋" w:cs="仿宋"/>
                <w:color w:val="auto"/>
                <w:sz w:val="24"/>
                <w:highlight w:val="none"/>
              </w:rPr>
              <w:t>注：上传、递交过程中如有疑问，可咨询“政采云”客服热线：400-881-7190</w:t>
            </w:r>
          </w:p>
        </w:tc>
      </w:tr>
      <w:tr w14:paraId="72354C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79" w:type="dxa"/>
            <w:vAlign w:val="center"/>
          </w:tcPr>
          <w:p w14:paraId="07CC17E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826" w:type="dxa"/>
            <w:vAlign w:val="center"/>
          </w:tcPr>
          <w:p w14:paraId="39EE6D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提交投标文件截止时间、开标时间和地点</w:t>
            </w:r>
          </w:p>
        </w:tc>
        <w:tc>
          <w:tcPr>
            <w:tcW w:w="6499" w:type="dxa"/>
            <w:vAlign w:val="center"/>
          </w:tcPr>
          <w:p w14:paraId="1ABDE4F9">
            <w:pPr>
              <w:rPr>
                <w:rFonts w:ascii="仿宋" w:hAnsi="仿宋" w:eastAsia="仿宋" w:cs="仿宋"/>
                <w:color w:val="auto"/>
                <w:sz w:val="24"/>
                <w:highlight w:val="none"/>
              </w:rPr>
            </w:pPr>
            <w:r>
              <w:rPr>
                <w:rFonts w:hint="eastAsia" w:ascii="仿宋" w:hAnsi="仿宋" w:eastAsia="仿宋" w:cs="仿宋"/>
                <w:color w:val="auto"/>
                <w:sz w:val="24"/>
                <w:highlight w:val="none"/>
              </w:rPr>
              <w:t>详见第一部分“招标公告”</w:t>
            </w:r>
          </w:p>
        </w:tc>
      </w:tr>
      <w:tr w14:paraId="718325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779" w:type="dxa"/>
            <w:vAlign w:val="center"/>
          </w:tcPr>
          <w:p w14:paraId="4FA4E59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826" w:type="dxa"/>
            <w:vAlign w:val="center"/>
          </w:tcPr>
          <w:p w14:paraId="40E63C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评标委员会</w:t>
            </w:r>
          </w:p>
          <w:p w14:paraId="2F76F2D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的组建</w:t>
            </w:r>
          </w:p>
        </w:tc>
        <w:tc>
          <w:tcPr>
            <w:tcW w:w="6499" w:type="dxa"/>
            <w:vAlign w:val="center"/>
          </w:tcPr>
          <w:p w14:paraId="55ECBD22">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评标委员会由采购人代表和评审专家组成，成员人数应当为 5 人以上单数，其中评审专家不得少于成员总数的三分之二。</w:t>
            </w:r>
          </w:p>
          <w:p w14:paraId="228B2B83">
            <w:pPr>
              <w:ind w:firstLine="240" w:firstLineChars="100"/>
              <w:rPr>
                <w:rFonts w:ascii="仿宋" w:hAnsi="仿宋" w:eastAsia="仿宋" w:cs="仿宋"/>
                <w:color w:val="auto"/>
                <w:highlight w:val="none"/>
              </w:rPr>
            </w:pPr>
            <w:r>
              <w:rPr>
                <w:rFonts w:hint="eastAsia" w:ascii="仿宋" w:hAnsi="仿宋" w:eastAsia="仿宋" w:cs="仿宋"/>
                <w:i/>
                <w:iCs/>
                <w:color w:val="auto"/>
                <w:sz w:val="24"/>
                <w:highlight w:val="none"/>
              </w:rPr>
              <w:t>（注：采购项目符合下列情形之一的，评标委员会成员人数应当为7人以上单数：（一）采购预算金额在 1000 万元以上；（二）技术复杂；（三）社会影响较大。）</w:t>
            </w:r>
          </w:p>
        </w:tc>
      </w:tr>
      <w:tr w14:paraId="07C8F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9" w:type="dxa"/>
            <w:vAlign w:val="center"/>
          </w:tcPr>
          <w:p w14:paraId="37CE6C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826" w:type="dxa"/>
            <w:vAlign w:val="center"/>
          </w:tcPr>
          <w:p w14:paraId="5F589F0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评标办法</w:t>
            </w:r>
          </w:p>
        </w:tc>
        <w:tc>
          <w:tcPr>
            <w:tcW w:w="6499" w:type="dxa"/>
            <w:vAlign w:val="center"/>
          </w:tcPr>
          <w:p w14:paraId="65650D16">
            <w:pPr>
              <w:rPr>
                <w:rFonts w:ascii="仿宋" w:hAnsi="仿宋" w:eastAsia="仿宋" w:cs="仿宋"/>
                <w:color w:val="auto"/>
                <w:sz w:val="24"/>
                <w:highlight w:val="none"/>
              </w:rPr>
            </w:pPr>
            <w:r>
              <w:rPr>
                <w:rFonts w:hint="eastAsia" w:ascii="仿宋" w:hAnsi="仿宋" w:eastAsia="仿宋" w:cs="仿宋"/>
                <w:color w:val="auto"/>
                <w:sz w:val="24"/>
                <w:highlight w:val="none"/>
              </w:rPr>
              <w:t>详见第四部分 评标办法“评标办法前附表”</w:t>
            </w:r>
          </w:p>
        </w:tc>
      </w:tr>
      <w:tr w14:paraId="67F6AD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63" w:hRule="atLeast"/>
          <w:jc w:val="center"/>
        </w:trPr>
        <w:tc>
          <w:tcPr>
            <w:tcW w:w="779" w:type="dxa"/>
            <w:vAlign w:val="center"/>
          </w:tcPr>
          <w:p w14:paraId="01CDF3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826" w:type="dxa"/>
            <w:vAlign w:val="center"/>
          </w:tcPr>
          <w:p w14:paraId="7043092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中标结果公告</w:t>
            </w:r>
          </w:p>
        </w:tc>
        <w:tc>
          <w:tcPr>
            <w:tcW w:w="6499" w:type="dxa"/>
            <w:vAlign w:val="center"/>
          </w:tcPr>
          <w:p w14:paraId="07FF8F05">
            <w:pPr>
              <w:rPr>
                <w:rFonts w:ascii="仿宋" w:hAnsi="仿宋" w:eastAsia="仿宋" w:cs="仿宋"/>
                <w:color w:val="auto"/>
                <w:sz w:val="24"/>
                <w:highlight w:val="none"/>
              </w:rPr>
            </w:pPr>
            <w:r>
              <w:rPr>
                <w:rFonts w:hint="eastAsia" w:ascii="仿宋" w:hAnsi="仿宋" w:eastAsia="仿宋" w:cs="仿宋"/>
                <w:color w:val="auto"/>
                <w:sz w:val="24"/>
                <w:highlight w:val="none"/>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tc>
      </w:tr>
      <w:tr w14:paraId="6FBEDD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79" w:type="dxa"/>
            <w:vAlign w:val="center"/>
          </w:tcPr>
          <w:p w14:paraId="5E1578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826" w:type="dxa"/>
            <w:vAlign w:val="center"/>
          </w:tcPr>
          <w:p w14:paraId="3B09A0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6499" w:type="dxa"/>
            <w:vAlign w:val="center"/>
          </w:tcPr>
          <w:p w14:paraId="66667DE8">
            <w:pPr>
              <w:rPr>
                <w:rFonts w:ascii="仿宋" w:hAnsi="仿宋" w:eastAsia="仿宋" w:cs="仿宋"/>
                <w:color w:val="auto"/>
                <w:sz w:val="24"/>
                <w:highlight w:val="none"/>
              </w:rPr>
            </w:pPr>
            <w:r>
              <w:rPr>
                <w:rFonts w:hint="eastAsia" w:ascii="仿宋" w:hAnsi="仿宋" w:eastAsia="仿宋" w:cs="仿宋"/>
                <w:color w:val="auto"/>
                <w:sz w:val="24"/>
                <w:highlight w:val="none"/>
              </w:rPr>
              <w:t>中标通知书发出后30日内。</w:t>
            </w:r>
          </w:p>
        </w:tc>
      </w:tr>
      <w:tr w14:paraId="7A7637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9" w:type="dxa"/>
            <w:vAlign w:val="center"/>
          </w:tcPr>
          <w:p w14:paraId="4108287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1826" w:type="dxa"/>
            <w:vAlign w:val="center"/>
          </w:tcPr>
          <w:p w14:paraId="3C3A0A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499" w:type="dxa"/>
            <w:vAlign w:val="center"/>
          </w:tcPr>
          <w:p w14:paraId="5CEC3C1A">
            <w:pPr>
              <w:rPr>
                <w:rFonts w:ascii="仿宋" w:hAnsi="仿宋" w:eastAsia="仿宋" w:cs="仿宋"/>
                <w:color w:val="auto"/>
                <w:sz w:val="24"/>
                <w:highlight w:val="none"/>
              </w:rPr>
            </w:pPr>
            <w:r>
              <w:rPr>
                <w:rFonts w:hint="eastAsia" w:ascii="仿宋" w:hAnsi="仿宋" w:eastAsia="仿宋" w:cs="仿宋"/>
                <w:color w:val="auto"/>
                <w:sz w:val="24"/>
                <w:szCs w:val="20"/>
                <w:highlight w:val="none"/>
              </w:rPr>
              <w:t>投标有效期为从提交投标文件的截止之日起</w:t>
            </w:r>
            <w:r>
              <w:rPr>
                <w:rFonts w:hint="eastAsia" w:ascii="仿宋" w:hAnsi="仿宋" w:eastAsia="仿宋" w:cs="仿宋"/>
                <w:color w:val="auto"/>
                <w:sz w:val="24"/>
                <w:szCs w:val="20"/>
                <w:highlight w:val="none"/>
                <w:u w:val="single"/>
              </w:rPr>
              <w:t>120</w:t>
            </w:r>
            <w:r>
              <w:rPr>
                <w:rFonts w:hint="eastAsia" w:ascii="仿宋" w:hAnsi="仿宋" w:eastAsia="仿宋" w:cs="仿宋"/>
                <w:color w:val="auto"/>
                <w:sz w:val="24"/>
                <w:szCs w:val="20"/>
                <w:highlight w:val="none"/>
              </w:rPr>
              <w:t>天</w:t>
            </w:r>
          </w:p>
        </w:tc>
      </w:tr>
      <w:tr w14:paraId="7AD06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2" w:hRule="atLeast"/>
          <w:jc w:val="center"/>
        </w:trPr>
        <w:tc>
          <w:tcPr>
            <w:tcW w:w="779" w:type="dxa"/>
            <w:vAlign w:val="center"/>
          </w:tcPr>
          <w:p w14:paraId="55A646F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1826" w:type="dxa"/>
            <w:vAlign w:val="center"/>
          </w:tcPr>
          <w:p w14:paraId="4ED83CA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质疑</w:t>
            </w:r>
          </w:p>
        </w:tc>
        <w:tc>
          <w:tcPr>
            <w:tcW w:w="6499" w:type="dxa"/>
            <w:vAlign w:val="center"/>
          </w:tcPr>
          <w:p w14:paraId="606F7B04">
            <w:pPr>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14:paraId="3C3D3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779" w:type="dxa"/>
            <w:vAlign w:val="center"/>
          </w:tcPr>
          <w:p w14:paraId="6D212B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1826" w:type="dxa"/>
            <w:vAlign w:val="center"/>
          </w:tcPr>
          <w:p w14:paraId="4595758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投诉</w:t>
            </w:r>
          </w:p>
        </w:tc>
        <w:tc>
          <w:tcPr>
            <w:tcW w:w="6499" w:type="dxa"/>
            <w:vAlign w:val="center"/>
          </w:tcPr>
          <w:p w14:paraId="0B497F7C">
            <w:pPr>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14:paraId="68D0EE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779" w:type="dxa"/>
            <w:vAlign w:val="center"/>
          </w:tcPr>
          <w:p w14:paraId="58CA01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1826" w:type="dxa"/>
            <w:vAlign w:val="center"/>
          </w:tcPr>
          <w:p w14:paraId="2BD9C0DD">
            <w:pPr>
              <w:jc w:val="center"/>
              <w:rPr>
                <w:rFonts w:ascii="仿宋" w:hAnsi="仿宋" w:eastAsia="仿宋" w:cs="仿宋"/>
                <w:bCs/>
                <w:color w:val="auto"/>
                <w:kern w:val="0"/>
                <w:sz w:val="24"/>
                <w:highlight w:val="none"/>
              </w:rPr>
            </w:pPr>
            <w:r>
              <w:rPr>
                <w:rFonts w:hint="eastAsia" w:ascii="仿宋" w:hAnsi="仿宋" w:eastAsia="仿宋" w:cs="仿宋"/>
                <w:bCs/>
                <w:color w:val="auto"/>
                <w:sz w:val="24"/>
                <w:highlight w:val="none"/>
                <w:u w:val="thick"/>
              </w:rPr>
              <w:t>▲</w:t>
            </w:r>
            <w:r>
              <w:rPr>
                <w:rFonts w:hint="eastAsia" w:ascii="仿宋" w:hAnsi="仿宋" w:eastAsia="仿宋" w:cs="仿宋"/>
                <w:b/>
                <w:color w:val="auto"/>
                <w:sz w:val="24"/>
                <w:highlight w:val="none"/>
                <w:u w:val="thick"/>
              </w:rPr>
              <w:t>符合性审查、无效标条款</w:t>
            </w:r>
          </w:p>
        </w:tc>
        <w:tc>
          <w:tcPr>
            <w:tcW w:w="6499" w:type="dxa"/>
            <w:vAlign w:val="center"/>
          </w:tcPr>
          <w:p w14:paraId="33D49971">
            <w:pPr>
              <w:pStyle w:val="83"/>
              <w:snapToGrid/>
              <w:spacing w:line="240" w:lineRule="auto"/>
              <w:ind w:firstLine="0"/>
              <w:rPr>
                <w:rFonts w:ascii="仿宋" w:hAnsi="仿宋" w:eastAsia="仿宋" w:cs="仿宋"/>
                <w:bCs/>
                <w:snapToGrid w:val="0"/>
                <w:color w:val="auto"/>
                <w:szCs w:val="24"/>
                <w:highlight w:val="none"/>
              </w:rPr>
            </w:pPr>
            <w:r>
              <w:rPr>
                <w:rFonts w:hint="eastAsia" w:ascii="仿宋" w:hAnsi="仿宋" w:eastAsia="仿宋" w:cs="仿宋"/>
                <w:bCs/>
                <w:snapToGrid w:val="0"/>
                <w:color w:val="auto"/>
                <w:szCs w:val="24"/>
                <w:highlight w:val="none"/>
              </w:rPr>
              <w:t>详见招标文件“第四部分 评标办法”的评标办法前附表2.2款“符合性审查”</w:t>
            </w:r>
          </w:p>
        </w:tc>
      </w:tr>
      <w:tr w14:paraId="49C87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 w:type="dxa"/>
            <w:vAlign w:val="center"/>
          </w:tcPr>
          <w:p w14:paraId="567BD6B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1826" w:type="dxa"/>
            <w:vAlign w:val="center"/>
          </w:tcPr>
          <w:p w14:paraId="3976F594">
            <w:pPr>
              <w:jc w:val="center"/>
              <w:rPr>
                <w:rFonts w:ascii="仿宋" w:hAnsi="仿宋" w:eastAsia="仿宋" w:cs="仿宋"/>
                <w:b/>
                <w:bCs/>
                <w:color w:val="auto"/>
                <w:kern w:val="0"/>
                <w:sz w:val="24"/>
                <w:highlight w:val="none"/>
              </w:rPr>
            </w:pPr>
            <w:r>
              <w:rPr>
                <w:rFonts w:hint="eastAsia" w:ascii="仿宋" w:hAnsi="仿宋" w:eastAsia="仿宋" w:cs="仿宋"/>
                <w:color w:val="auto"/>
                <w:sz w:val="24"/>
                <w:highlight w:val="none"/>
              </w:rPr>
              <w:t>供应商信用信息查询</w:t>
            </w:r>
          </w:p>
        </w:tc>
        <w:tc>
          <w:tcPr>
            <w:tcW w:w="6499" w:type="dxa"/>
            <w:vAlign w:val="center"/>
          </w:tcPr>
          <w:p w14:paraId="7B1D79F6">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根据《关于在政府采购活动中查询及使用信用记录有关问题的通知》财库[2016]125号的规定：</w:t>
            </w:r>
          </w:p>
          <w:p w14:paraId="307090BF">
            <w:pPr>
              <w:rPr>
                <w:rFonts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1）采购人或采购代理机构将对本项目投标人的信用信息进行查询。</w:t>
            </w:r>
          </w:p>
          <w:p w14:paraId="63B346AB">
            <w:pPr>
              <w:rPr>
                <w:rFonts w:ascii="仿宋" w:hAnsi="仿宋" w:eastAsia="仿宋" w:cs="仿宋"/>
                <w:color w:val="auto"/>
                <w:sz w:val="24"/>
                <w:highlight w:val="none"/>
              </w:rPr>
            </w:pPr>
            <w:r>
              <w:rPr>
                <w:rFonts w:hint="eastAsia" w:ascii="仿宋" w:hAnsi="仿宋" w:eastAsia="仿宋" w:cs="仿宋"/>
                <w:color w:val="auto"/>
                <w:sz w:val="24"/>
                <w:highlight w:val="none"/>
              </w:rPr>
              <w:t>2）查询渠道为信用中国网站（www.creditchina.gov.cn）、中国政府采购网（www.ccgp.gov.cn）。</w:t>
            </w:r>
          </w:p>
          <w:p w14:paraId="71523219">
            <w:pPr>
              <w:rPr>
                <w:rFonts w:ascii="仿宋" w:hAnsi="仿宋" w:eastAsia="仿宋" w:cs="仿宋"/>
                <w:color w:val="auto"/>
                <w:sz w:val="24"/>
                <w:highlight w:val="none"/>
              </w:rPr>
            </w:pPr>
            <w:r>
              <w:rPr>
                <w:rFonts w:hint="eastAsia" w:ascii="仿宋" w:hAnsi="仿宋" w:eastAsia="仿宋" w:cs="仿宋"/>
                <w:color w:val="auto"/>
                <w:sz w:val="24"/>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14:paraId="5203FAA7">
            <w:pPr>
              <w:rPr>
                <w:rFonts w:ascii="仿宋" w:hAnsi="仿宋" w:eastAsia="仿宋" w:cs="仿宋"/>
                <w:color w:val="auto"/>
                <w:sz w:val="24"/>
                <w:highlight w:val="none"/>
              </w:rPr>
            </w:pPr>
            <w:r>
              <w:rPr>
                <w:rFonts w:hint="eastAsia" w:ascii="仿宋" w:hAnsi="仿宋" w:eastAsia="仿宋" w:cs="仿宋"/>
                <w:color w:val="auto"/>
                <w:sz w:val="24"/>
                <w:highlight w:val="none"/>
              </w:rPr>
              <w:t>4）信用信息查询记录和证据以网页截图等方式留存。</w:t>
            </w:r>
          </w:p>
          <w:p w14:paraId="1AC14F4B">
            <w:pPr>
              <w:rPr>
                <w:rFonts w:ascii="仿宋" w:hAnsi="仿宋" w:eastAsia="仿宋" w:cs="仿宋"/>
                <w:color w:val="auto"/>
                <w:sz w:val="24"/>
                <w:highlight w:val="none"/>
              </w:rPr>
            </w:pPr>
            <w:r>
              <w:rPr>
                <w:rFonts w:hint="eastAsia" w:ascii="仿宋" w:hAnsi="仿宋" w:eastAsia="仿宋" w:cs="仿宋"/>
                <w:color w:val="auto"/>
                <w:sz w:val="24"/>
                <w:highlight w:val="none"/>
              </w:rPr>
              <w:t>5）信用信息将作为评审和确定成交投标人的依据。</w:t>
            </w:r>
          </w:p>
          <w:p w14:paraId="7C311505">
            <w:pPr>
              <w:pStyle w:val="83"/>
              <w:snapToGrid/>
              <w:spacing w:line="240" w:lineRule="auto"/>
              <w:ind w:firstLine="0"/>
              <w:rPr>
                <w:rFonts w:ascii="仿宋" w:hAnsi="仿宋" w:eastAsia="仿宋" w:cs="仿宋"/>
                <w:bCs/>
                <w:color w:val="auto"/>
                <w:szCs w:val="24"/>
                <w:highlight w:val="none"/>
              </w:rPr>
            </w:pPr>
            <w:r>
              <w:rPr>
                <w:rFonts w:hint="eastAsia" w:ascii="仿宋" w:hAnsi="仿宋" w:eastAsia="仿宋" w:cs="仿宋"/>
                <w:color w:val="auto"/>
                <w:szCs w:val="24"/>
                <w:highlight w:val="none"/>
              </w:rPr>
              <w:t>6）联合体成员存在不良信用记录的，视同联合体存在不良信用记录。</w:t>
            </w:r>
          </w:p>
        </w:tc>
      </w:tr>
      <w:tr w14:paraId="65F29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79" w:type="dxa"/>
            <w:vAlign w:val="center"/>
          </w:tcPr>
          <w:p w14:paraId="08D9C6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826" w:type="dxa"/>
            <w:vAlign w:val="center"/>
          </w:tcPr>
          <w:p w14:paraId="500D4243">
            <w:pPr>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本项目扶持中小企业（监狱企业、残疾人福利性单位）有关政策</w:t>
            </w:r>
          </w:p>
        </w:tc>
        <w:tc>
          <w:tcPr>
            <w:tcW w:w="6499" w:type="dxa"/>
            <w:vAlign w:val="center"/>
          </w:tcPr>
          <w:p w14:paraId="7B29A1BD">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1、扶持中小企业（监狱企业、残疾人福利性单位）： </w:t>
            </w:r>
          </w:p>
          <w:p w14:paraId="39396345">
            <w:pPr>
              <w:rPr>
                <w:rFonts w:ascii="仿宋" w:hAnsi="仿宋" w:eastAsia="仿宋" w:cs="仿宋"/>
                <w:color w:val="auto"/>
                <w:sz w:val="24"/>
                <w:highlight w:val="none"/>
              </w:rPr>
            </w:pPr>
            <w:r>
              <w:rPr>
                <w:rFonts w:hint="eastAsia" w:ascii="仿宋" w:hAnsi="仿宋" w:eastAsia="仿宋" w:cs="仿宋"/>
                <w:color w:val="auto"/>
                <w:sz w:val="24"/>
                <w:highlight w:val="none"/>
              </w:rPr>
              <w:t>（1）根据工信部等部委发布的《关于印发中小企业划型标准规定的通知》（工信部联企业〔2011〕300号），本项目属于</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农、林、牧、渔业，</w:t>
            </w:r>
            <w:r>
              <w:rPr>
                <w:rFonts w:hint="eastAsia" w:ascii="仿宋" w:hAnsi="仿宋" w:eastAsia="仿宋" w:cs="仿宋"/>
                <w:color w:val="auto"/>
                <w:sz w:val="24"/>
                <w:highlight w:val="none"/>
                <w:u w:val="single"/>
              </w:rPr>
              <w:sym w:font="Wingdings" w:char="00A8"/>
            </w:r>
            <w:r>
              <w:rPr>
                <w:rFonts w:hint="eastAsia" w:ascii="仿宋" w:hAnsi="仿宋" w:eastAsia="仿宋" w:cs="仿宋"/>
                <w:i/>
                <w:iCs/>
                <w:color w:val="auto"/>
                <w:sz w:val="24"/>
                <w:highlight w:val="none"/>
                <w:u w:val="single"/>
              </w:rPr>
              <w:t>工业（包括采矿业，制造业，电力、热力、燃气及水生产和供应业），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建筑业，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批发业，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零售业，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交通运输业（不含铁路运输业），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仓储业，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邮政业，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住宿业，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餐饮业，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信息传输业（包括电信、互联网和相关服务），</w:t>
            </w:r>
            <w:r>
              <w:rPr>
                <w:rFonts w:hint="eastAsia" w:ascii="仿宋" w:hAnsi="仿宋" w:eastAsia="仿宋" w:cs="仿宋"/>
                <w:i/>
                <w:iCs/>
                <w:color w:val="auto"/>
                <w:sz w:val="24"/>
                <w:highlight w:val="none"/>
                <w:u w:val="single"/>
              </w:rPr>
              <w:sym w:font="Wingdings" w:char="00FE"/>
            </w:r>
            <w:r>
              <w:rPr>
                <w:rFonts w:hint="eastAsia" w:ascii="仿宋" w:hAnsi="仿宋" w:eastAsia="仿宋" w:cs="仿宋"/>
                <w:i/>
                <w:iCs/>
                <w:color w:val="auto"/>
                <w:sz w:val="24"/>
                <w:highlight w:val="none"/>
                <w:u w:val="single"/>
              </w:rPr>
              <w:t>软件和信息技术服务业，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房地产开发经营，</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物业管理，</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租赁和商务服务业，</w:t>
            </w:r>
            <w:r>
              <w:rPr>
                <w:rFonts w:hint="eastAsia" w:ascii="仿宋" w:hAnsi="仿宋" w:eastAsia="仿宋" w:cs="仿宋"/>
                <w:i/>
                <w:iCs/>
                <w:color w:val="auto"/>
                <w:sz w:val="24"/>
                <w:highlight w:val="none"/>
                <w:u w:val="single"/>
              </w:rPr>
              <w:sym w:font="Wingdings" w:char="00A8"/>
            </w:r>
            <w:r>
              <w:rPr>
                <w:rFonts w:hint="eastAsia" w:ascii="仿宋" w:hAnsi="仿宋" w:eastAsia="仿宋" w:cs="仿宋"/>
                <w:i/>
                <w:iCs/>
                <w:color w:val="auto"/>
                <w:sz w:val="24"/>
                <w:highlight w:val="none"/>
                <w:u w:val="single"/>
              </w:rPr>
              <w:t xml:space="preserve">其他未列明行业（包括科学研究和技术服务业，水利、环境和公共设施管理业，居民服务、修理和其他服务业，社会工作，文化、体育和娱乐业等） </w:t>
            </w:r>
            <w:r>
              <w:rPr>
                <w:rFonts w:hint="eastAsia" w:ascii="仿宋" w:hAnsi="仿宋" w:eastAsia="仿宋" w:cs="仿宋"/>
                <w:color w:val="auto"/>
                <w:sz w:val="24"/>
                <w:highlight w:val="none"/>
              </w:rPr>
              <w:t>行业。</w:t>
            </w:r>
          </w:p>
          <w:p w14:paraId="43CDD6EB">
            <w:pPr>
              <w:rPr>
                <w:rFonts w:ascii="仿宋" w:hAnsi="仿宋" w:eastAsia="仿宋" w:cs="仿宋"/>
                <w:color w:val="auto"/>
                <w:sz w:val="24"/>
                <w:highlight w:val="none"/>
              </w:rPr>
            </w:pPr>
            <w:r>
              <w:rPr>
                <w:rFonts w:hint="eastAsia" w:ascii="仿宋" w:hAnsi="仿宋" w:eastAsia="仿宋" w:cs="仿宋"/>
                <w:color w:val="auto"/>
                <w:sz w:val="24"/>
                <w:highlight w:val="none"/>
              </w:rPr>
              <w:t>2、根据财政部发布的《政府采购促进中小企业发展管理办法》财库（2020）46号的相关规定：</w:t>
            </w:r>
          </w:p>
          <w:p w14:paraId="06CAA05A">
            <w:pPr>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2.1.是否为预留份额项目：</w:t>
            </w:r>
          </w:p>
          <w:p w14:paraId="1AD79303">
            <w:pP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本项目为预留份额项目，专门面向中小企业采购。</w:t>
            </w:r>
          </w:p>
          <w:p w14:paraId="58B388A8">
            <w:pPr>
              <w:ind w:left="24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本项目为非预留份额项目、非专门面向中小企业的项目</w:t>
            </w:r>
          </w:p>
          <w:p w14:paraId="584C791B">
            <w:pPr>
              <w:ind w:left="240" w:hanging="240" w:hangingChars="100"/>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在评审时对小型和微型企业报价给予</w:t>
            </w:r>
            <w:r>
              <w:rPr>
                <w:rFonts w:hint="eastAsia" w:ascii="仿宋" w:hAnsi="仿宋" w:eastAsia="仿宋" w:cs="仿宋"/>
                <w:i/>
                <w:iCs/>
                <w:color w:val="auto"/>
                <w:sz w:val="24"/>
                <w:highlight w:val="none"/>
                <w:u w:val="single"/>
              </w:rPr>
              <w:t>10%</w:t>
            </w:r>
            <w:r>
              <w:rPr>
                <w:rFonts w:hint="eastAsia" w:ascii="仿宋" w:hAnsi="仿宋" w:eastAsia="仿宋" w:cs="仿宋"/>
                <w:color w:val="auto"/>
                <w:sz w:val="24"/>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仿宋" w:hAnsi="仿宋" w:eastAsia="仿宋" w:cs="仿宋"/>
                <w:color w:val="auto"/>
                <w:sz w:val="24"/>
                <w:highlight w:val="none"/>
                <w:u w:val="single"/>
              </w:rPr>
              <w:t xml:space="preserve"> 6</w:t>
            </w:r>
            <w:r>
              <w:rPr>
                <w:rFonts w:hint="eastAsia" w:ascii="仿宋" w:hAnsi="仿宋" w:eastAsia="仿宋" w:cs="仿宋"/>
                <w:i/>
                <w:iCs/>
                <w:color w:val="auto"/>
                <w:sz w:val="24"/>
                <w:highlight w:val="none"/>
              </w:rPr>
              <w:t>%</w:t>
            </w:r>
            <w:r>
              <w:rPr>
                <w:rFonts w:hint="eastAsia" w:ascii="仿宋" w:hAnsi="仿宋" w:eastAsia="仿宋" w:cs="仿宋"/>
                <w:color w:val="auto"/>
                <w:sz w:val="24"/>
                <w:highlight w:val="none"/>
              </w:rPr>
              <w:t>作为其价格分。</w:t>
            </w:r>
          </w:p>
          <w:p w14:paraId="37EA2389">
            <w:pPr>
              <w:rPr>
                <w:rFonts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接受大中型企业与小微企业组成联合体、</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rPr>
              <w:t xml:space="preserve">  6 </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本项目为适用招标投标法的政府采购工程建设项目，采用综合评估法但未采用低价优先法计算价格分，评标时在采用原报价进行评分的基础上增加其价格得分的</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%作为其价格分。</w:t>
            </w:r>
          </w:p>
          <w:p w14:paraId="156C0730">
            <w:pPr>
              <w:rPr>
                <w:rFonts w:ascii="仿宋" w:hAnsi="仿宋" w:eastAsia="仿宋" w:cs="仿宋"/>
                <w:color w:val="auto"/>
                <w:sz w:val="24"/>
                <w:highlight w:val="none"/>
              </w:rPr>
            </w:pPr>
            <w:r>
              <w:rPr>
                <w:rFonts w:hint="eastAsia" w:ascii="仿宋" w:hAnsi="仿宋" w:eastAsia="仿宋" w:cs="仿宋"/>
                <w:color w:val="auto"/>
                <w:sz w:val="24"/>
                <w:highlight w:val="none"/>
              </w:rPr>
              <w:t>2.2组成联合体或者接受分包的小微企业与联合体内其他企业、分包企业之间存在直接控股、管理关系的，不享受价格扣除优惠政策。</w:t>
            </w:r>
          </w:p>
          <w:p w14:paraId="01238412">
            <w:pPr>
              <w:rPr>
                <w:rFonts w:ascii="仿宋" w:hAnsi="仿宋" w:eastAsia="仿宋" w:cs="仿宋"/>
                <w:color w:val="auto"/>
                <w:sz w:val="24"/>
                <w:highlight w:val="none"/>
              </w:rPr>
            </w:pPr>
            <w:r>
              <w:rPr>
                <w:rFonts w:hint="eastAsia" w:ascii="仿宋" w:hAnsi="仿宋" w:eastAsia="仿宋" w:cs="仿宋"/>
                <w:color w:val="auto"/>
                <w:sz w:val="24"/>
                <w:highlight w:val="none"/>
              </w:rPr>
              <w:t>2.3价格扣除比例或者价格分加分比例对小型企业和微型企业同等对待，不作区分。</w:t>
            </w:r>
          </w:p>
          <w:p w14:paraId="33514307">
            <w:pPr>
              <w:rPr>
                <w:rFonts w:ascii="仿宋" w:hAnsi="仿宋" w:eastAsia="仿宋" w:cs="仿宋"/>
                <w:color w:val="auto"/>
                <w:sz w:val="24"/>
                <w:highlight w:val="none"/>
              </w:rPr>
            </w:pPr>
            <w:r>
              <w:rPr>
                <w:rFonts w:hint="eastAsia" w:ascii="仿宋" w:hAnsi="仿宋" w:eastAsia="仿宋" w:cs="仿宋"/>
                <w:color w:val="auto"/>
                <w:sz w:val="24"/>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6AC4451">
            <w:pPr>
              <w:rPr>
                <w:rFonts w:ascii="仿宋" w:hAnsi="仿宋" w:eastAsia="仿宋" w:cs="仿宋"/>
                <w:color w:val="auto"/>
                <w:sz w:val="24"/>
                <w:highlight w:val="none"/>
              </w:rPr>
            </w:pPr>
            <w:r>
              <w:rPr>
                <w:rFonts w:hint="eastAsia" w:ascii="仿宋" w:hAnsi="仿宋" w:eastAsia="仿宋" w:cs="仿宋"/>
                <w:color w:val="auto"/>
                <w:sz w:val="24"/>
                <w:highlight w:val="none"/>
              </w:rPr>
              <w:t>2.5接受分包的项目，享受扶持政策获得政府采购合同的，小微企业不得将合同分包给大中型企业，中型企业不得将合同分包给大型企业。</w:t>
            </w:r>
          </w:p>
          <w:p w14:paraId="62562D15">
            <w:pPr>
              <w:rPr>
                <w:rFonts w:ascii="仿宋" w:hAnsi="仿宋" w:eastAsia="仿宋" w:cs="仿宋"/>
                <w:color w:val="auto"/>
                <w:sz w:val="24"/>
                <w:highlight w:val="none"/>
              </w:rPr>
            </w:pPr>
            <w:r>
              <w:rPr>
                <w:rFonts w:hint="eastAsia" w:ascii="仿宋" w:hAnsi="仿宋" w:eastAsia="仿宋" w:cs="仿宋"/>
                <w:color w:val="auto"/>
                <w:sz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5E64010">
            <w:pPr>
              <w:rPr>
                <w:rFonts w:ascii="仿宋" w:hAnsi="仿宋" w:eastAsia="仿宋" w:cs="仿宋"/>
                <w:color w:val="auto"/>
                <w:sz w:val="24"/>
                <w:highlight w:val="none"/>
              </w:rPr>
            </w:pPr>
            <w:r>
              <w:rPr>
                <w:rFonts w:hint="eastAsia" w:ascii="仿宋" w:hAnsi="仿宋" w:eastAsia="仿宋" w:cs="仿宋"/>
                <w:color w:val="auto"/>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7DF0AAE1">
            <w:pPr>
              <w:rPr>
                <w:rFonts w:ascii="仿宋" w:hAnsi="仿宋" w:eastAsia="仿宋" w:cs="仿宋"/>
                <w:color w:val="auto"/>
                <w:sz w:val="24"/>
                <w:highlight w:val="none"/>
              </w:rPr>
            </w:pPr>
            <w:r>
              <w:rPr>
                <w:rFonts w:hint="eastAsia" w:ascii="仿宋" w:hAnsi="仿宋" w:eastAsia="仿宋" w:cs="仿宋"/>
                <w:b/>
                <w:bCs/>
                <w:color w:val="auto"/>
                <w:sz w:val="24"/>
                <w:highlight w:val="none"/>
              </w:rPr>
              <w:t>(注：未提供以上材料的，均不给予价格扣除，以上优惠政策只享受一次）。</w:t>
            </w:r>
          </w:p>
        </w:tc>
      </w:tr>
      <w:tr w14:paraId="2A960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779" w:type="dxa"/>
            <w:vAlign w:val="center"/>
          </w:tcPr>
          <w:p w14:paraId="5AD74CD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1826" w:type="dxa"/>
            <w:vAlign w:val="center"/>
          </w:tcPr>
          <w:p w14:paraId="785FB459">
            <w:pPr>
              <w:jc w:val="center"/>
              <w:rPr>
                <w:rFonts w:ascii="仿宋" w:hAnsi="仿宋" w:eastAsia="仿宋" w:cs="仿宋"/>
                <w:bCs/>
                <w:color w:val="auto"/>
                <w:kern w:val="0"/>
                <w:sz w:val="24"/>
                <w:highlight w:val="none"/>
              </w:rPr>
            </w:pPr>
            <w:r>
              <w:rPr>
                <w:rFonts w:hint="eastAsia" w:ascii="仿宋" w:hAnsi="仿宋" w:eastAsia="仿宋" w:cs="仿宋"/>
                <w:b/>
                <w:color w:val="auto"/>
                <w:sz w:val="24"/>
                <w:highlight w:val="none"/>
              </w:rPr>
              <w:t>节能产品、环境标志产品</w:t>
            </w:r>
          </w:p>
        </w:tc>
        <w:tc>
          <w:tcPr>
            <w:tcW w:w="6499" w:type="dxa"/>
            <w:vAlign w:val="center"/>
          </w:tcPr>
          <w:p w14:paraId="2B258BFE">
            <w:pPr>
              <w:pStyle w:val="24"/>
              <w:spacing w:line="240" w:lineRule="auto"/>
              <w:rPr>
                <w:rFonts w:ascii="仿宋" w:hAnsi="仿宋" w:eastAsia="仿宋" w:cs="仿宋"/>
                <w:color w:val="auto"/>
                <w:szCs w:val="24"/>
                <w:highlight w:val="none"/>
              </w:rPr>
            </w:pPr>
            <w:r>
              <w:rPr>
                <w:rFonts w:hint="eastAsia" w:ascii="仿宋" w:hAnsi="仿宋" w:eastAsia="仿宋" w:cs="仿宋"/>
                <w:color w:val="auto"/>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A12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90" w:hRule="atLeast"/>
          <w:jc w:val="center"/>
        </w:trPr>
        <w:tc>
          <w:tcPr>
            <w:tcW w:w="779" w:type="dxa"/>
            <w:vAlign w:val="center"/>
          </w:tcPr>
          <w:p w14:paraId="3A8B728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1826" w:type="dxa"/>
            <w:vAlign w:val="center"/>
          </w:tcPr>
          <w:p w14:paraId="732BD18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支持创新发展</w:t>
            </w:r>
          </w:p>
        </w:tc>
        <w:tc>
          <w:tcPr>
            <w:tcW w:w="6499" w:type="dxa"/>
            <w:vAlign w:val="center"/>
          </w:tcPr>
          <w:p w14:paraId="376F1C4D">
            <w:pPr>
              <w:pStyle w:val="24"/>
              <w:spacing w:line="240" w:lineRule="auto"/>
              <w:rPr>
                <w:rFonts w:ascii="仿宋" w:hAnsi="仿宋" w:eastAsia="仿宋" w:cs="仿宋"/>
                <w:color w:val="auto"/>
                <w:szCs w:val="24"/>
                <w:highlight w:val="none"/>
              </w:rPr>
            </w:pPr>
            <w:r>
              <w:rPr>
                <w:rFonts w:hint="eastAsia" w:ascii="仿宋" w:hAnsi="仿宋" w:eastAsia="仿宋" w:cs="仿宋"/>
                <w:color w:val="auto"/>
                <w:szCs w:val="24"/>
                <w:highlight w:val="none"/>
              </w:rPr>
              <w:t>1.采购人优先采购被认定为首台套产品和“制造精品”的自主创新产品。</w:t>
            </w:r>
          </w:p>
          <w:p w14:paraId="01C444C5">
            <w:pPr>
              <w:pStyle w:val="24"/>
              <w:spacing w:line="240" w:lineRule="auto"/>
              <w:rPr>
                <w:rFonts w:ascii="仿宋" w:hAnsi="仿宋" w:eastAsia="仿宋" w:cs="仿宋"/>
                <w:color w:val="auto"/>
                <w:szCs w:val="24"/>
                <w:highlight w:val="none"/>
              </w:rPr>
            </w:pPr>
            <w:r>
              <w:rPr>
                <w:rFonts w:hint="eastAsia" w:ascii="仿宋" w:hAnsi="仿宋" w:eastAsia="仿宋" w:cs="仿宋"/>
                <w:color w:val="auto"/>
                <w:szCs w:val="24"/>
                <w:highlight w:val="none"/>
              </w:rPr>
              <w:t>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22EBA9DB">
            <w:pPr>
              <w:pStyle w:val="60"/>
              <w:ind w:firstLine="0"/>
              <w:rPr>
                <w:rFonts w:ascii="仿宋" w:hAnsi="仿宋" w:eastAsia="仿宋" w:cs="仿宋"/>
                <w:snapToGrid w:val="0"/>
                <w:color w:val="auto"/>
                <w:szCs w:val="24"/>
                <w:highlight w:val="none"/>
              </w:rPr>
            </w:pPr>
            <w:r>
              <w:rPr>
                <w:rFonts w:hint="eastAsia" w:ascii="仿宋" w:hAnsi="仿宋" w:eastAsia="仿宋" w:cs="仿宋"/>
                <w:snapToGrid w:val="0"/>
                <w:color w:val="auto"/>
                <w:szCs w:val="24"/>
                <w:highlight w:val="none"/>
              </w:rPr>
              <w:t>3.在得分相同时优先采购本产品。</w:t>
            </w:r>
          </w:p>
        </w:tc>
      </w:tr>
      <w:tr w14:paraId="72217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79" w:type="dxa"/>
            <w:vAlign w:val="center"/>
          </w:tcPr>
          <w:p w14:paraId="6B7E8F3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1826" w:type="dxa"/>
            <w:vAlign w:val="center"/>
          </w:tcPr>
          <w:p w14:paraId="3EDAA462">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投标报价其他要求</w:t>
            </w:r>
          </w:p>
        </w:tc>
        <w:tc>
          <w:tcPr>
            <w:tcW w:w="6499" w:type="dxa"/>
            <w:vAlign w:val="center"/>
          </w:tcPr>
          <w:p w14:paraId="1E734B9F">
            <w:pPr>
              <w:snapToGrid w:val="0"/>
              <w:rPr>
                <w:rFonts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投标报价包含的内容：</w:t>
            </w:r>
          </w:p>
          <w:p w14:paraId="73861C7D">
            <w:pPr>
              <w:snapToGrid w:val="0"/>
              <w:rPr>
                <w:rFonts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lang w:val="zh-CN"/>
              </w:rPr>
              <w:t>采购代理服务费，收费标准：</w:t>
            </w:r>
            <w:r>
              <w:rPr>
                <w:rFonts w:hint="eastAsia" w:ascii="仿宋" w:hAnsi="仿宋" w:eastAsia="仿宋" w:cs="仿宋"/>
                <w:snapToGrid w:val="0"/>
                <w:color w:val="auto"/>
                <w:sz w:val="24"/>
                <w:highlight w:val="none"/>
                <w:u w:val="single"/>
                <w:lang w:val="zh-CN"/>
              </w:rPr>
              <w:t xml:space="preserve">本次招标，招标代理费按照《招标代理服务收费管理暂行办法》(计价格[2002]1980号) </w:t>
            </w:r>
            <w:r>
              <w:rPr>
                <w:rFonts w:hint="eastAsia" w:ascii="仿宋" w:hAnsi="仿宋" w:eastAsia="仿宋" w:cs="仿宋"/>
                <w:snapToGrid w:val="0"/>
                <w:color w:val="auto"/>
                <w:sz w:val="24"/>
                <w:highlight w:val="none"/>
                <w:u w:val="single"/>
                <w:lang w:val="en-US" w:eastAsia="zh-CN"/>
              </w:rPr>
              <w:t>服务</w:t>
            </w:r>
            <w:r>
              <w:rPr>
                <w:rFonts w:hint="eastAsia" w:ascii="仿宋" w:hAnsi="仿宋" w:eastAsia="仿宋" w:cs="仿宋"/>
                <w:snapToGrid w:val="0"/>
                <w:color w:val="auto"/>
                <w:sz w:val="24"/>
                <w:highlight w:val="none"/>
                <w:u w:val="single"/>
                <w:lang w:val="zh-CN"/>
              </w:rPr>
              <w:t>类标准</w:t>
            </w:r>
            <w:r>
              <w:rPr>
                <w:rFonts w:hint="eastAsia" w:ascii="仿宋" w:hAnsi="仿宋" w:eastAsia="仿宋" w:cs="仿宋"/>
                <w:snapToGrid w:val="0"/>
                <w:color w:val="auto"/>
                <w:sz w:val="24"/>
                <w:highlight w:val="none"/>
                <w:u w:val="single"/>
                <w:lang w:val="en-US" w:eastAsia="zh-CN"/>
              </w:rPr>
              <w:t>55</w:t>
            </w:r>
            <w:r>
              <w:rPr>
                <w:rFonts w:hint="eastAsia" w:ascii="仿宋" w:hAnsi="仿宋" w:eastAsia="仿宋" w:cs="仿宋"/>
                <w:snapToGrid w:val="0"/>
                <w:color w:val="auto"/>
                <w:sz w:val="24"/>
                <w:highlight w:val="none"/>
                <w:u w:val="single"/>
                <w:lang w:val="zh-CN"/>
              </w:rPr>
              <w:t>%计算</w:t>
            </w:r>
            <w:r>
              <w:rPr>
                <w:rFonts w:hint="eastAsia" w:ascii="仿宋" w:hAnsi="仿宋" w:eastAsia="仿宋" w:cs="仿宋"/>
                <w:snapToGrid w:val="0"/>
                <w:color w:val="auto"/>
                <w:sz w:val="24"/>
                <w:highlight w:val="none"/>
                <w:lang w:val="zh-CN"/>
              </w:rPr>
              <w:t>，由中标人在领取中标（成交）通知书之前将代理服务费用支付给招标代理机构</w:t>
            </w:r>
            <w:r>
              <w:rPr>
                <w:rFonts w:hint="eastAsia" w:ascii="仿宋" w:hAnsi="仿宋" w:eastAsia="仿宋" w:cs="仿宋"/>
                <w:snapToGrid w:val="0"/>
                <w:color w:val="auto"/>
                <w:sz w:val="24"/>
                <w:highlight w:val="none"/>
                <w:u w:val="none"/>
                <w:lang w:val="zh-CN"/>
              </w:rPr>
              <w:t>；</w:t>
            </w:r>
          </w:p>
          <w:p w14:paraId="4C36E437">
            <w:pPr>
              <w:snapToGrid w:val="0"/>
              <w:rPr>
                <w:rFonts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rPr>
              <w:t>政府采购</w:t>
            </w:r>
            <w:r>
              <w:rPr>
                <w:rFonts w:hint="eastAsia" w:ascii="仿宋" w:hAnsi="仿宋" w:eastAsia="仿宋" w:cs="仿宋"/>
                <w:snapToGrid w:val="0"/>
                <w:color w:val="auto"/>
                <w:sz w:val="24"/>
                <w:highlight w:val="none"/>
                <w:lang w:val="zh-CN"/>
              </w:rPr>
              <w:t>履约验收费用（包含第三方检测及评审费用）；</w:t>
            </w:r>
          </w:p>
          <w:p w14:paraId="54D3B71B">
            <w:pPr>
              <w:snapToGrid w:val="0"/>
              <w:rPr>
                <w:rFonts w:ascii="仿宋" w:hAnsi="仿宋" w:eastAsia="仿宋" w:cs="仿宋"/>
                <w:snapToGrid w:val="0"/>
                <w:color w:val="auto"/>
                <w:sz w:val="24"/>
                <w:highlight w:val="none"/>
              </w:rPr>
            </w:pPr>
            <w:r>
              <w:rPr>
                <w:rFonts w:hint="eastAsia" w:ascii="仿宋" w:hAnsi="仿宋" w:eastAsia="仿宋" w:cs="仿宋"/>
                <w:i/>
                <w:iCs/>
                <w:snapToGrid w:val="0"/>
                <w:color w:val="auto"/>
                <w:sz w:val="24"/>
                <w:highlight w:val="none"/>
                <w:lang w:val="zh-CN"/>
              </w:rPr>
              <w:sym w:font="Wingdings" w:char="00A8"/>
            </w:r>
            <w:r>
              <w:rPr>
                <w:rFonts w:hint="eastAsia" w:ascii="仿宋" w:hAnsi="仿宋" w:eastAsia="仿宋" w:cs="仿宋"/>
                <w:i/>
                <w:iCs/>
                <w:snapToGrid w:val="0"/>
                <w:color w:val="auto"/>
                <w:sz w:val="24"/>
                <w:highlight w:val="none"/>
                <w:u w:val="single"/>
                <w:lang w:val="zh-CN"/>
              </w:rPr>
              <w:t xml:space="preserve"> </w:t>
            </w:r>
            <w:r>
              <w:rPr>
                <w:rFonts w:hint="eastAsia" w:ascii="仿宋" w:hAnsi="仿宋" w:eastAsia="仿宋" w:cs="仿宋"/>
                <w:i/>
                <w:iCs/>
                <w:snapToGrid w:val="0"/>
                <w:color w:val="auto"/>
                <w:sz w:val="24"/>
                <w:highlight w:val="none"/>
                <w:u w:val="single"/>
              </w:rPr>
              <w:t xml:space="preserve">其他：  </w:t>
            </w:r>
            <w:r>
              <w:rPr>
                <w:rFonts w:hint="eastAsia" w:ascii="仿宋" w:hAnsi="仿宋" w:eastAsia="仿宋" w:cs="仿宋"/>
                <w:i/>
                <w:iCs/>
                <w:snapToGrid w:val="0"/>
                <w:color w:val="auto"/>
                <w:sz w:val="24"/>
                <w:highlight w:val="none"/>
                <w:u w:val="single"/>
                <w:lang w:val="zh-CN"/>
              </w:rPr>
              <w:t xml:space="preserve">              </w:t>
            </w:r>
            <w:r>
              <w:rPr>
                <w:rFonts w:hint="eastAsia" w:ascii="仿宋" w:hAnsi="仿宋" w:eastAsia="仿宋" w:cs="仿宋"/>
                <w:i/>
                <w:iCs/>
                <w:snapToGrid w:val="0"/>
                <w:color w:val="auto"/>
                <w:sz w:val="24"/>
                <w:highlight w:val="none"/>
                <w:lang w:val="zh-CN"/>
              </w:rPr>
              <w:t>；</w:t>
            </w:r>
          </w:p>
        </w:tc>
      </w:tr>
      <w:tr w14:paraId="70D95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5" w:hRule="atLeast"/>
          <w:jc w:val="center"/>
        </w:trPr>
        <w:tc>
          <w:tcPr>
            <w:tcW w:w="779" w:type="dxa"/>
            <w:vAlign w:val="center"/>
          </w:tcPr>
          <w:p w14:paraId="4CDE4C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34</w:t>
            </w:r>
          </w:p>
        </w:tc>
        <w:tc>
          <w:tcPr>
            <w:tcW w:w="1826" w:type="dxa"/>
            <w:vAlign w:val="center"/>
          </w:tcPr>
          <w:p w14:paraId="7D6F55CB">
            <w:pPr>
              <w:jc w:val="center"/>
              <w:rPr>
                <w:rFonts w:ascii="仿宋" w:hAnsi="仿宋" w:eastAsia="仿宋" w:cs="仿宋"/>
                <w:bCs/>
                <w:color w:val="auto"/>
                <w:kern w:val="0"/>
                <w:sz w:val="24"/>
                <w:highlight w:val="none"/>
              </w:rPr>
            </w:pPr>
            <w:r>
              <w:rPr>
                <w:rFonts w:hint="eastAsia" w:ascii="仿宋" w:hAnsi="仿宋" w:eastAsia="仿宋" w:cs="仿宋"/>
                <w:color w:val="auto"/>
                <w:sz w:val="24"/>
                <w:highlight w:val="none"/>
              </w:rPr>
              <w:t>特别说明</w:t>
            </w:r>
          </w:p>
        </w:tc>
        <w:tc>
          <w:tcPr>
            <w:tcW w:w="6499" w:type="dxa"/>
            <w:vAlign w:val="center"/>
          </w:tcPr>
          <w:p w14:paraId="7814D046">
            <w:pPr>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14:paraId="605CAB67">
            <w:pPr>
              <w:rPr>
                <w:rFonts w:ascii="仿宋" w:hAnsi="仿宋" w:eastAsia="仿宋" w:cs="仿宋"/>
                <w:b/>
                <w:bCs/>
                <w:color w:val="auto"/>
                <w:sz w:val="24"/>
                <w:highlight w:val="none"/>
              </w:rPr>
            </w:pPr>
            <w:r>
              <w:rPr>
                <w:rFonts w:hint="eastAsia" w:ascii="仿宋" w:hAnsi="仿宋" w:eastAsia="仿宋" w:cs="仿宋"/>
                <w:snapToGrid w:val="0"/>
                <w:color w:val="auto"/>
                <w:kern w:val="0"/>
                <w:sz w:val="24"/>
                <w:highlight w:val="none"/>
              </w:rPr>
              <w:t>（2）该项目中标公示期间，投标人不得通过非正当途径、更不得通过非正当手段获取法律法规规定评标委员会（包括其他相关人员）应当保密的相关内容。</w:t>
            </w:r>
          </w:p>
        </w:tc>
      </w:tr>
      <w:tr w14:paraId="552309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79" w:type="dxa"/>
            <w:vAlign w:val="center"/>
          </w:tcPr>
          <w:p w14:paraId="330D38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1826" w:type="dxa"/>
            <w:vAlign w:val="center"/>
          </w:tcPr>
          <w:p w14:paraId="7A4347B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项目需要增加的其他约定</w:t>
            </w:r>
          </w:p>
        </w:tc>
        <w:tc>
          <w:tcPr>
            <w:tcW w:w="6499" w:type="dxa"/>
            <w:vAlign w:val="center"/>
          </w:tcPr>
          <w:p w14:paraId="2BD09876">
            <w:pPr>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无</w:t>
            </w:r>
          </w:p>
        </w:tc>
      </w:tr>
    </w:tbl>
    <w:p w14:paraId="0C3A74CE">
      <w:pPr>
        <w:pStyle w:val="3"/>
        <w:jc w:val="center"/>
        <w:rPr>
          <w:rStyle w:val="84"/>
          <w:rFonts w:ascii="仿宋" w:eastAsia="仿宋"/>
          <w:b/>
          <w:bCs/>
          <w:color w:val="auto"/>
          <w:kern w:val="2"/>
          <w:highlight w:val="none"/>
          <w:lang w:val="en-US"/>
        </w:rPr>
      </w:pPr>
      <w:r>
        <w:rPr>
          <w:rStyle w:val="84"/>
          <w:rFonts w:hint="eastAsia" w:ascii="仿宋" w:eastAsia="仿宋" w:cs="仿宋"/>
          <w:b w:val="0"/>
          <w:bCs w:val="0"/>
          <w:color w:val="auto"/>
          <w:highlight w:val="none"/>
        </w:rPr>
        <w:br w:type="page"/>
      </w:r>
      <w:bookmarkEnd w:id="6"/>
      <w:bookmarkStart w:id="13" w:name="_Toc133499541"/>
      <w:bookmarkStart w:id="14" w:name="_Toc164416483"/>
      <w:bookmarkStart w:id="15" w:name="第三部分"/>
      <w:r>
        <w:rPr>
          <w:rStyle w:val="84"/>
          <w:rFonts w:hint="eastAsia" w:ascii="仿宋" w:eastAsia="仿宋"/>
          <w:b/>
          <w:bCs/>
          <w:color w:val="auto"/>
          <w:kern w:val="2"/>
          <w:highlight w:val="none"/>
          <w:lang w:val="en-US"/>
        </w:rPr>
        <w:t>一、总则</w:t>
      </w:r>
      <w:bookmarkEnd w:id="13"/>
    </w:p>
    <w:p w14:paraId="0E104A96">
      <w:pPr>
        <w:tabs>
          <w:tab w:val="left" w:pos="540"/>
          <w:tab w:val="left" w:pos="900"/>
        </w:tabs>
        <w:snapToGrid w:val="0"/>
        <w:spacing w:line="360" w:lineRule="auto"/>
        <w:ind w:firstLine="480" w:firstLineChars="200"/>
        <w:rPr>
          <w:rFonts w:ascii="仿宋" w:hAnsi="仿宋" w:eastAsia="仿宋" w:cs="仿宋"/>
          <w:color w:val="auto"/>
          <w:sz w:val="24"/>
          <w:highlight w:val="none"/>
        </w:rPr>
      </w:pPr>
      <w:bookmarkStart w:id="16" w:name="_Toc29857"/>
      <w:bookmarkStart w:id="17" w:name="_Toc5882"/>
      <w:r>
        <w:rPr>
          <w:rFonts w:hint="eastAsia" w:ascii="仿宋" w:hAnsi="仿宋" w:eastAsia="仿宋" w:cs="仿宋"/>
          <w:color w:val="auto"/>
          <w:sz w:val="24"/>
          <w:highlight w:val="none"/>
        </w:rPr>
        <w:t>本项目采购是按照《中华人民共和国政府采购法》、《政府采购货物和服务招标投标管理办法》（财政部第87号令）、《浙江省政府采购项目电子交易管理暂行办法》（浙财采监〔2019〕10号）等法律及有关法规组织和实施的。</w:t>
      </w:r>
    </w:p>
    <w:p w14:paraId="4F50616E">
      <w:pPr>
        <w:spacing w:line="360" w:lineRule="auto"/>
        <w:ind w:firstLine="361" w:firstLineChars="150"/>
        <w:rPr>
          <w:rFonts w:ascii="仿宋" w:hAnsi="仿宋" w:eastAsia="仿宋" w:cs="仿宋"/>
          <w:b/>
          <w:color w:val="auto"/>
          <w:sz w:val="24"/>
          <w:highlight w:val="none"/>
        </w:rPr>
      </w:pPr>
      <w:bookmarkStart w:id="18" w:name="_Toc27055"/>
      <w:r>
        <w:rPr>
          <w:rFonts w:hint="eastAsia" w:ascii="仿宋" w:hAnsi="仿宋" w:eastAsia="仿宋" w:cs="仿宋"/>
          <w:b/>
          <w:color w:val="auto"/>
          <w:sz w:val="24"/>
          <w:highlight w:val="none"/>
        </w:rPr>
        <w:t>1. 适用范围</w:t>
      </w:r>
      <w:bookmarkEnd w:id="16"/>
      <w:bookmarkEnd w:id="17"/>
      <w:bookmarkEnd w:id="18"/>
    </w:p>
    <w:p w14:paraId="6E5A83D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AE6E9FD">
      <w:pPr>
        <w:spacing w:line="360" w:lineRule="auto"/>
        <w:ind w:firstLine="361" w:firstLineChars="150"/>
        <w:rPr>
          <w:rFonts w:ascii="仿宋" w:hAnsi="仿宋" w:eastAsia="仿宋" w:cs="仿宋"/>
          <w:b/>
          <w:color w:val="auto"/>
          <w:sz w:val="24"/>
          <w:highlight w:val="none"/>
        </w:rPr>
      </w:pPr>
      <w:bookmarkStart w:id="19" w:name="_Toc3235"/>
      <w:bookmarkStart w:id="20" w:name="_Toc31546"/>
      <w:bookmarkStart w:id="21" w:name="_Toc19066"/>
      <w:r>
        <w:rPr>
          <w:rFonts w:hint="eastAsia" w:ascii="仿宋" w:hAnsi="仿宋" w:eastAsia="仿宋" w:cs="仿宋"/>
          <w:b/>
          <w:color w:val="auto"/>
          <w:sz w:val="24"/>
          <w:highlight w:val="none"/>
        </w:rPr>
        <w:t>2.定义</w:t>
      </w:r>
      <w:bookmarkEnd w:id="19"/>
      <w:bookmarkEnd w:id="20"/>
      <w:bookmarkEnd w:id="21"/>
    </w:p>
    <w:p w14:paraId="22015F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16CBF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921A6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“投标人、供应商”均系指是指响应招标、参加投标竞争的法人、其他组织或者自然人。</w:t>
      </w:r>
    </w:p>
    <w:p w14:paraId="47DECD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9F164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33E8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9D9F9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w:t>
      </w:r>
      <w:r>
        <w:rPr>
          <w:rFonts w:hint="eastAsia" w:ascii="仿宋" w:hAnsi="仿宋" w:eastAsia="仿宋" w:cs="仿宋"/>
          <w:snapToGrid w:val="0"/>
          <w:color w:val="auto"/>
          <w:kern w:val="28"/>
          <w:sz w:val="24"/>
          <w:szCs w:val="20"/>
          <w:highlight w:val="none"/>
        </w:rPr>
        <w:t>且加下划线的条款</w:t>
      </w:r>
      <w:r>
        <w:rPr>
          <w:rFonts w:hint="eastAsia" w:ascii="仿宋" w:hAnsi="仿宋" w:eastAsia="仿宋" w:cs="仿宋"/>
          <w:color w:val="auto"/>
          <w:sz w:val="24"/>
          <w:highlight w:val="none"/>
        </w:rPr>
        <w:t>系指实质性要求条款，“★”系产品采购项目中重要参数要求，“</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系指不适用本项目的要求。</w:t>
      </w:r>
    </w:p>
    <w:p w14:paraId="0F2B9008">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3.合格投标人要求</w:t>
      </w:r>
    </w:p>
    <w:p w14:paraId="475BA404">
      <w:pPr>
        <w:tabs>
          <w:tab w:val="left" w:pos="540"/>
          <w:tab w:val="left" w:pos="900"/>
        </w:tabs>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14:paraId="268488A0">
      <w:pPr>
        <w:snapToGrid w:val="0"/>
        <w:spacing w:line="360" w:lineRule="auto"/>
        <w:ind w:firstLine="504" w:firstLineChars="200"/>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14:paraId="06730058">
      <w:pPr>
        <w:tabs>
          <w:tab w:val="left" w:pos="540"/>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578EAB76">
      <w:pPr>
        <w:snapToGrid w:val="0"/>
        <w:spacing w:line="360" w:lineRule="auto"/>
        <w:ind w:firstLine="504" w:firstLineChars="200"/>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3.4采用最低评标价法的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7C50AF3">
      <w:pPr>
        <w:snapToGrid w:val="0"/>
        <w:spacing w:line="360" w:lineRule="auto"/>
        <w:ind w:firstLine="504" w:firstLineChars="200"/>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8E6028F">
      <w:pPr>
        <w:snapToGrid w:val="0"/>
        <w:spacing w:line="360" w:lineRule="auto"/>
        <w:ind w:firstLine="504" w:firstLineChars="200"/>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14:paraId="31EF894D">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3.5货物类是否允许采购进口产品、是否要求节能/环境标志产品等情况见投标人须知前附表。</w:t>
      </w:r>
    </w:p>
    <w:p w14:paraId="3BBADF5B">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4、采购项目需要落实的政府采购政策</w:t>
      </w:r>
    </w:p>
    <w:p w14:paraId="4F5937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E2AA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 支持绿色发展</w:t>
      </w:r>
    </w:p>
    <w:p w14:paraId="517008D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5B8A6C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AA7D7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4.3支持中小企业发展</w:t>
      </w:r>
    </w:p>
    <w:p w14:paraId="0CE40B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6A0979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886F984">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4.3.2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0F85B73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4.3.2.1在货物采购项目中，货物由中小企业制造，即货物由中小企业生产且使用该中小企业商号或者注册商标；</w:t>
      </w:r>
    </w:p>
    <w:p w14:paraId="47B14C7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4.3.2.2在工程采购项目中，工程由中小企业承建，即工程施工单位为中小企业；</w:t>
      </w:r>
    </w:p>
    <w:p w14:paraId="4FC07F40">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4.3.2.3在服务采购项目中，服务由中小企业承接，即提供服务的人员为中小企业依照《中华人民共和国劳动合同法》订立劳动合同的从业人员。</w:t>
      </w:r>
    </w:p>
    <w:p w14:paraId="5D2C7C3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1F5A5600">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982728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u w:val="single"/>
        </w:rPr>
        <w:t>1</w:t>
      </w:r>
      <w:r>
        <w:rPr>
          <w:rFonts w:ascii="仿宋" w:hAnsi="仿宋" w:eastAsia="仿宋" w:cs="仿宋"/>
          <w:color w:val="auto"/>
          <w:sz w:val="24"/>
          <w:highlight w:val="none"/>
          <w:u w:val="single"/>
        </w:rPr>
        <w:t>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4A22F4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4.3.4符合《关于促进残疾人就业政府采购政策的通知》（财库〔2017〕141号）规定的条件并提供《残疾人福利性单位声明函》（附件1）的残疾人福利性单位视同小型、微型企业；</w:t>
      </w:r>
    </w:p>
    <w:p w14:paraId="0A113C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1EAA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C451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4.3.7中小企业享受扶持政策获得政府采购合同的，小微企业不得将合同分包给大中型企业，中型企业不得将合同分包给大型企业。</w:t>
      </w:r>
    </w:p>
    <w:p w14:paraId="693DF0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115CDF28">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2D3E84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 询问、质疑、投诉</w:t>
      </w:r>
    </w:p>
    <w:p w14:paraId="0DB40387">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.1供应商询问</w:t>
      </w:r>
    </w:p>
    <w:p w14:paraId="27F9BE8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E7B6D2">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.2供应商质疑</w:t>
      </w:r>
    </w:p>
    <w:p w14:paraId="525EF3CD">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407EC8E">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9B1C64">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5.2.2.1质疑提交形式：以</w:t>
      </w:r>
      <w:r>
        <w:rPr>
          <w:rFonts w:hint="eastAsia" w:ascii="仿宋" w:hAnsi="仿宋" w:eastAsia="仿宋" w:cs="仿宋"/>
          <w:color w:val="auto"/>
          <w:sz w:val="24"/>
          <w:highlight w:val="none"/>
        </w:rPr>
        <w:t>书面形式</w:t>
      </w:r>
      <w:r>
        <w:rPr>
          <w:rFonts w:hint="eastAsia" w:ascii="仿宋" w:hAnsi="仿宋" w:eastAsia="仿宋" w:cs="仿宋"/>
          <w:snapToGrid/>
          <w:color w:val="auto"/>
          <w:kern w:val="2"/>
          <w:sz w:val="24"/>
          <w:highlight w:val="none"/>
        </w:rPr>
        <w:t>向招标公告中载明的质疑联系人提交</w:t>
      </w:r>
      <w:r>
        <w:rPr>
          <w:rFonts w:hint="eastAsia" w:ascii="仿宋" w:hAnsi="仿宋" w:eastAsia="仿宋" w:cs="仿宋"/>
          <w:color w:val="auto"/>
          <w:sz w:val="24"/>
          <w:highlight w:val="none"/>
        </w:rPr>
        <w:t>或登录政采云平台（https://www.zcygov.cn/）通过“询问质疑投诉”栏向采购机构内设的质疑联系人提交并上传书面质疑材料。</w:t>
      </w:r>
    </w:p>
    <w:p w14:paraId="65BEBEA1">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color w:val="auto"/>
          <w:sz w:val="24"/>
          <w:highlight w:val="none"/>
        </w:rPr>
        <w:t>5.2.2.2</w:t>
      </w:r>
      <w:r>
        <w:rPr>
          <w:rFonts w:hint="eastAsia" w:ascii="仿宋" w:hAnsi="仿宋" w:eastAsia="仿宋" w:cs="仿宋"/>
          <w:snapToGrid/>
          <w:color w:val="auto"/>
          <w:kern w:val="2"/>
          <w:sz w:val="24"/>
          <w:highlight w:val="none"/>
        </w:rPr>
        <w:t>对招标文件提出质疑的，质疑期限为供应商获得招标文件之日或者招标文件公告期限届满之日起计算。</w:t>
      </w:r>
    </w:p>
    <w:p w14:paraId="3B755F64">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5.2.2.3对采购过程提出质疑的，质疑期限为各采购程序环节结束之日起计算。对同一采购程序环节的质疑，供应商须一次性提出。</w:t>
      </w:r>
    </w:p>
    <w:p w14:paraId="782828E7">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5.2.2.4对采购结果提出质疑的，质疑期限自采购结果公告期限届满之日起计算。</w:t>
      </w:r>
    </w:p>
    <w:p w14:paraId="073614B4">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14:paraId="75F6CA2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.2.3.1供应商的姓名或者名称、地址、邮编、联系人及联系电话；</w:t>
      </w:r>
    </w:p>
    <w:p w14:paraId="3DE4AC12">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.2.3.2质疑项目的名称、编号；</w:t>
      </w:r>
    </w:p>
    <w:p w14:paraId="3870E9D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.2.3.3具体、明确的质疑事项和与质疑事项相关的请求；</w:t>
      </w:r>
    </w:p>
    <w:p w14:paraId="49763328">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.2.3.4事实依据；</w:t>
      </w:r>
    </w:p>
    <w:p w14:paraId="482B1E65">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.2.3.5必要的法律依据；</w:t>
      </w:r>
    </w:p>
    <w:p w14:paraId="3964986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.2.3.6提出质疑的日期。</w:t>
      </w:r>
    </w:p>
    <w:p w14:paraId="1F26EB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p w14:paraId="793AA4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14:paraId="46D091D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w:t>
      </w:r>
    </w:p>
    <w:p w14:paraId="0067ADD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公平竞争打造最优营商环境的通知》（浙财采监〔2021〕22号）,采购人或者采购代理机构在质疑回复后5个工作日内，在浙江政府采购网的“其他公告”栏目公开质疑答复，答复内容应当完整。质疑函作为附件上传。</w:t>
      </w:r>
    </w:p>
    <w:p w14:paraId="0C38277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.2.5询问或者质疑事项可能影响采购结果的，采购人应当暂停签订合同，已经签订合同的，应当中止履行合同。</w:t>
      </w:r>
    </w:p>
    <w:p w14:paraId="75937F6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.3供应商投诉</w:t>
      </w:r>
    </w:p>
    <w:p w14:paraId="333A53B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3843186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5.3.2供应商投诉的事项不得超出已质疑事项的范围，基于质疑答复内容提出的投诉事项除外。</w:t>
      </w:r>
    </w:p>
    <w:p w14:paraId="17027A3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5.3.3供应商投诉应当有明确的请求和必要的证明材料。</w:t>
      </w:r>
    </w:p>
    <w:p w14:paraId="07F3E68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5.3.5 以联合体形式参加政府采购活动的，其投诉应当由组成联合体的所有供应商共同提出。</w:t>
      </w:r>
    </w:p>
    <w:p w14:paraId="051CF37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2EE21162">
      <w:pPr>
        <w:pStyle w:val="3"/>
        <w:jc w:val="center"/>
        <w:rPr>
          <w:rStyle w:val="84"/>
          <w:rFonts w:ascii="仿宋" w:eastAsia="仿宋"/>
          <w:b/>
          <w:bCs/>
          <w:color w:val="auto"/>
          <w:kern w:val="2"/>
          <w:highlight w:val="none"/>
        </w:rPr>
      </w:pPr>
      <w:bookmarkStart w:id="22" w:name="_Toc133499542"/>
      <w:r>
        <w:rPr>
          <w:rStyle w:val="84"/>
          <w:rFonts w:hint="eastAsia" w:ascii="仿宋" w:eastAsia="仿宋"/>
          <w:b/>
          <w:bCs/>
          <w:color w:val="auto"/>
          <w:kern w:val="2"/>
          <w:highlight w:val="none"/>
          <w:lang w:val="en-US"/>
        </w:rPr>
        <w:t>二、招标文件的构成、澄清、修改</w:t>
      </w:r>
      <w:bookmarkEnd w:id="22"/>
    </w:p>
    <w:p w14:paraId="5DDCE730">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6．招标文件的构成</w:t>
      </w:r>
    </w:p>
    <w:p w14:paraId="0A9C1BF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 招标文件包括下列文件及附件：</w:t>
      </w:r>
    </w:p>
    <w:p w14:paraId="619FC870">
      <w:pPr>
        <w:pStyle w:val="33"/>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6.1.1招标公告；</w:t>
      </w:r>
    </w:p>
    <w:p w14:paraId="2C65A642">
      <w:pPr>
        <w:pStyle w:val="33"/>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6.1.2投标人须知；</w:t>
      </w:r>
    </w:p>
    <w:p w14:paraId="782697C3">
      <w:pPr>
        <w:pStyle w:val="33"/>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6.1.3采购需求；</w:t>
      </w:r>
    </w:p>
    <w:p w14:paraId="6F6C793F">
      <w:pPr>
        <w:pStyle w:val="33"/>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6.1.4评标办法；</w:t>
      </w:r>
    </w:p>
    <w:p w14:paraId="7C6C2FD6">
      <w:pPr>
        <w:pStyle w:val="33"/>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6.1.5拟签订的合同文本；</w:t>
      </w:r>
    </w:p>
    <w:p w14:paraId="471ADD80">
      <w:pPr>
        <w:pStyle w:val="33"/>
        <w:tabs>
          <w:tab w:val="left" w:pos="84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6.1.6</w:t>
      </w:r>
      <w:r>
        <w:rPr>
          <w:rFonts w:hint="eastAsia" w:ascii="仿宋" w:hAnsi="仿宋" w:eastAsia="仿宋" w:cs="仿宋"/>
          <w:color w:val="auto"/>
          <w:sz w:val="24"/>
          <w:szCs w:val="24"/>
          <w:highlight w:val="none"/>
        </w:rPr>
        <w:t>应提交的有关格式范例。</w:t>
      </w:r>
    </w:p>
    <w:p w14:paraId="40A7D1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03969F1">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招标文件的澄清、修改</w:t>
      </w:r>
    </w:p>
    <w:p w14:paraId="43F785F4">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7.1已获取招标文件的潜在投标人，若有问题需要澄清，应于投标截止时间前，以书面形式向采购代理机构提出。</w:t>
      </w:r>
    </w:p>
    <w:p w14:paraId="72EA81A4">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7.2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57BE8A">
      <w:pPr>
        <w:pStyle w:val="24"/>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FD83A10">
      <w:pPr>
        <w:pStyle w:val="3"/>
        <w:jc w:val="center"/>
        <w:rPr>
          <w:rStyle w:val="84"/>
          <w:rFonts w:ascii="仿宋" w:eastAsia="仿宋"/>
          <w:b/>
          <w:bCs/>
          <w:color w:val="auto"/>
          <w:kern w:val="2"/>
          <w:highlight w:val="none"/>
        </w:rPr>
      </w:pPr>
      <w:bookmarkStart w:id="23" w:name="_Toc133499543"/>
      <w:r>
        <w:rPr>
          <w:rStyle w:val="84"/>
          <w:rFonts w:hint="eastAsia" w:ascii="仿宋" w:eastAsia="仿宋"/>
          <w:b/>
          <w:bCs/>
          <w:color w:val="auto"/>
          <w:kern w:val="2"/>
          <w:highlight w:val="none"/>
        </w:rPr>
        <w:t>三、投标</w:t>
      </w:r>
      <w:bookmarkEnd w:id="23"/>
    </w:p>
    <w:p w14:paraId="737FABC8">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招标文件的获取</w:t>
      </w:r>
    </w:p>
    <w:p w14:paraId="79331314">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4D7AB5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9.开标前答疑会或现场考察</w:t>
      </w:r>
    </w:p>
    <w:p w14:paraId="69F8F455">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48329AB">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10.投标保证金</w:t>
      </w:r>
    </w:p>
    <w:p w14:paraId="53B9EB96">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2920AFB">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投标文件的语言</w:t>
      </w:r>
    </w:p>
    <w:p w14:paraId="720A904A">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C759B9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投标文件的组成</w:t>
      </w:r>
    </w:p>
    <w:p w14:paraId="6B739E7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C869046">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highlight w:val="none"/>
        </w:rPr>
        <w:t>12.1.1提供符合参加政府采购活动应当具备的一般条件的承诺函及有效的企业营业执照（或事业法人登记证书或其它工商等登记证明材料，自然人提供身份证)复制件（如为联合体，则联合体各方均应提供）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color w:val="auto"/>
          <w:szCs w:val="21"/>
          <w:highlight w:val="none"/>
        </w:rPr>
        <w:t>（五选一）：</w:t>
      </w:r>
    </w:p>
    <w:p w14:paraId="2642F6EF">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①如投标人是企业（包括合伙企业），提供在工商部门注册的有效“企业法人营业执照”或“营业执照”；</w:t>
      </w:r>
    </w:p>
    <w:p w14:paraId="6B2CEF60">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②如投标人是事业单位，提供有效的“事业单位法人证书”；</w:t>
      </w:r>
    </w:p>
    <w:p w14:paraId="1B24F9F1">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③如投标人是非企业专业服务机构的，提供执业许可证等证明文件；</w:t>
      </w:r>
    </w:p>
    <w:p w14:paraId="457A0348">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④如投标人是个体工商户，提供有效的“个体工商户营业执照”；</w:t>
      </w:r>
    </w:p>
    <w:p w14:paraId="290A58E2">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⑤如投标人是自然人，提供有效的自然人身份证明（居民身份证正反面或公安机关出具的临时居民身份证正反面或港澳台胞证或护照）。</w:t>
      </w:r>
    </w:p>
    <w:p w14:paraId="75047C3A">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3D2F49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rPr>
        <w:t>；</w:t>
      </w:r>
    </w:p>
    <w:p w14:paraId="67F2E2B8">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12.1.3本项目的特定资格</w:t>
      </w:r>
      <w:r>
        <w:rPr>
          <w:rFonts w:hint="eastAsia" w:ascii="仿宋" w:hAnsi="仿宋" w:eastAsia="仿宋" w:cs="仿宋"/>
          <w:color w:val="auto"/>
          <w:sz w:val="24"/>
          <w:highlight w:val="none"/>
          <w:lang w:val="zh-CN"/>
        </w:rPr>
        <w:t>证明材料。</w:t>
      </w:r>
    </w:p>
    <w:p w14:paraId="6FA33F7C">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2C59BD9D">
      <w:pPr>
        <w:tabs>
          <w:tab w:val="left" w:pos="942"/>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12.2.1投标函；</w:t>
      </w:r>
      <w:r>
        <w:rPr>
          <w:rFonts w:hint="eastAsia" w:ascii="仿宋" w:hAnsi="仿宋" w:eastAsia="仿宋" w:cs="仿宋"/>
          <w:color w:val="auto"/>
          <w:sz w:val="24"/>
          <w:highlight w:val="none"/>
          <w:lang w:val="zh-CN"/>
        </w:rPr>
        <w:t xml:space="preserve"> </w:t>
      </w:r>
    </w:p>
    <w:p w14:paraId="56780D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12.2.2授权委托书或法定代表人（单位负责人、自然人本人）身份证明；</w:t>
      </w:r>
    </w:p>
    <w:p w14:paraId="605030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12.2.3联合协议（如有）；</w:t>
      </w:r>
    </w:p>
    <w:p w14:paraId="49DE9A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12.2.4分包意向协议（如有）；</w:t>
      </w:r>
    </w:p>
    <w:p w14:paraId="006DE8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12.2.5评标标准相应的商务技术资料；</w:t>
      </w:r>
    </w:p>
    <w:p w14:paraId="6722C79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12.2.6商务技术偏离表；</w:t>
      </w:r>
    </w:p>
    <w:p w14:paraId="1ADDDFC9">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投标人认为需要提供的其他材料。</w:t>
      </w:r>
    </w:p>
    <w:p w14:paraId="1635DA67">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12.3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A6449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12.3.1开标一览表；</w:t>
      </w:r>
    </w:p>
    <w:p w14:paraId="00F15FB5">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12.3.2投标分项报价表；</w:t>
      </w:r>
    </w:p>
    <w:p w14:paraId="2879E3B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12.3.4中小企业声明函（残疾人福利性单位声明函、监狱企业提供的相关证明材料）</w:t>
      </w:r>
    </w:p>
    <w:p w14:paraId="72E646F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60117D3">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 xml:space="preserve">投标人提供虚假材料投标的，投标无效。 </w:t>
      </w:r>
    </w:p>
    <w:p w14:paraId="7487CB26">
      <w:pPr>
        <w:pStyle w:val="33"/>
        <w:spacing w:line="360" w:lineRule="auto"/>
        <w:rPr>
          <w:rFonts w:ascii="仿宋" w:hAnsi="仿宋" w:eastAsia="仿宋" w:cs="仿宋"/>
          <w:b/>
          <w:color w:val="auto"/>
          <w:sz w:val="24"/>
          <w:szCs w:val="24"/>
          <w:highlight w:val="none"/>
        </w:rPr>
      </w:pPr>
      <w:bookmarkStart w:id="24" w:name="_Toc23416"/>
      <w:bookmarkStart w:id="25" w:name="_Toc6297"/>
      <w:bookmarkStart w:id="26" w:name="_Toc19035"/>
      <w:r>
        <w:rPr>
          <w:rFonts w:hint="eastAsia" w:ascii="仿宋" w:hAnsi="仿宋" w:eastAsia="仿宋" w:cs="仿宋"/>
          <w:b/>
          <w:color w:val="auto"/>
          <w:sz w:val="24"/>
          <w:szCs w:val="24"/>
          <w:highlight w:val="none"/>
        </w:rPr>
        <w:t>13. 投标文件的编制</w:t>
      </w:r>
      <w:bookmarkEnd w:id="24"/>
      <w:bookmarkEnd w:id="25"/>
      <w:bookmarkEnd w:id="26"/>
    </w:p>
    <w:p w14:paraId="7293F42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7AD1D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33833393">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4DE86BA8">
      <w:pPr>
        <w:pStyle w:val="360"/>
        <w:snapToGrid w:val="0"/>
        <w:spacing w:before="0"/>
        <w:ind w:firstLine="482"/>
        <w:rPr>
          <w:rFonts w:ascii="仿宋" w:hAnsi="仿宋" w:eastAsia="仿宋" w:cs="仿宋"/>
          <w:b/>
          <w:bCs/>
          <w:color w:val="auto"/>
          <w:highlight w:val="none"/>
          <w:u w:val="single"/>
        </w:rPr>
      </w:pPr>
      <w:bookmarkStart w:id="27" w:name="_Toc1765"/>
      <w:r>
        <w:rPr>
          <w:rFonts w:hint="eastAsia" w:ascii="仿宋" w:hAnsi="仿宋" w:eastAsia="仿宋" w:cs="仿宋"/>
          <w:b/>
          <w:color w:val="auto"/>
          <w:szCs w:val="24"/>
          <w:highlight w:val="none"/>
        </w:rPr>
        <w:t>14投标报价</w:t>
      </w:r>
      <w:bookmarkEnd w:id="27"/>
    </w:p>
    <w:p w14:paraId="34324F70">
      <w:pPr>
        <w:pStyle w:val="360"/>
        <w:snapToGrid w:val="0"/>
        <w:spacing w:before="0"/>
        <w:ind w:firstLine="482"/>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14.</w:t>
      </w:r>
      <w:r>
        <w:rPr>
          <w:rFonts w:hint="eastAsia" w:ascii="仿宋" w:hAnsi="仿宋" w:eastAsia="仿宋" w:cs="仿宋"/>
          <w:b/>
          <w:bCs/>
          <w:color w:val="auto"/>
          <w:highlight w:val="none"/>
          <w:u w:val="single"/>
          <w:lang w:val="zh-CN"/>
        </w:rPr>
        <w:t>1 ▲</w:t>
      </w:r>
      <w:r>
        <w:rPr>
          <w:rFonts w:hint="eastAsia" w:ascii="仿宋" w:hAnsi="仿宋" w:eastAsia="仿宋" w:cs="仿宋"/>
          <w:b/>
          <w:bCs/>
          <w:color w:val="auto"/>
          <w:highlight w:val="none"/>
          <w:u w:val="single"/>
        </w:rPr>
        <w:t xml:space="preserve">投标报价形式: </w:t>
      </w:r>
      <w:r>
        <w:rPr>
          <w:rFonts w:hint="eastAsia" w:ascii="仿宋" w:hAnsi="仿宋" w:eastAsia="仿宋" w:cs="仿宋"/>
          <w:color w:val="auto"/>
          <w:highlight w:val="none"/>
          <w:u w:val="single"/>
        </w:rPr>
        <w:sym w:font="Wingdings" w:char="00FE"/>
      </w:r>
      <w:r>
        <w:rPr>
          <w:rFonts w:hint="eastAsia" w:ascii="仿宋" w:hAnsi="仿宋" w:eastAsia="仿宋" w:cs="仿宋"/>
          <w:b/>
          <w:bCs/>
          <w:color w:val="auto"/>
          <w:highlight w:val="none"/>
          <w:u w:val="single"/>
        </w:rPr>
        <w:t>人民币总价报价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人民币单价报价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折扣率报价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 xml:space="preserve"> 其他形式报价：       </w:t>
      </w:r>
    </w:p>
    <w:p w14:paraId="0A733CBD">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14.2 </w:t>
      </w: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人民币总价报价：</w:t>
      </w:r>
      <w:r>
        <w:rPr>
          <w:rFonts w:hint="eastAsia" w:ascii="仿宋" w:hAnsi="仿宋" w:eastAsia="仿宋" w:cs="仿宋"/>
          <w:color w:val="auto"/>
          <w:highlight w:val="none"/>
          <w:lang w:val="zh-CN"/>
        </w:rPr>
        <w:t>有关本项目实施所需的所有费用（含税费）均计入报价。</w:t>
      </w:r>
      <w:r>
        <w:rPr>
          <w:rFonts w:hint="eastAsia" w:ascii="仿宋" w:hAnsi="仿宋" w:eastAsia="仿宋" w:cs="仿宋"/>
          <w:color w:val="auto"/>
          <w:highlight w:val="none"/>
        </w:rPr>
        <w:t>开标一览表是报价的唯一载体</w:t>
      </w:r>
      <w:r>
        <w:rPr>
          <w:rFonts w:hint="eastAsia" w:ascii="仿宋" w:hAnsi="仿宋" w:eastAsia="仿宋" w:cs="仿宋"/>
          <w:color w:val="auto"/>
          <w:highlight w:val="none"/>
          <w:lang w:val="zh-CN"/>
        </w:rPr>
        <w:t>。投标文件中价格全部采用人民币报价。招标文件未列明，而投标人认为必需的费用也需列入报价。</w:t>
      </w:r>
    </w:p>
    <w:p w14:paraId="0578F950">
      <w:pPr>
        <w:pStyle w:val="360"/>
        <w:snapToGrid w:val="0"/>
        <w:spacing w:before="0"/>
        <w:ind w:firstLine="480"/>
        <w:rPr>
          <w:rFonts w:ascii="仿宋" w:hAnsi="仿宋" w:eastAsia="仿宋" w:cs="仿宋"/>
          <w:color w:val="auto"/>
          <w:highlight w:val="none"/>
          <w:lang w:val="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人民币单价报价：</w:t>
      </w:r>
      <w:r>
        <w:rPr>
          <w:rFonts w:hint="eastAsia" w:ascii="仿宋" w:hAnsi="仿宋" w:eastAsia="仿宋" w:cs="仿宋"/>
          <w:color w:val="auto"/>
          <w:kern w:val="0"/>
          <w:highlight w:val="none"/>
          <w:lang w:val="zh-CN"/>
        </w:rPr>
        <w:t>本项目合同</w:t>
      </w:r>
      <w:r>
        <w:rPr>
          <w:rFonts w:hint="eastAsia" w:ascii="仿宋" w:hAnsi="仿宋" w:eastAsia="仿宋" w:cs="仿宋"/>
          <w:color w:val="auto"/>
          <w:kern w:val="0"/>
          <w:highlight w:val="none"/>
        </w:rPr>
        <w:t>价</w:t>
      </w:r>
      <w:r>
        <w:rPr>
          <w:rFonts w:hint="eastAsia" w:ascii="仿宋" w:hAnsi="仿宋" w:eastAsia="仿宋" w:cs="仿宋"/>
          <w:color w:val="auto"/>
          <w:kern w:val="0"/>
          <w:highlight w:val="none"/>
          <w:lang w:val="zh-CN"/>
        </w:rPr>
        <w:t>格以</w:t>
      </w:r>
      <w:r>
        <w:rPr>
          <w:rFonts w:hint="eastAsia" w:ascii="仿宋" w:hAnsi="仿宋" w:eastAsia="仿宋" w:cs="仿宋"/>
          <w:color w:val="auto"/>
          <w:kern w:val="0"/>
          <w:highlight w:val="none"/>
        </w:rPr>
        <w:t>合同履行过程</w:t>
      </w:r>
      <w:r>
        <w:rPr>
          <w:rFonts w:hint="eastAsia" w:ascii="仿宋" w:hAnsi="仿宋" w:eastAsia="仿宋" w:cs="仿宋"/>
          <w:color w:val="auto"/>
          <w:kern w:val="0"/>
          <w:highlight w:val="none"/>
          <w:lang w:val="zh-CN"/>
        </w:rPr>
        <w:t>中实际</w:t>
      </w:r>
      <w:r>
        <w:rPr>
          <w:rFonts w:hint="eastAsia" w:ascii="仿宋" w:hAnsi="仿宋" w:eastAsia="仿宋" w:cs="仿宋"/>
          <w:color w:val="auto"/>
          <w:kern w:val="0"/>
          <w:highlight w:val="none"/>
        </w:rPr>
        <w:t>供货</w:t>
      </w:r>
      <w:r>
        <w:rPr>
          <w:rFonts w:hint="eastAsia" w:ascii="仿宋" w:hAnsi="仿宋" w:eastAsia="仿宋" w:cs="仿宋"/>
          <w:color w:val="auto"/>
          <w:kern w:val="0"/>
          <w:highlight w:val="none"/>
          <w:lang w:val="zh-CN"/>
        </w:rPr>
        <w:t>数量</w:t>
      </w:r>
      <w:r>
        <w:rPr>
          <w:rFonts w:hint="eastAsia" w:ascii="仿宋" w:hAnsi="仿宋" w:eastAsia="仿宋" w:cs="仿宋"/>
          <w:i/>
          <w:iCs/>
          <w:color w:val="auto"/>
          <w:kern w:val="0"/>
          <w:highlight w:val="none"/>
          <w:lang w:val="zh-CN"/>
        </w:rPr>
        <w:t>（</w:t>
      </w:r>
      <w:r>
        <w:rPr>
          <w:rFonts w:hint="eastAsia" w:ascii="仿宋" w:hAnsi="仿宋" w:eastAsia="仿宋" w:cs="仿宋"/>
          <w:i/>
          <w:iCs/>
          <w:color w:val="auto"/>
          <w:kern w:val="0"/>
          <w:highlight w:val="none"/>
        </w:rPr>
        <w:t>或服务内容</w:t>
      </w:r>
      <w:r>
        <w:rPr>
          <w:rFonts w:hint="eastAsia" w:ascii="仿宋" w:hAnsi="仿宋" w:eastAsia="仿宋" w:cs="仿宋"/>
          <w:i/>
          <w:iCs/>
          <w:color w:val="auto"/>
          <w:kern w:val="0"/>
          <w:highlight w:val="none"/>
          <w:lang w:val="zh-CN"/>
        </w:rPr>
        <w:t>）</w:t>
      </w:r>
      <w:r>
        <w:rPr>
          <w:rFonts w:hint="eastAsia" w:ascii="仿宋" w:hAnsi="仿宋" w:eastAsia="仿宋" w:cs="仿宋"/>
          <w:color w:val="auto"/>
          <w:kern w:val="0"/>
          <w:highlight w:val="none"/>
        </w:rPr>
        <w:t>为结算依据</w:t>
      </w:r>
      <w:r>
        <w:rPr>
          <w:rFonts w:hint="eastAsia" w:ascii="仿宋" w:hAnsi="仿宋" w:eastAsia="仿宋" w:cs="仿宋"/>
          <w:i/>
          <w:iCs/>
          <w:color w:val="auto"/>
          <w:kern w:val="0"/>
          <w:highlight w:val="none"/>
        </w:rPr>
        <w:t>，</w:t>
      </w:r>
      <w:r>
        <w:rPr>
          <w:rFonts w:hint="eastAsia" w:ascii="仿宋" w:hAnsi="仿宋" w:eastAsia="仿宋" w:cs="仿宋"/>
          <w:color w:val="auto"/>
          <w:kern w:val="0"/>
          <w:highlight w:val="none"/>
        </w:rPr>
        <w:t>合同结算价=报价单价*</w:t>
      </w:r>
      <w:r>
        <w:rPr>
          <w:rFonts w:hint="eastAsia" w:ascii="仿宋" w:hAnsi="仿宋" w:eastAsia="仿宋" w:cs="仿宋"/>
          <w:color w:val="auto"/>
          <w:kern w:val="0"/>
          <w:highlight w:val="none"/>
          <w:lang w:val="zh-CN"/>
        </w:rPr>
        <w:t>实际</w:t>
      </w:r>
      <w:r>
        <w:rPr>
          <w:rFonts w:hint="eastAsia" w:ascii="仿宋" w:hAnsi="仿宋" w:eastAsia="仿宋" w:cs="仿宋"/>
          <w:color w:val="auto"/>
          <w:kern w:val="0"/>
          <w:highlight w:val="none"/>
        </w:rPr>
        <w:t>供货</w:t>
      </w:r>
      <w:r>
        <w:rPr>
          <w:rFonts w:hint="eastAsia" w:ascii="仿宋" w:hAnsi="仿宋" w:eastAsia="仿宋" w:cs="仿宋"/>
          <w:color w:val="auto"/>
          <w:kern w:val="0"/>
          <w:highlight w:val="none"/>
          <w:lang w:val="zh-CN"/>
        </w:rPr>
        <w:t>数量</w:t>
      </w:r>
      <w:r>
        <w:rPr>
          <w:rFonts w:hint="eastAsia" w:ascii="仿宋" w:hAnsi="仿宋" w:eastAsia="仿宋" w:cs="仿宋"/>
          <w:i/>
          <w:iCs/>
          <w:color w:val="auto"/>
          <w:kern w:val="0"/>
          <w:highlight w:val="none"/>
          <w:lang w:val="zh-CN"/>
        </w:rPr>
        <w:t>（</w:t>
      </w:r>
      <w:r>
        <w:rPr>
          <w:rFonts w:hint="eastAsia" w:ascii="仿宋" w:hAnsi="仿宋" w:eastAsia="仿宋" w:cs="仿宋"/>
          <w:i/>
          <w:iCs/>
          <w:color w:val="auto"/>
          <w:kern w:val="0"/>
          <w:highlight w:val="none"/>
        </w:rPr>
        <w:t>或服务内容</w:t>
      </w:r>
      <w:r>
        <w:rPr>
          <w:rFonts w:hint="eastAsia" w:ascii="仿宋" w:hAnsi="仿宋" w:eastAsia="仿宋" w:cs="仿宋"/>
          <w:i/>
          <w:iCs/>
          <w:color w:val="auto"/>
          <w:kern w:val="0"/>
          <w:highlight w:val="none"/>
          <w:lang w:val="zh-CN"/>
        </w:rPr>
        <w:t>）</w:t>
      </w:r>
      <w:r>
        <w:rPr>
          <w:rFonts w:hint="eastAsia" w:ascii="仿宋" w:hAnsi="仿宋" w:eastAsia="仿宋" w:cs="仿宋"/>
          <w:color w:val="auto"/>
          <w:kern w:val="0"/>
          <w:highlight w:val="none"/>
        </w:rPr>
        <w:t>。</w:t>
      </w:r>
      <w:r>
        <w:rPr>
          <w:rFonts w:hint="eastAsia" w:ascii="仿宋" w:hAnsi="仿宋" w:eastAsia="仿宋" w:cs="仿宋"/>
          <w:color w:val="auto"/>
          <w:highlight w:val="none"/>
          <w:lang w:val="zh-CN"/>
        </w:rPr>
        <w:t>有关本项目实施所需的所有费用（含税费）均计入</w:t>
      </w:r>
      <w:r>
        <w:rPr>
          <w:rFonts w:hint="eastAsia" w:ascii="仿宋" w:hAnsi="仿宋" w:eastAsia="仿宋" w:cs="仿宋"/>
          <w:color w:val="auto"/>
          <w:highlight w:val="none"/>
        </w:rPr>
        <w:t>单价</w:t>
      </w:r>
      <w:r>
        <w:rPr>
          <w:rFonts w:hint="eastAsia" w:ascii="仿宋" w:hAnsi="仿宋" w:eastAsia="仿宋" w:cs="仿宋"/>
          <w:color w:val="auto"/>
          <w:highlight w:val="none"/>
          <w:lang w:val="zh-CN"/>
        </w:rPr>
        <w:t>报价。</w:t>
      </w:r>
      <w:r>
        <w:rPr>
          <w:rFonts w:hint="eastAsia" w:ascii="仿宋" w:hAnsi="仿宋" w:eastAsia="仿宋" w:cs="仿宋"/>
          <w:color w:val="auto"/>
          <w:highlight w:val="none"/>
        </w:rPr>
        <w:t>开标一览表是报价的唯一载体</w:t>
      </w:r>
      <w:r>
        <w:rPr>
          <w:rFonts w:hint="eastAsia" w:ascii="仿宋" w:hAnsi="仿宋" w:eastAsia="仿宋" w:cs="仿宋"/>
          <w:color w:val="auto"/>
          <w:highlight w:val="none"/>
          <w:lang w:val="zh-CN"/>
        </w:rPr>
        <w:t>。投标文件中价格全部采用人民币报价。招标文件未列明，而投标人认为必需的费用也需列入报价。</w:t>
      </w:r>
    </w:p>
    <w:p w14:paraId="33ECA127">
      <w:pPr>
        <w:pStyle w:val="360"/>
        <w:snapToGrid w:val="0"/>
        <w:spacing w:before="0"/>
        <w:ind w:firstLine="480"/>
        <w:rPr>
          <w:rFonts w:ascii="仿宋" w:hAnsi="仿宋" w:eastAsia="仿宋" w:cs="仿宋"/>
          <w:color w:val="auto"/>
          <w:highlight w:val="none"/>
          <w:lang w:val="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折扣率报价：</w:t>
      </w:r>
      <w:r>
        <w:rPr>
          <w:rFonts w:hint="eastAsia" w:ascii="仿宋" w:hAnsi="仿宋" w:eastAsia="仿宋" w:cs="仿宋"/>
          <w:color w:val="auto"/>
          <w:kern w:val="0"/>
          <w:highlight w:val="none"/>
          <w:lang w:val="zh-CN"/>
        </w:rPr>
        <w:t>本项目合同</w:t>
      </w:r>
      <w:r>
        <w:rPr>
          <w:rFonts w:hint="eastAsia" w:ascii="仿宋" w:hAnsi="仿宋" w:eastAsia="仿宋" w:cs="仿宋"/>
          <w:color w:val="auto"/>
          <w:kern w:val="0"/>
          <w:highlight w:val="none"/>
        </w:rPr>
        <w:t>价</w:t>
      </w:r>
      <w:r>
        <w:rPr>
          <w:rFonts w:hint="eastAsia" w:ascii="仿宋" w:hAnsi="仿宋" w:eastAsia="仿宋" w:cs="仿宋"/>
          <w:color w:val="auto"/>
          <w:kern w:val="0"/>
          <w:highlight w:val="none"/>
          <w:lang w:val="zh-CN"/>
        </w:rPr>
        <w:t>格以</w:t>
      </w:r>
      <w:r>
        <w:rPr>
          <w:rFonts w:hint="eastAsia" w:ascii="仿宋" w:hAnsi="仿宋" w:eastAsia="仿宋" w:cs="仿宋"/>
          <w:color w:val="auto"/>
          <w:kern w:val="0"/>
          <w:highlight w:val="none"/>
        </w:rPr>
        <w:t>合同履行过程</w:t>
      </w:r>
      <w:r>
        <w:rPr>
          <w:rFonts w:hint="eastAsia" w:ascii="仿宋" w:hAnsi="仿宋" w:eastAsia="仿宋" w:cs="仿宋"/>
          <w:color w:val="auto"/>
          <w:kern w:val="0"/>
          <w:highlight w:val="none"/>
          <w:lang w:val="zh-CN"/>
        </w:rPr>
        <w:t>中实际</w:t>
      </w:r>
      <w:r>
        <w:rPr>
          <w:rFonts w:hint="eastAsia" w:ascii="仿宋" w:hAnsi="仿宋" w:eastAsia="仿宋" w:cs="仿宋"/>
          <w:color w:val="auto"/>
          <w:kern w:val="0"/>
          <w:highlight w:val="none"/>
        </w:rPr>
        <w:t>供货</w:t>
      </w:r>
      <w:r>
        <w:rPr>
          <w:rFonts w:hint="eastAsia" w:ascii="仿宋" w:hAnsi="仿宋" w:eastAsia="仿宋" w:cs="仿宋"/>
          <w:color w:val="auto"/>
          <w:kern w:val="0"/>
          <w:highlight w:val="none"/>
          <w:lang w:val="zh-CN"/>
        </w:rPr>
        <w:t>数量</w:t>
      </w:r>
      <w:r>
        <w:rPr>
          <w:rFonts w:hint="eastAsia" w:ascii="仿宋" w:hAnsi="仿宋" w:eastAsia="仿宋" w:cs="仿宋"/>
          <w:i/>
          <w:iCs/>
          <w:color w:val="auto"/>
          <w:kern w:val="0"/>
          <w:highlight w:val="none"/>
          <w:lang w:val="zh-CN"/>
        </w:rPr>
        <w:t>（</w:t>
      </w:r>
      <w:r>
        <w:rPr>
          <w:rFonts w:hint="eastAsia" w:ascii="仿宋" w:hAnsi="仿宋" w:eastAsia="仿宋" w:cs="仿宋"/>
          <w:i/>
          <w:iCs/>
          <w:color w:val="auto"/>
          <w:kern w:val="0"/>
          <w:highlight w:val="none"/>
        </w:rPr>
        <w:t>或服务内容</w:t>
      </w:r>
      <w:r>
        <w:rPr>
          <w:rFonts w:hint="eastAsia" w:ascii="仿宋" w:hAnsi="仿宋" w:eastAsia="仿宋" w:cs="仿宋"/>
          <w:i/>
          <w:iCs/>
          <w:color w:val="auto"/>
          <w:kern w:val="0"/>
          <w:highlight w:val="none"/>
          <w:lang w:val="zh-CN"/>
        </w:rPr>
        <w:t>）</w:t>
      </w:r>
      <w:r>
        <w:rPr>
          <w:rFonts w:hint="eastAsia" w:ascii="仿宋" w:hAnsi="仿宋" w:eastAsia="仿宋" w:cs="仿宋"/>
          <w:color w:val="auto"/>
          <w:kern w:val="0"/>
          <w:highlight w:val="none"/>
        </w:rPr>
        <w:t>以</w:t>
      </w:r>
      <w:r>
        <w:rPr>
          <w:rFonts w:hint="eastAsia" w:ascii="仿宋" w:hAnsi="仿宋" w:eastAsia="仿宋" w:cs="仿宋"/>
          <w:color w:val="auto"/>
          <w:kern w:val="0"/>
          <w:highlight w:val="none"/>
          <w:u w:val="single"/>
        </w:rPr>
        <w:t xml:space="preserve">    </w:t>
      </w:r>
      <w:r>
        <w:rPr>
          <w:rFonts w:hint="eastAsia" w:ascii="仿宋" w:hAnsi="仿宋" w:eastAsia="仿宋" w:cs="仿宋"/>
          <w:i/>
          <w:iCs/>
          <w:color w:val="auto"/>
          <w:kern w:val="0"/>
          <w:highlight w:val="none"/>
          <w:u w:val="single"/>
        </w:rPr>
        <w:t>（按有关文件取费价格、官方公开的指导价、第三方审定价等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作为计费基准价，合同结算价=计费基准价*报价</w:t>
      </w:r>
      <w:r>
        <w:rPr>
          <w:rFonts w:hint="eastAsia" w:ascii="仿宋" w:hAnsi="仿宋" w:eastAsia="仿宋" w:cs="仿宋"/>
          <w:color w:val="auto"/>
          <w:highlight w:val="none"/>
        </w:rPr>
        <w:t>扣率</w:t>
      </w:r>
      <w:r>
        <w:rPr>
          <w:rFonts w:hint="eastAsia" w:ascii="仿宋" w:hAnsi="仿宋" w:eastAsia="仿宋" w:cs="仿宋"/>
          <w:color w:val="auto"/>
          <w:kern w:val="0"/>
          <w:highlight w:val="none"/>
        </w:rPr>
        <w:t>进行结算。</w:t>
      </w:r>
      <w:r>
        <w:rPr>
          <w:rFonts w:hint="eastAsia" w:ascii="仿宋" w:hAnsi="仿宋" w:eastAsia="仿宋" w:cs="仿宋"/>
          <w:color w:val="auto"/>
          <w:highlight w:val="none"/>
          <w:lang w:val="zh-CN"/>
        </w:rPr>
        <w:t>有关本项目实施所需的所有费用（含税费）均计入</w:t>
      </w:r>
      <w:r>
        <w:rPr>
          <w:rFonts w:hint="eastAsia" w:ascii="仿宋" w:hAnsi="仿宋" w:eastAsia="仿宋" w:cs="仿宋"/>
          <w:color w:val="auto"/>
          <w:highlight w:val="none"/>
        </w:rPr>
        <w:t>折扣率</w:t>
      </w:r>
      <w:r>
        <w:rPr>
          <w:rFonts w:hint="eastAsia" w:ascii="仿宋" w:hAnsi="仿宋" w:eastAsia="仿宋" w:cs="仿宋"/>
          <w:color w:val="auto"/>
          <w:highlight w:val="none"/>
          <w:lang w:val="zh-CN"/>
        </w:rPr>
        <w:t>报价。</w:t>
      </w:r>
      <w:r>
        <w:rPr>
          <w:rFonts w:hint="eastAsia" w:ascii="仿宋" w:hAnsi="仿宋" w:eastAsia="仿宋" w:cs="仿宋"/>
          <w:color w:val="auto"/>
          <w:highlight w:val="none"/>
        </w:rPr>
        <w:t>开标一览表是报价的唯一载体</w:t>
      </w:r>
      <w:r>
        <w:rPr>
          <w:rFonts w:hint="eastAsia" w:ascii="仿宋" w:hAnsi="仿宋" w:eastAsia="仿宋" w:cs="仿宋"/>
          <w:color w:val="auto"/>
          <w:highlight w:val="none"/>
          <w:lang w:val="zh-CN"/>
        </w:rPr>
        <w:t>。招标文件未列明，而投标人认为必需的费用也需列入报价。</w:t>
      </w:r>
    </w:p>
    <w:p w14:paraId="4F1AEA27">
      <w:pPr>
        <w:pStyle w:val="360"/>
        <w:snapToGrid w:val="0"/>
        <w:spacing w:before="0"/>
        <w:ind w:firstLine="480"/>
        <w:rPr>
          <w:rFonts w:ascii="仿宋" w:hAnsi="仿宋" w:eastAsia="仿宋" w:cs="仿宋"/>
          <w:b/>
          <w:bCs/>
          <w:color w:val="auto"/>
          <w:highlight w:val="none"/>
          <w:lang w:val="zh-CN"/>
        </w:rPr>
      </w:pPr>
      <w:r>
        <w:rPr>
          <w:rFonts w:hint="eastAsia" w:ascii="仿宋" w:hAnsi="仿宋" w:eastAsia="仿宋" w:cs="仿宋"/>
          <w:color w:val="auto"/>
          <w:highlight w:val="none"/>
        </w:rPr>
        <w:t>14.3</w:t>
      </w:r>
      <w:r>
        <w:rPr>
          <w:rFonts w:hint="eastAsia" w:ascii="仿宋" w:hAnsi="仿宋" w:eastAsia="仿宋" w:cs="仿宋"/>
          <w:b/>
          <w:bCs/>
          <w:color w:val="auto"/>
          <w:highlight w:val="none"/>
          <w:u w:val="single"/>
        </w:rPr>
        <w:t>▲所投标项只允许有一个报价，不接受有选择报价的投标文件。</w:t>
      </w:r>
    </w:p>
    <w:p w14:paraId="4FC83E4F">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15.投标文件的签署、盖章</w:t>
      </w:r>
    </w:p>
    <w:p w14:paraId="79F9B73B">
      <w:pPr>
        <w:pStyle w:val="36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15.1投标文件按照招标文件第六部分格式要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u w:val="single"/>
        </w:rPr>
        <w:t>▲投标人的投标文件未按照招标文件要求签署、盖章的，其投标无效</w:t>
      </w:r>
      <w:r>
        <w:rPr>
          <w:rFonts w:hint="eastAsia" w:ascii="仿宋" w:hAnsi="仿宋" w:eastAsia="仿宋" w:cs="仿宋"/>
          <w:color w:val="auto"/>
          <w:szCs w:val="24"/>
          <w:highlight w:val="none"/>
          <w:u w:val="single"/>
        </w:rPr>
        <w:t>。</w:t>
      </w:r>
    </w:p>
    <w:p w14:paraId="4CA3D6F5">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15.2为确保网上操作合法、有效和安全，投标人应当在投标截止时间前完成在“政府采购云平台”的身份认证，确保在电子投标过程中能够对相关数据电文进行加密和使用电子签名。</w:t>
      </w:r>
    </w:p>
    <w:p w14:paraId="2ADFDAE8">
      <w:pPr>
        <w:pStyle w:val="36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15.3招标文件对投标文件签署、盖章的要求适用于电子签名。</w:t>
      </w:r>
    </w:p>
    <w:p w14:paraId="1F1DD7A1">
      <w:pPr>
        <w:pStyle w:val="36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 投标文件的提交、补充、修改、撤回</w:t>
      </w:r>
    </w:p>
    <w:p w14:paraId="15886F79">
      <w:pPr>
        <w:pStyle w:val="36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16.1 供应商应当在投标截止时间</w:t>
      </w:r>
      <w:r>
        <w:rPr>
          <w:rFonts w:hint="eastAsia" w:ascii="仿宋" w:hAnsi="仿宋" w:eastAsia="仿宋" w:cs="仿宋"/>
          <w:color w:val="auto"/>
          <w:highlight w:val="none"/>
        </w:rPr>
        <w:t>前将加密的投标文件上传至政府采购云平台，</w:t>
      </w:r>
      <w:r>
        <w:rPr>
          <w:rFonts w:hint="eastAsia" w:ascii="仿宋" w:hAnsi="仿宋" w:eastAsia="仿宋" w:cs="仿宋"/>
          <w:color w:val="auto"/>
          <w:szCs w:val="24"/>
          <w:highlight w:val="none"/>
        </w:rPr>
        <w:t>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6BF5BE">
      <w:pPr>
        <w:pStyle w:val="36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16.2电子交易平台收到投标文件，将妥善保存并即时向供应商发出确认回执通知。在投标截止时间前，除供应商补充、修改或者撤回投标文件外，任何单位和个人不得解密或提取投标文件。</w:t>
      </w:r>
    </w:p>
    <w:p w14:paraId="17C4AC4D">
      <w:pPr>
        <w:pStyle w:val="36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16.3采购人、采购代理机构可以视情况延长投标文件提交的截止时间。在上述情况下，采购代理机构与投标人以前在投标截止期方面的全部权利、责任和义务，将适用于延长至新的投标截止期。</w:t>
      </w:r>
    </w:p>
    <w:p w14:paraId="0BA6CECA">
      <w:pPr>
        <w:pStyle w:val="36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16.4备份投标文件</w:t>
      </w:r>
    </w:p>
    <w:p w14:paraId="25F05E80">
      <w:pPr>
        <w:pStyle w:val="33"/>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备份投标文件”是指与“电子加密投标文件”同时生成的数据电文形式的电子文件（备份标书），其他方式编制的备份投标文件视为无效备份投标文件。</w:t>
      </w:r>
    </w:p>
    <w:p w14:paraId="53F7FB6B">
      <w:pPr>
        <w:pStyle w:val="33"/>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为确保采购项目顺利实施，避免因政采云上电子投标文件解密失败导致投标人投标无效，</w:t>
      </w:r>
      <w:r>
        <w:rPr>
          <w:rFonts w:hint="eastAsia" w:ascii="仿宋" w:hAnsi="仿宋" w:eastAsia="仿宋" w:cs="仿宋"/>
          <w:color w:val="auto"/>
          <w:sz w:val="24"/>
          <w:szCs w:val="24"/>
          <w:highlight w:val="none"/>
        </w:rPr>
        <w:t>投标人在电子交易平台传输递交投标文件后，还可以在投标截止时间前提交电文文档形式的备份投标文件，备份投标文件提交形式：</w:t>
      </w:r>
    </w:p>
    <w:p w14:paraId="14F1DA9B">
      <w:pPr>
        <w:pStyle w:val="33"/>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bCs/>
          <w:color w:val="auto"/>
          <w:kern w:val="0"/>
          <w:sz w:val="24"/>
          <w:szCs w:val="24"/>
          <w:highlight w:val="none"/>
        </w:rPr>
        <w:t>以邮寄形式（建议顺丰快递）将备份投标文件存入并储存在U盘中，备份在投标截止时间前递交，并需采购代理机构确认是否收到，邮寄地址及收件人：</w:t>
      </w:r>
      <w:r>
        <w:rPr>
          <w:rFonts w:hint="eastAsia" w:ascii="仿宋" w:hAnsi="仿宋" w:eastAsia="仿宋" w:cs="仿宋"/>
          <w:bCs/>
          <w:color w:val="auto"/>
          <w:kern w:val="0"/>
          <w:sz w:val="24"/>
          <w:szCs w:val="24"/>
          <w:highlight w:val="none"/>
          <w:u w:val="single"/>
        </w:rPr>
        <w:t>温州市鹿城区划龙桥路398号奥乐大楼二楼西首1号，李先生，13706699786</w:t>
      </w:r>
      <w:r>
        <w:rPr>
          <w:rFonts w:hint="eastAsia" w:ascii="仿宋" w:hAnsi="仿宋" w:eastAsia="仿宋" w:cs="仿宋"/>
          <w:bCs/>
          <w:color w:val="auto"/>
          <w:kern w:val="0"/>
          <w:sz w:val="24"/>
          <w:szCs w:val="24"/>
          <w:highlight w:val="none"/>
        </w:rPr>
        <w:t>。</w:t>
      </w:r>
      <w:r>
        <w:rPr>
          <w:rFonts w:hint="eastAsia" w:ascii="仿宋" w:hAnsi="仿宋" w:eastAsia="仿宋" w:cs="仿宋"/>
          <w:color w:val="auto"/>
          <w:sz w:val="24"/>
          <w:szCs w:val="24"/>
          <w:highlight w:val="none"/>
        </w:rPr>
        <w:t>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0804162">
      <w:pPr>
        <w:pStyle w:val="33"/>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szCs w:val="24"/>
          <w:highlight w:val="none"/>
        </w:rPr>
        <w:t>以电子邮件形式将生成的备份投标文件发送到采购代理机构邮箱号：</w:t>
      </w:r>
      <w:r>
        <w:rPr>
          <w:rFonts w:hint="eastAsia" w:ascii="仿宋" w:hAnsi="仿宋" w:eastAsia="仿宋" w:cs="仿宋"/>
          <w:color w:val="auto"/>
          <w:sz w:val="24"/>
          <w:szCs w:val="24"/>
          <w:highlight w:val="none"/>
          <w:u w:val="single"/>
        </w:rPr>
        <w:t>（填写采购代理机构邮箱号），</w:t>
      </w:r>
      <w:r>
        <w:rPr>
          <w:rFonts w:hint="eastAsia" w:ascii="仿宋" w:hAnsi="仿宋" w:eastAsia="仿宋" w:cs="仿宋"/>
          <w:color w:val="auto"/>
          <w:sz w:val="24"/>
          <w:szCs w:val="24"/>
          <w:highlight w:val="none"/>
        </w:rPr>
        <w:t>备份投标文件签收人员联系方式：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，并注明</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投标人名称、项目编号、项目名称、备份投标文件</w:t>
      </w:r>
      <w:r>
        <w:rPr>
          <w:rFonts w:hint="eastAsia" w:ascii="仿宋" w:hAnsi="仿宋" w:eastAsia="仿宋" w:cs="仿宋"/>
          <w:color w:val="auto"/>
          <w:sz w:val="24"/>
          <w:szCs w:val="24"/>
          <w:highlight w:val="none"/>
          <w:lang w:val="zh-CN"/>
        </w:rPr>
        <w:t>等”信息，</w:t>
      </w:r>
      <w:r>
        <w:rPr>
          <w:rFonts w:hint="eastAsia" w:ascii="仿宋" w:hAnsi="仿宋" w:eastAsia="仿宋" w:cs="仿宋"/>
          <w:b/>
          <w:color w:val="auto"/>
          <w:sz w:val="24"/>
          <w:szCs w:val="24"/>
          <w:highlight w:val="none"/>
        </w:rPr>
        <w:t>不符合上述制作规定的备份投标文件将被视为无效或者被拒绝接收。</w:t>
      </w:r>
    </w:p>
    <w:p w14:paraId="372E4A15">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解密CA必须是上传并制作电子投标文件CA锁，</w:t>
      </w:r>
      <w:r>
        <w:rPr>
          <w:rFonts w:hint="eastAsia" w:ascii="仿宋" w:hAnsi="仿宋" w:eastAsia="仿宋" w:cs="仿宋"/>
          <w:b/>
          <w:color w:val="auto"/>
          <w:sz w:val="24"/>
          <w:szCs w:val="24"/>
          <w:highlight w:val="none"/>
        </w:rPr>
        <w:t>但采购人、采购代理机构不强制或变相强制投标人提交备份投标文件。</w:t>
      </w:r>
    </w:p>
    <w:p w14:paraId="03E575A0">
      <w:pPr>
        <w:pStyle w:val="33"/>
        <w:spacing w:line="360" w:lineRule="auto"/>
        <w:ind w:firstLine="477" w:firstLineChars="199"/>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投标人仅提交备份投标文件，没有在电子交易平台传输递交投标文件的，投标无效。</w:t>
      </w:r>
    </w:p>
    <w:p w14:paraId="6629EA17">
      <w:pPr>
        <w:pStyle w:val="36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91A5202">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17.1投标有效期详见投标须知前附表。</w:t>
      </w:r>
      <w:r>
        <w:rPr>
          <w:rFonts w:hint="eastAsia" w:ascii="仿宋" w:hAnsi="仿宋" w:eastAsia="仿宋" w:cs="仿宋"/>
          <w:color w:val="auto"/>
          <w:sz w:val="24"/>
          <w:szCs w:val="20"/>
          <w:highlight w:val="none"/>
          <w:u w:val="single"/>
        </w:rPr>
        <w:t>▲</w:t>
      </w:r>
      <w:r>
        <w:rPr>
          <w:rFonts w:hint="eastAsia" w:ascii="仿宋" w:hAnsi="仿宋" w:eastAsia="仿宋" w:cs="仿宋"/>
          <w:b/>
          <w:color w:val="auto"/>
          <w:sz w:val="24"/>
          <w:szCs w:val="20"/>
          <w:highlight w:val="none"/>
          <w:u w:val="single"/>
        </w:rPr>
        <w:t>投标人的投标文件中承</w:t>
      </w:r>
      <w:r>
        <w:rPr>
          <w:rFonts w:hint="eastAsia" w:ascii="仿宋" w:hAnsi="仿宋" w:eastAsia="仿宋" w:cs="仿宋"/>
          <w:b/>
          <w:color w:val="auto"/>
          <w:sz w:val="24"/>
          <w:szCs w:val="21"/>
          <w:highlight w:val="none"/>
          <w:u w:val="single"/>
        </w:rPr>
        <w:t>诺的投标有效期少于招标文件中载明的投标有效期的，投标无效。</w:t>
      </w:r>
    </w:p>
    <w:p w14:paraId="2DE8243A">
      <w:pPr>
        <w:pStyle w:val="36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6902F9E">
      <w:pPr>
        <w:pStyle w:val="36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F5A9090">
      <w:pPr>
        <w:pStyle w:val="360"/>
        <w:spacing w:before="0"/>
        <w:ind w:firstLine="1063" w:firstLineChars="331"/>
        <w:rPr>
          <w:rFonts w:ascii="仿宋" w:hAnsi="仿宋" w:eastAsia="仿宋" w:cs="仿宋"/>
          <w:b/>
          <w:color w:val="auto"/>
          <w:sz w:val="32"/>
          <w:highlight w:val="none"/>
        </w:rPr>
      </w:pPr>
    </w:p>
    <w:p w14:paraId="0238596E">
      <w:pPr>
        <w:pStyle w:val="3"/>
        <w:jc w:val="center"/>
        <w:rPr>
          <w:rStyle w:val="84"/>
          <w:rFonts w:ascii="仿宋" w:eastAsia="仿宋" w:cs="仿宋"/>
          <w:b/>
          <w:bCs/>
          <w:color w:val="auto"/>
          <w:kern w:val="2"/>
          <w:highlight w:val="none"/>
        </w:rPr>
      </w:pPr>
      <w:bookmarkStart w:id="28" w:name="_Toc133499544"/>
      <w:r>
        <w:rPr>
          <w:rStyle w:val="84"/>
          <w:rFonts w:hint="eastAsia" w:ascii="仿宋" w:eastAsia="仿宋" w:cs="仿宋"/>
          <w:b/>
          <w:bCs/>
          <w:color w:val="auto"/>
          <w:kern w:val="2"/>
          <w:highlight w:val="none"/>
        </w:rPr>
        <w:t>四、开标、资格审查与信用信息查询</w:t>
      </w:r>
      <w:bookmarkEnd w:id="28"/>
    </w:p>
    <w:p w14:paraId="493AE3A0">
      <w:pPr>
        <w:pStyle w:val="667"/>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A089848">
      <w:pPr>
        <w:pStyle w:val="66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BAF8D52">
      <w:pPr>
        <w:pStyle w:val="667"/>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159DF3D">
      <w:pPr>
        <w:pStyle w:val="667"/>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D845517">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61FF2D14">
      <w:pPr>
        <w:pStyle w:val="36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013F3A3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采购人或采购代理机构依据法律法规和招标文件的规定，对投标人的基本资格条件、特定资格条件等进行审查。</w:t>
      </w:r>
    </w:p>
    <w:p w14:paraId="504D7A1E">
      <w:pPr>
        <w:pStyle w:val="36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7C13D28">
      <w:pPr>
        <w:pStyle w:val="36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736C7075">
      <w:pPr>
        <w:pStyle w:val="36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58B99AA4">
      <w:pPr>
        <w:pStyle w:val="36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7B8ADB7">
      <w:pPr>
        <w:pStyle w:val="36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3989941C">
      <w:pPr>
        <w:pStyle w:val="36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CDEA798">
      <w:pPr>
        <w:pStyle w:val="36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1F45EED">
      <w:pPr>
        <w:pStyle w:val="36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9545200">
      <w:pPr>
        <w:pStyle w:val="360"/>
        <w:spacing w:before="0"/>
        <w:ind w:firstLine="0" w:firstLineChars="0"/>
        <w:rPr>
          <w:rFonts w:ascii="仿宋" w:hAnsi="仿宋" w:eastAsia="仿宋" w:cs="仿宋"/>
          <w:color w:val="auto"/>
          <w:kern w:val="0"/>
          <w:szCs w:val="24"/>
          <w:highlight w:val="none"/>
        </w:rPr>
      </w:pPr>
    </w:p>
    <w:p w14:paraId="524F2C90">
      <w:pPr>
        <w:pStyle w:val="3"/>
        <w:jc w:val="center"/>
        <w:rPr>
          <w:rStyle w:val="84"/>
          <w:rFonts w:ascii="仿宋" w:eastAsia="仿宋" w:cs="仿宋"/>
          <w:b/>
          <w:bCs/>
          <w:color w:val="auto"/>
          <w:kern w:val="2"/>
          <w:highlight w:val="none"/>
        </w:rPr>
      </w:pPr>
      <w:bookmarkStart w:id="29" w:name="_Toc133499545"/>
      <w:r>
        <w:rPr>
          <w:rStyle w:val="84"/>
          <w:rFonts w:hint="eastAsia" w:ascii="仿宋" w:eastAsia="仿宋" w:cs="仿宋"/>
          <w:b/>
          <w:bCs/>
          <w:color w:val="auto"/>
          <w:kern w:val="2"/>
          <w:highlight w:val="none"/>
        </w:rPr>
        <w:t>五、评标</w:t>
      </w:r>
      <w:bookmarkEnd w:id="29"/>
    </w:p>
    <w:p w14:paraId="3E9B4C29">
      <w:pPr>
        <w:spacing w:line="360" w:lineRule="auto"/>
        <w:rPr>
          <w:rFonts w:ascii="仿宋" w:hAnsi="仿宋" w:eastAsia="仿宋" w:cs="仿宋"/>
          <w:bCs/>
          <w:color w:val="auto"/>
          <w:sz w:val="24"/>
          <w:highlight w:val="none"/>
        </w:rPr>
      </w:pPr>
      <w:bookmarkStart w:id="30" w:name="_Toc91899903"/>
      <w:r>
        <w:rPr>
          <w:rFonts w:hint="eastAsia" w:ascii="仿宋" w:hAnsi="仿宋" w:eastAsia="仿宋" w:cs="仿宋"/>
          <w:bCs/>
          <w:color w:val="auto"/>
          <w:sz w:val="24"/>
          <w:highlight w:val="none"/>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945D45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评标过程的保密性。开标后直至向中标人授予合同时止，凡与招标有关的资料均不得向投标人及与投标无关人员透露。如果投标人在评标过程中试图向招标采购单位和评标委员会成员施加影响，或扰乱开标和评标秩序，其投标将被拒绝。</w:t>
      </w:r>
    </w:p>
    <w:p w14:paraId="4FA1C69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Cs/>
          <w:color w:val="auto"/>
          <w:sz w:val="24"/>
          <w:highlight w:val="none"/>
        </w:rPr>
        <w:t>详见招标文件第四部分评标办法。</w:t>
      </w:r>
    </w:p>
    <w:p w14:paraId="681E93EE">
      <w:pPr>
        <w:pStyle w:val="3"/>
        <w:jc w:val="center"/>
        <w:rPr>
          <w:rStyle w:val="84"/>
          <w:rFonts w:ascii="仿宋" w:eastAsia="仿宋" w:cs="仿宋"/>
          <w:b/>
          <w:bCs/>
          <w:color w:val="auto"/>
          <w:kern w:val="2"/>
          <w:highlight w:val="none"/>
        </w:rPr>
      </w:pPr>
      <w:bookmarkStart w:id="31" w:name="_Toc133499546"/>
      <w:r>
        <w:rPr>
          <w:rStyle w:val="84"/>
          <w:rFonts w:hint="eastAsia" w:ascii="仿宋" w:eastAsia="仿宋" w:cs="仿宋"/>
          <w:b/>
          <w:bCs/>
          <w:color w:val="auto"/>
          <w:kern w:val="2"/>
          <w:highlight w:val="none"/>
        </w:rPr>
        <w:t>六、定标</w:t>
      </w:r>
      <w:bookmarkEnd w:id="31"/>
    </w:p>
    <w:p w14:paraId="79646415">
      <w:pPr>
        <w:pStyle w:val="1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18A5AB9B">
      <w:pPr>
        <w:pStyle w:val="36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71B308FC">
      <w:pPr>
        <w:pStyle w:val="36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DBC4F2F">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6DF739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17D3E6F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1251EDD">
      <w:pPr>
        <w:snapToGrid w:val="0"/>
        <w:spacing w:line="360" w:lineRule="auto"/>
        <w:ind w:left="120" w:leftChars="57" w:firstLine="482" w:firstLineChars="150"/>
        <w:jc w:val="center"/>
        <w:rPr>
          <w:rFonts w:ascii="仿宋" w:hAnsi="仿宋" w:eastAsia="仿宋" w:cs="仿宋"/>
          <w:b/>
          <w:color w:val="auto"/>
          <w:sz w:val="32"/>
          <w:highlight w:val="none"/>
        </w:rPr>
      </w:pPr>
    </w:p>
    <w:p w14:paraId="380EB79D">
      <w:pPr>
        <w:pStyle w:val="3"/>
        <w:jc w:val="center"/>
        <w:rPr>
          <w:rStyle w:val="84"/>
          <w:rFonts w:ascii="仿宋" w:eastAsia="仿宋" w:cs="仿宋"/>
          <w:b/>
          <w:bCs/>
          <w:color w:val="auto"/>
          <w:kern w:val="2"/>
          <w:highlight w:val="none"/>
        </w:rPr>
      </w:pPr>
      <w:bookmarkStart w:id="32" w:name="_Toc133499547"/>
      <w:r>
        <w:rPr>
          <w:rStyle w:val="84"/>
          <w:rFonts w:hint="eastAsia" w:ascii="仿宋" w:eastAsia="仿宋" w:cs="仿宋"/>
          <w:b/>
          <w:bCs/>
          <w:color w:val="auto"/>
          <w:kern w:val="2"/>
          <w:highlight w:val="none"/>
        </w:rPr>
        <w:t>七、合同授予</w:t>
      </w:r>
      <w:bookmarkEnd w:id="32"/>
    </w:p>
    <w:p w14:paraId="3D70706C">
      <w:pPr>
        <w:pStyle w:val="1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801FFF8">
      <w:pPr>
        <w:pStyle w:val="1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61E68F59">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588095A5">
      <w:pPr>
        <w:pStyle w:val="36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5EEBB9D">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DB121E5">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2996971">
      <w:pPr>
        <w:pStyle w:val="36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F474A3D">
      <w:pPr>
        <w:pStyle w:val="1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2A8113D7">
      <w:pPr>
        <w:pStyle w:val="36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拟签订的合同文本要求中标人/成交供应商提交履约保证金的，供应商应当以支票、汇票、本票或者金融机构、担保机构出具的保函等非现金形式提交。履约保证金的数额不得超过政府采购合同金额的1%，履约保证金用于成交供应商在履行本合同过程中发生违约行为应支付采购人的违约金、赔偿金等费用。如无任何问题，采购人将在成交供应商履行完毕本合同项下全部义务（项目验收合格）之日起5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14:paraId="380413B5">
      <w:pPr>
        <w:pStyle w:val="3"/>
        <w:jc w:val="center"/>
        <w:rPr>
          <w:rStyle w:val="84"/>
          <w:rFonts w:ascii="仿宋" w:eastAsia="仿宋" w:cs="仿宋"/>
          <w:b/>
          <w:bCs/>
          <w:color w:val="auto"/>
          <w:kern w:val="2"/>
          <w:highlight w:val="none"/>
        </w:rPr>
      </w:pPr>
      <w:bookmarkStart w:id="33" w:name="_Toc133499548"/>
      <w:r>
        <w:rPr>
          <w:rStyle w:val="84"/>
          <w:rFonts w:hint="eastAsia" w:ascii="仿宋" w:eastAsia="仿宋" w:cs="仿宋"/>
          <w:b/>
          <w:bCs/>
          <w:color w:val="auto"/>
          <w:kern w:val="2"/>
          <w:highlight w:val="none"/>
        </w:rPr>
        <w:t>八、电子交易活动的中止</w:t>
      </w:r>
      <w:bookmarkEnd w:id="33"/>
    </w:p>
    <w:p w14:paraId="37EEE1DF">
      <w:pPr>
        <w:pStyle w:val="36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6CFF9F8E">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5ECB40D8">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90DA4F0">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252E2D81">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0FEFFB19">
      <w:pPr>
        <w:pStyle w:val="36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0CA5A87">
      <w:pPr>
        <w:pStyle w:val="36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2D2E6B2">
      <w:pPr>
        <w:pStyle w:val="3"/>
        <w:jc w:val="center"/>
        <w:rPr>
          <w:rStyle w:val="84"/>
          <w:rFonts w:ascii="仿宋" w:eastAsia="仿宋" w:cs="仿宋"/>
          <w:b/>
          <w:bCs/>
          <w:color w:val="auto"/>
          <w:kern w:val="2"/>
          <w:highlight w:val="none"/>
        </w:rPr>
      </w:pPr>
      <w:bookmarkStart w:id="34" w:name="_Toc133499549"/>
      <w:r>
        <w:rPr>
          <w:rStyle w:val="84"/>
          <w:rFonts w:hint="eastAsia" w:ascii="仿宋" w:eastAsia="仿宋" w:cs="仿宋"/>
          <w:b/>
          <w:bCs/>
          <w:color w:val="auto"/>
          <w:kern w:val="2"/>
          <w:highlight w:val="none"/>
        </w:rPr>
        <w:t>九、验收</w:t>
      </w:r>
      <w:bookmarkEnd w:id="34"/>
    </w:p>
    <w:p w14:paraId="41F07D59">
      <w:pPr>
        <w:pStyle w:val="16"/>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6E6E69F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992E96">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7ABC6C3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E6408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29.4温州市公安局交通管理局采购项目在履约验收完毕后需由局相关部门进行“决（结）算前审计”，通过“决（结）算前审计”后，采购项目视为最终通过履约验收；“决（结）算前审计”不通过的，需根据审计意见整改并经审计确认后，再次开展履约验收直至合格，产生的履约验收费用均由供应商承担。</w:t>
      </w:r>
    </w:p>
    <w:p w14:paraId="559F3C2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0"/>
    <w:p w14:paraId="29F455BC">
      <w:pPr>
        <w:tabs>
          <w:tab w:val="left" w:pos="0"/>
        </w:tabs>
        <w:spacing w:line="360" w:lineRule="auto"/>
        <w:ind w:firstLine="480"/>
        <w:rPr>
          <w:rFonts w:ascii="仿宋" w:hAnsi="仿宋" w:eastAsia="仿宋" w:cs="仿宋"/>
          <w:color w:val="auto"/>
          <w:kern w:val="0"/>
          <w:sz w:val="24"/>
          <w:highlight w:val="none"/>
        </w:rPr>
      </w:pPr>
      <w:bookmarkStart w:id="35" w:name="_Hlt74714665"/>
      <w:bookmarkEnd w:id="35"/>
      <w:bookmarkStart w:id="36" w:name="_Hlt75236290"/>
      <w:bookmarkEnd w:id="36"/>
      <w:bookmarkStart w:id="37" w:name="_Hlt68057669"/>
      <w:bookmarkEnd w:id="37"/>
      <w:bookmarkStart w:id="38" w:name="_Hlt75236011"/>
      <w:bookmarkEnd w:id="38"/>
      <w:bookmarkStart w:id="39" w:name="_Hlt68072990"/>
      <w:bookmarkEnd w:id="39"/>
      <w:bookmarkStart w:id="40" w:name="_Hlt68072998"/>
      <w:bookmarkEnd w:id="40"/>
      <w:bookmarkStart w:id="41" w:name="_Hlt74730295"/>
      <w:bookmarkEnd w:id="41"/>
      <w:bookmarkStart w:id="42" w:name="_Hlt75236101"/>
      <w:bookmarkEnd w:id="42"/>
      <w:bookmarkStart w:id="43" w:name="_Hlt74707468"/>
      <w:bookmarkEnd w:id="43"/>
      <w:bookmarkStart w:id="44" w:name="_Hlt68073093"/>
      <w:bookmarkEnd w:id="44"/>
      <w:bookmarkStart w:id="45" w:name="_Hlt68403820"/>
      <w:bookmarkEnd w:id="45"/>
      <w:bookmarkStart w:id="46" w:name="_Hlt74729768"/>
      <w:bookmarkEnd w:id="46"/>
      <w:r>
        <w:rPr>
          <w:rFonts w:hint="eastAsia" w:ascii="仿宋" w:hAnsi="仿宋" w:eastAsia="仿宋" w:cs="仿宋"/>
          <w:color w:val="auto"/>
          <w:kern w:val="0"/>
          <w:sz w:val="24"/>
          <w:highlight w:val="none"/>
        </w:rPr>
        <w:t>29.6履约验收费用由供应商承担，因供应商原因造成验收不通过的，再次验收的费用仍由供应商承担。</w:t>
      </w:r>
    </w:p>
    <w:p w14:paraId="13F7E1CE">
      <w:pPr>
        <w:pStyle w:val="3"/>
        <w:rPr>
          <w:rFonts w:ascii="仿宋" w:eastAsia="仿宋" w:cs="仿宋"/>
          <w:color w:val="auto"/>
          <w:highlight w:val="none"/>
        </w:rPr>
        <w:sectPr>
          <w:footerReference r:id="rId4" w:type="first"/>
          <w:footerReference r:id="rId3" w:type="default"/>
          <w:pgSz w:w="11906" w:h="16838"/>
          <w:pgMar w:top="1247" w:right="1293" w:bottom="1247" w:left="1293" w:header="851" w:footer="850" w:gutter="0"/>
          <w:pgBorders>
            <w:top w:val="none" w:sz="0" w:space="0"/>
            <w:left w:val="none" w:sz="0" w:space="0"/>
            <w:bottom w:val="none" w:sz="0" w:space="0"/>
            <w:right w:val="none" w:sz="0" w:space="0"/>
          </w:pgBorders>
          <w:pgNumType w:fmt="decimal" w:start="1"/>
          <w:cols w:space="720" w:num="1"/>
          <w:titlePg/>
          <w:docGrid w:linePitch="312" w:charSpace="0"/>
        </w:sectPr>
      </w:pPr>
    </w:p>
    <w:bookmarkEnd w:id="14"/>
    <w:bookmarkEnd w:id="15"/>
    <w:p w14:paraId="4D761C72">
      <w:pPr>
        <w:numPr>
          <w:ilvl w:val="0"/>
          <w:numId w:val="1"/>
        </w:numPr>
        <w:adjustRightInd/>
        <w:spacing w:line="360" w:lineRule="auto"/>
        <w:jc w:val="center"/>
        <w:outlineLvl w:val="0"/>
        <w:rPr>
          <w:rStyle w:val="84"/>
          <w:rFonts w:ascii="仿宋" w:eastAsia="仿宋" w:cs="仿宋"/>
          <w:color w:val="auto"/>
          <w:highlight w:val="none"/>
        </w:rPr>
      </w:pPr>
      <w:bookmarkStart w:id="47" w:name="_Toc133499550"/>
      <w:bookmarkStart w:id="48" w:name="第四部分"/>
      <w:r>
        <w:rPr>
          <w:rStyle w:val="84"/>
          <w:rFonts w:hint="eastAsia" w:ascii="仿宋" w:eastAsia="仿宋" w:cs="仿宋"/>
          <w:color w:val="auto"/>
          <w:highlight w:val="none"/>
        </w:rPr>
        <w:t>采购需求</w:t>
      </w:r>
      <w:bookmarkEnd w:id="47"/>
    </w:p>
    <w:p w14:paraId="74878A8C">
      <w:pPr>
        <w:pStyle w:val="3"/>
        <w:rPr>
          <w:rStyle w:val="84"/>
          <w:rFonts w:ascii="仿宋" w:eastAsia="仿宋"/>
          <w:b/>
          <w:bCs w:val="0"/>
          <w:color w:val="auto"/>
          <w:kern w:val="2"/>
          <w:sz w:val="24"/>
          <w:szCs w:val="24"/>
          <w:highlight w:val="none"/>
        </w:rPr>
      </w:pPr>
      <w:bookmarkStart w:id="49" w:name="_Toc133499551"/>
      <w:r>
        <w:rPr>
          <w:rStyle w:val="84"/>
          <w:rFonts w:hint="eastAsia" w:ascii="仿宋" w:eastAsia="仿宋"/>
          <w:b/>
          <w:bCs w:val="0"/>
          <w:color w:val="auto"/>
          <w:kern w:val="2"/>
          <w:sz w:val="24"/>
          <w:szCs w:val="24"/>
          <w:highlight w:val="none"/>
        </w:rPr>
        <w:t>一、标的需求概况</w:t>
      </w:r>
      <w:bookmarkEnd w:id="49"/>
    </w:p>
    <w:p w14:paraId="27BDF0E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1.背景介绍。</w:t>
      </w:r>
    </w:p>
    <w:p w14:paraId="51648520">
      <w:pPr>
        <w:snapToGrid w:val="0"/>
        <w:spacing w:line="360" w:lineRule="auto"/>
        <w:ind w:firstLine="480" w:firstLineChars="200"/>
        <w:jc w:val="left"/>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该项目采购需求编制符合财政部《政府采购需求管理办法》相关要求，需求内容按照财政批复的预算要求编制，不存在歧视性设置，具有充分的竞争性。</w:t>
      </w:r>
    </w:p>
    <w:p w14:paraId="1FD1957E">
      <w:pPr>
        <w:numPr>
          <w:ilvl w:val="0"/>
          <w:numId w:val="2"/>
        </w:numPr>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其他相关情况。</w:t>
      </w:r>
    </w:p>
    <w:p w14:paraId="0F0ECF63">
      <w:pPr>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根据《温州公安信息化项目管理办法》（温公通【2016】23号）要求，公安信息化项目中标供应商应提供项目编制软件源代码。按照项目合同完成的与研究开发标的有关的知识产权（包括专利、专利申请权、非专利技术使用权、著作权、版权、发明权及其他成果权）归温州市公安局交通管理局所有。</w:t>
      </w:r>
    </w:p>
    <w:p w14:paraId="43D2383D">
      <w:pPr>
        <w:pStyle w:val="3"/>
        <w:rPr>
          <w:rStyle w:val="84"/>
          <w:rFonts w:ascii="仿宋" w:eastAsia="仿宋"/>
          <w:b/>
          <w:bCs w:val="0"/>
          <w:color w:val="auto"/>
          <w:kern w:val="2"/>
          <w:sz w:val="24"/>
          <w:szCs w:val="24"/>
          <w:highlight w:val="none"/>
        </w:rPr>
      </w:pPr>
      <w:bookmarkStart w:id="50" w:name="_Toc133499552"/>
      <w:r>
        <w:rPr>
          <w:rStyle w:val="84"/>
          <w:rFonts w:hint="eastAsia" w:ascii="仿宋" w:eastAsia="仿宋"/>
          <w:b/>
          <w:bCs w:val="0"/>
          <w:color w:val="auto"/>
          <w:kern w:val="2"/>
          <w:sz w:val="24"/>
          <w:szCs w:val="24"/>
          <w:highlight w:val="none"/>
        </w:rPr>
        <w:t>二、</w:t>
      </w:r>
      <w:bookmarkStart w:id="51" w:name="_Hlk133583906"/>
      <w:r>
        <w:rPr>
          <w:rStyle w:val="84"/>
          <w:rFonts w:hint="eastAsia" w:ascii="仿宋" w:eastAsia="仿宋"/>
          <w:b/>
          <w:bCs w:val="0"/>
          <w:color w:val="auto"/>
          <w:kern w:val="2"/>
          <w:sz w:val="24"/>
          <w:szCs w:val="24"/>
          <w:highlight w:val="none"/>
        </w:rPr>
        <w:t>采购清单</w:t>
      </w:r>
      <w:bookmarkEnd w:id="50"/>
      <w:bookmarkEnd w:id="51"/>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489"/>
        <w:gridCol w:w="1090"/>
        <w:gridCol w:w="4107"/>
      </w:tblGrid>
      <w:tr w14:paraId="069E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0" w:type="dxa"/>
            <w:shd w:val="clear" w:color="auto" w:fill="8DB3E2"/>
            <w:noWrap w:val="0"/>
            <w:vAlign w:val="center"/>
          </w:tcPr>
          <w:p w14:paraId="3DB19D2C">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489" w:type="dxa"/>
            <w:shd w:val="clear" w:color="auto" w:fill="8DB3E2"/>
            <w:noWrap w:val="0"/>
            <w:vAlign w:val="center"/>
          </w:tcPr>
          <w:p w14:paraId="1D12E1F3">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1090" w:type="dxa"/>
            <w:shd w:val="clear" w:color="auto" w:fill="8DB3E2"/>
            <w:noWrap w:val="0"/>
            <w:vAlign w:val="center"/>
          </w:tcPr>
          <w:p w14:paraId="7A025F1F">
            <w:pPr>
              <w:widowControl/>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时间要求</w:t>
            </w:r>
          </w:p>
        </w:tc>
        <w:tc>
          <w:tcPr>
            <w:tcW w:w="4107" w:type="dxa"/>
            <w:shd w:val="clear" w:color="auto" w:fill="8DB3E2"/>
            <w:noWrap w:val="0"/>
            <w:vAlign w:val="top"/>
          </w:tcPr>
          <w:p w14:paraId="06B9B1E4">
            <w:pPr>
              <w:keepNext w:val="0"/>
              <w:keepLines w:val="0"/>
              <w:pageBreakBefore w:val="0"/>
              <w:widowControl/>
              <w:kinsoku/>
              <w:wordWrap/>
              <w:overflowPunct/>
              <w:topLinePunct w:val="0"/>
              <w:autoSpaceDE/>
              <w:autoSpaceDN/>
              <w:bidi w:val="0"/>
              <w:adjustRightInd w:val="0"/>
              <w:snapToGrid/>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备注说明</w:t>
            </w:r>
          </w:p>
        </w:tc>
      </w:tr>
      <w:tr w14:paraId="7BF3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0" w:type="dxa"/>
            <w:noWrap w:val="0"/>
            <w:vAlign w:val="center"/>
          </w:tcPr>
          <w:p w14:paraId="33F9C35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一</w:t>
            </w:r>
          </w:p>
        </w:tc>
        <w:tc>
          <w:tcPr>
            <w:tcW w:w="3489" w:type="dxa"/>
            <w:noWrap w:val="0"/>
            <w:vAlign w:val="center"/>
          </w:tcPr>
          <w:p w14:paraId="479D59DF">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数据中心各类核心设备</w:t>
            </w:r>
            <w:r>
              <w:rPr>
                <w:rFonts w:hint="eastAsia" w:ascii="仿宋" w:hAnsi="仿宋" w:eastAsia="仿宋" w:cs="仿宋"/>
                <w:color w:val="auto"/>
                <w:sz w:val="24"/>
                <w:szCs w:val="24"/>
                <w:highlight w:val="none"/>
                <w:lang w:val="en-US" w:eastAsia="zh-CN"/>
              </w:rPr>
              <w:t>、大数据平台</w:t>
            </w:r>
            <w:r>
              <w:rPr>
                <w:rFonts w:hint="eastAsia" w:ascii="仿宋" w:hAnsi="仿宋" w:eastAsia="仿宋" w:cs="仿宋"/>
                <w:color w:val="auto"/>
                <w:sz w:val="24"/>
                <w:szCs w:val="24"/>
                <w:highlight w:val="none"/>
              </w:rPr>
              <w:t>维保</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kern w:val="0"/>
                <w:sz w:val="24"/>
                <w:szCs w:val="24"/>
                <w:highlight w:val="none"/>
              </w:rPr>
              <w:t>运营商线路租赁</w:t>
            </w:r>
          </w:p>
        </w:tc>
        <w:tc>
          <w:tcPr>
            <w:tcW w:w="1090" w:type="dxa"/>
            <w:noWrap w:val="0"/>
            <w:vAlign w:val="center"/>
          </w:tcPr>
          <w:p w14:paraId="018F2E1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365天</w:t>
            </w:r>
          </w:p>
        </w:tc>
        <w:tc>
          <w:tcPr>
            <w:tcW w:w="4107" w:type="dxa"/>
            <w:noWrap w:val="0"/>
            <w:vAlign w:val="center"/>
          </w:tcPr>
          <w:p w14:paraId="32FC4382">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详见维保服务清单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含2名驻场人员，服务期2024年11月20日-2025年11月19日</w:t>
            </w:r>
          </w:p>
        </w:tc>
      </w:tr>
      <w:tr w14:paraId="713A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0" w:type="dxa"/>
            <w:noWrap w:val="0"/>
            <w:vAlign w:val="center"/>
          </w:tcPr>
          <w:p w14:paraId="2027D6CB">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二</w:t>
            </w:r>
          </w:p>
        </w:tc>
        <w:tc>
          <w:tcPr>
            <w:tcW w:w="3489" w:type="dxa"/>
            <w:noWrap w:val="0"/>
            <w:vAlign w:val="center"/>
          </w:tcPr>
          <w:p w14:paraId="6D66F261">
            <w:pPr>
              <w:widowControl/>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计算机综合运维保障服务</w:t>
            </w:r>
          </w:p>
        </w:tc>
        <w:tc>
          <w:tcPr>
            <w:tcW w:w="1090" w:type="dxa"/>
            <w:noWrap w:val="0"/>
            <w:vAlign w:val="center"/>
          </w:tcPr>
          <w:p w14:paraId="6CCDF9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365天</w:t>
            </w:r>
          </w:p>
        </w:tc>
        <w:tc>
          <w:tcPr>
            <w:tcW w:w="4107" w:type="dxa"/>
            <w:noWrap w:val="0"/>
            <w:vAlign w:val="center"/>
          </w:tcPr>
          <w:p w14:paraId="05A31FAA">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含6名驻场人员，服务期2025年1月1日-2025年12月31日</w:t>
            </w:r>
          </w:p>
        </w:tc>
      </w:tr>
      <w:tr w14:paraId="0F14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0" w:type="dxa"/>
            <w:noWrap w:val="0"/>
            <w:vAlign w:val="center"/>
          </w:tcPr>
          <w:p w14:paraId="7DF554B5">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w:t>
            </w:r>
          </w:p>
        </w:tc>
        <w:tc>
          <w:tcPr>
            <w:tcW w:w="3489" w:type="dxa"/>
            <w:noWrap w:val="0"/>
            <w:vAlign w:val="center"/>
          </w:tcPr>
          <w:p w14:paraId="37A4AFC8">
            <w:pPr>
              <w:widowControl/>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公安交通管理信息系统运维及公安网安全保障服务租赁</w:t>
            </w:r>
          </w:p>
        </w:tc>
        <w:tc>
          <w:tcPr>
            <w:tcW w:w="1090" w:type="dxa"/>
            <w:noWrap w:val="0"/>
            <w:vAlign w:val="center"/>
          </w:tcPr>
          <w:p w14:paraId="36C8217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365天</w:t>
            </w:r>
          </w:p>
        </w:tc>
        <w:tc>
          <w:tcPr>
            <w:tcW w:w="4107" w:type="dxa"/>
            <w:noWrap w:val="0"/>
            <w:vAlign w:val="center"/>
          </w:tcPr>
          <w:p w14:paraId="498C087D">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公安核心业务信息系统要求驻点运维</w:t>
            </w:r>
            <w:r>
              <w:rPr>
                <w:rFonts w:hint="eastAsia" w:ascii="仿宋" w:hAnsi="仿宋" w:eastAsia="仿宋" w:cs="仿宋"/>
                <w:color w:val="auto"/>
                <w:kern w:val="0"/>
                <w:sz w:val="24"/>
                <w:szCs w:val="24"/>
                <w:highlight w:val="none"/>
                <w:lang w:val="en-US" w:eastAsia="zh-CN"/>
              </w:rPr>
              <w:t>，服务期2025年1月1日-2025年12月31日</w:t>
            </w:r>
          </w:p>
        </w:tc>
      </w:tr>
    </w:tbl>
    <w:p w14:paraId="77A3E370">
      <w:pPr>
        <w:rPr>
          <w:rFonts w:ascii="仿宋" w:hAnsi="仿宋" w:eastAsia="仿宋" w:cs="仿宋"/>
          <w:color w:val="auto"/>
          <w:sz w:val="24"/>
          <w:highlight w:val="none"/>
        </w:rPr>
      </w:pPr>
    </w:p>
    <w:p w14:paraId="1F219888">
      <w:pPr>
        <w:numPr>
          <w:ilvl w:val="0"/>
          <w:numId w:val="0"/>
        </w:numPr>
        <w:spacing w:line="460" w:lineRule="exact"/>
        <w:outlineLvl w:val="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2.1</w:t>
      </w:r>
      <w:r>
        <w:rPr>
          <w:rFonts w:hint="eastAsia" w:ascii="宋体" w:hAnsi="宋体" w:eastAsia="宋体" w:cs="宋体"/>
          <w:b/>
          <w:bCs/>
          <w:color w:val="auto"/>
          <w:sz w:val="22"/>
          <w:szCs w:val="22"/>
          <w:highlight w:val="none"/>
        </w:rPr>
        <w:t>数据中心各类核心设备</w:t>
      </w:r>
      <w:r>
        <w:rPr>
          <w:rFonts w:hint="eastAsia" w:ascii="宋体" w:hAnsi="宋体" w:eastAsia="宋体" w:cs="宋体"/>
          <w:b/>
          <w:bCs/>
          <w:color w:val="auto"/>
          <w:sz w:val="22"/>
          <w:szCs w:val="22"/>
          <w:highlight w:val="none"/>
          <w:lang w:val="en-US" w:eastAsia="zh-CN"/>
        </w:rPr>
        <w:t>、大数据平台</w:t>
      </w:r>
      <w:r>
        <w:rPr>
          <w:rFonts w:hint="eastAsia" w:ascii="宋体" w:hAnsi="宋体" w:eastAsia="宋体" w:cs="宋体"/>
          <w:b/>
          <w:bCs/>
          <w:color w:val="auto"/>
          <w:sz w:val="22"/>
          <w:szCs w:val="22"/>
          <w:highlight w:val="none"/>
        </w:rPr>
        <w:t>维保</w:t>
      </w:r>
      <w:r>
        <w:rPr>
          <w:rFonts w:hint="eastAsia" w:ascii="宋体" w:hAnsi="宋体" w:eastAsia="宋体" w:cs="宋体"/>
          <w:b/>
          <w:bCs/>
          <w:color w:val="auto"/>
          <w:sz w:val="22"/>
          <w:szCs w:val="22"/>
          <w:highlight w:val="none"/>
          <w:lang w:val="en-US" w:eastAsia="zh-CN"/>
        </w:rPr>
        <w:t>及运营商线路租赁</w:t>
      </w:r>
    </w:p>
    <w:p w14:paraId="06197E93">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 xml:space="preserve">2.1.1维保服务范围 </w:t>
      </w:r>
    </w:p>
    <w:p w14:paraId="29DC5928">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维保服务清单中所有出保设备的硬件保修服务，在维护服务期内由于设备出现硬件问题造成的任何故障，投标人须免费负责修理或更换，直至设备恢复正常使用。提供附件维保设备清单中所有设备及其上运行的系统软件和数据库软件技术支持服务。其中设备清单中所列“原厂”服务要求的，由设备原厂商按清单标注的服务要求提供以上服务，所列“第三方”服务要求的，由参加投标的投标人提供以上服务。</w:t>
      </w:r>
    </w:p>
    <w:p w14:paraId="0435A904">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2.1.2维保服务内容及要求</w:t>
      </w:r>
    </w:p>
    <w:p w14:paraId="3167C1F4">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b/>
      </w:r>
      <w:r>
        <w:rPr>
          <w:rFonts w:hint="eastAsia" w:ascii="宋体" w:hAnsi="宋体" w:eastAsia="宋体" w:cs="宋体"/>
          <w:bCs/>
          <w:color w:val="auto"/>
          <w:sz w:val="22"/>
          <w:szCs w:val="22"/>
          <w:highlight w:val="none"/>
        </w:rPr>
        <w:t>投标人须提供一年365天，一天7×24小时全年无休全包式优质、可靠的维保服务。</w:t>
      </w:r>
    </w:p>
    <w:p w14:paraId="3D8003F6">
      <w:pPr>
        <w:pStyle w:val="143"/>
        <w:numPr>
          <w:ilvl w:val="0"/>
          <w:numId w:val="3"/>
        </w:numPr>
        <w:spacing w:line="460" w:lineRule="exact"/>
        <w:ind w:firstLine="6" w:firstLineChars="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7×24全年无休的硬件系统支持服务。</w:t>
      </w:r>
    </w:p>
    <w:p w14:paraId="12223E80">
      <w:pPr>
        <w:pStyle w:val="143"/>
        <w:numPr>
          <w:ilvl w:val="0"/>
          <w:numId w:val="3"/>
        </w:numPr>
        <w:spacing w:line="460" w:lineRule="exact"/>
        <w:ind w:firstLine="6" w:firstLineChars="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7×24全年无休的软件系统支持服务。</w:t>
      </w:r>
    </w:p>
    <w:p w14:paraId="0C75E070">
      <w:pPr>
        <w:pStyle w:val="143"/>
        <w:numPr>
          <w:ilvl w:val="0"/>
          <w:numId w:val="3"/>
        </w:numPr>
        <w:spacing w:line="460" w:lineRule="exact"/>
        <w:ind w:firstLine="6" w:firstLineChars="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7×24全年无休的电话技术支持服务。</w:t>
      </w:r>
    </w:p>
    <w:p w14:paraId="3328190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提供特殊时段（春节、劳动节、国庆节、年终、采购人重大应用测试、投产</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重保</w:t>
      </w:r>
      <w:r>
        <w:rPr>
          <w:rFonts w:hint="eastAsia" w:ascii="宋体" w:hAnsi="宋体" w:eastAsia="宋体" w:cs="宋体"/>
          <w:bCs/>
          <w:color w:val="auto"/>
          <w:sz w:val="22"/>
          <w:szCs w:val="22"/>
          <w:highlight w:val="none"/>
        </w:rPr>
        <w:t>），以及系统变更和迁移、系统升级等的现场支持服务。</w:t>
      </w:r>
    </w:p>
    <w:p w14:paraId="4B34285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提供预防性维护，保障系统不出故障或尽量少出故障，如出现故障，造成业务影响的，进行考核扣款。</w:t>
      </w:r>
    </w:p>
    <w:p w14:paraId="0AD5E256">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2.1.2.1故障响应要求</w:t>
      </w:r>
    </w:p>
    <w:p w14:paraId="4727E505">
      <w:pPr>
        <w:spacing w:line="450" w:lineRule="exact"/>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a.对系统性能严重损坏，接到支持需求必须立即做出响应。</w:t>
      </w:r>
    </w:p>
    <w:p w14:paraId="31EBAA21">
      <w:pPr>
        <w:spacing w:line="450" w:lineRule="exact"/>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b.对系统运行正常，仅受到有限的影响或未受到严重影响，接到支持需求必须在30分钟内做出响应。</w:t>
      </w:r>
    </w:p>
    <w:p w14:paraId="76D28E52">
      <w:pPr>
        <w:spacing w:line="450" w:lineRule="exact"/>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c.根据招标人要求提供现场技术支持及服务时，1小时内到达现场。</w:t>
      </w:r>
    </w:p>
    <w:p w14:paraId="00C00229">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2.1.2.2技术</w:t>
      </w:r>
      <w:r>
        <w:rPr>
          <w:rFonts w:hint="eastAsia" w:ascii="宋体" w:hAnsi="宋体" w:eastAsia="宋体" w:cs="宋体"/>
          <w:b/>
          <w:bCs/>
          <w:color w:val="auto"/>
          <w:kern w:val="2"/>
          <w:sz w:val="22"/>
          <w:szCs w:val="22"/>
          <w:highlight w:val="none"/>
          <w:lang w:eastAsia="zh-CN" w:bidi="ar-SA"/>
        </w:rPr>
        <w:t>服务</w:t>
      </w:r>
      <w:r>
        <w:rPr>
          <w:rFonts w:hint="eastAsia" w:ascii="宋体" w:hAnsi="宋体" w:eastAsia="宋体" w:cs="宋体"/>
          <w:b/>
          <w:bCs/>
          <w:color w:val="auto"/>
          <w:kern w:val="2"/>
          <w:sz w:val="22"/>
          <w:szCs w:val="22"/>
          <w:highlight w:val="none"/>
          <w:lang w:val="en-US" w:eastAsia="zh-CN" w:bidi="ar-SA"/>
        </w:rPr>
        <w:t>团队要求</w:t>
      </w:r>
    </w:p>
    <w:p w14:paraId="62585F67">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技术维保工程师应具备上述维保对象的硬件系统、软件系统、管理/操作系统等方面的知识，具备相应的技术资格认证，并有5年以上从业经验。</w:t>
      </w:r>
    </w:p>
    <w:p w14:paraId="72B53BBA">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2.1.2.3驻场服务人员要求</w:t>
      </w:r>
    </w:p>
    <w:p w14:paraId="24DE0F50">
      <w:pPr>
        <w:spacing w:line="460" w:lineRule="exact"/>
        <w:ind w:firstLine="539" w:firstLineChars="245"/>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提供现场常驻服务人员</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名，</w:t>
      </w:r>
      <w:r>
        <w:rPr>
          <w:rFonts w:hint="eastAsia" w:ascii="宋体" w:hAnsi="宋体" w:eastAsia="宋体" w:cs="宋体"/>
          <w:bCs/>
          <w:color w:val="auto"/>
          <w:sz w:val="22"/>
          <w:szCs w:val="22"/>
          <w:highlight w:val="none"/>
          <w:lang w:val="en-US" w:eastAsia="zh-CN"/>
        </w:rPr>
        <w:t>其中一人负责交管局各类核心设备维保（基础设施岗），一人负责大数据平台运维（大数据平台岗）。</w:t>
      </w:r>
    </w:p>
    <w:p w14:paraId="61CDF47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基础设施岗：</w:t>
      </w:r>
      <w:r>
        <w:rPr>
          <w:rFonts w:hint="eastAsia" w:ascii="宋体" w:hAnsi="宋体" w:eastAsia="宋体" w:cs="宋体"/>
          <w:bCs/>
          <w:color w:val="auto"/>
          <w:sz w:val="22"/>
          <w:szCs w:val="22"/>
          <w:highlight w:val="none"/>
        </w:rPr>
        <w:t>需具备5年以上从业经历，熟悉各类操作系统、PC服务器</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含国产</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和</w:t>
      </w:r>
      <w:r>
        <w:rPr>
          <w:rFonts w:hint="eastAsia" w:ascii="宋体" w:hAnsi="宋体" w:eastAsia="宋体" w:cs="宋体"/>
          <w:bCs/>
          <w:color w:val="auto"/>
          <w:sz w:val="22"/>
          <w:szCs w:val="22"/>
          <w:highlight w:val="none"/>
          <w:lang w:val="en-US" w:eastAsia="zh-CN"/>
        </w:rPr>
        <w:t>华为分布式存储、华为集中式块存储</w:t>
      </w:r>
      <w:r>
        <w:rPr>
          <w:rFonts w:hint="eastAsia" w:ascii="宋体" w:hAnsi="宋体" w:eastAsia="宋体" w:cs="宋体"/>
          <w:bCs/>
          <w:color w:val="auto"/>
          <w:sz w:val="22"/>
          <w:szCs w:val="22"/>
          <w:highlight w:val="none"/>
        </w:rPr>
        <w:t>维护</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对中间件、oracle数据库</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达梦及其他国产数据库</w:t>
      </w:r>
      <w:r>
        <w:rPr>
          <w:rFonts w:hint="eastAsia" w:ascii="宋体" w:hAnsi="宋体" w:eastAsia="宋体" w:cs="宋体"/>
          <w:bCs/>
          <w:color w:val="auto"/>
          <w:sz w:val="22"/>
          <w:szCs w:val="22"/>
          <w:highlight w:val="none"/>
        </w:rPr>
        <w:t>有比较深入的了解，负责维保范围内软硬件设备、系统的日常运维，包括每日巡检和建立完整的设备维护档案，填写设备维修记录等，并作为与服务商沟通的主责工程师。建立AB岗制度当驻点运维人员因故请假或不能履职时，必须安排运维团队中的相应人员驻点履职。B岗人员</w:t>
      </w:r>
      <w:r>
        <w:rPr>
          <w:rFonts w:hint="eastAsia" w:ascii="宋体" w:hAnsi="宋体" w:eastAsia="宋体" w:cs="宋体"/>
          <w:color w:val="auto"/>
          <w:sz w:val="22"/>
          <w:szCs w:val="22"/>
          <w:highlight w:val="none"/>
        </w:rPr>
        <w:t>也需具备5年以上从业经历，并取得</w:t>
      </w:r>
      <w:r>
        <w:rPr>
          <w:rFonts w:hint="eastAsia" w:ascii="宋体" w:hAnsi="宋体" w:eastAsia="宋体" w:cs="宋体"/>
          <w:color w:val="auto"/>
          <w:sz w:val="22"/>
          <w:szCs w:val="22"/>
          <w:highlight w:val="none"/>
          <w:lang w:val="en-US" w:eastAsia="zh-CN"/>
        </w:rPr>
        <w:t>信息技术应用创新人才系统架构师、华为存储HCIP、CISP</w:t>
      </w:r>
      <w:r>
        <w:rPr>
          <w:rFonts w:hint="eastAsia" w:ascii="宋体" w:hAnsi="宋体" w:eastAsia="宋体" w:cs="宋体"/>
          <w:color w:val="auto"/>
          <w:sz w:val="22"/>
          <w:szCs w:val="22"/>
          <w:highlight w:val="none"/>
        </w:rPr>
        <w:t>认证证书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以应对系统突发事故，确保关键设备在最短时间内得到响应和恢复。</w:t>
      </w:r>
    </w:p>
    <w:p w14:paraId="44E1A19C">
      <w:pPr>
        <w:keepNext w:val="0"/>
        <w:keepLines w:val="0"/>
        <w:widowControl w:val="0"/>
        <w:suppressLineNumbers w:val="0"/>
        <w:adjustRightInd w:val="0"/>
        <w:spacing w:before="0" w:beforeAutospacing="0" w:after="0" w:afterAutospacing="0" w:line="460" w:lineRule="exact"/>
        <w:ind w:left="0" w:right="0" w:firstLine="539" w:firstLineChars="245"/>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woUserID w:val="0"/>
        </w:rPr>
        <w:t>温州智慧交管大数据云平台岗</w:t>
      </w:r>
      <w:r>
        <w:rPr>
          <w:rFonts w:hint="eastAsia" w:ascii="宋体" w:hAnsi="宋体" w:eastAsia="宋体" w:cs="宋体"/>
          <w:color w:val="auto"/>
          <w:sz w:val="22"/>
          <w:szCs w:val="22"/>
          <w:highlight w:val="none"/>
          <w:lang w:val="en-US" w:eastAsia="zh-CN"/>
        </w:rPr>
        <w:t>：需具备5年以上从业</w:t>
      </w:r>
      <w:r>
        <w:rPr>
          <w:rFonts w:hint="eastAsia" w:ascii="宋体" w:hAnsi="宋体" w:eastAsia="宋体" w:cs="宋体"/>
          <w:bCs/>
          <w:color w:val="auto"/>
          <w:sz w:val="22"/>
          <w:szCs w:val="22"/>
          <w:highlight w:val="none"/>
        </w:rPr>
        <w:t>经历</w:t>
      </w:r>
      <w:r>
        <w:rPr>
          <w:rFonts w:hint="eastAsia" w:ascii="宋体" w:hAnsi="宋体" w:eastAsia="宋体" w:cs="宋体"/>
          <w:color w:val="auto"/>
          <w:sz w:val="22"/>
          <w:szCs w:val="22"/>
          <w:highlight w:val="none"/>
          <w:lang w:val="en-US" w:eastAsia="zh-CN"/>
        </w:rPr>
        <w:t>，熟悉Linux操作系统、FineReport、FineBI、FineDataLink功能组件及Doris数据库。负责</w:t>
      </w:r>
      <w:r>
        <w:rPr>
          <w:rFonts w:hint="eastAsia" w:ascii="宋体" w:hAnsi="宋体" w:eastAsia="宋体" w:cs="宋体"/>
          <w:color w:val="auto"/>
          <w:kern w:val="2"/>
          <w:sz w:val="22"/>
          <w:szCs w:val="22"/>
          <w:highlight w:val="none"/>
          <w:lang w:val="en-US" w:eastAsia="zh-CN" w:bidi="ar"/>
          <w:woUserID w:val="2"/>
        </w:rPr>
        <w:t>温州智慧交管大数据云平台</w:t>
      </w:r>
      <w:r>
        <w:rPr>
          <w:rFonts w:hint="eastAsia" w:ascii="宋体" w:hAnsi="宋体" w:eastAsia="宋体" w:cs="宋体"/>
          <w:color w:val="auto"/>
          <w:sz w:val="22"/>
          <w:szCs w:val="22"/>
          <w:highlight w:val="none"/>
          <w:lang w:val="en-US" w:eastAsia="zh-CN"/>
        </w:rPr>
        <w:t>日常运维，主要包括交换平台实时任务、离线任务配置及任务状态监控，分析平台模型调度任务配置及任务状态监控，</w:t>
      </w:r>
      <w:r>
        <w:rPr>
          <w:rFonts w:hint="eastAsia" w:ascii="宋体" w:hAnsi="宋体" w:eastAsia="宋体" w:cs="宋体"/>
          <w:color w:val="auto"/>
          <w:kern w:val="2"/>
          <w:sz w:val="22"/>
          <w:szCs w:val="22"/>
          <w:highlight w:val="none"/>
          <w:lang w:val="en-US" w:eastAsia="zh-CN" w:bidi="ar"/>
          <w:woUserID w:val="0"/>
        </w:rPr>
        <w:t>现有及新增API接口传输日常巡检，</w:t>
      </w:r>
      <w:r>
        <w:rPr>
          <w:rFonts w:hint="eastAsia" w:ascii="宋体" w:hAnsi="宋体" w:eastAsia="宋体" w:cs="宋体"/>
          <w:color w:val="auto"/>
          <w:sz w:val="22"/>
          <w:szCs w:val="22"/>
          <w:highlight w:val="none"/>
          <w:lang w:val="en-US" w:eastAsia="zh-CN"/>
        </w:rPr>
        <w:t>智能运维平台运行状态监控，接应交管局各业务处室模型制作需求、排查模型问题及数据分析，业务数据表检查及补录等数据一致性检查处置。</w:t>
      </w:r>
    </w:p>
    <w:p w14:paraId="1A4C1A4D">
      <w:pPr>
        <w:numPr>
          <w:ilvl w:val="0"/>
          <w:numId w:val="0"/>
        </w:numPr>
        <w:spacing w:line="460" w:lineRule="exact"/>
        <w:outlineLvl w:val="4"/>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2.1.2.4</w:t>
      </w:r>
      <w:r>
        <w:rPr>
          <w:rFonts w:hint="eastAsia" w:ascii="宋体" w:hAnsi="宋体" w:eastAsia="宋体" w:cs="宋体"/>
          <w:b/>
          <w:bCs/>
          <w:color w:val="auto"/>
          <w:kern w:val="2"/>
          <w:sz w:val="22"/>
          <w:szCs w:val="22"/>
          <w:highlight w:val="none"/>
          <w:lang w:val="en-US" w:eastAsia="zh-CN" w:bidi="ar-SA"/>
        </w:rPr>
        <w:t>硬件维护服务</w:t>
      </w:r>
      <w:r>
        <w:rPr>
          <w:rFonts w:hint="eastAsia" w:ascii="宋体" w:hAnsi="宋体" w:eastAsia="宋体" w:cs="宋体"/>
          <w:b/>
          <w:bCs/>
          <w:color w:val="auto"/>
          <w:kern w:val="2"/>
          <w:sz w:val="22"/>
          <w:szCs w:val="22"/>
          <w:highlight w:val="none"/>
          <w:lang w:eastAsia="zh-CN" w:bidi="ar-SA"/>
        </w:rPr>
        <w:t>要求</w:t>
      </w:r>
    </w:p>
    <w:p w14:paraId="0093A85B">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7X24电话远程技术支持服务；提供招标人要求的所有硬件设备7X24小时硬件保修服务（原厂服务除外），负责对参保设备所有硬件做日常巡检保养、系统维护、故障诊断排除及更换新件、性能调优、技术咨询等。通过现场日常检查、日常维护、性能调优等措施，降低或规避设备故障，并提供月巡检工作报告,报告应包括基本运行情况、日常操作分类汇总、故障定位分析、维保工作情况分析、优化建议。</w:t>
      </w:r>
    </w:p>
    <w:p w14:paraId="3399B2BE">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提供对备件设备进行安装调试，确保在故障处理过程中，尽最大可能保证业务不停止，所有故障件的维修、更换等均包含在投标总价中，请投标人在报价时予以考虑。</w:t>
      </w:r>
    </w:p>
    <w:p w14:paraId="79BE46F9">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a.有充足的备件（尤其是电源、硬盘等常用备件），要求硬件所用备品、备件为原产商生产的新品，对所有维护设备的故障件均给予现场维修及换件服务。</w:t>
      </w:r>
    </w:p>
    <w:p w14:paraId="59E611BC">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b.对影响业务正常运行的无冗余设备故障，投标人须2小时内备件到现场并解决问题。</w:t>
      </w:r>
    </w:p>
    <w:p w14:paraId="0DE0D0B9">
      <w:pPr>
        <w:numPr>
          <w:ilvl w:val="0"/>
          <w:numId w:val="0"/>
        </w:numPr>
        <w:spacing w:line="460" w:lineRule="exact"/>
        <w:outlineLvl w:val="4"/>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2.1.2.5系统软件维护服务要求</w:t>
      </w:r>
    </w:p>
    <w:p w14:paraId="450811B8">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所有设备系统软件7X24小时电话技术支持服务，提供所有设备系统软件7X24小时技术支持服务；要对设备的运行环境进行日常检查和维护，消除系统故障隐患，并提供月巡检工作报告。当用户遇到系统故障时，资深技术支持工程师在1小时内到达用户现场，为用户提供现场技术服务，并要求在2小时内解决故障，恢复业务正常运行。</w:t>
      </w:r>
    </w:p>
    <w:p w14:paraId="6E0853D8">
      <w:pPr>
        <w:numPr>
          <w:ilvl w:val="0"/>
          <w:numId w:val="0"/>
        </w:numPr>
        <w:spacing w:line="460" w:lineRule="exact"/>
        <w:outlineLvl w:val="5"/>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2.1.2.5.1总体要求：</w:t>
      </w:r>
    </w:p>
    <w:p w14:paraId="685AD37B">
      <w:pPr>
        <w:spacing w:line="460" w:lineRule="exact"/>
        <w:ind w:firstLine="539" w:firstLineChars="245"/>
        <w:rPr>
          <w:rFonts w:hint="eastAsia" w:ascii="宋体" w:hAnsi="宋体" w:eastAsia="宋体" w:cs="宋体"/>
          <w:bCs/>
          <w:color w:val="auto"/>
          <w:sz w:val="22"/>
          <w:szCs w:val="22"/>
          <w:highlight w:val="none"/>
        </w:rPr>
      </w:pPr>
      <w:bookmarkStart w:id="52" w:name="_Hlk46342274"/>
      <w:r>
        <w:rPr>
          <w:rFonts w:hint="eastAsia" w:ascii="宋体" w:hAnsi="宋体" w:eastAsia="宋体" w:cs="宋体"/>
          <w:bCs/>
          <w:color w:val="auto"/>
          <w:sz w:val="22"/>
          <w:szCs w:val="22"/>
          <w:highlight w:val="none"/>
        </w:rPr>
        <w:t>（1）系统安装、补丁升级服务</w:t>
      </w:r>
      <w:bookmarkStart w:id="53" w:name="_Hlk46342346"/>
      <w:r>
        <w:rPr>
          <w:rFonts w:hint="eastAsia" w:ascii="宋体" w:hAnsi="宋体" w:eastAsia="宋体" w:cs="宋体"/>
          <w:bCs/>
          <w:color w:val="auto"/>
          <w:sz w:val="22"/>
          <w:szCs w:val="22"/>
          <w:highlight w:val="none"/>
        </w:rPr>
        <w:t>。</w:t>
      </w:r>
    </w:p>
    <w:bookmarkEnd w:id="53"/>
    <w:p w14:paraId="1434986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（2）系统检查服务。</w:t>
      </w:r>
    </w:p>
    <w:p w14:paraId="5341E845">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（3）系统软件配置服务。</w:t>
      </w:r>
    </w:p>
    <w:p w14:paraId="1577CE4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（4）系统备份。</w:t>
      </w:r>
    </w:p>
    <w:p w14:paraId="6B33688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（5）性能优化服务。</w:t>
      </w:r>
    </w:p>
    <w:p w14:paraId="25FC74B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（6）系统故障应急服</w:t>
      </w:r>
      <w:bookmarkEnd w:id="52"/>
      <w:r>
        <w:rPr>
          <w:rFonts w:hint="eastAsia" w:ascii="宋体" w:hAnsi="宋体" w:eastAsia="宋体" w:cs="宋体"/>
          <w:bCs/>
          <w:color w:val="auto"/>
          <w:sz w:val="22"/>
          <w:szCs w:val="22"/>
          <w:highlight w:val="none"/>
        </w:rPr>
        <w:t>务。</w:t>
      </w:r>
    </w:p>
    <w:p w14:paraId="6F59349F">
      <w:pPr>
        <w:numPr>
          <w:ilvl w:val="0"/>
          <w:numId w:val="0"/>
        </w:numPr>
        <w:spacing w:line="460" w:lineRule="exact"/>
        <w:outlineLvl w:val="5"/>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2.1.2.5.2系统软件：</w:t>
      </w:r>
    </w:p>
    <w:p w14:paraId="4A3D43E7">
      <w:pPr>
        <w:numPr>
          <w:ilvl w:val="0"/>
          <w:numId w:val="4"/>
        </w:num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定期巡检，查看备份系统是否正常备份。</w:t>
      </w:r>
    </w:p>
    <w:p w14:paraId="42084DC7">
      <w:pPr>
        <w:numPr>
          <w:ilvl w:val="0"/>
          <w:numId w:val="4"/>
        </w:num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定位备份系统故障点位置、并做修复。</w:t>
      </w:r>
    </w:p>
    <w:p w14:paraId="2B3EA8F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（3）按照需求，新建、修改或删除备份策略。</w:t>
      </w:r>
    </w:p>
    <w:p w14:paraId="61F9C7A2">
      <w:pPr>
        <w:spacing w:line="460" w:lineRule="exact"/>
        <w:ind w:firstLine="539" w:firstLineChars="245"/>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（4）</w:t>
      </w:r>
      <w:r>
        <w:rPr>
          <w:rFonts w:hint="eastAsia" w:ascii="宋体" w:hAnsi="宋体" w:eastAsia="宋体" w:cs="宋体"/>
          <w:bCs/>
          <w:color w:val="auto"/>
          <w:sz w:val="22"/>
          <w:szCs w:val="22"/>
          <w:highlight w:val="none"/>
          <w:lang w:val="en-US" w:eastAsia="zh-CN"/>
        </w:rPr>
        <w:t>按照需求，对主机系统安装部署备份软件等。</w:t>
      </w:r>
    </w:p>
    <w:p w14:paraId="1C289396">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eastAsia="宋体" w:cs="宋体"/>
          <w:bCs/>
          <w:color w:val="auto"/>
          <w:sz w:val="22"/>
          <w:szCs w:val="22"/>
          <w:highlight w:val="none"/>
          <w:lang w:val="en-US" w:eastAsia="zh-CN"/>
        </w:rPr>
        <w:t>按照需求，</w:t>
      </w:r>
      <w:r>
        <w:rPr>
          <w:rFonts w:hint="eastAsia" w:ascii="宋体" w:hAnsi="宋体" w:eastAsia="宋体" w:cs="宋体"/>
          <w:bCs/>
          <w:color w:val="auto"/>
          <w:sz w:val="22"/>
          <w:szCs w:val="22"/>
          <w:highlight w:val="none"/>
        </w:rPr>
        <w:t>还原数据库备份。</w:t>
      </w:r>
    </w:p>
    <w:p w14:paraId="27ACA05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对公安网虚拟化平台进行备份等。</w:t>
      </w:r>
    </w:p>
    <w:p w14:paraId="4CED069B">
      <w:pPr>
        <w:pStyle w:val="16"/>
        <w:rPr>
          <w:rFonts w:hint="eastAsia" w:ascii="宋体" w:hAnsi="宋体" w:eastAsia="宋体" w:cs="宋体"/>
          <w:color w:val="auto"/>
          <w:sz w:val="22"/>
          <w:szCs w:val="22"/>
          <w:highlight w:val="none"/>
        </w:rPr>
      </w:pPr>
    </w:p>
    <w:p w14:paraId="798889EB">
      <w:pPr>
        <w:numPr>
          <w:ilvl w:val="0"/>
          <w:numId w:val="0"/>
        </w:numPr>
        <w:spacing w:line="460" w:lineRule="exact"/>
        <w:outlineLvl w:val="5"/>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2.1.2.</w:t>
      </w:r>
      <w:r>
        <w:rPr>
          <w:rFonts w:hint="eastAsia" w:ascii="宋体" w:hAnsi="宋体" w:eastAsia="宋体" w:cs="宋体"/>
          <w:b/>
          <w:bCs/>
          <w:color w:val="auto"/>
          <w:kern w:val="2"/>
          <w:sz w:val="22"/>
          <w:szCs w:val="22"/>
          <w:highlight w:val="none"/>
          <w:lang w:eastAsia="zh-CN" w:bidi="ar-SA"/>
        </w:rPr>
        <w:t>5.3虚拟化软件：</w:t>
      </w:r>
    </w:p>
    <w:p w14:paraId="5F9F7286">
      <w:pPr>
        <w:spacing w:line="450" w:lineRule="exac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ab/>
      </w:r>
      <w:r>
        <w:rPr>
          <w:rFonts w:hint="eastAsia" w:ascii="宋体" w:hAnsi="宋体" w:eastAsia="宋体" w:cs="宋体"/>
          <w:bCs/>
          <w:color w:val="auto"/>
          <w:sz w:val="22"/>
          <w:szCs w:val="22"/>
          <w:highlight w:val="none"/>
        </w:rPr>
        <w:t>VMWARE管理服务，合理使用虚拟主机和存储资源，按照业主方要求规划、开设、撤销、调整虚拟机资源，对接指导虚拟机申请使用厂商合理使用虚拟机资源，有效管理虚拟机操作系统（含）层面以下软硬件资源。</w:t>
      </w:r>
    </w:p>
    <w:p w14:paraId="02887EE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（1）根据业务要求，新建、调整或删除虚拟机配置并安装相应操作系统。</w:t>
      </w:r>
    </w:p>
    <w:p w14:paraId="24AD676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（2）根据业务种类不同，分配网络IP地址，配置网络使虚拟机网络可访问。</w:t>
      </w:r>
    </w:p>
    <w:p w14:paraId="4A01D12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（3）定期巡检主机、虚机工作状态（例如cpu内存使用率），及时处理相关告警。</w:t>
      </w:r>
    </w:p>
    <w:p w14:paraId="193474E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（4）每月制定一份虚机使用率报告。</w:t>
      </w:r>
    </w:p>
    <w:p w14:paraId="17D57B8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（5）配合和指导虚机使用单位windows或linux补丁升级。</w:t>
      </w:r>
    </w:p>
    <w:p w14:paraId="65C60B35">
      <w:pPr>
        <w:numPr>
          <w:ilvl w:val="0"/>
          <w:numId w:val="0"/>
        </w:numPr>
        <w:spacing w:line="460" w:lineRule="exact"/>
        <w:outlineLvl w:val="4"/>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2.1.2.6数据库系统维护要求</w:t>
      </w:r>
    </w:p>
    <w:p w14:paraId="105F1880">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提供ORACLE数据库</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达梦数据库</w:t>
      </w:r>
      <w:r>
        <w:rPr>
          <w:rFonts w:hint="eastAsia" w:ascii="宋体" w:hAnsi="宋体" w:eastAsia="宋体" w:cs="宋体"/>
          <w:bCs/>
          <w:color w:val="auto"/>
          <w:sz w:val="22"/>
          <w:szCs w:val="22"/>
          <w:highlight w:val="none"/>
        </w:rPr>
        <w:t>系统7X24小时电话技术支持服务。通过现场日常巡检、日常维护、性能调优等措施，规避数据库故障。当用户遇到系统故障时，资深技术支持工程师在1小时内到达用户现场，为用户提供现场技术服务，并要求在2小时内解决故障，恢复业务正常运行。</w:t>
      </w:r>
    </w:p>
    <w:p w14:paraId="7C19AB83">
      <w:pPr>
        <w:numPr>
          <w:ilvl w:val="0"/>
          <w:numId w:val="0"/>
        </w:numPr>
        <w:spacing w:line="460" w:lineRule="exact"/>
        <w:outlineLvl w:val="5"/>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2.1.2.6.1整体要求：</w:t>
      </w:r>
    </w:p>
    <w:p w14:paraId="1082F7A3">
      <w:pPr>
        <w:spacing w:line="45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（1）系统安装、补丁升级服务。</w:t>
      </w:r>
    </w:p>
    <w:p w14:paraId="27DB91C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（2）系统检查服务。</w:t>
      </w:r>
    </w:p>
    <w:p w14:paraId="4347FAA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（3）系统配置服务。</w:t>
      </w:r>
    </w:p>
    <w:p w14:paraId="24CFDA14">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（4）数据迁移服务。</w:t>
      </w:r>
    </w:p>
    <w:p w14:paraId="677396A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（5）数据库备份与恢复服务。</w:t>
      </w:r>
    </w:p>
    <w:p w14:paraId="05834FC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（6）数据库故障应急服务。</w:t>
      </w:r>
    </w:p>
    <w:p w14:paraId="358E0BD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（7）数据库性能优化服务。</w:t>
      </w:r>
    </w:p>
    <w:p w14:paraId="14B1DF7D">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（8）数据同步接口配置和开发服务。</w:t>
      </w:r>
    </w:p>
    <w:p w14:paraId="2566BEE2">
      <w:pPr>
        <w:numPr>
          <w:ilvl w:val="0"/>
          <w:numId w:val="0"/>
        </w:numPr>
        <w:spacing w:line="460" w:lineRule="exact"/>
        <w:outlineLvl w:val="5"/>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2.1.2.</w:t>
      </w:r>
      <w:r>
        <w:rPr>
          <w:rFonts w:hint="eastAsia" w:ascii="宋体" w:hAnsi="宋体" w:eastAsia="宋体" w:cs="宋体"/>
          <w:b/>
          <w:bCs/>
          <w:color w:val="auto"/>
          <w:kern w:val="2"/>
          <w:sz w:val="22"/>
          <w:szCs w:val="22"/>
          <w:highlight w:val="none"/>
          <w:lang w:eastAsia="zh-CN" w:bidi="ar-SA"/>
        </w:rPr>
        <w:t>6.2具体要求如下：</w:t>
      </w:r>
    </w:p>
    <w:p w14:paraId="395110D0">
      <w:pPr>
        <w:numPr>
          <w:ilvl w:val="0"/>
          <w:numId w:val="5"/>
        </w:numPr>
        <w:spacing w:line="450" w:lineRule="exact"/>
        <w:ind w:left="420" w:leftChars="0" w:hanging="42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核心数据库管理服务：</w:t>
      </w:r>
    </w:p>
    <w:p w14:paraId="1001B14C">
      <w:pPr>
        <w:spacing w:line="450" w:lineRule="exac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ab/>
      </w:r>
      <w:r>
        <w:rPr>
          <w:rFonts w:hint="eastAsia" w:ascii="宋体" w:hAnsi="宋体" w:eastAsia="宋体" w:cs="宋体"/>
          <w:bCs/>
          <w:color w:val="auto"/>
          <w:sz w:val="22"/>
          <w:szCs w:val="22"/>
          <w:highlight w:val="none"/>
        </w:rPr>
        <w:t>表空间可用性监控、扩展、分配，数据库用户管理，数据库运行过程性能优化和参数调整，监控数据库用户操作行为，提出优化建议和方案，实施数据库安全管理和防护，在业主方要求下开展数据库操作专项审计。</w:t>
      </w:r>
    </w:p>
    <w:p w14:paraId="7AC6DD92">
      <w:pPr>
        <w:numPr>
          <w:ilvl w:val="0"/>
          <w:numId w:val="5"/>
        </w:numPr>
        <w:spacing w:line="450" w:lineRule="exact"/>
        <w:ind w:left="420" w:leftChars="0" w:hanging="42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数据同步：</w:t>
      </w:r>
    </w:p>
    <w:p w14:paraId="24DF998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（1）定期巡检：查看ogg目录使用情况，查看日志抽取情况。</w:t>
      </w:r>
    </w:p>
    <w:p w14:paraId="76CA14F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（2）故障定位，保证分发库ogg复制进程正常运行和同步数据一致性。</w:t>
      </w:r>
    </w:p>
    <w:p w14:paraId="1184A7A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（3）根据要求，新建、调整或删除ogg复制进程配置。</w:t>
      </w:r>
    </w:p>
    <w:p w14:paraId="23DA0B1C">
      <w:pPr>
        <w:numPr>
          <w:ilvl w:val="0"/>
          <w:numId w:val="5"/>
        </w:numPr>
        <w:spacing w:line="450" w:lineRule="exact"/>
        <w:ind w:left="420" w:leftChars="0" w:hanging="42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数据</w:t>
      </w:r>
      <w:r>
        <w:rPr>
          <w:rFonts w:hint="eastAsia" w:ascii="宋体" w:hAnsi="宋体" w:eastAsia="宋体" w:cs="宋体"/>
          <w:b/>
          <w:color w:val="auto"/>
          <w:sz w:val="22"/>
          <w:szCs w:val="22"/>
          <w:highlight w:val="none"/>
          <w:lang w:val="en-US" w:eastAsia="zh-CN"/>
        </w:rPr>
        <w:t>容灾</w:t>
      </w:r>
      <w:r>
        <w:rPr>
          <w:rFonts w:hint="eastAsia" w:ascii="宋体" w:hAnsi="宋体" w:eastAsia="宋体" w:cs="宋体"/>
          <w:b/>
          <w:color w:val="auto"/>
          <w:sz w:val="22"/>
          <w:szCs w:val="22"/>
          <w:highlight w:val="none"/>
        </w:rPr>
        <w:t>：</w:t>
      </w:r>
    </w:p>
    <w:p w14:paraId="4852366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（1）定期巡检：</w:t>
      </w:r>
      <w:r>
        <w:rPr>
          <w:rFonts w:hint="eastAsia" w:ascii="宋体" w:hAnsi="宋体" w:eastAsia="宋体" w:cs="宋体"/>
          <w:bCs/>
          <w:color w:val="auto"/>
          <w:sz w:val="22"/>
          <w:szCs w:val="22"/>
          <w:highlight w:val="none"/>
          <w:lang w:val="en-US" w:eastAsia="zh-CN"/>
        </w:rPr>
        <w:t>查看主备库实例状态、启动模式、保护模式、日志同步情况</w:t>
      </w:r>
      <w:r>
        <w:rPr>
          <w:rFonts w:hint="eastAsia" w:ascii="宋体" w:hAnsi="宋体" w:eastAsia="宋体" w:cs="宋体"/>
          <w:bCs/>
          <w:color w:val="auto"/>
          <w:sz w:val="22"/>
          <w:szCs w:val="22"/>
          <w:highlight w:val="none"/>
        </w:rPr>
        <w:t>。</w:t>
      </w:r>
    </w:p>
    <w:p w14:paraId="4EF5ADB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（2）故障定位，</w:t>
      </w:r>
      <w:r>
        <w:rPr>
          <w:rFonts w:hint="eastAsia" w:ascii="宋体" w:hAnsi="宋体" w:eastAsia="宋体" w:cs="宋体"/>
          <w:bCs/>
          <w:color w:val="auto"/>
          <w:sz w:val="22"/>
          <w:szCs w:val="22"/>
          <w:highlight w:val="none"/>
          <w:lang w:val="en-US" w:eastAsia="zh-CN"/>
        </w:rPr>
        <w:t>保障主备库数据同步正常，随时可切换容灾</w:t>
      </w:r>
      <w:r>
        <w:rPr>
          <w:rFonts w:hint="eastAsia" w:ascii="宋体" w:hAnsi="宋体" w:eastAsia="宋体" w:cs="宋体"/>
          <w:bCs/>
          <w:color w:val="auto"/>
          <w:sz w:val="22"/>
          <w:szCs w:val="22"/>
          <w:highlight w:val="none"/>
        </w:rPr>
        <w:t>。</w:t>
      </w:r>
    </w:p>
    <w:p w14:paraId="43ED1E07">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2.1.2.7</w:t>
      </w:r>
      <w:r>
        <w:rPr>
          <w:rFonts w:hint="eastAsia" w:ascii="宋体" w:hAnsi="宋体" w:eastAsia="宋体" w:cs="宋体"/>
          <w:b/>
          <w:bCs/>
          <w:color w:val="auto"/>
          <w:kern w:val="2"/>
          <w:sz w:val="22"/>
          <w:szCs w:val="22"/>
          <w:highlight w:val="none"/>
          <w:lang w:eastAsia="zh-CN" w:bidi="ar-SA"/>
        </w:rPr>
        <w:t>其他驻点运维</w:t>
      </w:r>
      <w:r>
        <w:rPr>
          <w:rFonts w:hint="eastAsia" w:ascii="宋体" w:hAnsi="宋体" w:eastAsia="宋体" w:cs="宋体"/>
          <w:b/>
          <w:bCs/>
          <w:color w:val="auto"/>
          <w:kern w:val="2"/>
          <w:sz w:val="22"/>
          <w:szCs w:val="22"/>
          <w:highlight w:val="none"/>
          <w:lang w:val="en-US" w:eastAsia="zh-CN" w:bidi="ar-SA"/>
        </w:rPr>
        <w:t>内容及要求</w:t>
      </w:r>
    </w:p>
    <w:p w14:paraId="5FBF8EF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现场常驻服务，要求每工作日提供所有设备的巡检服务，检查系统的日志、设备的状态，分析设备的运行情况；建立完整的设备维护档案，填写设备维修记录；按需提供系统性能调优服务；按照采购方需求及时提供设备上架、安装、配置调整、测试等技术支持服务。</w:t>
      </w:r>
    </w:p>
    <w:p w14:paraId="3A559E6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2）</w:t>
      </w:r>
      <w:r>
        <w:rPr>
          <w:rFonts w:hint="eastAsia" w:ascii="宋体" w:hAnsi="宋体" w:eastAsia="宋体" w:cs="宋体"/>
          <w:bCs/>
          <w:color w:val="auto"/>
          <w:sz w:val="22"/>
          <w:szCs w:val="22"/>
          <w:highlight w:val="none"/>
        </w:rPr>
        <w:t>在现有的</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核心机房网络硬件设备条件下，积极实施网络优化，按照业务需求进行网络设备配置管理。管理核心机房网络线路接入和维护，确保每一新增条网络线路标示明晰，对应准确，物理线路整齐划一。</w:t>
      </w:r>
    </w:p>
    <w:p w14:paraId="64969BA4">
      <w:pPr>
        <w:spacing w:line="460" w:lineRule="exact"/>
        <w:ind w:firstLine="539" w:firstLineChars="245"/>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（3）按照</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机房管理制度，实施标准机房管理，登记和跟进机房运作事务，</w:t>
      </w:r>
      <w:r>
        <w:rPr>
          <w:rFonts w:hint="eastAsia" w:ascii="宋体" w:hAnsi="宋体" w:eastAsia="宋体" w:cs="宋体"/>
          <w:bCs/>
          <w:color w:val="auto"/>
          <w:sz w:val="22"/>
          <w:szCs w:val="22"/>
          <w:highlight w:val="none"/>
          <w:lang w:val="en-US" w:eastAsia="zh-CN"/>
        </w:rPr>
        <w:t>日常监管机房动力环境运行情况，处置动力环境异常情况；</w:t>
      </w:r>
    </w:p>
    <w:p w14:paraId="1D5AAB5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eastAsia="宋体" w:cs="宋体"/>
          <w:bCs/>
          <w:color w:val="auto"/>
          <w:sz w:val="22"/>
          <w:szCs w:val="22"/>
          <w:highlight w:val="none"/>
          <w:lang w:val="en-US" w:eastAsia="zh-CN"/>
        </w:rPr>
        <w:t>维保范围内的</w:t>
      </w:r>
      <w:r>
        <w:rPr>
          <w:rFonts w:hint="eastAsia" w:ascii="宋体" w:hAnsi="宋体" w:eastAsia="宋体" w:cs="宋体"/>
          <w:bCs/>
          <w:color w:val="auto"/>
          <w:sz w:val="22"/>
          <w:szCs w:val="22"/>
          <w:highlight w:val="none"/>
        </w:rPr>
        <w:t>各类设备</w:t>
      </w:r>
      <w:r>
        <w:rPr>
          <w:rFonts w:hint="eastAsia" w:ascii="宋体" w:hAnsi="宋体" w:eastAsia="宋体" w:cs="宋体"/>
          <w:bCs/>
          <w:color w:val="auto"/>
          <w:sz w:val="22"/>
          <w:szCs w:val="22"/>
          <w:highlight w:val="none"/>
          <w:lang w:val="en-US" w:eastAsia="zh-CN"/>
        </w:rPr>
        <w:t>发现</w:t>
      </w:r>
      <w:r>
        <w:rPr>
          <w:rFonts w:hint="eastAsia" w:ascii="宋体" w:hAnsi="宋体" w:eastAsia="宋体" w:cs="宋体"/>
          <w:bCs/>
          <w:color w:val="auto"/>
          <w:sz w:val="22"/>
          <w:szCs w:val="22"/>
          <w:highlight w:val="none"/>
        </w:rPr>
        <w:t>安全漏洞风险</w:t>
      </w:r>
      <w:r>
        <w:rPr>
          <w:rFonts w:hint="eastAsia" w:ascii="宋体" w:hAnsi="宋体" w:eastAsia="宋体" w:cs="宋体"/>
          <w:bCs/>
          <w:color w:val="auto"/>
          <w:sz w:val="22"/>
          <w:szCs w:val="22"/>
          <w:highlight w:val="none"/>
          <w:lang w:val="en-US" w:eastAsia="zh-CN"/>
        </w:rPr>
        <w:t>的，应立即修复；非维保范围内的</w:t>
      </w:r>
      <w:r>
        <w:rPr>
          <w:rFonts w:hint="eastAsia" w:ascii="宋体" w:hAnsi="宋体" w:eastAsia="宋体" w:cs="宋体"/>
          <w:bCs/>
          <w:color w:val="auto"/>
          <w:sz w:val="22"/>
          <w:szCs w:val="22"/>
          <w:highlight w:val="none"/>
        </w:rPr>
        <w:t>各类设备存在安全漏洞风险</w:t>
      </w:r>
      <w:r>
        <w:rPr>
          <w:rFonts w:hint="eastAsia" w:ascii="宋体" w:hAnsi="宋体" w:eastAsia="宋体" w:cs="宋体"/>
          <w:bCs/>
          <w:color w:val="auto"/>
          <w:sz w:val="22"/>
          <w:szCs w:val="22"/>
          <w:highlight w:val="none"/>
          <w:lang w:eastAsia="zh-CN"/>
        </w:rPr>
        <w:t>的</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应配合</w:t>
      </w:r>
      <w:r>
        <w:rPr>
          <w:rFonts w:hint="eastAsia" w:ascii="宋体" w:hAnsi="宋体" w:eastAsia="宋体" w:cs="宋体"/>
          <w:bCs/>
          <w:color w:val="auto"/>
          <w:sz w:val="22"/>
          <w:szCs w:val="22"/>
          <w:highlight w:val="none"/>
        </w:rPr>
        <w:t>修复，确保设备运行安全。</w:t>
      </w:r>
    </w:p>
    <w:p w14:paraId="73917AF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）做好数据库主机安全管理、数据库软件安全管理、应用服务器安全管理，数据容灾和备份安全管理等，确保招标人信息数据保密、系统运行安全和数据存储安全。</w:t>
      </w:r>
    </w:p>
    <w:p w14:paraId="3F89444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）投标人要根据招标要求，建立完整的服务体系、服务方案及应急预案，提供运维周报、故障处置报告、年报、巡检报告等运维报告，并按招标人要求及时上网；及时建立和更新招标人管理的各类设备清单台帐。</w:t>
      </w:r>
    </w:p>
    <w:p w14:paraId="2605EF8E">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）网络维护，维护范围：交管局核心公安网络、与各直属单位之间的互联网络、与交换平台专网端互联的网络（含专网）；交管局核心视频网络及涉及交警IP范围的视频专网；交管局核心互联网络等</w:t>
      </w:r>
    </w:p>
    <w:p w14:paraId="58759884">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 IP地址规划和分配，对回收的地址进行再分配。</w:t>
      </w:r>
    </w:p>
    <w:p w14:paraId="714F20C7">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b.包括核心交换机、列头柜交换机、各大队和车管所接入交换机。</w:t>
      </w:r>
    </w:p>
    <w:p w14:paraId="71FC444D">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c.按照业务需求，配置交换机。</w:t>
      </w:r>
    </w:p>
    <w:p w14:paraId="39FB0252">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d.核心交换机与外部接入交换机发生故障诊断和定位。</w:t>
      </w:r>
    </w:p>
    <w:p w14:paraId="05006015">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e.对核心交换机网络流量分析。对核心交换机性能进行优化。</w:t>
      </w:r>
    </w:p>
    <w:p w14:paraId="08A3ED96">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f.规划边界接入的IP，配置专网接入六合一交换机网络配置。</w:t>
      </w:r>
    </w:p>
    <w:p w14:paraId="3AC52605">
      <w:pPr>
        <w:spacing w:line="450" w:lineRule="exact"/>
        <w:ind w:firstLine="440" w:firstLineChars="200"/>
        <w:rPr>
          <w:rFonts w:hint="eastAsia" w:ascii="宋体" w:hAnsi="宋体" w:eastAsia="宋体" w:cs="宋体"/>
          <w:bCs/>
          <w:color w:val="auto"/>
          <w:sz w:val="22"/>
          <w:szCs w:val="22"/>
          <w:highlight w:val="none"/>
        </w:rPr>
      </w:pPr>
      <w:bookmarkStart w:id="54" w:name="_Hlk46397036"/>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）存储逻辑维护：</w:t>
      </w:r>
    </w:p>
    <w:p w14:paraId="3926E0D8">
      <w:pPr>
        <w:spacing w:line="450" w:lineRule="exact"/>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a.逻辑配置</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含挂载</w:t>
      </w:r>
      <w:r>
        <w:rPr>
          <w:rFonts w:hint="eastAsia" w:ascii="宋体" w:hAnsi="宋体" w:eastAsia="宋体" w:cs="宋体"/>
          <w:bCs/>
          <w:color w:val="auto"/>
          <w:sz w:val="22"/>
          <w:szCs w:val="22"/>
          <w:highlight w:val="none"/>
          <w:lang w:eastAsia="zh-CN"/>
        </w:rPr>
        <w:t>）；</w:t>
      </w:r>
    </w:p>
    <w:p w14:paraId="0A2938A5">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b</w:t>
      </w:r>
      <w:r>
        <w:rPr>
          <w:rFonts w:hint="eastAsia" w:ascii="宋体" w:hAnsi="宋体" w:eastAsia="宋体" w:cs="宋体"/>
          <w:bCs/>
          <w:color w:val="auto"/>
          <w:sz w:val="22"/>
          <w:szCs w:val="22"/>
          <w:highlight w:val="none"/>
        </w:rPr>
        <w:t>. NETAPP存储的snapmirror同步软件管理，共享盘创建、挂载、扩容等。</w:t>
      </w:r>
    </w:p>
    <w:bookmarkEnd w:id="54"/>
    <w:p w14:paraId="5B658E39">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9</w:t>
      </w:r>
      <w:r>
        <w:rPr>
          <w:rFonts w:hint="eastAsia" w:ascii="宋体" w:hAnsi="宋体" w:eastAsia="宋体" w:cs="宋体"/>
          <w:bCs/>
          <w:color w:val="auto"/>
          <w:sz w:val="22"/>
          <w:szCs w:val="22"/>
          <w:highlight w:val="none"/>
        </w:rPr>
        <w:t>）防火墙维护：</w:t>
      </w:r>
    </w:p>
    <w:p w14:paraId="4FBC0028">
      <w:pPr>
        <w:spacing w:line="450" w:lineRule="exact"/>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公安网</w:t>
      </w:r>
      <w:r>
        <w:rPr>
          <w:rFonts w:hint="eastAsia" w:ascii="宋体" w:hAnsi="宋体" w:eastAsia="宋体" w:cs="宋体"/>
          <w:bCs/>
          <w:color w:val="auto"/>
          <w:sz w:val="22"/>
          <w:szCs w:val="22"/>
          <w:highlight w:val="none"/>
        </w:rPr>
        <w:t>核心交换机防火墙、专网防火墙配置服务。</w:t>
      </w:r>
    </w:p>
    <w:p w14:paraId="417ACB22">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）堡垒机平台维护：</w:t>
      </w:r>
    </w:p>
    <w:p w14:paraId="41B94226">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堡垒机用户管理、设备管理、IP地址限制、日志管理。</w:t>
      </w:r>
    </w:p>
    <w:p w14:paraId="0B3F3B30">
      <w:pPr>
        <w:spacing w:line="450" w:lineRule="exact"/>
        <w:ind w:firstLine="440" w:firstLineChars="200"/>
        <w:rPr>
          <w:rFonts w:hint="eastAsia" w:ascii="宋体" w:hAnsi="宋体" w:eastAsia="宋体" w:cs="宋体"/>
          <w:bCs/>
          <w:color w:val="auto"/>
          <w:sz w:val="22"/>
          <w:szCs w:val="22"/>
          <w:highlight w:val="none"/>
        </w:rPr>
      </w:pPr>
      <w:bookmarkStart w:id="55" w:name="_Hlk46407543"/>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）内外网边界维护：</w:t>
      </w:r>
    </w:p>
    <w:p w14:paraId="0DC29BE4">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a.业务配置、排查定位故障</w:t>
      </w:r>
    </w:p>
    <w:p w14:paraId="37FA681D">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b.根据业务需求，新建、调整、删除同步服务。</w:t>
      </w:r>
    </w:p>
    <w:p w14:paraId="52D25544">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c.对各项业务相关备案信息进行登记更新。</w:t>
      </w:r>
    </w:p>
    <w:p w14:paraId="4459B5BA">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d.故障定位、分析、及时修复。</w:t>
      </w:r>
      <w:bookmarkEnd w:id="55"/>
    </w:p>
    <w:p w14:paraId="51AE54D4">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e.内外网的服务策略进行调整和优化。</w:t>
      </w:r>
    </w:p>
    <w:p w14:paraId="732006EE">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）运维脚本定制</w:t>
      </w:r>
    </w:p>
    <w:p w14:paraId="4E206779">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 Linux下shell脚本编写。</w:t>
      </w:r>
    </w:p>
    <w:p w14:paraId="3FBF4676">
      <w:pPr>
        <w:spacing w:line="45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 windows下脚本处理，实现运维自动化处理。</w:t>
      </w:r>
    </w:p>
    <w:p w14:paraId="521731A1">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bookmarkStart w:id="56" w:name="_Toc6441"/>
      <w:r>
        <w:rPr>
          <w:rFonts w:hint="eastAsia" w:ascii="宋体" w:hAnsi="宋体" w:eastAsia="宋体" w:cs="宋体"/>
          <w:b/>
          <w:bCs/>
          <w:color w:val="auto"/>
          <w:kern w:val="2"/>
          <w:sz w:val="22"/>
          <w:szCs w:val="22"/>
          <w:highlight w:val="none"/>
          <w:lang w:val="en-US" w:eastAsia="zh-CN" w:bidi="ar-SA"/>
        </w:rPr>
        <w:t>2.1.2.8专家级兜底服务</w:t>
      </w:r>
    </w:p>
    <w:p w14:paraId="368CA28D">
      <w:pPr>
        <w:numPr>
          <w:ilvl w:val="0"/>
          <w:numId w:val="0"/>
        </w:numPr>
        <w:spacing w:line="460" w:lineRule="exact"/>
        <w:outlineLvl w:val="5"/>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2.1.2.8.1服务范围：</w:t>
      </w:r>
    </w:p>
    <w:p w14:paraId="2CA8995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覆盖</w:t>
      </w:r>
      <w:r>
        <w:rPr>
          <w:rFonts w:hint="eastAsia" w:ascii="宋体" w:hAnsi="宋体" w:eastAsia="宋体" w:cs="宋体"/>
          <w:color w:val="auto"/>
          <w:sz w:val="22"/>
          <w:szCs w:val="22"/>
          <w:highlight w:val="none"/>
        </w:rPr>
        <w:t>ORACLE，</w:t>
      </w:r>
      <w:r>
        <w:rPr>
          <w:rFonts w:hint="eastAsia" w:ascii="宋体" w:hAnsi="宋体" w:eastAsia="宋体" w:cs="宋体"/>
          <w:color w:val="auto"/>
          <w:sz w:val="22"/>
          <w:szCs w:val="22"/>
          <w:highlight w:val="none"/>
          <w:lang w:val="en-US" w:eastAsia="zh-CN"/>
        </w:rPr>
        <w:t>达梦、</w:t>
      </w:r>
      <w:r>
        <w:rPr>
          <w:rFonts w:hint="eastAsia" w:ascii="宋体" w:hAnsi="宋体" w:eastAsia="宋体" w:cs="宋体"/>
          <w:color w:val="auto"/>
          <w:sz w:val="22"/>
          <w:szCs w:val="22"/>
          <w:highlight w:val="none"/>
        </w:rPr>
        <w:t>linux, vmware，</w:t>
      </w:r>
      <w:r>
        <w:rPr>
          <w:rFonts w:hint="eastAsia" w:ascii="宋体" w:hAnsi="宋体" w:eastAsia="宋体" w:cs="宋体"/>
          <w:color w:val="auto"/>
          <w:sz w:val="22"/>
          <w:szCs w:val="22"/>
          <w:highlight w:val="none"/>
          <w:lang w:val="en-US" w:eastAsia="zh-CN"/>
        </w:rPr>
        <w:t>华为</w:t>
      </w:r>
      <w:r>
        <w:rPr>
          <w:rFonts w:hint="eastAsia" w:ascii="宋体" w:hAnsi="宋体" w:eastAsia="宋体" w:cs="宋体"/>
          <w:color w:val="auto"/>
          <w:sz w:val="22"/>
          <w:szCs w:val="22"/>
          <w:highlight w:val="none"/>
        </w:rPr>
        <w:t>文件及块存储、网络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建立运维专业专家服务队伍，</w:t>
      </w:r>
      <w:r>
        <w:rPr>
          <w:rFonts w:hint="eastAsia" w:ascii="宋体" w:hAnsi="宋体" w:eastAsia="宋体" w:cs="宋体"/>
          <w:color w:val="auto"/>
          <w:sz w:val="22"/>
          <w:szCs w:val="22"/>
          <w:highlight w:val="none"/>
          <w:lang w:val="en-US" w:eastAsia="zh-CN"/>
        </w:rPr>
        <w:t>按需</w:t>
      </w:r>
      <w:r>
        <w:rPr>
          <w:rFonts w:hint="eastAsia" w:ascii="宋体" w:hAnsi="宋体" w:eastAsia="宋体" w:cs="宋体"/>
          <w:color w:val="auto"/>
          <w:sz w:val="22"/>
          <w:szCs w:val="22"/>
          <w:highlight w:val="none"/>
        </w:rPr>
        <w:t>现场或远程技术支撑。</w:t>
      </w:r>
    </w:p>
    <w:p w14:paraId="0251E2BE">
      <w:pPr>
        <w:numPr>
          <w:ilvl w:val="0"/>
          <w:numId w:val="0"/>
        </w:numPr>
        <w:spacing w:line="460" w:lineRule="exact"/>
        <w:outlineLvl w:val="5"/>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2.1.2.8.2服务内容：</w:t>
      </w:r>
    </w:p>
    <w:p w14:paraId="3B84A05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数据库专家级服务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因信息系统开发商ORACLE</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达梦</w:t>
      </w:r>
      <w:r>
        <w:rPr>
          <w:rFonts w:hint="eastAsia" w:ascii="宋体" w:hAnsi="宋体" w:eastAsia="宋体" w:cs="宋体"/>
          <w:color w:val="auto"/>
          <w:sz w:val="22"/>
          <w:szCs w:val="22"/>
          <w:highlight w:val="none"/>
        </w:rPr>
        <w:t>认证工程师缺失或者没有运维能力，当应用开发商提出需要</w:t>
      </w:r>
      <w:r>
        <w:rPr>
          <w:rFonts w:hint="eastAsia" w:ascii="宋体" w:hAnsi="宋体" w:eastAsia="宋体" w:cs="宋体"/>
          <w:color w:val="auto"/>
          <w:sz w:val="22"/>
          <w:szCs w:val="22"/>
          <w:highlight w:val="none"/>
          <w:lang w:val="en-US" w:eastAsia="zh-CN"/>
        </w:rPr>
        <w:t>交管局</w:t>
      </w:r>
      <w:r>
        <w:rPr>
          <w:rFonts w:hint="eastAsia" w:ascii="宋体" w:hAnsi="宋体" w:eastAsia="宋体" w:cs="宋体"/>
          <w:color w:val="auto"/>
          <w:sz w:val="22"/>
          <w:szCs w:val="22"/>
          <w:highlight w:val="none"/>
        </w:rPr>
        <w:t>数据库运维技术力量介入处置以及</w:t>
      </w:r>
      <w:r>
        <w:rPr>
          <w:rFonts w:hint="eastAsia" w:ascii="宋体" w:hAnsi="宋体" w:eastAsia="宋体" w:cs="宋体"/>
          <w:color w:val="auto"/>
          <w:sz w:val="22"/>
          <w:szCs w:val="22"/>
          <w:highlight w:val="none"/>
          <w:lang w:val="en-US" w:eastAsia="zh-CN"/>
        </w:rPr>
        <w:t>交管局</w:t>
      </w:r>
      <w:r>
        <w:rPr>
          <w:rFonts w:hint="eastAsia" w:ascii="宋体" w:hAnsi="宋体" w:eastAsia="宋体" w:cs="宋体"/>
          <w:color w:val="auto"/>
          <w:sz w:val="22"/>
          <w:szCs w:val="22"/>
          <w:highlight w:val="none"/>
        </w:rPr>
        <w:t>需要加强对数据库运维和安全管理时，本项目投标商需要提供ORALCE</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达梦数据库</w:t>
      </w:r>
      <w:r>
        <w:rPr>
          <w:rFonts w:hint="eastAsia" w:ascii="宋体" w:hAnsi="宋体" w:eastAsia="宋体" w:cs="宋体"/>
          <w:color w:val="auto"/>
          <w:sz w:val="22"/>
          <w:szCs w:val="22"/>
          <w:highlight w:val="none"/>
        </w:rPr>
        <w:t>兜底</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，确保各</w:t>
      </w:r>
      <w:r>
        <w:rPr>
          <w:rFonts w:hint="eastAsia" w:ascii="宋体" w:hAnsi="宋体" w:eastAsia="宋体" w:cs="宋体"/>
          <w:color w:val="auto"/>
          <w:sz w:val="22"/>
          <w:szCs w:val="22"/>
          <w:highlight w:val="none"/>
          <w:lang w:val="en-US" w:eastAsia="zh-CN"/>
        </w:rPr>
        <w:t>数据库</w:t>
      </w:r>
      <w:r>
        <w:rPr>
          <w:rFonts w:hint="eastAsia" w:ascii="宋体" w:hAnsi="宋体" w:eastAsia="宋体" w:cs="宋体"/>
          <w:color w:val="auto"/>
          <w:sz w:val="22"/>
          <w:szCs w:val="22"/>
          <w:highlight w:val="none"/>
        </w:rPr>
        <w:t>服务正常、数据库系统信息安全。</w:t>
      </w:r>
    </w:p>
    <w:p w14:paraId="1ADF3C0E">
      <w:pPr>
        <w:spacing w:line="45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交管局</w:t>
      </w:r>
      <w:r>
        <w:rPr>
          <w:rFonts w:hint="eastAsia" w:ascii="宋体" w:hAnsi="宋体" w:eastAsia="宋体" w:cs="宋体"/>
          <w:color w:val="auto"/>
          <w:sz w:val="22"/>
          <w:szCs w:val="22"/>
          <w:highlight w:val="none"/>
        </w:rPr>
        <w:t>目前运行的信息系统oracle数据库系统（证据库数据库RAC（公安网）、集成指挥数据库RAC（公安网）、政务网</w:t>
      </w:r>
      <w:r>
        <w:rPr>
          <w:rFonts w:hint="eastAsia" w:ascii="宋体" w:hAnsi="宋体" w:eastAsia="宋体" w:cs="宋体"/>
          <w:color w:val="auto"/>
          <w:sz w:val="22"/>
          <w:szCs w:val="22"/>
          <w:highlight w:val="none"/>
          <w:lang w:val="en-US" w:eastAsia="zh-CN"/>
        </w:rPr>
        <w:t>和专网</w:t>
      </w:r>
      <w:r>
        <w:rPr>
          <w:rFonts w:hint="eastAsia" w:ascii="宋体" w:hAnsi="宋体" w:eastAsia="宋体" w:cs="宋体"/>
          <w:color w:val="auto"/>
          <w:sz w:val="22"/>
          <w:szCs w:val="22"/>
          <w:highlight w:val="none"/>
        </w:rPr>
        <w:t>统一外挂服务ORACLE数据库、机动车安全技术检验监管系统数据库（检验监管专网）、驾驶员考试监管系统数据库（考试监管专网）、</w:t>
      </w:r>
      <w:r>
        <w:rPr>
          <w:rFonts w:hint="eastAsia" w:ascii="宋体" w:hAnsi="宋体" w:eastAsia="宋体" w:cs="宋体"/>
          <w:color w:val="auto"/>
          <w:sz w:val="22"/>
          <w:szCs w:val="22"/>
          <w:highlight w:val="none"/>
          <w:lang w:val="en-US" w:eastAsia="zh-CN"/>
        </w:rPr>
        <w:t>政务网综合收费系统</w:t>
      </w:r>
      <w:r>
        <w:rPr>
          <w:rFonts w:hint="eastAsia" w:ascii="宋体" w:hAnsi="宋体" w:eastAsia="宋体" w:cs="宋体"/>
          <w:color w:val="auto"/>
          <w:sz w:val="22"/>
          <w:szCs w:val="22"/>
          <w:highlight w:val="none"/>
        </w:rPr>
        <w:t>oracle数据库</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交管局勤务系统数据库，在本项目运维期内，因业务需要新安装运行的ORACLE系统，也要纳入本项目运维，要求适用数据库专家级服务。</w:t>
      </w:r>
    </w:p>
    <w:p w14:paraId="1ADDE488">
      <w:pPr>
        <w:numPr>
          <w:ilvl w:val="0"/>
          <w:numId w:val="0"/>
        </w:numPr>
        <w:spacing w:line="460" w:lineRule="exact"/>
        <w:outlineLvl w:val="5"/>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2.1.2.8.3服务频次：</w:t>
      </w:r>
    </w:p>
    <w:p w14:paraId="5C717110">
      <w:pPr>
        <w:spacing w:line="45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驻场人员无法解决故障需专家团队技术支撑时，专家团队需赴现场进行技术支撑。</w:t>
      </w:r>
    </w:p>
    <w:p w14:paraId="5B2B0CFB">
      <w:pPr>
        <w:numPr>
          <w:ilvl w:val="0"/>
          <w:numId w:val="0"/>
        </w:numPr>
        <w:spacing w:line="460" w:lineRule="exact"/>
        <w:outlineLvl w:val="5"/>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2.1.2.8.4专家要求：</w:t>
      </w:r>
    </w:p>
    <w:p w14:paraId="0274E1C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（1）专家团队人员具备RHCA</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CISP、ORACLE OCM、OCP、CCIE 、HCIE</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H3CSE、</w:t>
      </w:r>
      <w:r>
        <w:rPr>
          <w:rFonts w:hint="eastAsia" w:ascii="宋体" w:hAnsi="宋体" w:eastAsia="宋体" w:cs="宋体"/>
          <w:bCs/>
          <w:color w:val="auto"/>
          <w:sz w:val="22"/>
          <w:szCs w:val="22"/>
          <w:highlight w:val="none"/>
        </w:rPr>
        <w:t>VMWARE VCP</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CISAW、信创系统架构师</w:t>
      </w:r>
      <w:r>
        <w:rPr>
          <w:rFonts w:hint="eastAsia" w:ascii="宋体" w:hAnsi="宋体" w:eastAsia="宋体" w:cs="宋体"/>
          <w:bCs/>
          <w:color w:val="auto"/>
          <w:sz w:val="22"/>
          <w:szCs w:val="22"/>
          <w:highlight w:val="none"/>
        </w:rPr>
        <w:t>等证书。</w:t>
      </w:r>
    </w:p>
    <w:p w14:paraId="253F163E">
      <w:pPr>
        <w:spacing w:line="460" w:lineRule="exact"/>
        <w:ind w:firstLine="539" w:firstLineChars="245"/>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val="en-US" w:eastAsia="zh-CN"/>
        </w:rPr>
        <w:t>精通</w:t>
      </w:r>
      <w:r>
        <w:rPr>
          <w:rFonts w:hint="eastAsia" w:ascii="宋体" w:hAnsi="宋体" w:eastAsia="宋体" w:cs="宋体"/>
          <w:bCs/>
          <w:color w:val="auto"/>
          <w:sz w:val="22"/>
          <w:szCs w:val="22"/>
          <w:highlight w:val="none"/>
        </w:rPr>
        <w:t>各类操作系统、PC服务器</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含国产</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和</w:t>
      </w:r>
      <w:r>
        <w:rPr>
          <w:rFonts w:hint="eastAsia" w:ascii="宋体" w:hAnsi="宋体" w:eastAsia="宋体" w:cs="宋体"/>
          <w:bCs/>
          <w:color w:val="auto"/>
          <w:sz w:val="22"/>
          <w:szCs w:val="22"/>
          <w:highlight w:val="none"/>
          <w:lang w:val="en-US" w:eastAsia="zh-CN"/>
        </w:rPr>
        <w:t>华为分布式存储、华为集中式块存储</w:t>
      </w:r>
      <w:r>
        <w:rPr>
          <w:rFonts w:hint="eastAsia" w:ascii="宋体" w:hAnsi="宋体" w:eastAsia="宋体" w:cs="宋体"/>
          <w:bCs/>
          <w:color w:val="auto"/>
          <w:sz w:val="22"/>
          <w:szCs w:val="22"/>
          <w:highlight w:val="none"/>
        </w:rPr>
        <w:t>维护</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对中间件、oracle数据库</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达梦及其他国产数据库</w:t>
      </w:r>
      <w:r>
        <w:rPr>
          <w:rFonts w:hint="eastAsia" w:ascii="宋体" w:hAnsi="宋体" w:eastAsia="宋体" w:cs="宋体"/>
          <w:bCs/>
          <w:color w:val="auto"/>
          <w:sz w:val="22"/>
          <w:szCs w:val="22"/>
          <w:highlight w:val="none"/>
        </w:rPr>
        <w:t>有比较深入的</w:t>
      </w:r>
      <w:r>
        <w:rPr>
          <w:rFonts w:hint="eastAsia" w:ascii="宋体" w:hAnsi="宋体" w:eastAsia="宋体" w:cs="宋体"/>
          <w:bCs/>
          <w:color w:val="auto"/>
          <w:sz w:val="22"/>
          <w:szCs w:val="22"/>
          <w:highlight w:val="none"/>
          <w:lang w:val="en-US" w:eastAsia="zh-CN"/>
        </w:rPr>
        <w:t>研究.</w:t>
      </w:r>
    </w:p>
    <w:p w14:paraId="058D921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（3）以应对系统突发事故，确</w:t>
      </w:r>
      <w:r>
        <w:rPr>
          <w:rFonts w:hint="eastAsia" w:ascii="宋体" w:hAnsi="宋体" w:eastAsia="宋体" w:cs="宋体"/>
          <w:color w:val="auto"/>
          <w:sz w:val="22"/>
          <w:szCs w:val="22"/>
          <w:highlight w:val="none"/>
        </w:rPr>
        <w:t>保关键设备在最短时间内得到响应和恢复。</w:t>
      </w:r>
    </w:p>
    <w:p w14:paraId="1471BEF3">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2.1.3维保设备及服务内容清单</w:t>
      </w:r>
      <w:bookmarkEnd w:id="56"/>
    </w:p>
    <w:tbl>
      <w:tblPr>
        <w:tblStyle w:val="6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
        <w:gridCol w:w="950"/>
        <w:gridCol w:w="1193"/>
        <w:gridCol w:w="756"/>
        <w:gridCol w:w="397"/>
        <w:gridCol w:w="2454"/>
        <w:gridCol w:w="1476"/>
        <w:gridCol w:w="672"/>
        <w:gridCol w:w="895"/>
      </w:tblGrid>
      <w:tr w14:paraId="2D0E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90" w:type="dxa"/>
            <w:gridSpan w:val="9"/>
            <w:tcBorders>
              <w:top w:val="single" w:color="000000" w:sz="4" w:space="0"/>
              <w:left w:val="single" w:color="000000" w:sz="4" w:space="0"/>
              <w:bottom w:val="single" w:color="000000" w:sz="4" w:space="0"/>
              <w:right w:val="single" w:color="000000" w:sz="4" w:space="0"/>
            </w:tcBorders>
            <w:noWrap w:val="0"/>
            <w:vAlign w:val="center"/>
          </w:tcPr>
          <w:p w14:paraId="4D84130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硬件</w:t>
            </w:r>
          </w:p>
        </w:tc>
      </w:tr>
      <w:tr w14:paraId="062F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nil"/>
              <w:left w:val="single" w:color="000000" w:sz="4" w:space="0"/>
              <w:bottom w:val="single" w:color="000000" w:sz="4" w:space="0"/>
              <w:right w:val="single" w:color="000000" w:sz="4" w:space="0"/>
            </w:tcBorders>
            <w:noWrap w:val="0"/>
            <w:vAlign w:val="center"/>
          </w:tcPr>
          <w:p w14:paraId="3EA2983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0" w:type="dxa"/>
            <w:tcBorders>
              <w:top w:val="nil"/>
              <w:left w:val="single" w:color="000000" w:sz="4" w:space="0"/>
              <w:bottom w:val="single" w:color="000000" w:sz="4" w:space="0"/>
              <w:right w:val="single" w:color="000000" w:sz="4" w:space="0"/>
            </w:tcBorders>
            <w:noWrap w:val="0"/>
            <w:vAlign w:val="center"/>
          </w:tcPr>
          <w:p w14:paraId="67C2E07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c>
          <w:tcPr>
            <w:tcW w:w="1193" w:type="dxa"/>
            <w:tcBorders>
              <w:top w:val="nil"/>
              <w:left w:val="single" w:color="000000" w:sz="4" w:space="0"/>
              <w:bottom w:val="single" w:color="000000" w:sz="4" w:space="0"/>
              <w:right w:val="single" w:color="000000" w:sz="4" w:space="0"/>
            </w:tcBorders>
            <w:noWrap w:val="0"/>
            <w:vAlign w:val="center"/>
          </w:tcPr>
          <w:p w14:paraId="7E6C4E3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设备型号</w:t>
            </w:r>
          </w:p>
        </w:tc>
        <w:tc>
          <w:tcPr>
            <w:tcW w:w="756" w:type="dxa"/>
            <w:tcBorders>
              <w:top w:val="nil"/>
              <w:left w:val="single" w:color="000000" w:sz="4" w:space="0"/>
              <w:bottom w:val="single" w:color="000000" w:sz="4" w:space="0"/>
              <w:right w:val="single" w:color="000000" w:sz="4" w:space="0"/>
            </w:tcBorders>
            <w:noWrap w:val="0"/>
            <w:vAlign w:val="center"/>
          </w:tcPr>
          <w:p w14:paraId="5168CDA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品牌</w:t>
            </w:r>
          </w:p>
        </w:tc>
        <w:tc>
          <w:tcPr>
            <w:tcW w:w="397" w:type="dxa"/>
            <w:tcBorders>
              <w:top w:val="nil"/>
              <w:left w:val="single" w:color="000000" w:sz="4" w:space="0"/>
              <w:bottom w:val="single" w:color="000000" w:sz="4" w:space="0"/>
              <w:right w:val="single" w:color="000000" w:sz="4" w:space="0"/>
            </w:tcBorders>
            <w:noWrap w:val="0"/>
            <w:vAlign w:val="center"/>
          </w:tcPr>
          <w:p w14:paraId="6204F27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2454" w:type="dxa"/>
            <w:tcBorders>
              <w:top w:val="nil"/>
              <w:left w:val="single" w:color="000000" w:sz="4" w:space="0"/>
              <w:bottom w:val="single" w:color="000000" w:sz="4" w:space="0"/>
              <w:right w:val="single" w:color="000000" w:sz="4" w:space="0"/>
            </w:tcBorders>
            <w:noWrap w:val="0"/>
            <w:vAlign w:val="center"/>
          </w:tcPr>
          <w:p w14:paraId="36A61BA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序列号</w:t>
            </w:r>
          </w:p>
        </w:tc>
        <w:tc>
          <w:tcPr>
            <w:tcW w:w="1476" w:type="dxa"/>
            <w:tcBorders>
              <w:top w:val="nil"/>
              <w:left w:val="single" w:color="000000" w:sz="4" w:space="0"/>
              <w:bottom w:val="single" w:color="000000" w:sz="4" w:space="0"/>
              <w:right w:val="single" w:color="000000" w:sz="4" w:space="0"/>
            </w:tcBorders>
            <w:noWrap w:val="0"/>
            <w:vAlign w:val="center"/>
          </w:tcPr>
          <w:p w14:paraId="273759A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设备位置</w:t>
            </w:r>
          </w:p>
        </w:tc>
        <w:tc>
          <w:tcPr>
            <w:tcW w:w="672" w:type="dxa"/>
            <w:tcBorders>
              <w:top w:val="nil"/>
              <w:left w:val="single" w:color="000000" w:sz="4" w:space="0"/>
              <w:bottom w:val="single" w:color="000000" w:sz="4" w:space="0"/>
              <w:right w:val="single" w:color="000000" w:sz="4" w:space="0"/>
            </w:tcBorders>
            <w:noWrap w:val="0"/>
            <w:vAlign w:val="center"/>
          </w:tcPr>
          <w:p w14:paraId="6FB5EFE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维护内容</w:t>
            </w:r>
          </w:p>
        </w:tc>
        <w:tc>
          <w:tcPr>
            <w:tcW w:w="895" w:type="dxa"/>
            <w:tcBorders>
              <w:top w:val="nil"/>
              <w:left w:val="single" w:color="000000" w:sz="4" w:space="0"/>
              <w:bottom w:val="single" w:color="000000" w:sz="4" w:space="0"/>
              <w:right w:val="single" w:color="000000" w:sz="4" w:space="0"/>
            </w:tcBorders>
            <w:noWrap w:val="0"/>
            <w:vAlign w:val="center"/>
          </w:tcPr>
          <w:p w14:paraId="000233D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维护要求</w:t>
            </w:r>
          </w:p>
        </w:tc>
      </w:tr>
      <w:tr w14:paraId="1786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DED2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FCF79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E7859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IBM DS4700存储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E0302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IBM</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5E571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06A03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78K0603/KY5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3C1C3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A66F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58711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7C0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D2DA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C28C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6976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netapp fas2554存储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3C3A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netapp</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70E55E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68A15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451606000081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6E8E20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A03</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25CA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E5B8F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2A1C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08B45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3EC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9D834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netapp fas2554存储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6EB34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netapp</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5DA68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DE5D3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451606000082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6C8D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交警专用灾备机房</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C215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2281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6FB1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394EA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B2D9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7BFA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X3850X5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3224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IBM</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4054CC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A1A24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99D0538               99D0546</w:t>
            </w:r>
          </w:p>
          <w:p w14:paraId="37B94E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99D0539</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C755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A17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308F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A642A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2189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0FF7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12CA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E76C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X3850X5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9C9D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IBM</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E55F4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E2609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99D0544</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99D0542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A4CC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DCA8E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7AEE1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3E00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3EA0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1A5B1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40CFA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X3850X5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DD526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IBM</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2709F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709FD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683730/33                683731/32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CEBE7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B26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17193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9F363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CDF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712B6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027F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F3CFB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 ProLiant DL380G7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42EFE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13F01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49139E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CNG030TLDF</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DF11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15C7F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93C4C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3294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972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4B3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A3B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PowerEdge2950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598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戴尔</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1A1217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AD815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DCYMN2X</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D57B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A20</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1351B5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6EE77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0403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A53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77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07B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DELL PowerEdge710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AB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戴尔</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832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CD4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94P913X</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B41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B30</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5DB71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3E14D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7FC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47F6D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7C83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8A503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 ProLiant DL580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7670A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170E82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F704A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CNG651S26M</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FD145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A03</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51AF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6CC99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9FB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6F2DB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E0F7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24D0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 ProLiant DL380G6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B4F2B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57A6E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3002B9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CNG016S19K</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57A156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983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AE7B5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52B0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F65B6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BDEC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E1CC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 ProLiant DL380G6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8779F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惠普</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EA6C7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78135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CNG026SB17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1EAB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A12</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969FB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D5339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DEA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B73CC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1CA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74379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浪潮英信SA5248M4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服务器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1F755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浪潮英信</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7475356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1778B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217284591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217284594</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217259567</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217284589</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217284590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217284592</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217284593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217259566</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E5D2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FBD1D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43AE5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83B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5C60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66BFB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9EB0D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浪潮英信NF5280M4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服务器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0DF76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浪潮英信</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228D7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402C4C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817247071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817242312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AFFE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D3269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D8FB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0565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E88C7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7D1AA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5B9CF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联想think syrver RD640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43B8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联想</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1BA617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DE359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NC01406571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01578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B13</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09D4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C8B1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74E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484A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E75F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02727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华为RH5885 V3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33BD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9FC74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2D794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2102311JWG10J6001563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2102311JWG10J6001562</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2102311JWG10J6001535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2102311JWG10HC002158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18352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06D5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4DD22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0C13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14C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F1A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88E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DELL PowerEdge730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783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戴尔</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DAD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C17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25941663398</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10772864750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77AD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A21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34F7B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0C3C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978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8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C93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344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DELL PowerEdge730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28C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戴尔</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C5E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548F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13605673178</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13748207258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E5353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A21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05FD3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06276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2A7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36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4F8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E0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华为OceanStor 5500 v3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94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D7D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876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2102350HYA10HC000033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2179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DC35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4E6D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669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E51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CEC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689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华为OceanStor 5500 v3扩展框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22D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825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9D3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210235980610HC001618</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210235980610HC001617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55DA4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9BD3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D7DE6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5A01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C31AE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CF4B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9289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S5130S-28S-EI</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6D0C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华三</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4EDA60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5B6C9A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219801A12E9187Q00006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219801A12EM18700001R</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2C03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35050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D3FA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6E12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03059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977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D6C16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华为RH2288H V3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B9A4C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E6DC3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F23681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2102311QGD10H2000250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2102311QGD10H2000235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11C79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A17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645C0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90A1E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3CC0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24ABC5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C24A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DBB8A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交换系统集群A（主）</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9277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合众</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9B2CA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1204F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DC350B-FGCEAN</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6706E8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2CA67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17C28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原厂</w:t>
            </w:r>
          </w:p>
        </w:tc>
      </w:tr>
      <w:tr w14:paraId="3236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8EA3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811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0972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交换系统集群A（备）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A5B5A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合众</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2AF413D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D67CF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DC35020091222805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DD068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53EC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4FE74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原厂</w:t>
            </w:r>
          </w:p>
        </w:tc>
      </w:tr>
      <w:tr w14:paraId="656E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2D917D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37DD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380241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网神安全隔离网闸</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4EDE4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网神</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7C3426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0D0D02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SS0S110640/SS13032901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1A24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15E24D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4D804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5A3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F01C3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DA82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1E874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金电网安网闸</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A8E4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金电</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D0149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53B41B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C0912033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6A4F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C81D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EACA8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04D2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E51D4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E5C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39A99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交换系统B</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68C5C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合众</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7FE4FCF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0E9D0B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DC350B-FGCEAN   DC35020091222805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1B7D3E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8F4F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576B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原厂</w:t>
            </w:r>
          </w:p>
        </w:tc>
      </w:tr>
      <w:tr w14:paraId="0FAD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398D0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386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E967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网神</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EA596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网神</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92A68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CA20E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SS0S190313SS16120221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36346E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7194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3D89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01B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8FDB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37E2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4FEB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集中监控与管理系统</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CF9A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合众</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1C9D353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6D476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CM3502009122802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6423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8460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880EC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2329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6321E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8B78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774BD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专网防火墙A</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26A72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天融信</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2246F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0F50E5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Q1309147031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8BF1B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E3B1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B6F4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3373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4E3FA4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1A9E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34D03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专网防火墙B</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B2A4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天融信</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67FF1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95778B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A1001134081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3933B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9630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DFCA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01A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5F1A6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F48C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专网网络设备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B25F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三层交换机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67CDD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思科</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D35B8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3C4A84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FDO1552X11C               FDO1552X113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54E45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87A90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4D635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2453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3765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ADFB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专网网络设备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567DF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专网三层交换机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1915D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思科</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7431A0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4AE1BE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F0C1346Z32Q</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D8D0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B24</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16FCC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BDCA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262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0CB1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75FAD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3E73D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S5700-52P-LI-AC交换机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D3D68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16A00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3C2187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2102531748YH1000207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52CF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B06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6F049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BFF8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0B0F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42D033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5673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8C5A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堡垒机SASN X3 SERIES</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54FD8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绿盟</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4A25D9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356E14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15-11-L0014</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E07CE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A19</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061D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1126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77D9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F4D5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920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6472E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明御审计系统DAS-A1000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EA1B6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安恒</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448AF4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47E99F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1104X0200026</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25EF8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2FA4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89E3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D79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2947E0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D1F8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5B93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天融信防火墙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9D8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天融信</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05F1E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471704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K121276818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2E87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2C16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4C789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70EC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6247E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422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574A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华为Fusionstorage RA</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3AF6C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1712884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66B31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2102352MQQN0JC000001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2102352MQQN0JC000002</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2102352MQQN0JC000004</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2102352MQQN0JC000003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1107B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9EFE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D28B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F0A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B47CC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84B0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3D9874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CE5855-48T4S2Q-EI交换机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AA0A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4899959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5BA9968">
            <w:pPr>
              <w:jc w:val="center"/>
              <w:rPr>
                <w:rFonts w:hint="eastAsia" w:ascii="宋体" w:hAnsi="宋体" w:eastAsia="宋体" w:cs="宋体"/>
                <w:i w:val="0"/>
                <w:iCs w:val="0"/>
                <w:color w:val="auto"/>
                <w:sz w:val="16"/>
                <w:szCs w:val="16"/>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E50A8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B09</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1159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B58B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2978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2A129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FA791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DD16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华为OceanStor 9000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9D89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2365D4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1D3F9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2102352GYX10JC000008</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2102352GYX10JC000005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2102352GYX10JC000003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2102352GYX10JC000002</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2102352GYX10JC000001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2102352GYX10JC000006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2102352GYX10JC000004</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2102352GYX10JC000007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4B4C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B7D4A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EAD2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64DB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4A229F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636E9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287E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CE6855-48S6Q-HI 交换机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E0002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9A68E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1235C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2102350RTC6TJC001155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2102350RTC6TJB002317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65C859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48D7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7CDE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569A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E5F8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CCB5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6E11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华为2488V5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0DA43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91C5D7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0E0194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2102312BDUN0JC000036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2102312BDUN0JC000035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75B62A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B54C0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5108F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61A4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6D75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CCB44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D39E4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华为2288H V5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07B78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ADAC8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879C1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2102311TXHN0JC000517</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2102311TXHN0JC000520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2102311TXHN0JC000519</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2102311TXHN0JC000516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2102311TXHN0JC000521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2102311TXHN0JC000518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1AAF6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A13</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CE52F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BC3CC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717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9FCB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1308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49BD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华为2288H V5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F157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2731F7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A36AA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2102311TXGN0JC000022</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2102311TXGN0JC000024</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2102311TXGN0JC000021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2102311TXGN0JC000023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5E63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2D3A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F3D9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060A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56573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2766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E5855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华为2288H V5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0F309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6B0540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53ABFC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2102311TYAN0JC000082</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2102311TYAN0JC000085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2102311TYAN0JC000079</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2102311TYAN0JC000078</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2102311TYAN0JC000083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2102311TYAN0JC000081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2102311TYAN0JC000084</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2102311TYAN0JC000080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130269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399B4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5A01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860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D0E3C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3B6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E3129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华为2488 V5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CD5E8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20203C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514B5A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2102312BDUN0JC000037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10A3D2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1BC3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7D2C0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EBF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0F879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0DCB0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E7EA6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曙光天阔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W580-20G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GPU服务器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C3A7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曙光</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151D23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737F9B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9800075801084689</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9800075801084688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76DA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A19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A17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896C9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15A1F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29F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4C74A6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D501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77BF9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中科富星 SNBS-DTP/V2.0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219D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中科富星</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AF317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36383B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424685372671</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424685372695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424685372688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4D6C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EC4ED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81D8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471F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AD293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8AEB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68A072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安全数据交换平台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B8241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合众</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782A5A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70A6C2C">
            <w:pPr>
              <w:jc w:val="center"/>
              <w:rPr>
                <w:rFonts w:hint="eastAsia" w:ascii="宋体" w:hAnsi="宋体" w:eastAsia="宋体" w:cs="宋体"/>
                <w:i w:val="0"/>
                <w:iCs w:val="0"/>
                <w:color w:val="auto"/>
                <w:sz w:val="16"/>
                <w:szCs w:val="16"/>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20CC8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1AF3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06CE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2402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4A6AC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73A9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安全边界平台硬件</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2A7B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网闸</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C0316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网神</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4F42A5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450E590">
            <w:pPr>
              <w:jc w:val="center"/>
              <w:rPr>
                <w:rFonts w:hint="eastAsia" w:ascii="宋体" w:hAnsi="宋体" w:eastAsia="宋体" w:cs="宋体"/>
                <w:i w:val="0"/>
                <w:iCs w:val="0"/>
                <w:color w:val="auto"/>
                <w:sz w:val="16"/>
                <w:szCs w:val="16"/>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BFCC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B29</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0B6CD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E2268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3DE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BE05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647C7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EF86D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 S10512交换机&amp;防火墙</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488B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2CD5D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7AB06A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210235A0L5X18C00000P</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210235A0L5X18C000010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9E66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6F99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CDF5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074D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9B9CC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B9B4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C818C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 LS-5560S-52S-EI</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A06EF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4AFC2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54161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219801A1DJ918CQ00023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219801A1DJ918CQ00026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219801A1DJ918CQ0006M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219801A1DJ918CQ00037</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219801A1DJ918CQ0000F</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219801A1DJ918CQ0006N</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231BD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A24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A24</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18B2F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82F3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69DE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402FEE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6B2A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8CFB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LS-6800-54QT-H3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8DD91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25B003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559F71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210235A2C4H191000009</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210235A2C4H191000023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210235A2C4H191000010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210235A2C4H191000007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51FF3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A24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A24</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FBBF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6E333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611C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A777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D907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1B24B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SNS2124光交机</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A1B2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华为</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7B436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B1C07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ALJ4035N018</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ALJ4031N0AD</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6D7D5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A06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964F5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C26D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6152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1C716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71DAA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04CE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 LS-7503E-M</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12B2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25261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23CF07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210235A1Y1X186000056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210235A1Y1X18600004P</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58D7A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C01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84FE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E6C7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5C2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0B92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D874A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EECDB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 LS-7503E-M</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B3750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15B3E5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1803BC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210235A1Y1X18900003H</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C7529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B31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4A4F0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6B4FC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1E38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216580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8AC7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1537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 S5130S-52P-EI</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BC4BF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707628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0F5433FA">
            <w:pPr>
              <w:jc w:val="center"/>
              <w:rPr>
                <w:rFonts w:hint="eastAsia" w:ascii="宋体" w:hAnsi="宋体" w:eastAsia="宋体" w:cs="宋体"/>
                <w:i w:val="0"/>
                <w:iCs w:val="0"/>
                <w:color w:val="auto"/>
                <w:sz w:val="16"/>
                <w:szCs w:val="16"/>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0BD0F4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楼层</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8B14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28782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204C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22097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D8A8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网络设备</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CA74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 S5130S-28P-EI</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A1822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H3C</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6F7C9F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6E4C7A8D">
            <w:pPr>
              <w:jc w:val="center"/>
              <w:rPr>
                <w:rFonts w:hint="eastAsia" w:ascii="宋体" w:hAnsi="宋体" w:eastAsia="宋体" w:cs="宋体"/>
                <w:i w:val="0"/>
                <w:iCs w:val="0"/>
                <w:color w:val="auto"/>
                <w:sz w:val="16"/>
                <w:szCs w:val="16"/>
                <w:highlight w:val="none"/>
                <w:u w:val="none"/>
              </w:rPr>
            </w:pP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53064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楼层</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DCAA5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硬件保修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5E381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第三方</w:t>
            </w:r>
          </w:p>
        </w:tc>
      </w:tr>
      <w:tr w14:paraId="549C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90" w:type="dxa"/>
            <w:gridSpan w:val="9"/>
            <w:tcBorders>
              <w:top w:val="single" w:color="000000" w:sz="4" w:space="0"/>
              <w:left w:val="single" w:color="000000" w:sz="4" w:space="0"/>
              <w:bottom w:val="single" w:color="000000" w:sz="4" w:space="0"/>
              <w:right w:val="single" w:color="000000" w:sz="4" w:space="0"/>
            </w:tcBorders>
            <w:noWrap w:val="0"/>
            <w:vAlign w:val="center"/>
          </w:tcPr>
          <w:p w14:paraId="2444774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系统软件</w:t>
            </w:r>
          </w:p>
        </w:tc>
      </w:tr>
      <w:tr w14:paraId="1E2C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BE3A1C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B7D81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3F2C4F6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5973F6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明细</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05BA7E5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系统软件描述</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F86360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6E5B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0C9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D44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系统软件</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17E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虚拟化软件</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2FC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vmware</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1E3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Vsphere Enterprise5.0 三套虚拟化集群平台</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0B5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414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C71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C6CA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系统软件</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A37B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软件模块授权</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5D74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合众</w:t>
            </w:r>
          </w:p>
        </w:tc>
        <w:tc>
          <w:tcPr>
            <w:tcW w:w="4999"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4A8DE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合众交换平台的国产数据库授权。支持达梦（dameng），南大通用（GBase），人大金仓（Kingbase），神舟通用（Oscar）</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4A0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63DC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EA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9FC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系统软件</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C7E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防火墙授权码</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759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特征库</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E6B4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核心交换机防火墙IPS特征库授权码，1年</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3A8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r>
      <w:tr w14:paraId="23BB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1D3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B4C0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系统软件</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DE3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防火墙授权码</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BE4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特征库</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094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核心交换机防火墙反病毒安全License，1年</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5A4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r>
      <w:tr w14:paraId="2ACB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90" w:type="dxa"/>
            <w:gridSpan w:val="9"/>
            <w:tcBorders>
              <w:top w:val="single" w:color="000000" w:sz="4" w:space="0"/>
              <w:left w:val="single" w:color="000000" w:sz="4" w:space="0"/>
              <w:bottom w:val="single" w:color="000000" w:sz="4" w:space="0"/>
              <w:right w:val="single" w:color="000000" w:sz="4" w:space="0"/>
            </w:tcBorders>
            <w:noWrap w:val="0"/>
            <w:vAlign w:val="center"/>
          </w:tcPr>
          <w:p w14:paraId="463A8AC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数据库</w:t>
            </w:r>
          </w:p>
        </w:tc>
      </w:tr>
      <w:tr w14:paraId="791A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946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9F88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7DCD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D95A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数据库类型</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CC30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维护内容描述</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E924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30A9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8C8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083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数据库</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02E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数据库</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4CB6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oracle</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588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ORACLE 11G ,含核心数据库RAC、卡口过车库/六合一分发库、集指库等数据库日常运维工作</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C67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D6F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C8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61A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数据库</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DC9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数据同步</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C7B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oracle ogg</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B826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OGG 11.2.0.1，与省分发库保持数据同步</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567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75B0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D26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471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数据库</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298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数据同步</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CA0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oracle dg</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1714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Oracle Data Guard运维</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A03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673F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90" w:type="dxa"/>
            <w:gridSpan w:val="9"/>
            <w:tcBorders>
              <w:top w:val="single" w:color="000000" w:sz="4" w:space="0"/>
              <w:left w:val="single" w:color="000000" w:sz="4" w:space="0"/>
              <w:bottom w:val="single" w:color="000000" w:sz="4" w:space="0"/>
              <w:right w:val="single" w:color="000000" w:sz="4" w:space="0"/>
            </w:tcBorders>
            <w:noWrap w:val="0"/>
            <w:vAlign w:val="center"/>
          </w:tcPr>
          <w:p w14:paraId="20E0EBC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驻点运维</w:t>
            </w:r>
          </w:p>
        </w:tc>
      </w:tr>
      <w:tr w14:paraId="133B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158A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04A9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740F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B4E1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维护内容描述</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3826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5C4F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DB9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0E5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6E8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常驻服务</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68F72">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每工作日提供所有设备的巡检服务，检查系统的日志、设备的状态，分析设备的运行情况；建立完整的设备维护档案，填写设备维修记录；按需提供系统性能调优服务；按照采购方需求及时提供设备上架、安装、配置调整、测试等技术支持服务</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2E5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A14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B3E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D00C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D82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线路维护</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784F055F">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在现有的交管局核心机房网络硬件设备条件下，积极实施网络优化，按照业务需求进行网络设备配置管理。管理核心机房网络线路接入和维护，确保每一新增条网络线路标示明晰，对应准确，物理线路整齐划一</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D99FB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298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F3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0EE7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A64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机房管理</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25BB3AA8">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按照交管局机房管理制度，实施标准机房管理，登记和跟进机房运作事务，日常监管机房动力环境运行情况，处置动力环境异常情况。</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FEF29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62A1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37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71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D8A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安全服务</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3E8D9CB7">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维保范围内的各类设备发现安全漏洞风险的，应立即修复；非维保范围内的各类设备存在安全漏洞风险的，应配合修复，确保设备运行安全。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6386C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27C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9B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C87D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A853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数据安全管理</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08771E05">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做好数据库主机安全管理、数据库软件安全管理、应用服务器安全管理，数据容灾和备份安全管理等，确保招标人信息数据保密、系统运行安全和数据存储安全。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AFCCE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6292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1BB5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2B5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BF2D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文档管理</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14C8639D">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投标人要根据招标要求，建立完整的服务体系、服务方案及应急预案，提供运维周报、故障处置报告、年报、巡检报告等运维报告，并按招标人要求及时上网；及时建立和更新招标人管理的各类设备清单台帐</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5F0BA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0472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89A1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6562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22D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网络维护</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52D3D9FA">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网络维护，维护范围：交管局核心公安网络、与各直属单位之间的互联网络、与交换平台专网端互联的网络（含专网）；交管局核心视频网络及涉及交警IP范围的视频专网；交管局核心互联网络等</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2348D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106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5AB5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FD4F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0410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存储维护</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37D059EF">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a.逻辑配置（含挂载）；</w:t>
            </w:r>
          </w:p>
          <w:p w14:paraId="00E11430">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b. NETAPP存储的snapmirror同步软件管理，共享盘创建、挂载、扩容等。</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21388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40C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9F77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D0A2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22A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防火墙维护</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20CCF6EE">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公安网核心交换机防火墙、专网防火墙配置服务。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0DB64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1D6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5D65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AD3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D4C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堡垒机平台维护</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3D795CD3">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堡垒机用户管理、设备管理、IP地址限制、日志管理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45FBF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D4C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5D1A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3964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0DB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内外网边界维护</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2B8E2AA1">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a.业务配置、排查定位故障</w:t>
            </w:r>
          </w:p>
          <w:p w14:paraId="7FA1CD91">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b.根据业务需求，新建、调整、删除同步服务。</w:t>
            </w:r>
          </w:p>
          <w:p w14:paraId="160DB0CE">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c.对各项业务相关备案信息进行登记更新。</w:t>
            </w:r>
          </w:p>
          <w:p w14:paraId="5B33A70C">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d.故障定位、分析、及时修复。</w:t>
            </w:r>
          </w:p>
          <w:p w14:paraId="46AFEAC2">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e.内外网的服务策略进行调整和优化。</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0A6CBD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0AE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59BF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58F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4FEE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运维脚本定制</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6A22D75B">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 Linux下shell脚本编写。</w:t>
            </w:r>
          </w:p>
          <w:p w14:paraId="2F5F382E">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b. windows下脚本处理，实现运维自动化处理。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272A7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06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78B61">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CE030">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大数据岗运维服务</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518CE">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大数据平台状态日常监控及模型制作管理</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0D9DF0F3">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交换平台实时任务、离线任务配置及任务状态监控，分析平台模型调度任务配置及任务状态监控，现有及新增API接口传输日常巡检，智能运维平台运行状态监控，接应交管局各业务处室模型制作需求、排查模型问题及数据分析，业务数据表检查及补录等数据一致性检查处置。</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82AF7CD">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86B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90" w:type="dxa"/>
            <w:gridSpan w:val="9"/>
            <w:tcBorders>
              <w:top w:val="single" w:color="000000" w:sz="4" w:space="0"/>
              <w:left w:val="single" w:color="000000" w:sz="4" w:space="0"/>
              <w:bottom w:val="single" w:color="000000" w:sz="4" w:space="0"/>
              <w:right w:val="single" w:color="000000" w:sz="4" w:space="0"/>
            </w:tcBorders>
            <w:noWrap w:val="0"/>
            <w:vAlign w:val="center"/>
          </w:tcPr>
          <w:p w14:paraId="583134C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专家级服务</w:t>
            </w:r>
          </w:p>
        </w:tc>
      </w:tr>
      <w:tr w14:paraId="714C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E1C4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45CA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1DDF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F2A5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维护内容描述</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C1D3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3FC2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38CB0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A726D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noWrap w:val="0"/>
            <w:vAlign w:val="center"/>
          </w:tcPr>
          <w:p w14:paraId="5E6124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专家级服务</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7D86FF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达梦等国产数据库，ORACLE,linux, vmware，O9000，Fusionstorage，网络等专业专家服务</w:t>
            </w:r>
          </w:p>
        </w:tc>
        <w:tc>
          <w:tcPr>
            <w:tcW w:w="895" w:type="dxa"/>
            <w:tcBorders>
              <w:top w:val="single" w:color="000000" w:sz="4" w:space="0"/>
              <w:left w:val="single" w:color="000000" w:sz="4" w:space="0"/>
              <w:bottom w:val="single" w:color="000000" w:sz="4" w:space="0"/>
              <w:right w:val="single" w:color="000000" w:sz="4" w:space="0"/>
            </w:tcBorders>
            <w:noWrap/>
            <w:vAlign w:val="center"/>
          </w:tcPr>
          <w:p w14:paraId="1B9786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74E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AD268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0B48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运维服务</w:t>
            </w:r>
          </w:p>
        </w:tc>
        <w:tc>
          <w:tcPr>
            <w:tcW w:w="1949" w:type="dxa"/>
            <w:gridSpan w:val="2"/>
            <w:tcBorders>
              <w:top w:val="single" w:color="000000" w:sz="4" w:space="0"/>
              <w:left w:val="single" w:color="000000" w:sz="4" w:space="0"/>
              <w:bottom w:val="single" w:color="000000" w:sz="4" w:space="0"/>
              <w:right w:val="single" w:color="000000" w:sz="4" w:space="0"/>
            </w:tcBorders>
            <w:noWrap w:val="0"/>
            <w:vAlign w:val="center"/>
          </w:tcPr>
          <w:p w14:paraId="0B3238A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专家级服务</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050FF7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交管局目前运行的信息系统oracle数据库系统及因业务需要新安装运行的ORACLE系统的兜底及专家级服务</w:t>
            </w:r>
          </w:p>
        </w:tc>
        <w:tc>
          <w:tcPr>
            <w:tcW w:w="895" w:type="dxa"/>
            <w:tcBorders>
              <w:top w:val="single" w:color="000000" w:sz="4" w:space="0"/>
              <w:left w:val="single" w:color="000000" w:sz="4" w:space="0"/>
              <w:bottom w:val="single" w:color="000000" w:sz="4" w:space="0"/>
              <w:right w:val="single" w:color="000000" w:sz="4" w:space="0"/>
            </w:tcBorders>
            <w:noWrap/>
            <w:vAlign w:val="center"/>
          </w:tcPr>
          <w:p w14:paraId="19C3D2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20F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90" w:type="dxa"/>
            <w:gridSpan w:val="9"/>
            <w:tcBorders>
              <w:top w:val="single" w:color="000000" w:sz="4" w:space="0"/>
              <w:left w:val="single" w:color="000000" w:sz="4" w:space="0"/>
              <w:bottom w:val="single" w:color="000000" w:sz="4" w:space="0"/>
              <w:right w:val="single" w:color="000000" w:sz="4" w:space="0"/>
            </w:tcBorders>
            <w:noWrap w:val="0"/>
            <w:vAlign w:val="center"/>
          </w:tcPr>
          <w:p w14:paraId="61C91B0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运营商线路租赁</w:t>
            </w:r>
          </w:p>
        </w:tc>
      </w:tr>
      <w:tr w14:paraId="3F32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7267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7399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3BB5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1663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线路类型</w:t>
            </w:r>
          </w:p>
        </w:tc>
        <w:tc>
          <w:tcPr>
            <w:tcW w:w="499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187D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描述</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D582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659D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1882EB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25A2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线路租赁</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05FAB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线路租赁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FB3ED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裸光纤</w:t>
            </w:r>
          </w:p>
        </w:tc>
        <w:tc>
          <w:tcPr>
            <w:tcW w:w="4999" w:type="dxa"/>
            <w:gridSpan w:val="4"/>
            <w:tcBorders>
              <w:top w:val="single" w:color="000000" w:sz="4" w:space="0"/>
              <w:left w:val="single" w:color="000000" w:sz="4" w:space="0"/>
              <w:bottom w:val="single" w:color="000000" w:sz="4" w:space="0"/>
              <w:right w:val="single" w:color="000000" w:sz="4" w:space="0"/>
            </w:tcBorders>
            <w:noWrap w:val="0"/>
            <w:vAlign w:val="center"/>
          </w:tcPr>
          <w:p w14:paraId="51A3223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color w:val="auto"/>
                <w:kern w:val="0"/>
                <w:szCs w:val="21"/>
                <w:highlight w:val="none"/>
                <w:u w:val="single"/>
              </w:rPr>
              <w:t>▲</w:t>
            </w:r>
            <w:r>
              <w:rPr>
                <w:rFonts w:hint="eastAsia" w:ascii="宋体" w:hAnsi="宋体" w:eastAsia="宋体" w:cs="宋体"/>
                <w:i w:val="0"/>
                <w:iCs w:val="0"/>
                <w:color w:val="auto"/>
                <w:kern w:val="0"/>
                <w:sz w:val="16"/>
                <w:szCs w:val="16"/>
                <w:highlight w:val="none"/>
                <w:u w:val="single"/>
                <w:lang w:val="en-US" w:eastAsia="zh-CN" w:bidi="ar"/>
              </w:rPr>
              <w:t>灾备机房到交管局机房裸光纤租赁服务，租赁时间2024年11月20日-2025年11月19日</w:t>
            </w:r>
          </w:p>
        </w:tc>
        <w:tc>
          <w:tcPr>
            <w:tcW w:w="895" w:type="dxa"/>
            <w:tcBorders>
              <w:top w:val="single" w:color="000000" w:sz="4" w:space="0"/>
              <w:left w:val="single" w:color="000000" w:sz="4" w:space="0"/>
              <w:bottom w:val="single" w:color="000000" w:sz="4" w:space="0"/>
              <w:right w:val="single" w:color="000000" w:sz="4" w:space="0"/>
            </w:tcBorders>
            <w:noWrap/>
            <w:vAlign w:val="center"/>
          </w:tcPr>
          <w:p w14:paraId="5469E0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2</w:t>
            </w:r>
          </w:p>
        </w:tc>
      </w:tr>
    </w:tbl>
    <w:p w14:paraId="31A71EAF">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2.1.4数据中心各类核心设备、大数据平台维保及运营商线路租赁考核办法</w:t>
      </w:r>
    </w:p>
    <w:p w14:paraId="3BEF4C4D">
      <w:pPr>
        <w:spacing w:line="460" w:lineRule="exact"/>
        <w:ind w:firstLine="440" w:firstLineChars="200"/>
        <w:rPr>
          <w:rFonts w:hint="eastAsia" w:ascii="宋体" w:hAnsi="宋体" w:eastAsia="宋体" w:cs="宋体"/>
          <w:bCs/>
          <w:color w:val="auto"/>
          <w:sz w:val="22"/>
          <w:szCs w:val="22"/>
          <w:highlight w:val="none"/>
        </w:rPr>
      </w:pPr>
      <w:bookmarkStart w:id="57" w:name="_Toc20704"/>
      <w:r>
        <w:rPr>
          <w:rFonts w:hint="eastAsia" w:ascii="宋体" w:hAnsi="宋体" w:eastAsia="宋体" w:cs="宋体"/>
          <w:bCs/>
          <w:color w:val="auto"/>
          <w:sz w:val="22"/>
          <w:szCs w:val="22"/>
          <w:highlight w:val="none"/>
        </w:rPr>
        <w:t>为进一步规范维护范围内的设备系统管理，建立完善设备系统维护考核监督机制，确保设备系统维护项目按合同履行，特制订系统维护项目管理办法。</w:t>
      </w:r>
    </w:p>
    <w:p w14:paraId="3C30158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一、考核主体</w:t>
      </w:r>
      <w:bookmarkEnd w:id="57"/>
    </w:p>
    <w:p w14:paraId="00C22B02">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维护项目中标单位（以下简称维护单位）履行对维护范围内的设备系统的维护管理职能，监理单位负责对维护单位履行职责进行监督管理，招标人负责对维护单位维护项目的管理指导、签收考核等职责，督促维护单位履行合同。</w:t>
      </w:r>
    </w:p>
    <w:p w14:paraId="4263770D">
      <w:pPr>
        <w:spacing w:line="460" w:lineRule="exact"/>
        <w:ind w:firstLine="440" w:firstLineChars="200"/>
        <w:rPr>
          <w:rFonts w:hint="eastAsia" w:ascii="宋体" w:hAnsi="宋体" w:eastAsia="宋体" w:cs="宋体"/>
          <w:bCs/>
          <w:color w:val="auto"/>
          <w:sz w:val="22"/>
          <w:szCs w:val="22"/>
          <w:highlight w:val="none"/>
        </w:rPr>
      </w:pPr>
      <w:bookmarkStart w:id="58" w:name="_Toc2609"/>
      <w:r>
        <w:rPr>
          <w:rFonts w:hint="eastAsia" w:ascii="宋体" w:hAnsi="宋体" w:eastAsia="宋体" w:cs="宋体"/>
          <w:bCs/>
          <w:color w:val="auto"/>
          <w:sz w:val="22"/>
          <w:szCs w:val="22"/>
          <w:highlight w:val="none"/>
        </w:rPr>
        <w:t>二、考核内容</w:t>
      </w:r>
      <w:bookmarkEnd w:id="58"/>
    </w:p>
    <w:p w14:paraId="1DA2885E">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以交管局本次维护范围内设备系统维护招标文件以及合同为依据，对维护单位维护工作进行监督考核，分为日常维护管理考核和直接扣款考核，主要内容有：</w:t>
      </w:r>
    </w:p>
    <w:p w14:paraId="5B08F562">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（一）人员上岗情况。驻点人员要遵守招标人工作制度、人员要日常现场巡查，有巡查记录，值班人员到位，电话保持畅通，遇有系统损坏情况，及时到达现场进行处置。</w:t>
      </w:r>
    </w:p>
    <w:p w14:paraId="201882BC">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（二）设备登记情况。设备清单招标人要求登记的和运维管理的设备清单要登记清楚、详细、及时更新、完整无差错，做到底数要清楚。</w:t>
      </w:r>
    </w:p>
    <w:p w14:paraId="550BF6A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（三）工作交办情况。要按交办期限保质保量完成工作内容。</w:t>
      </w:r>
    </w:p>
    <w:p w14:paraId="5027D612">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（四）投诉情况。不发生因维护质量、效率等引起</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、大队、中队民警投诉、新闻媒体曝光。</w:t>
      </w:r>
    </w:p>
    <w:p w14:paraId="12FEF06E">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（五）值班落实情况。双休日、国定节假日值班备勤车辆人员落实，落实24小时值班制度，值班电话畅通。</w:t>
      </w:r>
    </w:p>
    <w:p w14:paraId="4E9E71CA">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（六）信息安全管理落实情况。严格按照信息管理制度落实信息安全管理，确保不发生信息泄密事件、确保不发生信息安全事故。</w:t>
      </w:r>
    </w:p>
    <w:p w14:paraId="52FA09A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（七）工作规范记录情况。要规范登记工作日报、周报、月报和年报，相关报告及时上网；运维数据要规范清晰。故障处置、预警处理、性能调优等处理要及时提交报告，报告要尽可能详细。</w:t>
      </w:r>
    </w:p>
    <w:p w14:paraId="25F685DF">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（八）运维效果情况。通过日常巡检、性能调优、预警处理等工作，尽可能让设备运行在最优状态、保持信息系统稳定运行不出故障。意外故障要在规定时间内处置完毕。</w:t>
      </w:r>
    </w:p>
    <w:p w14:paraId="357411EA">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(九)严重的故障及故障逾期处置直接扣款考核。</w:t>
      </w:r>
    </w:p>
    <w:p w14:paraId="2428A622">
      <w:pPr>
        <w:spacing w:line="460" w:lineRule="exact"/>
        <w:ind w:firstLine="440" w:firstLineChars="200"/>
        <w:rPr>
          <w:rFonts w:hint="eastAsia" w:ascii="宋体" w:hAnsi="宋体" w:eastAsia="宋体" w:cs="宋体"/>
          <w:bCs/>
          <w:color w:val="auto"/>
          <w:sz w:val="22"/>
          <w:szCs w:val="22"/>
          <w:highlight w:val="none"/>
        </w:rPr>
      </w:pPr>
      <w:bookmarkStart w:id="59" w:name="_Toc26252"/>
      <w:r>
        <w:rPr>
          <w:rFonts w:hint="eastAsia" w:ascii="宋体" w:hAnsi="宋体" w:eastAsia="宋体" w:cs="宋体"/>
          <w:bCs/>
          <w:color w:val="auto"/>
          <w:sz w:val="22"/>
          <w:szCs w:val="22"/>
          <w:highlight w:val="none"/>
        </w:rPr>
        <w:t>三、考核办法</w:t>
      </w:r>
      <w:bookmarkEnd w:id="59"/>
    </w:p>
    <w:p w14:paraId="0CE735BF">
      <w:pPr>
        <w:spacing w:line="460" w:lineRule="exact"/>
        <w:ind w:firstLine="440" w:firstLineChars="200"/>
        <w:rPr>
          <w:rFonts w:hint="eastAsia" w:ascii="宋体" w:hAnsi="宋体" w:eastAsia="宋体" w:cs="宋体"/>
          <w:bCs/>
          <w:color w:val="auto"/>
          <w:sz w:val="22"/>
          <w:szCs w:val="22"/>
          <w:highlight w:val="none"/>
        </w:rPr>
      </w:pPr>
      <w:bookmarkStart w:id="60" w:name="_Toc28804"/>
      <w:r>
        <w:rPr>
          <w:rFonts w:hint="eastAsia" w:ascii="宋体" w:hAnsi="宋体" w:eastAsia="宋体" w:cs="宋体"/>
          <w:bCs/>
          <w:color w:val="auto"/>
          <w:sz w:val="22"/>
          <w:szCs w:val="22"/>
          <w:highlight w:val="none"/>
        </w:rPr>
        <w:t>根据考核内容和考核标准，招标人发现需要扣分或直接扣款的事项告知监理人员，由监理统一记录并每月汇总情况，填写考核记录单，考核记录单由被考核项目负责人、考核人员签字留档。</w:t>
      </w:r>
      <w:bookmarkEnd w:id="60"/>
    </w:p>
    <w:p w14:paraId="386FDA31">
      <w:pPr>
        <w:spacing w:line="460" w:lineRule="exact"/>
        <w:ind w:firstLine="440" w:firstLineChars="200"/>
        <w:rPr>
          <w:rFonts w:hint="eastAsia" w:ascii="宋体" w:hAnsi="宋体" w:eastAsia="宋体" w:cs="宋体"/>
          <w:bCs/>
          <w:color w:val="auto"/>
          <w:sz w:val="22"/>
          <w:szCs w:val="22"/>
          <w:highlight w:val="none"/>
        </w:rPr>
      </w:pPr>
      <w:bookmarkStart w:id="61" w:name="_Toc3507"/>
      <w:r>
        <w:rPr>
          <w:rFonts w:hint="eastAsia" w:ascii="宋体" w:hAnsi="宋体" w:eastAsia="宋体" w:cs="宋体"/>
          <w:bCs/>
          <w:color w:val="auto"/>
          <w:sz w:val="22"/>
          <w:szCs w:val="22"/>
          <w:highlight w:val="none"/>
        </w:rPr>
        <w:t>四、考核标准</w:t>
      </w:r>
      <w:bookmarkEnd w:id="61"/>
    </w:p>
    <w:p w14:paraId="54E52081">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常维护管理考核（含轻微故障）以百分制的方式进行，时间为维护期内的合同期内每月进行考核。月度总得分在95分（含95分）以上，按全额计取当月日常维护费；得分在95分以下（不含）,按每下降分值扣除相应比例维护费（如：94分，扣除当月日常维护费的1%做为处罚金；93分，扣除当月日常维护费的2%做为处罚金；92分，扣除当月日常维护费的3%做为处罚金。以此类推）；</w:t>
      </w:r>
    </w:p>
    <w:p w14:paraId="32F14BD6">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严重故障考核以直接扣款的方式进行，考核以发生严重故障对招标单位的影响时长计算直接扣款数。</w:t>
      </w:r>
    </w:p>
    <w:p w14:paraId="29086E5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（一）日常维护管理（含轻微故障）考核。</w:t>
      </w:r>
    </w:p>
    <w:p w14:paraId="2EFE049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1、每发生一台次核心数据库故障、核心交换机故障、虚拟化平台、内外网交换平台故障，影响业务轻微的，扣2分；</w:t>
      </w:r>
    </w:p>
    <w:p w14:paraId="252DA6E7">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2、通过日常检查，提前发现核心数据数据库、核心交换机、虚拟化平台、内外网交换平台故障安全隐患，预先进行处置，并提交预警处理或性能调优处理报告的，加2分。</w:t>
      </w:r>
    </w:p>
    <w:p w14:paraId="59F0D109">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3、每发生维保范围内除核心设备（第1点所提）外的其他软硬件设备故障，影响业务轻微的，扣1分。</w:t>
      </w:r>
    </w:p>
    <w:p w14:paraId="15A88A00">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4、通过日常检查，提前发现除核心设备（第1点所提）外的其他软硬件设备故障安全隐患，预先进行处置，并提交预警处理或性能调优处理报告的，加1分。</w:t>
      </w:r>
    </w:p>
    <w:p w14:paraId="7050C84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5、设备和软件在48内不能修复，由交管局安排其它维护单位进行维护的，直接扣除15分。</w:t>
      </w:r>
    </w:p>
    <w:p w14:paraId="1006D3D2">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6、由于维护质量问题，设备和软件因同一故障原因连续抢修（一周内）三次（含）以上，扣3分。</w:t>
      </w:r>
    </w:p>
    <w:p w14:paraId="63FE33A0">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故障处置报告应包含故障设备、故障发生时间、故障发现人、故障影响情况、故障恢复时间和故障具体原因和分析过程等内容，应填写完整，故障原因分析清晰。故障报告填写不完整的，发现一起，扣1分，故障原因分析不清楚的，一次扣３至５分。</w:t>
      </w:r>
    </w:p>
    <w:p w14:paraId="47CDCE1B">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8、故障处置报告故障原因分析清晰，能够证明故障是由于非维保范围内的其他软硬件设备引起的，一次加３至５分。</w:t>
      </w:r>
    </w:p>
    <w:p w14:paraId="47ACD9D1">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9、故障处理内容与实际不符，虚假材料证明的。一经查实，扣15分。</w:t>
      </w:r>
    </w:p>
    <w:p w14:paraId="6E99E47A">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10、交办的工作（电话、短信、微信）不落实、拖延应付，发现一件，每件扣2分，产生严重后果的扣6分。</w:t>
      </w:r>
    </w:p>
    <w:p w14:paraId="6016E291">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 发生因维护质量问题造成上级部门检查不合格，用户部门无法正常工作，严重影响工作的，发现一件，每件视情扣2-6分。</w:t>
      </w:r>
    </w:p>
    <w:p w14:paraId="0658FB30">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12、发生因维护质量问题引起媒体曝光，造成社会不良影响的，发现一件，每件视情扣2-6分。</w:t>
      </w:r>
    </w:p>
    <w:p w14:paraId="24C343EA">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13、发生重大设备损坏导致现场无法及时处理，引起二次事故造成后果的，视情扣5—10分，并承担相应法律责任。</w:t>
      </w:r>
    </w:p>
    <w:p w14:paraId="51F31402">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14、在值班、备勤期间或上班不在岗位时，电话无人接听，每发生一次，扣1分；</w:t>
      </w:r>
    </w:p>
    <w:p w14:paraId="5F85234C">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发现维护单位未按规定进行巡查，每发现一次扣1分，因巡检不到位、未及时发现硬件故障的，发现一次扣3分。对硬件设施进行巡检，对系统运行情况每天进行巡检，并建立巡检台帐，并提供月巡检报告，每月维护单位未进行巡查一天的扣1分，两天扣2分，三天扣3分,以此类推。</w:t>
      </w:r>
    </w:p>
    <w:p w14:paraId="23B6AB3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16、发现硬件设备上架未登记、未做好设备标签、新接入线路未做好标识、网络拓扑未及时更新、巡检记录、周报或月报造假的等，每发现一起扣2分，经督促仍不整改的，每超过一天扣1分。</w:t>
      </w:r>
    </w:p>
    <w:p w14:paraId="3D7BEA86">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17、维保服务周报、故障处置报告应在执行日期结束后7日内提交业主方平台，未提交的，每发现一次扣2分,经督促仍不提交的，每超过一天扣1分。</w:t>
      </w:r>
    </w:p>
    <w:p w14:paraId="7CA23CD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18、维护现场不规范，影响正常办公、现场不清理等，视情扣3分。</w:t>
      </w:r>
    </w:p>
    <w:p w14:paraId="58B3662F">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19、维护人员着装不规范、不整洁，每次1分。</w:t>
      </w:r>
    </w:p>
    <w:p w14:paraId="64EE867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20、驻点人员无故迟到、早退或不在岗位的（前1天有加班的除外），扣2分，旷工半天，扣3分、旷工一天，扣6分，被上级部门查获的，视情扣6至10分。安排B岗人员接替上班的，B岗人员必须提前报到，按正常上班处理。</w:t>
      </w:r>
    </w:p>
    <w:p w14:paraId="6755606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21、由于维护人员技术不足、工作疏忽、操作不当等自身原因造成设备系统运行不正常的，每次发现扣3分。</w:t>
      </w:r>
    </w:p>
    <w:p w14:paraId="4B810A15">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22、达不到省厅及上级单位考核（已明确发文提前要求的），每次扣10分。</w:t>
      </w:r>
    </w:p>
    <w:p w14:paraId="26F4145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23、因维护工作不到位，造成信息安全问题，如系统被非法登陆、系统被入侵、数据被盗取、修改的，视情扣6-10分，数据丢失或遭破坏、系统设备因维护不到位造成数据问题的，直接扣15分。情节严重的，追究法律责任。</w:t>
      </w:r>
    </w:p>
    <w:p w14:paraId="3767D0AB">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24、当月考核分数超过100分的，多余的分数作为奖励计入下个考核月度。</w:t>
      </w:r>
    </w:p>
    <w:p w14:paraId="0FFB04A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（二）严重故障考核。</w:t>
      </w:r>
    </w:p>
    <w:p w14:paraId="59E0129A">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1、因本维保范围内软件、硬件、服务等故障（无冗余设备除外），在主要工作时间段（工作日8:30-22:00)造成</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交管局）业务系统整体非计划停顿，每一小时扣除维保款的1%；无冗余设备故障修复超过2小时的，每一小时扣除维保款的1%，核心或证据库数据库系统故障或其他系统故障产生比较大舆情影响的，判定为交管局业务系统整体停顿，下同。</w:t>
      </w:r>
    </w:p>
    <w:p w14:paraId="558C54F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2、因本维保范围内软件、硬件、服务等故障（无冗余设备除外），在非主要工作时间段（工作日22:00-08:30，及非工作日)造成</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（交管局）业务系统整体非计划停顿，每4小时扣除</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rPr>
        <w:t>的1%。无冗余设备故障修复超过4小时的，每4小时扣除</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rPr>
        <w:t>的1%。</w:t>
      </w:r>
    </w:p>
    <w:p w14:paraId="6627F729">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3、因本维保范围内软件、硬件、服务等故障（无冗余设备除外），在主要工作时间段（工作日8:30-22:00)造成</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（交管局）业务系统部分不可用，每一小时扣除</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rPr>
        <w:t>的0.3%。无冗余设备故障修复超过2小时的，每一小时扣除</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rPr>
        <w:t>的0.3%。核心或证据数据库有一台故障，但整体还可用、或其他相关业务系统不可用，判定为交管局业务系统部分不可用，下同。</w:t>
      </w:r>
    </w:p>
    <w:p w14:paraId="52AB5AD0">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4、因本维保范围内软件、硬件、服务等故障（无冗余设备除外），在非主要工作时间段（工作日22:00-08:30，及非工作日)造成</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（交管局）业务系统部分不可用（如六合一可正常操作用户少于平时一半），每4小时扣除</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rPr>
        <w:t>的0.3%。无冗余设备故障修复超过4小时的，每4小时扣除</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rPr>
        <w:t>的0.3%。</w:t>
      </w:r>
    </w:p>
    <w:p w14:paraId="2B1D7854">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5、内外网交换平台故障造成</w:t>
      </w:r>
      <w:r>
        <w:rPr>
          <w:rFonts w:hint="eastAsia" w:ascii="宋体" w:hAnsi="宋体" w:eastAsia="宋体" w:cs="宋体"/>
          <w:bCs/>
          <w:color w:val="auto"/>
          <w:sz w:val="22"/>
          <w:szCs w:val="22"/>
          <w:highlight w:val="none"/>
          <w:lang w:eastAsia="zh-CN"/>
        </w:rPr>
        <w:t>交管局</w:t>
      </w:r>
      <w:r>
        <w:rPr>
          <w:rFonts w:hint="eastAsia" w:ascii="宋体" w:hAnsi="宋体" w:eastAsia="宋体" w:cs="宋体"/>
          <w:bCs/>
          <w:color w:val="auto"/>
          <w:sz w:val="22"/>
          <w:szCs w:val="22"/>
          <w:highlight w:val="none"/>
        </w:rPr>
        <w:t>（交管局）重要业务系统不可用的，每4小时扣除</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rPr>
        <w:t>的0.5%。</w:t>
      </w:r>
    </w:p>
    <w:p w14:paraId="4747258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五、考核结果</w:t>
      </w:r>
    </w:p>
    <w:p w14:paraId="5B65373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考核结果列入维护单位履行合同记录，并作为最终维护付款费的依据。</w:t>
      </w:r>
    </w:p>
    <w:p w14:paraId="6EE861F4">
      <w:pPr>
        <w:autoSpaceDE w:val="0"/>
        <w:autoSpaceDN w:val="0"/>
        <w:adjustRightInd w:val="0"/>
        <w:snapToGrid w:val="0"/>
        <w:spacing w:line="360" w:lineRule="auto"/>
        <w:ind w:firstLine="498" w:firstLineChars="236"/>
        <w:jc w:val="center"/>
        <w:rPr>
          <w:rFonts w:hint="eastAsia" w:ascii="宋体" w:hAnsi="宋体" w:eastAsia="宋体" w:cs="宋体"/>
          <w:b/>
          <w:color w:val="auto"/>
          <w:szCs w:val="21"/>
          <w:highlight w:val="none"/>
        </w:rPr>
      </w:pPr>
    </w:p>
    <w:p w14:paraId="141F953B">
      <w:pPr>
        <w:autoSpaceDE w:val="0"/>
        <w:autoSpaceDN w:val="0"/>
        <w:adjustRightInd w:val="0"/>
        <w:snapToGrid w:val="0"/>
        <w:spacing w:line="360" w:lineRule="auto"/>
        <w:ind w:firstLine="498" w:firstLineChars="236"/>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温州市公安局交通管理局</w:t>
      </w:r>
      <w:r>
        <w:rPr>
          <w:rFonts w:hint="eastAsia" w:ascii="宋体" w:hAnsi="宋体" w:eastAsia="宋体" w:cs="宋体"/>
          <w:b/>
          <w:color w:val="auto"/>
          <w:szCs w:val="21"/>
          <w:highlight w:val="none"/>
          <w:lang w:val="en-US" w:eastAsia="zh-CN"/>
        </w:rPr>
        <w:t>各类核心设备</w:t>
      </w:r>
      <w:r>
        <w:rPr>
          <w:rFonts w:hint="eastAsia" w:ascii="宋体" w:hAnsi="宋体" w:eastAsia="宋体" w:cs="宋体"/>
          <w:b/>
          <w:color w:val="auto"/>
          <w:szCs w:val="21"/>
          <w:highlight w:val="none"/>
        </w:rPr>
        <w:t>维护月度考核表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
        <w:gridCol w:w="1110"/>
        <w:gridCol w:w="181"/>
        <w:gridCol w:w="1804"/>
        <w:gridCol w:w="283"/>
        <w:gridCol w:w="1559"/>
        <w:gridCol w:w="3598"/>
      </w:tblGrid>
      <w:tr w14:paraId="1B6A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9" w:type="dxa"/>
            <w:gridSpan w:val="6"/>
            <w:noWrap w:val="0"/>
            <w:vAlign w:val="center"/>
          </w:tcPr>
          <w:p w14:paraId="75294FE2">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考核月份</w:t>
            </w:r>
          </w:p>
        </w:tc>
        <w:tc>
          <w:tcPr>
            <w:tcW w:w="5157" w:type="dxa"/>
            <w:gridSpan w:val="2"/>
            <w:noWrap w:val="0"/>
            <w:vAlign w:val="center"/>
          </w:tcPr>
          <w:p w14:paraId="562637A9">
            <w:pPr>
              <w:autoSpaceDE w:val="0"/>
              <w:autoSpaceDN w:val="0"/>
              <w:adjustRightInd w:val="0"/>
              <w:snapToGrid w:val="0"/>
              <w:spacing w:line="360" w:lineRule="auto"/>
              <w:jc w:val="center"/>
              <w:rPr>
                <w:rFonts w:hint="eastAsia" w:ascii="宋体" w:hAnsi="宋体" w:eastAsia="宋体" w:cs="宋体"/>
                <w:color w:val="auto"/>
                <w:szCs w:val="21"/>
                <w:highlight w:val="none"/>
              </w:rPr>
            </w:pPr>
          </w:p>
        </w:tc>
      </w:tr>
      <w:tr w14:paraId="1D92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132" w:type="dxa"/>
            <w:gridSpan w:val="4"/>
            <w:noWrap w:val="0"/>
            <w:vAlign w:val="center"/>
          </w:tcPr>
          <w:p w14:paraId="784E5585">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维护单位：</w:t>
            </w:r>
          </w:p>
        </w:tc>
        <w:tc>
          <w:tcPr>
            <w:tcW w:w="7244" w:type="dxa"/>
            <w:gridSpan w:val="4"/>
            <w:noWrap w:val="0"/>
            <w:vAlign w:val="center"/>
          </w:tcPr>
          <w:p w14:paraId="625C2F70">
            <w:pPr>
              <w:autoSpaceDE w:val="0"/>
              <w:autoSpaceDN w:val="0"/>
              <w:adjustRightInd w:val="0"/>
              <w:snapToGrid w:val="0"/>
              <w:spacing w:line="360" w:lineRule="auto"/>
              <w:jc w:val="center"/>
              <w:rPr>
                <w:rFonts w:hint="eastAsia" w:ascii="宋体" w:hAnsi="宋体" w:eastAsia="宋体" w:cs="宋体"/>
                <w:color w:val="auto"/>
                <w:szCs w:val="21"/>
                <w:highlight w:val="none"/>
              </w:rPr>
            </w:pPr>
          </w:p>
        </w:tc>
      </w:tr>
      <w:tr w14:paraId="30B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519D42A">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119" w:type="dxa"/>
            <w:gridSpan w:val="4"/>
            <w:noWrap w:val="0"/>
            <w:vAlign w:val="center"/>
          </w:tcPr>
          <w:p w14:paraId="02564BBB">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考核内容</w:t>
            </w:r>
          </w:p>
        </w:tc>
        <w:tc>
          <w:tcPr>
            <w:tcW w:w="1842" w:type="dxa"/>
            <w:gridSpan w:val="2"/>
            <w:noWrap w:val="0"/>
            <w:vAlign w:val="center"/>
          </w:tcPr>
          <w:p w14:paraId="2575EFC9">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考核加扣分</w:t>
            </w:r>
          </w:p>
        </w:tc>
        <w:tc>
          <w:tcPr>
            <w:tcW w:w="3598" w:type="dxa"/>
            <w:noWrap w:val="0"/>
            <w:vAlign w:val="center"/>
          </w:tcPr>
          <w:p w14:paraId="37FB2D09">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7B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936" w:type="dxa"/>
            <w:gridSpan w:val="5"/>
            <w:noWrap w:val="0"/>
            <w:vAlign w:val="center"/>
          </w:tcPr>
          <w:p w14:paraId="283B28DE">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（一）日常运维管理</w:t>
            </w:r>
          </w:p>
        </w:tc>
        <w:tc>
          <w:tcPr>
            <w:tcW w:w="1842" w:type="dxa"/>
            <w:gridSpan w:val="2"/>
            <w:noWrap w:val="0"/>
            <w:vAlign w:val="center"/>
          </w:tcPr>
          <w:p w14:paraId="2ED1D866">
            <w:pPr>
              <w:autoSpaceDE w:val="0"/>
              <w:autoSpaceDN w:val="0"/>
              <w:adjustRightInd w:val="0"/>
              <w:snapToGrid w:val="0"/>
              <w:spacing w:line="360" w:lineRule="auto"/>
              <w:jc w:val="center"/>
              <w:rPr>
                <w:rFonts w:hint="eastAsia" w:ascii="宋体" w:hAnsi="宋体" w:eastAsia="宋体" w:cs="宋体"/>
                <w:b/>
                <w:color w:val="auto"/>
                <w:szCs w:val="21"/>
                <w:highlight w:val="none"/>
              </w:rPr>
            </w:pPr>
          </w:p>
        </w:tc>
        <w:tc>
          <w:tcPr>
            <w:tcW w:w="3598" w:type="dxa"/>
            <w:noWrap w:val="0"/>
            <w:vAlign w:val="center"/>
          </w:tcPr>
          <w:p w14:paraId="058A62A8">
            <w:pPr>
              <w:autoSpaceDE w:val="0"/>
              <w:autoSpaceDN w:val="0"/>
              <w:adjustRightInd w:val="0"/>
              <w:snapToGrid w:val="0"/>
              <w:spacing w:line="360" w:lineRule="auto"/>
              <w:jc w:val="center"/>
              <w:rPr>
                <w:rFonts w:hint="eastAsia" w:ascii="宋体" w:hAnsi="宋体" w:eastAsia="宋体" w:cs="宋体"/>
                <w:b/>
                <w:color w:val="auto"/>
                <w:szCs w:val="21"/>
                <w:highlight w:val="none"/>
              </w:rPr>
            </w:pPr>
          </w:p>
        </w:tc>
      </w:tr>
      <w:tr w14:paraId="7A9F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2915829">
            <w:pPr>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3119" w:type="dxa"/>
            <w:gridSpan w:val="4"/>
            <w:noWrap w:val="0"/>
            <w:vAlign w:val="center"/>
          </w:tcPr>
          <w:p w14:paraId="336C1574">
            <w:pPr>
              <w:autoSpaceDE w:val="0"/>
              <w:autoSpaceDN w:val="0"/>
              <w:adjustRightInd w:val="0"/>
              <w:snapToGrid w:val="0"/>
              <w:spacing w:line="360" w:lineRule="auto"/>
              <w:rPr>
                <w:rFonts w:hint="eastAsia" w:ascii="宋体" w:hAnsi="宋体" w:eastAsia="宋体" w:cs="宋体"/>
                <w:color w:val="auto"/>
                <w:szCs w:val="21"/>
                <w:highlight w:val="none"/>
              </w:rPr>
            </w:pPr>
          </w:p>
        </w:tc>
        <w:tc>
          <w:tcPr>
            <w:tcW w:w="1842" w:type="dxa"/>
            <w:gridSpan w:val="2"/>
            <w:noWrap w:val="0"/>
            <w:vAlign w:val="center"/>
          </w:tcPr>
          <w:p w14:paraId="3C12D233">
            <w:pPr>
              <w:autoSpaceDE w:val="0"/>
              <w:autoSpaceDN w:val="0"/>
              <w:adjustRightInd w:val="0"/>
              <w:snapToGrid w:val="0"/>
              <w:spacing w:line="360" w:lineRule="auto"/>
              <w:rPr>
                <w:rFonts w:hint="eastAsia" w:ascii="宋体" w:hAnsi="宋体" w:eastAsia="宋体" w:cs="宋体"/>
                <w:color w:val="auto"/>
                <w:szCs w:val="21"/>
                <w:highlight w:val="none"/>
              </w:rPr>
            </w:pPr>
          </w:p>
        </w:tc>
        <w:tc>
          <w:tcPr>
            <w:tcW w:w="3598" w:type="dxa"/>
            <w:noWrap w:val="0"/>
            <w:vAlign w:val="center"/>
          </w:tcPr>
          <w:p w14:paraId="61508E6A">
            <w:pPr>
              <w:autoSpaceDE w:val="0"/>
              <w:autoSpaceDN w:val="0"/>
              <w:adjustRightInd w:val="0"/>
              <w:snapToGrid w:val="0"/>
              <w:spacing w:line="360" w:lineRule="auto"/>
              <w:rPr>
                <w:rFonts w:hint="eastAsia" w:ascii="宋体" w:hAnsi="宋体" w:eastAsia="宋体" w:cs="宋体"/>
                <w:color w:val="auto"/>
                <w:szCs w:val="21"/>
                <w:highlight w:val="none"/>
              </w:rPr>
            </w:pPr>
          </w:p>
        </w:tc>
      </w:tr>
      <w:tr w14:paraId="320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C2D67C3">
            <w:pPr>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3119" w:type="dxa"/>
            <w:gridSpan w:val="4"/>
            <w:noWrap w:val="0"/>
            <w:vAlign w:val="center"/>
          </w:tcPr>
          <w:p w14:paraId="5CB05BB3">
            <w:pPr>
              <w:autoSpaceDE w:val="0"/>
              <w:autoSpaceDN w:val="0"/>
              <w:adjustRightInd w:val="0"/>
              <w:snapToGrid w:val="0"/>
              <w:spacing w:line="360" w:lineRule="auto"/>
              <w:rPr>
                <w:rFonts w:hint="eastAsia" w:ascii="宋体" w:hAnsi="宋体" w:eastAsia="宋体" w:cs="宋体"/>
                <w:color w:val="auto"/>
                <w:szCs w:val="21"/>
                <w:highlight w:val="none"/>
              </w:rPr>
            </w:pPr>
          </w:p>
        </w:tc>
        <w:tc>
          <w:tcPr>
            <w:tcW w:w="1842" w:type="dxa"/>
            <w:gridSpan w:val="2"/>
            <w:noWrap w:val="0"/>
            <w:vAlign w:val="center"/>
          </w:tcPr>
          <w:p w14:paraId="1514B96D">
            <w:pPr>
              <w:autoSpaceDE w:val="0"/>
              <w:autoSpaceDN w:val="0"/>
              <w:adjustRightInd w:val="0"/>
              <w:snapToGrid w:val="0"/>
              <w:spacing w:line="360" w:lineRule="auto"/>
              <w:rPr>
                <w:rFonts w:hint="eastAsia" w:ascii="宋体" w:hAnsi="宋体" w:eastAsia="宋体" w:cs="宋体"/>
                <w:color w:val="auto"/>
                <w:szCs w:val="21"/>
                <w:highlight w:val="none"/>
              </w:rPr>
            </w:pPr>
          </w:p>
        </w:tc>
        <w:tc>
          <w:tcPr>
            <w:tcW w:w="3598" w:type="dxa"/>
            <w:noWrap w:val="0"/>
            <w:vAlign w:val="center"/>
          </w:tcPr>
          <w:p w14:paraId="7E0CF1E0">
            <w:pPr>
              <w:autoSpaceDE w:val="0"/>
              <w:autoSpaceDN w:val="0"/>
              <w:adjustRightInd w:val="0"/>
              <w:snapToGrid w:val="0"/>
              <w:spacing w:line="360" w:lineRule="auto"/>
              <w:rPr>
                <w:rFonts w:hint="eastAsia" w:ascii="宋体" w:hAnsi="宋体" w:eastAsia="宋体" w:cs="宋体"/>
                <w:color w:val="auto"/>
                <w:szCs w:val="21"/>
                <w:highlight w:val="none"/>
              </w:rPr>
            </w:pPr>
          </w:p>
        </w:tc>
      </w:tr>
      <w:tr w14:paraId="42A4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5"/>
            <w:noWrap w:val="0"/>
            <w:vAlign w:val="center"/>
          </w:tcPr>
          <w:p w14:paraId="7252680A">
            <w:pPr>
              <w:snapToGrid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考核得分</w:t>
            </w:r>
          </w:p>
        </w:tc>
        <w:tc>
          <w:tcPr>
            <w:tcW w:w="1842" w:type="dxa"/>
            <w:gridSpan w:val="2"/>
            <w:noWrap w:val="0"/>
            <w:vAlign w:val="center"/>
          </w:tcPr>
          <w:p w14:paraId="48B84FE6">
            <w:pPr>
              <w:autoSpaceDE w:val="0"/>
              <w:autoSpaceDN w:val="0"/>
              <w:adjustRightInd w:val="0"/>
              <w:snapToGrid w:val="0"/>
              <w:spacing w:line="360" w:lineRule="auto"/>
              <w:rPr>
                <w:rFonts w:hint="eastAsia" w:ascii="宋体" w:hAnsi="宋体" w:eastAsia="宋体" w:cs="宋体"/>
                <w:color w:val="auto"/>
                <w:szCs w:val="21"/>
                <w:highlight w:val="none"/>
              </w:rPr>
            </w:pPr>
          </w:p>
        </w:tc>
        <w:tc>
          <w:tcPr>
            <w:tcW w:w="3598" w:type="dxa"/>
            <w:noWrap w:val="0"/>
            <w:vAlign w:val="center"/>
          </w:tcPr>
          <w:p w14:paraId="11773514">
            <w:pPr>
              <w:autoSpaceDE w:val="0"/>
              <w:autoSpaceDN w:val="0"/>
              <w:adjustRightInd w:val="0"/>
              <w:snapToGrid w:val="0"/>
              <w:spacing w:line="360" w:lineRule="auto"/>
              <w:rPr>
                <w:rFonts w:hint="eastAsia" w:ascii="宋体" w:hAnsi="宋体" w:eastAsia="宋体" w:cs="宋体"/>
                <w:color w:val="auto"/>
                <w:szCs w:val="21"/>
                <w:highlight w:val="none"/>
              </w:rPr>
            </w:pPr>
          </w:p>
        </w:tc>
      </w:tr>
      <w:tr w14:paraId="6207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5"/>
            <w:noWrap w:val="0"/>
            <w:vAlign w:val="center"/>
          </w:tcPr>
          <w:p w14:paraId="07955B94">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日常运维管理扣款</w:t>
            </w:r>
          </w:p>
        </w:tc>
        <w:tc>
          <w:tcPr>
            <w:tcW w:w="5440" w:type="dxa"/>
            <w:gridSpan w:val="3"/>
            <w:noWrap w:val="0"/>
            <w:vAlign w:val="center"/>
          </w:tcPr>
          <w:p w14:paraId="59B946D5">
            <w:pPr>
              <w:autoSpaceDE w:val="0"/>
              <w:autoSpaceDN w:val="0"/>
              <w:adjustRightInd w:val="0"/>
              <w:snapToGrid w:val="0"/>
              <w:spacing w:line="360" w:lineRule="auto"/>
              <w:rPr>
                <w:rFonts w:hint="eastAsia" w:ascii="宋体" w:hAnsi="宋体" w:eastAsia="宋体" w:cs="宋体"/>
                <w:color w:val="auto"/>
                <w:szCs w:val="21"/>
                <w:highlight w:val="none"/>
              </w:rPr>
            </w:pPr>
          </w:p>
        </w:tc>
      </w:tr>
      <w:tr w14:paraId="39E3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5"/>
            <w:noWrap w:val="0"/>
            <w:vAlign w:val="center"/>
          </w:tcPr>
          <w:p w14:paraId="7A100B8E">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（二）严重故障考核</w:t>
            </w:r>
          </w:p>
        </w:tc>
        <w:tc>
          <w:tcPr>
            <w:tcW w:w="1842" w:type="dxa"/>
            <w:gridSpan w:val="2"/>
            <w:noWrap w:val="0"/>
            <w:vAlign w:val="center"/>
          </w:tcPr>
          <w:p w14:paraId="40056FF5">
            <w:pPr>
              <w:autoSpaceDE w:val="0"/>
              <w:autoSpaceDN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扣款数</w:t>
            </w:r>
          </w:p>
        </w:tc>
        <w:tc>
          <w:tcPr>
            <w:tcW w:w="3598" w:type="dxa"/>
            <w:noWrap w:val="0"/>
            <w:vAlign w:val="center"/>
          </w:tcPr>
          <w:p w14:paraId="06D24A66">
            <w:pPr>
              <w:autoSpaceDE w:val="0"/>
              <w:autoSpaceDN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4B1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gridSpan w:val="2"/>
            <w:noWrap w:val="0"/>
            <w:vAlign w:val="center"/>
          </w:tcPr>
          <w:p w14:paraId="65077027">
            <w:pPr>
              <w:autoSpaceDE w:val="0"/>
              <w:autoSpaceDN w:val="0"/>
              <w:adjustRightInd w:val="0"/>
              <w:snapToGrid w:val="0"/>
              <w:spacing w:line="360" w:lineRule="auto"/>
              <w:jc w:val="center"/>
              <w:rPr>
                <w:rFonts w:hint="eastAsia" w:ascii="宋体" w:hAnsi="宋体" w:eastAsia="宋体" w:cs="宋体"/>
                <w:b/>
                <w:color w:val="auto"/>
                <w:szCs w:val="21"/>
                <w:highlight w:val="none"/>
              </w:rPr>
            </w:pPr>
          </w:p>
        </w:tc>
        <w:tc>
          <w:tcPr>
            <w:tcW w:w="3095" w:type="dxa"/>
            <w:gridSpan w:val="3"/>
            <w:noWrap w:val="0"/>
            <w:vAlign w:val="center"/>
          </w:tcPr>
          <w:p w14:paraId="1AAD10D8">
            <w:pPr>
              <w:autoSpaceDE w:val="0"/>
              <w:autoSpaceDN w:val="0"/>
              <w:adjustRightInd w:val="0"/>
              <w:snapToGrid w:val="0"/>
              <w:spacing w:line="360" w:lineRule="auto"/>
              <w:rPr>
                <w:rFonts w:hint="eastAsia" w:ascii="宋体" w:hAnsi="宋体" w:eastAsia="宋体" w:cs="宋体"/>
                <w:color w:val="auto"/>
                <w:szCs w:val="21"/>
                <w:highlight w:val="none"/>
              </w:rPr>
            </w:pPr>
          </w:p>
        </w:tc>
        <w:tc>
          <w:tcPr>
            <w:tcW w:w="1842" w:type="dxa"/>
            <w:gridSpan w:val="2"/>
            <w:noWrap w:val="0"/>
            <w:vAlign w:val="center"/>
          </w:tcPr>
          <w:p w14:paraId="7C625E17">
            <w:pPr>
              <w:autoSpaceDE w:val="0"/>
              <w:autoSpaceDN w:val="0"/>
              <w:adjustRightInd w:val="0"/>
              <w:snapToGrid w:val="0"/>
              <w:spacing w:line="360" w:lineRule="auto"/>
              <w:rPr>
                <w:rFonts w:hint="eastAsia" w:ascii="宋体" w:hAnsi="宋体" w:eastAsia="宋体" w:cs="宋体"/>
                <w:color w:val="auto"/>
                <w:szCs w:val="21"/>
                <w:highlight w:val="none"/>
              </w:rPr>
            </w:pPr>
          </w:p>
        </w:tc>
        <w:tc>
          <w:tcPr>
            <w:tcW w:w="3598" w:type="dxa"/>
            <w:noWrap w:val="0"/>
            <w:vAlign w:val="center"/>
          </w:tcPr>
          <w:p w14:paraId="4A9B2AC8">
            <w:pPr>
              <w:autoSpaceDE w:val="0"/>
              <w:autoSpaceDN w:val="0"/>
              <w:adjustRightInd w:val="0"/>
              <w:snapToGrid w:val="0"/>
              <w:spacing w:line="360" w:lineRule="auto"/>
              <w:rPr>
                <w:rFonts w:hint="eastAsia" w:ascii="宋体" w:hAnsi="宋体" w:eastAsia="宋体" w:cs="宋体"/>
                <w:color w:val="auto"/>
                <w:szCs w:val="21"/>
                <w:highlight w:val="none"/>
              </w:rPr>
            </w:pPr>
          </w:p>
        </w:tc>
      </w:tr>
      <w:tr w14:paraId="5963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gridSpan w:val="2"/>
            <w:noWrap w:val="0"/>
            <w:vAlign w:val="center"/>
          </w:tcPr>
          <w:p w14:paraId="3B70ABE5">
            <w:pPr>
              <w:autoSpaceDE w:val="0"/>
              <w:autoSpaceDN w:val="0"/>
              <w:adjustRightInd w:val="0"/>
              <w:snapToGrid w:val="0"/>
              <w:spacing w:line="360" w:lineRule="auto"/>
              <w:jc w:val="center"/>
              <w:rPr>
                <w:rFonts w:hint="eastAsia" w:ascii="宋体" w:hAnsi="宋体" w:eastAsia="宋体" w:cs="宋体"/>
                <w:b/>
                <w:color w:val="auto"/>
                <w:szCs w:val="21"/>
                <w:highlight w:val="none"/>
              </w:rPr>
            </w:pPr>
          </w:p>
        </w:tc>
        <w:tc>
          <w:tcPr>
            <w:tcW w:w="3095" w:type="dxa"/>
            <w:gridSpan w:val="3"/>
            <w:noWrap w:val="0"/>
            <w:vAlign w:val="center"/>
          </w:tcPr>
          <w:p w14:paraId="1085B2A2">
            <w:pPr>
              <w:autoSpaceDE w:val="0"/>
              <w:autoSpaceDN w:val="0"/>
              <w:adjustRightInd w:val="0"/>
              <w:snapToGrid w:val="0"/>
              <w:spacing w:line="360" w:lineRule="auto"/>
              <w:rPr>
                <w:rFonts w:hint="eastAsia" w:ascii="宋体" w:hAnsi="宋体" w:eastAsia="宋体" w:cs="宋体"/>
                <w:color w:val="auto"/>
                <w:szCs w:val="21"/>
                <w:highlight w:val="none"/>
              </w:rPr>
            </w:pPr>
          </w:p>
        </w:tc>
        <w:tc>
          <w:tcPr>
            <w:tcW w:w="1842" w:type="dxa"/>
            <w:gridSpan w:val="2"/>
            <w:noWrap w:val="0"/>
            <w:vAlign w:val="center"/>
          </w:tcPr>
          <w:p w14:paraId="283555A2">
            <w:pPr>
              <w:autoSpaceDE w:val="0"/>
              <w:autoSpaceDN w:val="0"/>
              <w:adjustRightInd w:val="0"/>
              <w:snapToGrid w:val="0"/>
              <w:spacing w:line="360" w:lineRule="auto"/>
              <w:rPr>
                <w:rFonts w:hint="eastAsia" w:ascii="宋体" w:hAnsi="宋体" w:eastAsia="宋体" w:cs="宋体"/>
                <w:color w:val="auto"/>
                <w:szCs w:val="21"/>
                <w:highlight w:val="none"/>
              </w:rPr>
            </w:pPr>
          </w:p>
        </w:tc>
        <w:tc>
          <w:tcPr>
            <w:tcW w:w="3598" w:type="dxa"/>
            <w:noWrap w:val="0"/>
            <w:vAlign w:val="center"/>
          </w:tcPr>
          <w:p w14:paraId="0C1C67CF">
            <w:pPr>
              <w:autoSpaceDE w:val="0"/>
              <w:autoSpaceDN w:val="0"/>
              <w:adjustRightInd w:val="0"/>
              <w:snapToGrid w:val="0"/>
              <w:spacing w:line="360" w:lineRule="auto"/>
              <w:rPr>
                <w:rFonts w:hint="eastAsia" w:ascii="宋体" w:hAnsi="宋体" w:eastAsia="宋体" w:cs="宋体"/>
                <w:color w:val="auto"/>
                <w:szCs w:val="21"/>
                <w:highlight w:val="none"/>
              </w:rPr>
            </w:pPr>
          </w:p>
        </w:tc>
      </w:tr>
      <w:tr w14:paraId="1010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41" w:type="dxa"/>
            <w:gridSpan w:val="2"/>
            <w:noWrap w:val="0"/>
            <w:vAlign w:val="center"/>
          </w:tcPr>
          <w:p w14:paraId="03C8C59B">
            <w:pPr>
              <w:autoSpaceDE w:val="0"/>
              <w:autoSpaceDN w:val="0"/>
              <w:adjustRightInd w:val="0"/>
              <w:snapToGrid w:val="0"/>
              <w:spacing w:line="360" w:lineRule="auto"/>
              <w:jc w:val="center"/>
              <w:rPr>
                <w:rFonts w:hint="eastAsia" w:ascii="宋体" w:hAnsi="宋体" w:eastAsia="宋体" w:cs="宋体"/>
                <w:b/>
                <w:color w:val="auto"/>
                <w:szCs w:val="21"/>
                <w:highlight w:val="none"/>
              </w:rPr>
            </w:pPr>
          </w:p>
        </w:tc>
        <w:tc>
          <w:tcPr>
            <w:tcW w:w="3095" w:type="dxa"/>
            <w:gridSpan w:val="3"/>
            <w:noWrap w:val="0"/>
            <w:vAlign w:val="center"/>
          </w:tcPr>
          <w:p w14:paraId="1FD9E22E">
            <w:pPr>
              <w:autoSpaceDE w:val="0"/>
              <w:autoSpaceDN w:val="0"/>
              <w:adjustRightInd w:val="0"/>
              <w:snapToGrid w:val="0"/>
              <w:spacing w:line="360" w:lineRule="auto"/>
              <w:rPr>
                <w:rFonts w:hint="eastAsia" w:ascii="宋体" w:hAnsi="宋体" w:eastAsia="宋体" w:cs="宋体"/>
                <w:color w:val="auto"/>
                <w:szCs w:val="21"/>
                <w:highlight w:val="none"/>
              </w:rPr>
            </w:pPr>
          </w:p>
        </w:tc>
        <w:tc>
          <w:tcPr>
            <w:tcW w:w="1842" w:type="dxa"/>
            <w:gridSpan w:val="2"/>
            <w:noWrap w:val="0"/>
            <w:vAlign w:val="center"/>
          </w:tcPr>
          <w:p w14:paraId="2C26C462">
            <w:pPr>
              <w:autoSpaceDE w:val="0"/>
              <w:autoSpaceDN w:val="0"/>
              <w:adjustRightInd w:val="0"/>
              <w:snapToGrid w:val="0"/>
              <w:spacing w:line="360" w:lineRule="auto"/>
              <w:rPr>
                <w:rFonts w:hint="eastAsia" w:ascii="宋体" w:hAnsi="宋体" w:eastAsia="宋体" w:cs="宋体"/>
                <w:color w:val="auto"/>
                <w:szCs w:val="21"/>
                <w:highlight w:val="none"/>
              </w:rPr>
            </w:pPr>
          </w:p>
        </w:tc>
        <w:tc>
          <w:tcPr>
            <w:tcW w:w="3598" w:type="dxa"/>
            <w:noWrap w:val="0"/>
            <w:vAlign w:val="center"/>
          </w:tcPr>
          <w:p w14:paraId="5D43FDDF">
            <w:pPr>
              <w:autoSpaceDE w:val="0"/>
              <w:autoSpaceDN w:val="0"/>
              <w:adjustRightInd w:val="0"/>
              <w:snapToGrid w:val="0"/>
              <w:spacing w:line="360" w:lineRule="auto"/>
              <w:rPr>
                <w:rFonts w:hint="eastAsia" w:ascii="宋体" w:hAnsi="宋体" w:eastAsia="宋体" w:cs="宋体"/>
                <w:color w:val="auto"/>
                <w:szCs w:val="21"/>
                <w:highlight w:val="none"/>
              </w:rPr>
            </w:pPr>
          </w:p>
        </w:tc>
      </w:tr>
      <w:tr w14:paraId="009B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5"/>
            <w:noWrap w:val="0"/>
            <w:vAlign w:val="center"/>
          </w:tcPr>
          <w:p w14:paraId="65B46CA3">
            <w:pPr>
              <w:autoSpaceDE w:val="0"/>
              <w:autoSpaceDN w:val="0"/>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月度直接扣款</w:t>
            </w:r>
          </w:p>
        </w:tc>
        <w:tc>
          <w:tcPr>
            <w:tcW w:w="5440" w:type="dxa"/>
            <w:gridSpan w:val="3"/>
            <w:noWrap w:val="0"/>
            <w:vAlign w:val="center"/>
          </w:tcPr>
          <w:p w14:paraId="43DA3BAD">
            <w:pPr>
              <w:autoSpaceDE w:val="0"/>
              <w:autoSpaceDN w:val="0"/>
              <w:adjustRightInd w:val="0"/>
              <w:snapToGrid w:val="0"/>
              <w:spacing w:line="360" w:lineRule="auto"/>
              <w:rPr>
                <w:rFonts w:hint="eastAsia" w:ascii="宋体" w:hAnsi="宋体" w:eastAsia="宋体" w:cs="宋体"/>
                <w:color w:val="auto"/>
                <w:szCs w:val="21"/>
                <w:highlight w:val="none"/>
              </w:rPr>
            </w:pPr>
          </w:p>
        </w:tc>
      </w:tr>
      <w:tr w14:paraId="4AAF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5"/>
            <w:noWrap w:val="0"/>
            <w:vAlign w:val="center"/>
          </w:tcPr>
          <w:p w14:paraId="50693526">
            <w:pPr>
              <w:autoSpaceDE w:val="0"/>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月度总扣款</w:t>
            </w:r>
          </w:p>
        </w:tc>
        <w:tc>
          <w:tcPr>
            <w:tcW w:w="5440" w:type="dxa"/>
            <w:gridSpan w:val="3"/>
            <w:noWrap w:val="0"/>
            <w:vAlign w:val="center"/>
          </w:tcPr>
          <w:p w14:paraId="794271EF">
            <w:pPr>
              <w:autoSpaceDE w:val="0"/>
              <w:autoSpaceDN w:val="0"/>
              <w:adjustRightInd w:val="0"/>
              <w:snapToGrid w:val="0"/>
              <w:spacing w:line="360" w:lineRule="auto"/>
              <w:rPr>
                <w:rFonts w:hint="eastAsia" w:ascii="宋体" w:hAnsi="宋体" w:eastAsia="宋体" w:cs="宋体"/>
                <w:color w:val="auto"/>
                <w:szCs w:val="21"/>
                <w:highlight w:val="none"/>
              </w:rPr>
            </w:pPr>
          </w:p>
        </w:tc>
      </w:tr>
      <w:tr w14:paraId="068E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noWrap w:val="0"/>
            <w:vAlign w:val="center"/>
          </w:tcPr>
          <w:p w14:paraId="6EEFE6D5">
            <w:pPr>
              <w:autoSpaceDE w:val="0"/>
              <w:autoSpaceDN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维护单位确认：</w:t>
            </w:r>
          </w:p>
          <w:p w14:paraId="586E82D2">
            <w:pPr>
              <w:autoSpaceDE w:val="0"/>
              <w:autoSpaceDN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（签字）</w:t>
            </w:r>
          </w:p>
        </w:tc>
        <w:tc>
          <w:tcPr>
            <w:tcW w:w="1985" w:type="dxa"/>
            <w:gridSpan w:val="2"/>
            <w:noWrap w:val="0"/>
            <w:vAlign w:val="center"/>
          </w:tcPr>
          <w:p w14:paraId="2F544F70">
            <w:pPr>
              <w:autoSpaceDE w:val="0"/>
              <w:autoSpaceDN w:val="0"/>
              <w:snapToGrid w:val="0"/>
              <w:spacing w:line="360" w:lineRule="auto"/>
              <w:jc w:val="center"/>
              <w:rPr>
                <w:rFonts w:hint="eastAsia" w:ascii="宋体" w:hAnsi="宋体" w:eastAsia="宋体" w:cs="宋体"/>
                <w:b/>
                <w:color w:val="auto"/>
                <w:szCs w:val="21"/>
                <w:highlight w:val="none"/>
              </w:rPr>
            </w:pPr>
          </w:p>
        </w:tc>
        <w:tc>
          <w:tcPr>
            <w:tcW w:w="1842" w:type="dxa"/>
            <w:gridSpan w:val="2"/>
            <w:noWrap w:val="0"/>
            <w:vAlign w:val="center"/>
          </w:tcPr>
          <w:p w14:paraId="0F8CFEBA">
            <w:pPr>
              <w:autoSpaceDE w:val="0"/>
              <w:autoSpaceDN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交警责任人</w:t>
            </w:r>
          </w:p>
          <w:p w14:paraId="4809716E">
            <w:pPr>
              <w:autoSpaceDE w:val="0"/>
              <w:autoSpaceDN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（签字）</w:t>
            </w:r>
          </w:p>
        </w:tc>
        <w:tc>
          <w:tcPr>
            <w:tcW w:w="3598" w:type="dxa"/>
            <w:noWrap w:val="0"/>
            <w:vAlign w:val="center"/>
          </w:tcPr>
          <w:p w14:paraId="540DE323">
            <w:pPr>
              <w:autoSpaceDE w:val="0"/>
              <w:autoSpaceDN w:val="0"/>
              <w:snapToGrid w:val="0"/>
              <w:spacing w:line="360" w:lineRule="auto"/>
              <w:jc w:val="center"/>
              <w:rPr>
                <w:rFonts w:hint="eastAsia" w:ascii="宋体" w:hAnsi="宋体" w:eastAsia="宋体" w:cs="宋体"/>
                <w:b/>
                <w:color w:val="auto"/>
                <w:szCs w:val="21"/>
                <w:highlight w:val="none"/>
              </w:rPr>
            </w:pPr>
          </w:p>
        </w:tc>
      </w:tr>
    </w:tbl>
    <w:p w14:paraId="4D286C8D">
      <w:pPr>
        <w:bidi w:val="0"/>
        <w:rPr>
          <w:rFonts w:hint="eastAsia" w:ascii="宋体" w:hAnsi="宋体" w:eastAsia="宋体" w:cs="宋体"/>
          <w:color w:val="auto"/>
          <w:highlight w:val="none"/>
          <w:lang w:val="en-US" w:eastAsia="zh-CN"/>
        </w:rPr>
      </w:pPr>
    </w:p>
    <w:p w14:paraId="2C509F84">
      <w:pPr>
        <w:numPr>
          <w:ilvl w:val="0"/>
          <w:numId w:val="0"/>
        </w:numPr>
        <w:spacing w:line="460" w:lineRule="exact"/>
        <w:outlineLvl w:val="2"/>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2.2计算机综合运维保障服务</w:t>
      </w:r>
    </w:p>
    <w:p w14:paraId="42E295AA">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2.2.1</w:t>
      </w:r>
      <w:r>
        <w:rPr>
          <w:rFonts w:hint="eastAsia" w:ascii="宋体" w:hAnsi="宋体" w:eastAsia="宋体" w:cs="宋体"/>
          <w:b/>
          <w:bCs/>
          <w:color w:val="auto"/>
          <w:sz w:val="22"/>
          <w:szCs w:val="22"/>
          <w:highlight w:val="none"/>
          <w:lang w:val="en-US" w:eastAsia="zh-CN"/>
        </w:rPr>
        <w:t>网站运维系统性能调优配置，升级更新优化</w:t>
      </w:r>
    </w:p>
    <w:p w14:paraId="6B89DE9E">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2.2.1.1</w:t>
      </w:r>
      <w:r>
        <w:rPr>
          <w:rFonts w:hint="eastAsia" w:ascii="宋体" w:hAnsi="宋体" w:eastAsia="宋体" w:cs="宋体"/>
          <w:b/>
          <w:bCs/>
          <w:i w:val="0"/>
          <w:iCs w:val="0"/>
          <w:color w:val="auto"/>
          <w:kern w:val="0"/>
          <w:sz w:val="22"/>
          <w:szCs w:val="22"/>
          <w:highlight w:val="none"/>
          <w:u w:val="none"/>
          <w:lang w:val="en-US" w:eastAsia="zh-CN" w:bidi="ar"/>
        </w:rPr>
        <w:t>功能维护</w:t>
      </w:r>
    </w:p>
    <w:p w14:paraId="7853799B">
      <w:pPr>
        <w:pStyle w:val="50"/>
        <w:ind w:left="0" w:leftChars="0" w:firstLine="0" w:firstLineChars="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p>
    <w:p w14:paraId="67F6AC2D">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频次：半月1次</w:t>
      </w:r>
    </w:p>
    <w:p w14:paraId="435650F9">
      <w:pPr>
        <w:pStyle w:val="50"/>
        <w:numPr>
          <w:ilvl w:val="0"/>
          <w:numId w:val="0"/>
        </w:numPr>
        <w:ind w:leftChars="0"/>
        <w:rPr>
          <w:rFonts w:hint="eastAsia" w:ascii="宋体" w:hAnsi="宋体" w:eastAsia="宋体" w:cs="宋体"/>
          <w:i w:val="0"/>
          <w:caps w:val="0"/>
          <w:color w:val="auto"/>
          <w:spacing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内容：检查、测试，包含功能测试、性能测试和安全漏洞扫描等，</w:t>
      </w:r>
      <w:r>
        <w:rPr>
          <w:rFonts w:hint="eastAsia" w:ascii="宋体" w:hAnsi="宋体" w:eastAsia="宋体" w:cs="宋体"/>
          <w:color w:val="auto"/>
          <w:sz w:val="22"/>
          <w:szCs w:val="22"/>
          <w:highlight w:val="none"/>
          <w:lang w:val="en-US" w:eastAsia="zh-CN"/>
        </w:rPr>
        <w:t>确保网站功能正常及运行安全</w:t>
      </w:r>
      <w:r>
        <w:rPr>
          <w:rFonts w:hint="eastAsia" w:ascii="宋体" w:hAnsi="宋体" w:eastAsia="宋体" w:cs="宋体"/>
          <w:color w:val="auto"/>
          <w:sz w:val="22"/>
          <w:szCs w:val="22"/>
          <w:highlight w:val="none"/>
          <w:lang w:val="en-US"/>
        </w:rPr>
        <w:t>。</w:t>
      </w:r>
    </w:p>
    <w:p w14:paraId="38C58900">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2.2.1.2</w:t>
      </w:r>
      <w:r>
        <w:rPr>
          <w:rFonts w:hint="eastAsia" w:ascii="宋体" w:hAnsi="宋体" w:eastAsia="宋体" w:cs="宋体"/>
          <w:b/>
          <w:bCs/>
          <w:i w:val="0"/>
          <w:iCs w:val="0"/>
          <w:color w:val="auto"/>
          <w:kern w:val="0"/>
          <w:sz w:val="22"/>
          <w:szCs w:val="22"/>
          <w:highlight w:val="none"/>
          <w:u w:val="none"/>
          <w:lang w:val="en-US" w:eastAsia="zh-CN" w:bidi="ar"/>
        </w:rPr>
        <w:t>网站备份</w:t>
      </w:r>
    </w:p>
    <w:p w14:paraId="16BBD185">
      <w:pPr>
        <w:pStyle w:val="50"/>
        <w:ind w:left="0" w:leftChars="0" w:firstLine="0" w:firstLineChars="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p>
    <w:p w14:paraId="3CF9DD65">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频次：每</w:t>
      </w:r>
      <w:r>
        <w:rPr>
          <w:rFonts w:hint="eastAsia" w:ascii="宋体" w:hAnsi="宋体" w:eastAsia="宋体" w:cs="宋体"/>
          <w:color w:val="auto"/>
          <w:sz w:val="22"/>
          <w:szCs w:val="22"/>
          <w:highlight w:val="none"/>
          <w:lang w:val="en-US" w:eastAsia="zh-CN"/>
        </w:rPr>
        <w:t>季</w:t>
      </w:r>
      <w:r>
        <w:rPr>
          <w:rFonts w:hint="eastAsia" w:ascii="宋体" w:hAnsi="宋体" w:eastAsia="宋体" w:cs="宋体"/>
          <w:i w:val="0"/>
          <w:iCs w:val="0"/>
          <w:color w:val="auto"/>
          <w:kern w:val="0"/>
          <w:sz w:val="22"/>
          <w:szCs w:val="22"/>
          <w:highlight w:val="none"/>
          <w:u w:val="none"/>
          <w:lang w:val="en-US" w:eastAsia="zh-CN" w:bidi="ar"/>
        </w:rPr>
        <w:t>1次</w:t>
      </w:r>
    </w:p>
    <w:p w14:paraId="60A671ED">
      <w:pPr>
        <w:pStyle w:val="60"/>
        <w:numPr>
          <w:ilvl w:val="0"/>
          <w:numId w:val="0"/>
        </w:numPr>
        <w:tabs>
          <w:tab w:val="left" w:pos="482"/>
          <w:tab w:val="left" w:pos="2183"/>
          <w:tab w:val="left" w:pos="3884"/>
          <w:tab w:val="left" w:pos="5585"/>
        </w:tabs>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内容：备份网站的数据、程序和配置。测试备份的可用性，确保在需要时能够迅速恢复网站。</w:t>
      </w:r>
    </w:p>
    <w:p w14:paraId="714A0238">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2.2.1.3</w:t>
      </w:r>
      <w:r>
        <w:rPr>
          <w:rFonts w:hint="eastAsia" w:ascii="宋体" w:hAnsi="宋体" w:eastAsia="宋体" w:cs="宋体"/>
          <w:b/>
          <w:bCs/>
          <w:i w:val="0"/>
          <w:iCs w:val="0"/>
          <w:color w:val="auto"/>
          <w:kern w:val="0"/>
          <w:sz w:val="22"/>
          <w:szCs w:val="22"/>
          <w:highlight w:val="none"/>
          <w:u w:val="none"/>
          <w:lang w:val="en-US" w:eastAsia="zh-CN" w:bidi="ar"/>
        </w:rPr>
        <w:t>日志分析</w:t>
      </w:r>
    </w:p>
    <w:p w14:paraId="058484CE">
      <w:pPr>
        <w:pStyle w:val="50"/>
        <w:ind w:left="0" w:leftChars="0" w:firstLine="0" w:firstLineChars="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p>
    <w:p w14:paraId="7723A5C3">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频次：每</w:t>
      </w:r>
      <w:r>
        <w:rPr>
          <w:rFonts w:hint="eastAsia" w:ascii="宋体" w:hAnsi="宋体" w:eastAsia="宋体" w:cs="宋体"/>
          <w:color w:val="auto"/>
          <w:sz w:val="22"/>
          <w:szCs w:val="22"/>
          <w:highlight w:val="none"/>
          <w:lang w:val="en-US" w:eastAsia="zh-CN"/>
        </w:rPr>
        <w:t>季</w:t>
      </w:r>
      <w:r>
        <w:rPr>
          <w:rFonts w:hint="eastAsia" w:ascii="宋体" w:hAnsi="宋体" w:eastAsia="宋体" w:cs="宋体"/>
          <w:i w:val="0"/>
          <w:iCs w:val="0"/>
          <w:color w:val="auto"/>
          <w:kern w:val="0"/>
          <w:sz w:val="22"/>
          <w:szCs w:val="22"/>
          <w:highlight w:val="none"/>
          <w:u w:val="none"/>
          <w:lang w:val="en-US" w:eastAsia="zh-CN" w:bidi="ar"/>
        </w:rPr>
        <w:t>1次</w:t>
      </w:r>
    </w:p>
    <w:p w14:paraId="5D1A8393">
      <w:pPr>
        <w:pStyle w:val="60"/>
        <w:widowControl w:val="0"/>
        <w:numPr>
          <w:ilvl w:val="0"/>
          <w:numId w:val="0"/>
        </w:numPr>
        <w:tabs>
          <w:tab w:val="left" w:pos="482"/>
          <w:tab w:val="left" w:pos="2183"/>
          <w:tab w:val="left" w:pos="3884"/>
          <w:tab w:val="left" w:pos="5585"/>
        </w:tabs>
        <w:spacing w:after="12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内容：分析网站和应用程序日志，以及访问日志，以便识别潜在的问题或异常活动。</w:t>
      </w:r>
    </w:p>
    <w:p w14:paraId="451709DC">
      <w:pPr>
        <w:pStyle w:val="60"/>
        <w:widowControl w:val="0"/>
        <w:numPr>
          <w:ilvl w:val="0"/>
          <w:numId w:val="0"/>
        </w:numPr>
        <w:tabs>
          <w:tab w:val="left" w:pos="482"/>
          <w:tab w:val="left" w:pos="2183"/>
          <w:tab w:val="left" w:pos="3884"/>
          <w:tab w:val="left" w:pos="5585"/>
        </w:tabs>
        <w:spacing w:after="12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检查错误日志，查找可能的问题和异常情况。</w:t>
      </w:r>
    </w:p>
    <w:p w14:paraId="3B2AFF25">
      <w:pPr>
        <w:pStyle w:val="60"/>
        <w:widowControl w:val="0"/>
        <w:numPr>
          <w:ilvl w:val="0"/>
          <w:numId w:val="0"/>
        </w:numPr>
        <w:tabs>
          <w:tab w:val="left" w:pos="482"/>
          <w:tab w:val="left" w:pos="2183"/>
          <w:tab w:val="left" w:pos="3884"/>
          <w:tab w:val="left" w:pos="5585"/>
        </w:tabs>
        <w:spacing w:after="12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定期清理日志，以避免日志文件过大影响性能</w:t>
      </w:r>
    </w:p>
    <w:p w14:paraId="1B1EB011">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2.2.1.4</w:t>
      </w:r>
      <w:r>
        <w:rPr>
          <w:rFonts w:hint="eastAsia" w:ascii="宋体" w:hAnsi="宋体" w:eastAsia="宋体" w:cs="宋体"/>
          <w:b/>
          <w:bCs/>
          <w:i w:val="0"/>
          <w:iCs w:val="0"/>
          <w:color w:val="auto"/>
          <w:kern w:val="0"/>
          <w:sz w:val="22"/>
          <w:szCs w:val="22"/>
          <w:highlight w:val="none"/>
          <w:u w:val="none"/>
          <w:lang w:val="en-US" w:eastAsia="zh-CN" w:bidi="ar"/>
        </w:rPr>
        <w:t>容量规划</w:t>
      </w:r>
    </w:p>
    <w:p w14:paraId="4B0375E5">
      <w:pPr>
        <w:pStyle w:val="50"/>
        <w:ind w:left="0" w:leftChars="0" w:firstLine="0" w:firstLineChars="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p>
    <w:p w14:paraId="3FF9F17B">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w:t>
      </w:r>
      <w:r>
        <w:rPr>
          <w:rFonts w:hint="eastAsia" w:ascii="宋体" w:hAnsi="宋体" w:eastAsia="宋体" w:cs="宋体"/>
          <w:color w:val="auto"/>
          <w:sz w:val="22"/>
          <w:szCs w:val="22"/>
          <w:highlight w:val="none"/>
          <w:lang w:val="en-US" w:eastAsia="zh-CN"/>
        </w:rPr>
        <w:t>半年1次</w:t>
      </w:r>
    </w:p>
    <w:p w14:paraId="4489D2D2">
      <w:pPr>
        <w:pStyle w:val="60"/>
        <w:widowControl w:val="0"/>
        <w:numPr>
          <w:ilvl w:val="0"/>
          <w:numId w:val="0"/>
        </w:numPr>
        <w:tabs>
          <w:tab w:val="left" w:pos="482"/>
          <w:tab w:val="left" w:pos="2183"/>
          <w:tab w:val="left" w:pos="3884"/>
          <w:tab w:val="left" w:pos="5585"/>
        </w:tabs>
        <w:spacing w:after="12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内容：跟踪服务器资源的使用情况，预测未来的需求，及时提出资源申请，确保网站能够支持预期的流量增长。</w:t>
      </w:r>
    </w:p>
    <w:p w14:paraId="579AC666">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2.2.1.5</w:t>
      </w:r>
      <w:r>
        <w:rPr>
          <w:rFonts w:hint="eastAsia" w:ascii="宋体" w:hAnsi="宋体" w:eastAsia="宋体" w:cs="宋体"/>
          <w:b/>
          <w:bCs/>
          <w:i w:val="0"/>
          <w:iCs w:val="0"/>
          <w:color w:val="auto"/>
          <w:kern w:val="0"/>
          <w:sz w:val="22"/>
          <w:szCs w:val="22"/>
          <w:highlight w:val="none"/>
          <w:u w:val="none"/>
          <w:lang w:val="en-US" w:eastAsia="zh-CN" w:bidi="ar"/>
        </w:rPr>
        <w:t>安全审计</w:t>
      </w:r>
    </w:p>
    <w:p w14:paraId="0480469E">
      <w:pPr>
        <w:pStyle w:val="50"/>
        <w:ind w:left="0" w:leftChars="0" w:firstLine="0" w:firstLineChars="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p>
    <w:p w14:paraId="4A9D897C">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w:t>
      </w:r>
      <w:r>
        <w:rPr>
          <w:rFonts w:hint="eastAsia" w:ascii="宋体" w:hAnsi="宋体" w:eastAsia="宋体" w:cs="宋体"/>
          <w:color w:val="auto"/>
          <w:sz w:val="22"/>
          <w:szCs w:val="22"/>
          <w:highlight w:val="none"/>
          <w:lang w:val="en-US" w:eastAsia="zh-CN"/>
        </w:rPr>
        <w:t>半年1次</w:t>
      </w:r>
    </w:p>
    <w:p w14:paraId="35B10257">
      <w:pPr>
        <w:pStyle w:val="60"/>
        <w:widowControl w:val="0"/>
        <w:numPr>
          <w:ilvl w:val="0"/>
          <w:numId w:val="0"/>
        </w:numPr>
        <w:tabs>
          <w:tab w:val="left" w:pos="482"/>
          <w:tab w:val="left" w:pos="2183"/>
          <w:tab w:val="left" w:pos="3884"/>
          <w:tab w:val="left" w:pos="5585"/>
        </w:tabs>
        <w:spacing w:after="120"/>
        <w:jc w:val="both"/>
        <w:rPr>
          <w:rFonts w:hint="eastAsia" w:ascii="宋体" w:hAnsi="宋体" w:eastAsia="宋体" w:cs="宋体"/>
          <w:i w:val="0"/>
          <w:caps w:val="0"/>
          <w:color w:val="auto"/>
          <w:spacing w:val="0"/>
          <w:sz w:val="22"/>
          <w:szCs w:val="22"/>
          <w:highlight w:val="none"/>
        </w:rPr>
      </w:pPr>
      <w:r>
        <w:rPr>
          <w:rFonts w:hint="eastAsia" w:ascii="宋体" w:hAnsi="宋体" w:eastAsia="宋体" w:cs="宋体"/>
          <w:color w:val="auto"/>
          <w:sz w:val="22"/>
          <w:szCs w:val="22"/>
          <w:highlight w:val="none"/>
          <w:lang w:val="en-US" w:eastAsia="zh-CN"/>
        </w:rPr>
        <w:t>内容：进行网站和页面的安全设置</w:t>
      </w:r>
      <w:r>
        <w:rPr>
          <w:rFonts w:hint="eastAsia" w:ascii="宋体" w:hAnsi="宋体" w:eastAsia="宋体" w:cs="宋体"/>
          <w:i w:val="0"/>
          <w:caps w:val="0"/>
          <w:color w:val="auto"/>
          <w:spacing w:val="0"/>
          <w:sz w:val="22"/>
          <w:szCs w:val="22"/>
          <w:highlight w:val="none"/>
        </w:rPr>
        <w:t>，检查网站是否符合最佳安全实践。</w:t>
      </w:r>
    </w:p>
    <w:p w14:paraId="2CF69225">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2.2.1.6</w:t>
      </w:r>
      <w:r>
        <w:rPr>
          <w:rFonts w:hint="eastAsia" w:ascii="宋体" w:hAnsi="宋体" w:eastAsia="宋体" w:cs="宋体"/>
          <w:b/>
          <w:bCs/>
          <w:i w:val="0"/>
          <w:iCs w:val="0"/>
          <w:color w:val="auto"/>
          <w:kern w:val="0"/>
          <w:sz w:val="22"/>
          <w:szCs w:val="22"/>
          <w:highlight w:val="none"/>
          <w:u w:val="none"/>
          <w:lang w:val="en-US" w:eastAsia="zh-CN" w:bidi="ar"/>
        </w:rPr>
        <w:t>数据完善</w:t>
      </w:r>
    </w:p>
    <w:p w14:paraId="5D51EA89">
      <w:pPr>
        <w:pStyle w:val="50"/>
        <w:ind w:left="0" w:leftChars="0" w:firstLine="0" w:firstLineChars="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p>
    <w:p w14:paraId="755AEEFA">
      <w:pPr>
        <w:pStyle w:val="60"/>
        <w:tabs>
          <w:tab w:val="left" w:pos="482"/>
          <w:tab w:val="left" w:pos="2183"/>
          <w:tab w:val="left" w:pos="3884"/>
          <w:tab w:val="left" w:pos="5585"/>
        </w:tabs>
        <w:ind w:left="0" w:leftChars="0" w:firstLine="0" w:firstLine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频次：按需</w:t>
      </w:r>
    </w:p>
    <w:p w14:paraId="2F3DD3AA">
      <w:pPr>
        <w:pStyle w:val="50"/>
        <w:rPr>
          <w:rFonts w:hint="eastAsia" w:ascii="宋体" w:hAnsi="宋体" w:eastAsia="宋体" w:cs="宋体"/>
          <w:i w:val="0"/>
          <w:iCs w:val="0"/>
          <w:color w:val="auto"/>
          <w:kern w:val="0"/>
          <w:sz w:val="22"/>
          <w:szCs w:val="22"/>
          <w:highlight w:val="none"/>
          <w:u w:val="none"/>
          <w:lang w:val="en-US" w:eastAsia="zh-CN" w:bidi="ar"/>
        </w:rPr>
      </w:pPr>
    </w:p>
    <w:p w14:paraId="552743FC">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2.2.1.7</w:t>
      </w:r>
      <w:r>
        <w:rPr>
          <w:rFonts w:hint="eastAsia" w:ascii="宋体" w:hAnsi="宋体" w:eastAsia="宋体" w:cs="宋体"/>
          <w:b/>
          <w:bCs/>
          <w:i w:val="0"/>
          <w:iCs w:val="0"/>
          <w:color w:val="auto"/>
          <w:kern w:val="0"/>
          <w:sz w:val="22"/>
          <w:szCs w:val="22"/>
          <w:highlight w:val="none"/>
          <w:u w:val="none"/>
          <w:lang w:val="en-US" w:eastAsia="zh-CN" w:bidi="ar"/>
        </w:rPr>
        <w:t>页面优化</w:t>
      </w:r>
    </w:p>
    <w:p w14:paraId="22239B84">
      <w:pPr>
        <w:pStyle w:val="50"/>
        <w:ind w:left="0" w:leftChars="0" w:firstLine="0" w:firstLineChars="0"/>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p>
    <w:p w14:paraId="08F9DF23">
      <w:pPr>
        <w:pStyle w:val="60"/>
        <w:tabs>
          <w:tab w:val="left" w:pos="482"/>
          <w:tab w:val="left" w:pos="2183"/>
          <w:tab w:val="left" w:pos="3884"/>
          <w:tab w:val="left" w:pos="5585"/>
        </w:tabs>
        <w:ind w:left="0" w:leftChars="0" w:firstLine="0" w:firstLine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频次：按需</w:t>
      </w:r>
    </w:p>
    <w:p w14:paraId="7E36CDB9">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2.2.1.8</w:t>
      </w:r>
      <w:r>
        <w:rPr>
          <w:rFonts w:hint="eastAsia" w:ascii="宋体" w:hAnsi="宋体" w:eastAsia="宋体" w:cs="宋体"/>
          <w:b/>
          <w:bCs/>
          <w:i w:val="0"/>
          <w:iCs w:val="0"/>
          <w:color w:val="auto"/>
          <w:kern w:val="0"/>
          <w:sz w:val="22"/>
          <w:szCs w:val="22"/>
          <w:highlight w:val="none"/>
          <w:u w:val="none"/>
          <w:lang w:val="en-US" w:eastAsia="zh-CN" w:bidi="ar"/>
        </w:rPr>
        <w:t>政治审查</w:t>
      </w:r>
    </w:p>
    <w:p w14:paraId="74E50556">
      <w:pPr>
        <w:pStyle w:val="50"/>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范围：</w:t>
      </w:r>
      <w:r>
        <w:rPr>
          <w:rFonts w:hint="default" w:ascii="宋体" w:hAnsi="宋体" w:cs="宋体"/>
          <w:color w:val="auto"/>
          <w:sz w:val="22"/>
          <w:szCs w:val="22"/>
          <w:highlight w:val="none"/>
          <w:lang w:eastAsia="zh-CN"/>
        </w:rPr>
        <w:t>交管局、五个直属大队、车管所、各科室网站</w:t>
      </w:r>
      <w:r>
        <w:rPr>
          <w:rFonts w:hint="eastAsia" w:ascii="宋体" w:hAnsi="宋体" w:eastAsia="宋体" w:cs="宋体"/>
          <w:color w:val="auto"/>
          <w:sz w:val="22"/>
          <w:szCs w:val="22"/>
          <w:highlight w:val="none"/>
          <w:lang w:val="en-US" w:eastAsia="zh-CN"/>
        </w:rPr>
        <w:t>、及相关旧网站</w:t>
      </w:r>
    </w:p>
    <w:p w14:paraId="3245BE46">
      <w:pPr>
        <w:pStyle w:val="50"/>
        <w:ind w:left="0" w:leftChars="0" w:firstLine="0" w:firstLineChars="0"/>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频次：按需</w:t>
      </w:r>
    </w:p>
    <w:p w14:paraId="75F6829D">
      <w:pPr>
        <w:numPr>
          <w:ilvl w:val="0"/>
          <w:numId w:val="0"/>
        </w:numPr>
        <w:spacing w:line="460" w:lineRule="exact"/>
        <w:outlineLvl w:val="4"/>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2"/>
          <w:sz w:val="22"/>
          <w:szCs w:val="22"/>
          <w:highlight w:val="none"/>
          <w:lang w:val="en-US" w:eastAsia="zh-CN" w:bidi="ar-SA"/>
        </w:rPr>
        <w:t>2.2.1.9旧</w:t>
      </w:r>
      <w:r>
        <w:rPr>
          <w:rFonts w:hint="eastAsia" w:ascii="宋体" w:hAnsi="宋体" w:eastAsia="宋体" w:cs="宋体"/>
          <w:b/>
          <w:bCs/>
          <w:i w:val="0"/>
          <w:iCs w:val="0"/>
          <w:color w:val="auto"/>
          <w:kern w:val="0"/>
          <w:sz w:val="22"/>
          <w:szCs w:val="22"/>
          <w:highlight w:val="none"/>
          <w:u w:val="none"/>
          <w:lang w:val="en-US" w:eastAsia="zh-CN" w:bidi="ar"/>
        </w:rPr>
        <w:t>网站巡检</w:t>
      </w:r>
    </w:p>
    <w:p w14:paraId="1CABEFFB">
      <w:pPr>
        <w:pStyle w:val="50"/>
        <w:ind w:left="0" w:leftChars="0" w:firstLine="0" w:firstLineChars="0"/>
        <w:rPr>
          <w:rFonts w:hint="eastAsia" w:ascii="宋体" w:hAnsi="宋体" w:eastAsia="宋体" w:cs="宋体"/>
          <w:color w:val="auto"/>
          <w:sz w:val="22"/>
          <w:szCs w:val="22"/>
          <w:highlight w:val="none"/>
        </w:rPr>
      </w:pPr>
    </w:p>
    <w:p w14:paraId="007D4797">
      <w:pPr>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按需不定时对交管局旧网站、一大队、四大队、五大队、车管所网站进行巡检，发现问题及时处置。</w:t>
      </w:r>
    </w:p>
    <w:p w14:paraId="29B26713">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2.2.1.10使用技术指导和支持。</w:t>
      </w:r>
    </w:p>
    <w:p w14:paraId="4F232611">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2.2.2市区交警中队数字警务室屏幕拼接显示系统及配套设备维护</w:t>
      </w:r>
    </w:p>
    <w:p w14:paraId="62CF57A9">
      <w:pPr>
        <w:numPr>
          <w:ilvl w:val="0"/>
          <w:numId w:val="0"/>
        </w:numPr>
        <w:spacing w:line="460" w:lineRule="exact"/>
        <w:outlineLvl w:val="4"/>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2.2.2.1</w:t>
      </w:r>
      <w:r>
        <w:rPr>
          <w:rFonts w:hint="eastAsia" w:ascii="宋体" w:hAnsi="宋体" w:eastAsia="宋体" w:cs="宋体"/>
          <w:b/>
          <w:bCs/>
          <w:color w:val="auto"/>
          <w:spacing w:val="-6"/>
          <w:sz w:val="22"/>
          <w:szCs w:val="22"/>
          <w:highlight w:val="none"/>
          <w:lang w:val="en-US" w:eastAsia="zh-CN"/>
        </w:rPr>
        <w:t>维护清单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489"/>
        <w:gridCol w:w="1172"/>
        <w:gridCol w:w="713"/>
      </w:tblGrid>
      <w:tr w14:paraId="63DD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top"/>
          </w:tcPr>
          <w:p w14:paraId="5237B3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序号</w:t>
            </w:r>
          </w:p>
        </w:tc>
        <w:tc>
          <w:tcPr>
            <w:tcW w:w="6489" w:type="dxa"/>
            <w:noWrap w:val="0"/>
            <w:vAlign w:val="top"/>
          </w:tcPr>
          <w:p w14:paraId="3D0E80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设备名称</w:t>
            </w:r>
          </w:p>
        </w:tc>
        <w:tc>
          <w:tcPr>
            <w:tcW w:w="1172" w:type="dxa"/>
            <w:noWrap w:val="0"/>
            <w:vAlign w:val="top"/>
          </w:tcPr>
          <w:p w14:paraId="79AFC7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数量</w:t>
            </w:r>
          </w:p>
        </w:tc>
        <w:tc>
          <w:tcPr>
            <w:tcW w:w="713" w:type="dxa"/>
            <w:noWrap w:val="0"/>
            <w:vAlign w:val="top"/>
          </w:tcPr>
          <w:p w14:paraId="58ADA9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备注</w:t>
            </w:r>
          </w:p>
        </w:tc>
      </w:tr>
      <w:tr w14:paraId="3A03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1F6D1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w:t>
            </w:r>
          </w:p>
        </w:tc>
        <w:tc>
          <w:tcPr>
            <w:tcW w:w="6489" w:type="dxa"/>
            <w:noWrap w:val="0"/>
            <w:vAlign w:val="center"/>
          </w:tcPr>
          <w:p w14:paraId="55A17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55寸超窄边液晶拼接单元(海康威视DS-D2055NL-B/Y)</w:t>
            </w:r>
          </w:p>
        </w:tc>
        <w:tc>
          <w:tcPr>
            <w:tcW w:w="1172" w:type="dxa"/>
            <w:noWrap w:val="0"/>
            <w:vAlign w:val="center"/>
          </w:tcPr>
          <w:p w14:paraId="24CA1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64块</w:t>
            </w:r>
          </w:p>
        </w:tc>
        <w:tc>
          <w:tcPr>
            <w:tcW w:w="713" w:type="dxa"/>
            <w:noWrap w:val="0"/>
            <w:vAlign w:val="top"/>
          </w:tcPr>
          <w:p w14:paraId="6BC0D3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517F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222783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2</w:t>
            </w:r>
          </w:p>
        </w:tc>
        <w:tc>
          <w:tcPr>
            <w:tcW w:w="6489" w:type="dxa"/>
            <w:noWrap w:val="0"/>
            <w:vAlign w:val="center"/>
          </w:tcPr>
          <w:p w14:paraId="56EC4A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55寸气动前维护(定制)</w:t>
            </w:r>
          </w:p>
        </w:tc>
        <w:tc>
          <w:tcPr>
            <w:tcW w:w="1172" w:type="dxa"/>
            <w:noWrap w:val="0"/>
            <w:vAlign w:val="center"/>
          </w:tcPr>
          <w:p w14:paraId="1E1F3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64个</w:t>
            </w:r>
          </w:p>
        </w:tc>
        <w:tc>
          <w:tcPr>
            <w:tcW w:w="713" w:type="dxa"/>
            <w:noWrap w:val="0"/>
            <w:vAlign w:val="top"/>
          </w:tcPr>
          <w:p w14:paraId="5A944C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5B69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674B29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3</w:t>
            </w:r>
          </w:p>
        </w:tc>
        <w:tc>
          <w:tcPr>
            <w:tcW w:w="6489" w:type="dxa"/>
            <w:noWrap w:val="0"/>
            <w:vAlign w:val="center"/>
          </w:tcPr>
          <w:p w14:paraId="29018B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HDMI线材(秋叶源)</w:t>
            </w:r>
          </w:p>
        </w:tc>
        <w:tc>
          <w:tcPr>
            <w:tcW w:w="1172" w:type="dxa"/>
            <w:noWrap w:val="0"/>
            <w:vAlign w:val="center"/>
          </w:tcPr>
          <w:p w14:paraId="1A8C0A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64根</w:t>
            </w:r>
          </w:p>
        </w:tc>
        <w:tc>
          <w:tcPr>
            <w:tcW w:w="713" w:type="dxa"/>
            <w:noWrap w:val="0"/>
            <w:vAlign w:val="top"/>
          </w:tcPr>
          <w:p w14:paraId="7A00D8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1CE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0BF402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4</w:t>
            </w:r>
          </w:p>
        </w:tc>
        <w:tc>
          <w:tcPr>
            <w:tcW w:w="6489" w:type="dxa"/>
            <w:noWrap w:val="0"/>
            <w:vAlign w:val="center"/>
          </w:tcPr>
          <w:p w14:paraId="742FA8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拼控解码器(海康威视DS-6904UD)</w:t>
            </w:r>
          </w:p>
        </w:tc>
        <w:tc>
          <w:tcPr>
            <w:tcW w:w="1172" w:type="dxa"/>
            <w:noWrap w:val="0"/>
            <w:vAlign w:val="center"/>
          </w:tcPr>
          <w:p w14:paraId="49DF61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16台</w:t>
            </w:r>
          </w:p>
        </w:tc>
        <w:tc>
          <w:tcPr>
            <w:tcW w:w="713" w:type="dxa"/>
            <w:noWrap w:val="0"/>
            <w:vAlign w:val="top"/>
          </w:tcPr>
          <w:p w14:paraId="65C3FC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1463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718B9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5</w:t>
            </w:r>
          </w:p>
        </w:tc>
        <w:tc>
          <w:tcPr>
            <w:tcW w:w="6489" w:type="dxa"/>
            <w:noWrap w:val="0"/>
            <w:vAlign w:val="center"/>
          </w:tcPr>
          <w:p w14:paraId="6532F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大屏安装及运输(海康威视定制)</w:t>
            </w:r>
          </w:p>
        </w:tc>
        <w:tc>
          <w:tcPr>
            <w:tcW w:w="1172" w:type="dxa"/>
            <w:noWrap w:val="0"/>
            <w:vAlign w:val="center"/>
          </w:tcPr>
          <w:p w14:paraId="19AD95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16批</w:t>
            </w:r>
          </w:p>
        </w:tc>
        <w:tc>
          <w:tcPr>
            <w:tcW w:w="713" w:type="dxa"/>
            <w:noWrap w:val="0"/>
            <w:vAlign w:val="top"/>
          </w:tcPr>
          <w:p w14:paraId="09C545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6C19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11A68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6</w:t>
            </w:r>
          </w:p>
        </w:tc>
        <w:tc>
          <w:tcPr>
            <w:tcW w:w="6489" w:type="dxa"/>
            <w:noWrap w:val="0"/>
            <w:vAlign w:val="center"/>
          </w:tcPr>
          <w:p w14:paraId="55828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系统集成与服务(定制)</w:t>
            </w:r>
          </w:p>
        </w:tc>
        <w:tc>
          <w:tcPr>
            <w:tcW w:w="1172" w:type="dxa"/>
            <w:noWrap w:val="0"/>
            <w:vAlign w:val="center"/>
          </w:tcPr>
          <w:p w14:paraId="0A18C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16个</w:t>
            </w:r>
          </w:p>
        </w:tc>
        <w:tc>
          <w:tcPr>
            <w:tcW w:w="713" w:type="dxa"/>
            <w:noWrap w:val="0"/>
            <w:vAlign w:val="top"/>
          </w:tcPr>
          <w:p w14:paraId="150B9D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12FB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4FF18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7</w:t>
            </w:r>
          </w:p>
        </w:tc>
        <w:tc>
          <w:tcPr>
            <w:tcW w:w="6489" w:type="dxa"/>
            <w:noWrap w:val="0"/>
            <w:vAlign w:val="center"/>
          </w:tcPr>
          <w:p w14:paraId="4FA450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控制主机(HP 288Pro)</w:t>
            </w:r>
          </w:p>
        </w:tc>
        <w:tc>
          <w:tcPr>
            <w:tcW w:w="1172" w:type="dxa"/>
            <w:noWrap w:val="0"/>
            <w:vAlign w:val="center"/>
          </w:tcPr>
          <w:p w14:paraId="2A3D0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21台</w:t>
            </w:r>
          </w:p>
        </w:tc>
        <w:tc>
          <w:tcPr>
            <w:tcW w:w="713" w:type="dxa"/>
            <w:noWrap w:val="0"/>
            <w:vAlign w:val="top"/>
          </w:tcPr>
          <w:p w14:paraId="4CC22F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5A8C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06842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8</w:t>
            </w:r>
          </w:p>
        </w:tc>
        <w:tc>
          <w:tcPr>
            <w:tcW w:w="6489" w:type="dxa"/>
            <w:noWrap w:val="0"/>
            <w:vAlign w:val="center"/>
          </w:tcPr>
          <w:p w14:paraId="58B98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半球摄像头(海康威视DS-2CD2325FX-DG)</w:t>
            </w:r>
          </w:p>
        </w:tc>
        <w:tc>
          <w:tcPr>
            <w:tcW w:w="1172" w:type="dxa"/>
            <w:noWrap w:val="0"/>
            <w:vAlign w:val="center"/>
          </w:tcPr>
          <w:p w14:paraId="767193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32个</w:t>
            </w:r>
          </w:p>
        </w:tc>
        <w:tc>
          <w:tcPr>
            <w:tcW w:w="713" w:type="dxa"/>
            <w:noWrap w:val="0"/>
            <w:vAlign w:val="top"/>
          </w:tcPr>
          <w:p w14:paraId="2ADFA3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41DD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5C460C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9</w:t>
            </w:r>
          </w:p>
        </w:tc>
        <w:tc>
          <w:tcPr>
            <w:tcW w:w="6489" w:type="dxa"/>
            <w:noWrap w:val="0"/>
            <w:vAlign w:val="center"/>
          </w:tcPr>
          <w:p w14:paraId="359EB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系统集成与服务(众成)</w:t>
            </w:r>
          </w:p>
        </w:tc>
        <w:tc>
          <w:tcPr>
            <w:tcW w:w="1172" w:type="dxa"/>
            <w:noWrap w:val="0"/>
            <w:vAlign w:val="center"/>
          </w:tcPr>
          <w:p w14:paraId="3B3BC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16批</w:t>
            </w:r>
          </w:p>
        </w:tc>
        <w:tc>
          <w:tcPr>
            <w:tcW w:w="713" w:type="dxa"/>
            <w:noWrap w:val="0"/>
            <w:vAlign w:val="top"/>
          </w:tcPr>
          <w:p w14:paraId="5177C5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68D8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1A171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10</w:t>
            </w:r>
          </w:p>
        </w:tc>
        <w:tc>
          <w:tcPr>
            <w:tcW w:w="6489" w:type="dxa"/>
            <w:noWrap w:val="0"/>
            <w:vAlign w:val="center"/>
          </w:tcPr>
          <w:p w14:paraId="62BE3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网线(一舟)</w:t>
            </w:r>
          </w:p>
        </w:tc>
        <w:tc>
          <w:tcPr>
            <w:tcW w:w="1172" w:type="dxa"/>
            <w:noWrap w:val="0"/>
            <w:vAlign w:val="center"/>
          </w:tcPr>
          <w:p w14:paraId="05E157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1600米</w:t>
            </w:r>
          </w:p>
        </w:tc>
        <w:tc>
          <w:tcPr>
            <w:tcW w:w="713" w:type="dxa"/>
            <w:noWrap w:val="0"/>
            <w:vAlign w:val="top"/>
          </w:tcPr>
          <w:p w14:paraId="3A66DE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676C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7CE51C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11</w:t>
            </w:r>
          </w:p>
        </w:tc>
        <w:tc>
          <w:tcPr>
            <w:tcW w:w="6489" w:type="dxa"/>
            <w:noWrap w:val="0"/>
            <w:vAlign w:val="center"/>
          </w:tcPr>
          <w:p w14:paraId="2412CE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网络模块(一舟A160)</w:t>
            </w:r>
          </w:p>
        </w:tc>
        <w:tc>
          <w:tcPr>
            <w:tcW w:w="1172" w:type="dxa"/>
            <w:noWrap w:val="0"/>
            <w:vAlign w:val="center"/>
          </w:tcPr>
          <w:p w14:paraId="7B197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160只</w:t>
            </w:r>
          </w:p>
        </w:tc>
        <w:tc>
          <w:tcPr>
            <w:tcW w:w="713" w:type="dxa"/>
            <w:noWrap w:val="0"/>
            <w:vAlign w:val="top"/>
          </w:tcPr>
          <w:p w14:paraId="56C3B5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645A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1E552D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12</w:t>
            </w:r>
          </w:p>
        </w:tc>
        <w:tc>
          <w:tcPr>
            <w:tcW w:w="6489" w:type="dxa"/>
            <w:noWrap w:val="0"/>
            <w:vAlign w:val="center"/>
          </w:tcPr>
          <w:p w14:paraId="2047C8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网络面板(一舟)</w:t>
            </w:r>
          </w:p>
        </w:tc>
        <w:tc>
          <w:tcPr>
            <w:tcW w:w="1172" w:type="dxa"/>
            <w:noWrap w:val="0"/>
            <w:vAlign w:val="center"/>
          </w:tcPr>
          <w:p w14:paraId="23C4B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160只</w:t>
            </w:r>
          </w:p>
        </w:tc>
        <w:tc>
          <w:tcPr>
            <w:tcW w:w="713" w:type="dxa"/>
            <w:noWrap w:val="0"/>
            <w:vAlign w:val="top"/>
          </w:tcPr>
          <w:p w14:paraId="59B56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7E1B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33912E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13</w:t>
            </w:r>
          </w:p>
        </w:tc>
        <w:tc>
          <w:tcPr>
            <w:tcW w:w="6489" w:type="dxa"/>
            <w:noWrap w:val="0"/>
            <w:vAlign w:val="center"/>
          </w:tcPr>
          <w:p w14:paraId="7784E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网络机柜配线架(一舟P197-24A)</w:t>
            </w:r>
          </w:p>
        </w:tc>
        <w:tc>
          <w:tcPr>
            <w:tcW w:w="1172" w:type="dxa"/>
            <w:noWrap w:val="0"/>
            <w:vAlign w:val="center"/>
          </w:tcPr>
          <w:p w14:paraId="218BD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16个</w:t>
            </w:r>
          </w:p>
        </w:tc>
        <w:tc>
          <w:tcPr>
            <w:tcW w:w="713" w:type="dxa"/>
            <w:noWrap w:val="0"/>
            <w:vAlign w:val="top"/>
          </w:tcPr>
          <w:p w14:paraId="26C423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5462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0736B5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14</w:t>
            </w:r>
          </w:p>
        </w:tc>
        <w:tc>
          <w:tcPr>
            <w:tcW w:w="6489" w:type="dxa"/>
            <w:noWrap w:val="0"/>
            <w:vAlign w:val="center"/>
          </w:tcPr>
          <w:p w14:paraId="26D79C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HDMI线材(秋叶源)</w:t>
            </w:r>
          </w:p>
        </w:tc>
        <w:tc>
          <w:tcPr>
            <w:tcW w:w="1172" w:type="dxa"/>
            <w:noWrap w:val="0"/>
            <w:vAlign w:val="center"/>
          </w:tcPr>
          <w:p w14:paraId="59A27A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32根</w:t>
            </w:r>
          </w:p>
        </w:tc>
        <w:tc>
          <w:tcPr>
            <w:tcW w:w="713" w:type="dxa"/>
            <w:noWrap w:val="0"/>
            <w:vAlign w:val="top"/>
          </w:tcPr>
          <w:p w14:paraId="6714FD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3B3E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1FB9A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15</w:t>
            </w:r>
          </w:p>
        </w:tc>
        <w:tc>
          <w:tcPr>
            <w:tcW w:w="6489" w:type="dxa"/>
            <w:noWrap w:val="0"/>
            <w:vAlign w:val="center"/>
          </w:tcPr>
          <w:p w14:paraId="6E39C7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42U机柜(一舟Q2.6642)</w:t>
            </w:r>
          </w:p>
        </w:tc>
        <w:tc>
          <w:tcPr>
            <w:tcW w:w="1172" w:type="dxa"/>
            <w:noWrap w:val="0"/>
            <w:vAlign w:val="center"/>
          </w:tcPr>
          <w:p w14:paraId="238E0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16台</w:t>
            </w:r>
          </w:p>
        </w:tc>
        <w:tc>
          <w:tcPr>
            <w:tcW w:w="713" w:type="dxa"/>
            <w:noWrap w:val="0"/>
            <w:vAlign w:val="top"/>
          </w:tcPr>
          <w:p w14:paraId="013D71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7CE5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64631B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w:t>
            </w:r>
          </w:p>
        </w:tc>
        <w:tc>
          <w:tcPr>
            <w:tcW w:w="6489" w:type="dxa"/>
            <w:noWrap w:val="0"/>
            <w:vAlign w:val="center"/>
          </w:tcPr>
          <w:p w14:paraId="631067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系统集成与服务(众成)</w:t>
            </w:r>
          </w:p>
        </w:tc>
        <w:tc>
          <w:tcPr>
            <w:tcW w:w="1172" w:type="dxa"/>
            <w:noWrap w:val="0"/>
            <w:vAlign w:val="center"/>
          </w:tcPr>
          <w:p w14:paraId="45A68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16个</w:t>
            </w:r>
          </w:p>
        </w:tc>
        <w:tc>
          <w:tcPr>
            <w:tcW w:w="713" w:type="dxa"/>
            <w:noWrap w:val="0"/>
            <w:vAlign w:val="top"/>
          </w:tcPr>
          <w:p w14:paraId="399C33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1B85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noWrap w:val="0"/>
            <w:vAlign w:val="center"/>
          </w:tcPr>
          <w:p w14:paraId="1D695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17</w:t>
            </w:r>
          </w:p>
        </w:tc>
        <w:tc>
          <w:tcPr>
            <w:tcW w:w="6489" w:type="dxa"/>
            <w:noWrap w:val="0"/>
            <w:vAlign w:val="center"/>
          </w:tcPr>
          <w:p w14:paraId="7D761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操作台(定制)</w:t>
            </w:r>
          </w:p>
        </w:tc>
        <w:tc>
          <w:tcPr>
            <w:tcW w:w="1172" w:type="dxa"/>
            <w:noWrap w:val="0"/>
            <w:vAlign w:val="center"/>
          </w:tcPr>
          <w:p w14:paraId="54CE37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vertAlign w:val="baseline"/>
                <w:lang w:val="en-US" w:eastAsia="zh-CN" w:bidi="ar"/>
              </w:rPr>
              <w:t>40张</w:t>
            </w:r>
          </w:p>
        </w:tc>
        <w:tc>
          <w:tcPr>
            <w:tcW w:w="713" w:type="dxa"/>
            <w:noWrap w:val="0"/>
            <w:vAlign w:val="top"/>
          </w:tcPr>
          <w:p w14:paraId="10BA51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bl>
    <w:p w14:paraId="1EB968CB">
      <w:pPr>
        <w:pStyle w:val="60"/>
        <w:tabs>
          <w:tab w:val="left" w:pos="482"/>
          <w:tab w:val="left" w:pos="2183"/>
          <w:tab w:val="left" w:pos="3884"/>
          <w:tab w:val="left" w:pos="5585"/>
        </w:tabs>
        <w:ind w:left="0" w:leftChars="0" w:firstLine="0" w:firstLineChars="0"/>
        <w:rPr>
          <w:rFonts w:hint="eastAsia" w:ascii="宋体" w:hAnsi="宋体" w:eastAsia="宋体" w:cs="宋体"/>
          <w:color w:val="auto"/>
          <w:sz w:val="22"/>
          <w:szCs w:val="22"/>
          <w:highlight w:val="none"/>
          <w:lang w:val="en-US" w:eastAsia="zh-CN"/>
        </w:rPr>
      </w:pPr>
    </w:p>
    <w:p w14:paraId="14E8A7F9">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2.2.2.2维护服务</w:t>
      </w:r>
    </w:p>
    <w:p w14:paraId="1C304701">
      <w:pPr>
        <w:numPr>
          <w:ilvl w:val="0"/>
          <w:numId w:val="6"/>
        </w:numPr>
        <w:spacing w:line="400" w:lineRule="exact"/>
        <w:ind w:left="0" w:leftChars="0" w:firstLine="40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软件及硬件维护及日</w:t>
      </w:r>
      <w:r>
        <w:rPr>
          <w:rFonts w:hint="eastAsia" w:ascii="宋体" w:hAnsi="宋体" w:eastAsia="宋体" w:cs="宋体"/>
          <w:bCs/>
          <w:color w:val="auto"/>
          <w:sz w:val="22"/>
          <w:szCs w:val="22"/>
          <w:highlight w:val="none"/>
        </w:rPr>
        <w:t>常操作</w:t>
      </w:r>
      <w:r>
        <w:rPr>
          <w:rFonts w:hint="eastAsia" w:ascii="宋体" w:hAnsi="宋体" w:eastAsia="宋体" w:cs="宋体"/>
          <w:bCs/>
          <w:color w:val="auto"/>
          <w:sz w:val="22"/>
          <w:szCs w:val="22"/>
          <w:highlight w:val="none"/>
          <w:lang w:val="en-US" w:eastAsia="zh-CN"/>
        </w:rPr>
        <w:t>及</w:t>
      </w:r>
      <w:r>
        <w:rPr>
          <w:rFonts w:hint="eastAsia" w:ascii="宋体" w:hAnsi="宋体" w:eastAsia="宋体" w:cs="宋体"/>
          <w:bCs/>
          <w:color w:val="auto"/>
          <w:sz w:val="22"/>
          <w:szCs w:val="22"/>
          <w:highlight w:val="none"/>
        </w:rPr>
        <w:t>安全运维服务</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对数字勤务室大屏</w:t>
      </w:r>
      <w:r>
        <w:rPr>
          <w:rFonts w:hint="eastAsia" w:ascii="宋体" w:hAnsi="宋体" w:eastAsia="宋体" w:cs="宋体"/>
          <w:color w:val="auto"/>
          <w:sz w:val="22"/>
          <w:szCs w:val="22"/>
          <w:highlight w:val="none"/>
        </w:rPr>
        <w:t>设备进行初步的技术鉴定并填写相关表单，建立完整的设备档案</w:t>
      </w:r>
      <w:r>
        <w:rPr>
          <w:rFonts w:hint="eastAsia" w:ascii="宋体" w:hAnsi="宋体" w:eastAsia="宋体" w:cs="宋体"/>
          <w:color w:val="auto"/>
          <w:sz w:val="22"/>
          <w:szCs w:val="22"/>
          <w:highlight w:val="none"/>
          <w:lang w:val="en-US" w:eastAsia="zh-CN"/>
        </w:rPr>
        <w:t>；</w:t>
      </w:r>
    </w:p>
    <w:p w14:paraId="5C7AE899">
      <w:pPr>
        <w:numPr>
          <w:ilvl w:val="0"/>
          <w:numId w:val="6"/>
        </w:numPr>
        <w:spacing w:line="400" w:lineRule="exact"/>
        <w:ind w:left="0" w:leftChars="0" w:firstLine="40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每月定期对本次</w:t>
      </w:r>
      <w:r>
        <w:rPr>
          <w:rFonts w:hint="eastAsia" w:ascii="宋体" w:hAnsi="宋体" w:eastAsia="宋体" w:cs="宋体"/>
          <w:bCs/>
          <w:color w:val="auto"/>
          <w:sz w:val="22"/>
          <w:szCs w:val="22"/>
          <w:highlight w:val="none"/>
          <w:lang w:val="en-US" w:eastAsia="zh-CN"/>
        </w:rPr>
        <w:t>维护软件及硬件进</w:t>
      </w:r>
      <w:r>
        <w:rPr>
          <w:rFonts w:hint="eastAsia" w:ascii="宋体" w:hAnsi="宋体" w:eastAsia="宋体" w:cs="宋体"/>
          <w:bCs/>
          <w:color w:val="auto"/>
          <w:sz w:val="22"/>
          <w:szCs w:val="22"/>
          <w:highlight w:val="none"/>
        </w:rPr>
        <w:t>行检查，检查内容包括显示是否正常、音频传输是否正常等</w:t>
      </w:r>
      <w:r>
        <w:rPr>
          <w:rFonts w:hint="eastAsia" w:ascii="宋体" w:hAnsi="宋体" w:eastAsia="宋体" w:cs="宋体"/>
          <w:bCs/>
          <w:color w:val="auto"/>
          <w:sz w:val="22"/>
          <w:szCs w:val="22"/>
          <w:highlight w:val="none"/>
          <w:lang w:eastAsia="zh-CN"/>
        </w:rPr>
        <w:t>，</w:t>
      </w:r>
      <w:r>
        <w:rPr>
          <w:rFonts w:hint="eastAsia" w:ascii="宋体" w:hAnsi="宋体" w:eastAsia="宋体" w:cs="宋体"/>
          <w:color w:val="auto"/>
          <w:sz w:val="22"/>
          <w:szCs w:val="22"/>
          <w:highlight w:val="none"/>
        </w:rPr>
        <w:t>若设备出现故障，将负责判断故障的部位、成因，负责处理故障，对于不能处理的故障，并负责协调联系相关厂家，提供解决方案</w:t>
      </w:r>
      <w:r>
        <w:rPr>
          <w:rFonts w:hint="eastAsia" w:ascii="宋体" w:hAnsi="宋体" w:eastAsia="宋体" w:cs="宋体"/>
          <w:color w:val="auto"/>
          <w:sz w:val="22"/>
          <w:szCs w:val="22"/>
          <w:highlight w:val="none"/>
          <w:lang w:val="en-US" w:eastAsia="zh-CN"/>
        </w:rPr>
        <w:t>；</w:t>
      </w:r>
    </w:p>
    <w:p w14:paraId="6800523C">
      <w:pPr>
        <w:numPr>
          <w:ilvl w:val="0"/>
          <w:numId w:val="6"/>
        </w:numPr>
        <w:spacing w:line="400" w:lineRule="exact"/>
        <w:ind w:left="0" w:leftChars="0" w:firstLine="40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对应用软件系统质量保证进行维护；</w:t>
      </w:r>
    </w:p>
    <w:p w14:paraId="13FD3506">
      <w:pPr>
        <w:numPr>
          <w:ilvl w:val="0"/>
          <w:numId w:val="6"/>
        </w:numPr>
        <w:spacing w:line="400" w:lineRule="exact"/>
        <w:ind w:left="0" w:leftChars="0" w:firstLine="40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大屏显示系统日常操作，软件系统月度巡检等工作。</w:t>
      </w:r>
    </w:p>
    <w:p w14:paraId="448DFC8A">
      <w:pPr>
        <w:spacing w:line="450" w:lineRule="exact"/>
        <w:ind w:firstLine="539" w:firstLineChars="245"/>
        <w:rPr>
          <w:rFonts w:hint="eastAsia" w:ascii="宋体" w:hAnsi="宋体" w:eastAsia="宋体" w:cs="宋体"/>
          <w:color w:val="auto"/>
          <w:sz w:val="22"/>
          <w:szCs w:val="22"/>
          <w:highlight w:val="none"/>
          <w:lang w:val="en-US" w:eastAsia="zh-CN"/>
        </w:rPr>
      </w:pPr>
    </w:p>
    <w:p w14:paraId="4DA8FCB6">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2.2.3计算机运维保障</w:t>
      </w:r>
    </w:p>
    <w:p w14:paraId="5EED2512">
      <w:pPr>
        <w:numPr>
          <w:ilvl w:val="0"/>
          <w:numId w:val="0"/>
        </w:numPr>
        <w:spacing w:line="460" w:lineRule="exact"/>
        <w:outlineLvl w:val="4"/>
        <w:rPr>
          <w:rFonts w:hint="eastAsia" w:ascii="宋体" w:hAnsi="宋体" w:eastAsia="宋体" w:cs="宋体"/>
          <w:b/>
          <w:color w:val="auto"/>
          <w:sz w:val="22"/>
          <w:szCs w:val="22"/>
          <w:highlight w:val="none"/>
        </w:rPr>
      </w:pPr>
      <w:r>
        <w:rPr>
          <w:rFonts w:hint="eastAsia" w:ascii="宋体" w:hAnsi="宋体" w:eastAsia="宋体" w:cs="宋体"/>
          <w:b/>
          <w:bCs/>
          <w:color w:val="auto"/>
          <w:kern w:val="2"/>
          <w:sz w:val="22"/>
          <w:szCs w:val="22"/>
          <w:highlight w:val="none"/>
          <w:lang w:val="en-US" w:eastAsia="zh-CN" w:bidi="ar-SA"/>
        </w:rPr>
        <w:t>2.2.3.1</w:t>
      </w:r>
      <w:r>
        <w:rPr>
          <w:rFonts w:hint="eastAsia" w:ascii="宋体" w:hAnsi="宋体" w:eastAsia="宋体" w:cs="宋体"/>
          <w:b/>
          <w:color w:val="auto"/>
          <w:sz w:val="22"/>
          <w:szCs w:val="22"/>
          <w:highlight w:val="none"/>
        </w:rPr>
        <w:t>服务总体要求</w:t>
      </w:r>
    </w:p>
    <w:p w14:paraId="0973DA4F">
      <w:pPr>
        <w:pStyle w:val="60"/>
        <w:tabs>
          <w:tab w:val="left" w:pos="482"/>
          <w:tab w:val="left" w:pos="2183"/>
          <w:tab w:val="left" w:pos="3884"/>
          <w:tab w:val="left" w:pos="5585"/>
        </w:tabs>
        <w:rPr>
          <w:rFonts w:hint="eastAsia" w:ascii="宋体" w:hAnsi="宋体" w:eastAsia="宋体" w:cs="宋体"/>
          <w:color w:val="auto"/>
          <w:sz w:val="22"/>
          <w:szCs w:val="22"/>
          <w:highlight w:val="none"/>
        </w:rPr>
      </w:pPr>
    </w:p>
    <w:p w14:paraId="69C34D10">
      <w:pPr>
        <w:pStyle w:val="60"/>
        <w:tabs>
          <w:tab w:val="left" w:pos="482"/>
          <w:tab w:val="left" w:pos="2183"/>
          <w:tab w:val="left" w:pos="3884"/>
          <w:tab w:val="left" w:pos="5585"/>
        </w:tabs>
        <w:ind w:left="0" w:leftChars="0" w:firstLine="0" w:firstLineChars="0"/>
        <w:outlineLvl w:val="5"/>
        <w:rPr>
          <w:rFonts w:hint="eastAsia" w:ascii="宋体" w:hAnsi="宋体" w:eastAsia="宋体" w:cs="宋体"/>
          <w:b/>
          <w:color w:val="auto"/>
          <w:sz w:val="22"/>
          <w:szCs w:val="22"/>
          <w:highlight w:val="none"/>
        </w:rPr>
      </w:pPr>
      <w:r>
        <w:rPr>
          <w:rFonts w:hint="eastAsia" w:ascii="宋体" w:hAnsi="宋体" w:eastAsia="宋体" w:cs="宋体"/>
          <w:b/>
          <w:bCs/>
          <w:color w:val="auto"/>
          <w:kern w:val="2"/>
          <w:sz w:val="22"/>
          <w:szCs w:val="22"/>
          <w:highlight w:val="none"/>
          <w:lang w:val="en-US" w:eastAsia="zh-CN" w:bidi="ar-SA"/>
        </w:rPr>
        <w:t>2.2.3.1.1</w:t>
      </w:r>
      <w:r>
        <w:rPr>
          <w:rFonts w:hint="eastAsia" w:ascii="宋体" w:hAnsi="宋体" w:eastAsia="宋体" w:cs="宋体"/>
          <w:b/>
          <w:color w:val="auto"/>
          <w:sz w:val="22"/>
          <w:szCs w:val="22"/>
          <w:highlight w:val="none"/>
        </w:rPr>
        <w:t>温州市公安局交通管理局及下属需维护单位清单</w:t>
      </w:r>
    </w:p>
    <w:p w14:paraId="3F4E1985">
      <w:pPr>
        <w:pStyle w:val="50"/>
        <w:rPr>
          <w:rFonts w:hint="eastAsia" w:ascii="宋体" w:hAnsi="宋体" w:eastAsia="宋体" w:cs="宋体"/>
          <w:color w:val="auto"/>
          <w:sz w:val="22"/>
          <w:szCs w:val="22"/>
          <w:highlight w:val="none"/>
        </w:rPr>
      </w:pPr>
    </w:p>
    <w:tbl>
      <w:tblPr>
        <w:tblStyle w:val="62"/>
        <w:tblW w:w="9360" w:type="dxa"/>
        <w:jc w:val="center"/>
        <w:tblLayout w:type="fixed"/>
        <w:tblCellMar>
          <w:top w:w="0" w:type="dxa"/>
          <w:left w:w="108" w:type="dxa"/>
          <w:bottom w:w="0" w:type="dxa"/>
          <w:right w:w="108" w:type="dxa"/>
        </w:tblCellMar>
      </w:tblPr>
      <w:tblGrid>
        <w:gridCol w:w="2943"/>
        <w:gridCol w:w="5627"/>
        <w:gridCol w:w="790"/>
      </w:tblGrid>
      <w:tr w14:paraId="7FA62F24">
        <w:tblPrEx>
          <w:tblCellMar>
            <w:top w:w="0" w:type="dxa"/>
            <w:left w:w="108" w:type="dxa"/>
            <w:bottom w:w="0" w:type="dxa"/>
            <w:right w:w="108" w:type="dxa"/>
          </w:tblCellMar>
        </w:tblPrEx>
        <w:trPr>
          <w:trHeight w:val="285" w:hRule="atLeast"/>
          <w:jc w:val="center"/>
        </w:trPr>
        <w:tc>
          <w:tcPr>
            <w:tcW w:w="29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8822A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5627" w:type="dxa"/>
            <w:tcBorders>
              <w:top w:val="single" w:color="auto" w:sz="4" w:space="0"/>
              <w:left w:val="nil"/>
              <w:bottom w:val="single" w:color="auto" w:sz="4" w:space="0"/>
              <w:right w:val="single" w:color="auto" w:sz="4" w:space="0"/>
            </w:tcBorders>
            <w:shd w:val="clear" w:color="auto" w:fill="FFFFFF"/>
            <w:noWrap w:val="0"/>
            <w:vAlign w:val="center"/>
          </w:tcPr>
          <w:p w14:paraId="328CC05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单位地址</w:t>
            </w:r>
          </w:p>
        </w:tc>
        <w:tc>
          <w:tcPr>
            <w:tcW w:w="790" w:type="dxa"/>
            <w:tcBorders>
              <w:top w:val="single" w:color="auto" w:sz="4" w:space="0"/>
              <w:left w:val="nil"/>
              <w:bottom w:val="single" w:color="auto" w:sz="4" w:space="0"/>
              <w:right w:val="single" w:color="auto" w:sz="4" w:space="0"/>
            </w:tcBorders>
            <w:shd w:val="clear" w:color="auto" w:fill="FFFFFF"/>
            <w:noWrap w:val="0"/>
            <w:vAlign w:val="center"/>
          </w:tcPr>
          <w:p w14:paraId="1270244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36D1CB0C">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5DED4D4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交通管理局大楼</w:t>
            </w:r>
          </w:p>
        </w:tc>
        <w:tc>
          <w:tcPr>
            <w:tcW w:w="5627" w:type="dxa"/>
            <w:tcBorders>
              <w:top w:val="nil"/>
              <w:left w:val="nil"/>
              <w:bottom w:val="single" w:color="auto" w:sz="4" w:space="0"/>
              <w:right w:val="single" w:color="auto" w:sz="4" w:space="0"/>
            </w:tcBorders>
            <w:shd w:val="clear" w:color="auto" w:fill="FFFFFF"/>
            <w:noWrap w:val="0"/>
            <w:vAlign w:val="center"/>
          </w:tcPr>
          <w:p w14:paraId="4193AC3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鹿城区金桥路1号</w:t>
            </w:r>
          </w:p>
        </w:tc>
        <w:tc>
          <w:tcPr>
            <w:tcW w:w="790" w:type="dxa"/>
            <w:tcBorders>
              <w:top w:val="nil"/>
              <w:left w:val="nil"/>
              <w:bottom w:val="single" w:color="auto" w:sz="4" w:space="0"/>
              <w:right w:val="single" w:color="auto" w:sz="4" w:space="0"/>
            </w:tcBorders>
            <w:shd w:val="clear" w:color="auto" w:fill="FFFFFF"/>
            <w:noWrap w:val="0"/>
            <w:vAlign w:val="center"/>
          </w:tcPr>
          <w:p w14:paraId="6A86774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67FF4CCF">
        <w:tblPrEx>
          <w:tblCellMar>
            <w:top w:w="0" w:type="dxa"/>
            <w:left w:w="108" w:type="dxa"/>
            <w:bottom w:w="0" w:type="dxa"/>
            <w:right w:w="108" w:type="dxa"/>
          </w:tblCellMar>
        </w:tblPrEx>
        <w:trPr>
          <w:trHeight w:val="301"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637CDFC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5627" w:type="dxa"/>
            <w:tcBorders>
              <w:top w:val="nil"/>
              <w:left w:val="nil"/>
              <w:bottom w:val="single" w:color="auto" w:sz="4" w:space="0"/>
              <w:right w:val="single" w:color="auto" w:sz="4" w:space="0"/>
            </w:tcBorders>
            <w:shd w:val="clear" w:color="auto" w:fill="FFFFFF"/>
            <w:noWrap w:val="0"/>
            <w:vAlign w:val="center"/>
          </w:tcPr>
          <w:p w14:paraId="371AB3A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单位地址</w:t>
            </w:r>
          </w:p>
        </w:tc>
        <w:tc>
          <w:tcPr>
            <w:tcW w:w="790" w:type="dxa"/>
            <w:tcBorders>
              <w:top w:val="nil"/>
              <w:left w:val="nil"/>
              <w:bottom w:val="single" w:color="auto" w:sz="4" w:space="0"/>
              <w:right w:val="single" w:color="auto" w:sz="4" w:space="0"/>
            </w:tcBorders>
            <w:shd w:val="clear" w:color="auto" w:fill="FFFFFF"/>
            <w:noWrap w:val="0"/>
            <w:vAlign w:val="center"/>
          </w:tcPr>
          <w:p w14:paraId="24E1A7A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12325CFA">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4C8E17C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一大队</w:t>
            </w:r>
          </w:p>
        </w:tc>
        <w:tc>
          <w:tcPr>
            <w:tcW w:w="5627" w:type="dxa"/>
            <w:tcBorders>
              <w:top w:val="nil"/>
              <w:left w:val="nil"/>
              <w:bottom w:val="single" w:color="auto" w:sz="4" w:space="0"/>
              <w:right w:val="single" w:color="auto" w:sz="4" w:space="0"/>
            </w:tcBorders>
            <w:shd w:val="clear" w:color="auto" w:fill="FFFFFF"/>
            <w:noWrap w:val="0"/>
            <w:vAlign w:val="center"/>
          </w:tcPr>
          <w:p w14:paraId="675B6E7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温州市瓯海区景山街道兴海路33号</w:t>
            </w:r>
          </w:p>
        </w:tc>
        <w:tc>
          <w:tcPr>
            <w:tcW w:w="790" w:type="dxa"/>
            <w:tcBorders>
              <w:top w:val="nil"/>
              <w:left w:val="nil"/>
              <w:bottom w:val="single" w:color="auto" w:sz="4" w:space="0"/>
              <w:right w:val="single" w:color="auto" w:sz="4" w:space="0"/>
            </w:tcBorders>
            <w:shd w:val="clear" w:color="auto" w:fill="FFFFFF"/>
            <w:noWrap w:val="0"/>
            <w:vAlign w:val="center"/>
          </w:tcPr>
          <w:p w14:paraId="6F1FB50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1127989A">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098418CE">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一大队事故中队</w:t>
            </w:r>
          </w:p>
        </w:tc>
        <w:tc>
          <w:tcPr>
            <w:tcW w:w="5627" w:type="dxa"/>
            <w:tcBorders>
              <w:top w:val="nil"/>
              <w:left w:val="nil"/>
              <w:bottom w:val="single" w:color="auto" w:sz="4" w:space="0"/>
              <w:right w:val="single" w:color="auto" w:sz="4" w:space="0"/>
            </w:tcBorders>
            <w:shd w:val="clear" w:color="auto" w:fill="FFFFFF"/>
            <w:noWrap w:val="0"/>
            <w:vAlign w:val="center"/>
          </w:tcPr>
          <w:p w14:paraId="7FE555E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温州市瓯海区景山街道兴海路33号</w:t>
            </w:r>
          </w:p>
        </w:tc>
        <w:tc>
          <w:tcPr>
            <w:tcW w:w="790" w:type="dxa"/>
            <w:tcBorders>
              <w:top w:val="nil"/>
              <w:left w:val="nil"/>
              <w:bottom w:val="single" w:color="auto" w:sz="4" w:space="0"/>
              <w:right w:val="single" w:color="auto" w:sz="4" w:space="0"/>
            </w:tcBorders>
            <w:shd w:val="clear" w:color="auto" w:fill="FFFFFF"/>
            <w:noWrap w:val="0"/>
            <w:vAlign w:val="center"/>
          </w:tcPr>
          <w:p w14:paraId="0161073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5B91C439">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5016034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一大队一中队</w:t>
            </w:r>
          </w:p>
        </w:tc>
        <w:tc>
          <w:tcPr>
            <w:tcW w:w="5627" w:type="dxa"/>
            <w:tcBorders>
              <w:top w:val="nil"/>
              <w:left w:val="nil"/>
              <w:bottom w:val="single" w:color="auto" w:sz="4" w:space="0"/>
              <w:right w:val="single" w:color="auto" w:sz="4" w:space="0"/>
            </w:tcBorders>
            <w:shd w:val="clear" w:color="auto" w:fill="FFFFFF"/>
            <w:noWrap w:val="0"/>
            <w:vAlign w:val="center"/>
          </w:tcPr>
          <w:p w14:paraId="277D0EE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温州市鹿城区里垟路1号市车管所2号楼</w:t>
            </w:r>
          </w:p>
        </w:tc>
        <w:tc>
          <w:tcPr>
            <w:tcW w:w="790" w:type="dxa"/>
            <w:tcBorders>
              <w:top w:val="nil"/>
              <w:left w:val="nil"/>
              <w:bottom w:val="single" w:color="auto" w:sz="4" w:space="0"/>
              <w:right w:val="single" w:color="auto" w:sz="4" w:space="0"/>
            </w:tcBorders>
            <w:shd w:val="clear" w:color="auto" w:fill="FFFFFF"/>
            <w:noWrap w:val="0"/>
            <w:vAlign w:val="center"/>
          </w:tcPr>
          <w:p w14:paraId="434C90F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FF0723F">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04FD144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一大队二中队</w:t>
            </w:r>
          </w:p>
        </w:tc>
        <w:tc>
          <w:tcPr>
            <w:tcW w:w="5627" w:type="dxa"/>
            <w:tcBorders>
              <w:top w:val="nil"/>
              <w:left w:val="nil"/>
              <w:bottom w:val="single" w:color="auto" w:sz="4" w:space="0"/>
              <w:right w:val="single" w:color="auto" w:sz="4" w:space="0"/>
            </w:tcBorders>
            <w:shd w:val="clear" w:color="auto" w:fill="FFFFFF"/>
            <w:noWrap w:val="0"/>
            <w:vAlign w:val="center"/>
          </w:tcPr>
          <w:p w14:paraId="04B0FAA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杏花路54号</w:t>
            </w:r>
          </w:p>
        </w:tc>
        <w:tc>
          <w:tcPr>
            <w:tcW w:w="790" w:type="dxa"/>
            <w:tcBorders>
              <w:top w:val="nil"/>
              <w:left w:val="nil"/>
              <w:bottom w:val="single" w:color="auto" w:sz="4" w:space="0"/>
              <w:right w:val="single" w:color="auto" w:sz="4" w:space="0"/>
            </w:tcBorders>
            <w:shd w:val="clear" w:color="auto" w:fill="FFFFFF"/>
            <w:noWrap w:val="0"/>
            <w:vAlign w:val="center"/>
          </w:tcPr>
          <w:p w14:paraId="26173AF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5620479D">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2C249E7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一大队三中队</w:t>
            </w:r>
          </w:p>
        </w:tc>
        <w:tc>
          <w:tcPr>
            <w:tcW w:w="5627" w:type="dxa"/>
            <w:tcBorders>
              <w:top w:val="nil"/>
              <w:left w:val="nil"/>
              <w:bottom w:val="single" w:color="auto" w:sz="4" w:space="0"/>
              <w:right w:val="single" w:color="auto" w:sz="4" w:space="0"/>
            </w:tcBorders>
            <w:shd w:val="clear" w:color="auto" w:fill="FFFFFF"/>
            <w:noWrap w:val="0"/>
            <w:vAlign w:val="center"/>
          </w:tcPr>
          <w:p w14:paraId="2C29B35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温金公路114号</w:t>
            </w:r>
          </w:p>
        </w:tc>
        <w:tc>
          <w:tcPr>
            <w:tcW w:w="790" w:type="dxa"/>
            <w:tcBorders>
              <w:top w:val="nil"/>
              <w:left w:val="nil"/>
              <w:bottom w:val="single" w:color="auto" w:sz="4" w:space="0"/>
              <w:right w:val="single" w:color="auto" w:sz="4" w:space="0"/>
            </w:tcBorders>
            <w:shd w:val="clear" w:color="auto" w:fill="FFFFFF"/>
            <w:noWrap w:val="0"/>
            <w:vAlign w:val="center"/>
          </w:tcPr>
          <w:p w14:paraId="123E008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71027B8">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503AF7F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一大队四中队</w:t>
            </w:r>
          </w:p>
        </w:tc>
        <w:tc>
          <w:tcPr>
            <w:tcW w:w="5627" w:type="dxa"/>
            <w:tcBorders>
              <w:top w:val="nil"/>
              <w:left w:val="nil"/>
              <w:bottom w:val="single" w:color="auto" w:sz="4" w:space="0"/>
              <w:right w:val="single" w:color="auto" w:sz="4" w:space="0"/>
            </w:tcBorders>
            <w:shd w:val="clear" w:color="auto" w:fill="FFFFFF"/>
            <w:noWrap w:val="0"/>
            <w:vAlign w:val="center"/>
          </w:tcPr>
          <w:p w14:paraId="2927A27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104国道线十里村国道边</w:t>
            </w:r>
          </w:p>
        </w:tc>
        <w:tc>
          <w:tcPr>
            <w:tcW w:w="790" w:type="dxa"/>
            <w:tcBorders>
              <w:top w:val="nil"/>
              <w:left w:val="nil"/>
              <w:bottom w:val="single" w:color="auto" w:sz="4" w:space="0"/>
              <w:right w:val="single" w:color="auto" w:sz="4" w:space="0"/>
            </w:tcBorders>
            <w:shd w:val="clear" w:color="auto" w:fill="FFFFFF"/>
            <w:noWrap w:val="0"/>
            <w:vAlign w:val="center"/>
          </w:tcPr>
          <w:p w14:paraId="787A1DD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58666636">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4217594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一大队五中队</w:t>
            </w:r>
          </w:p>
        </w:tc>
        <w:tc>
          <w:tcPr>
            <w:tcW w:w="5627" w:type="dxa"/>
            <w:tcBorders>
              <w:top w:val="nil"/>
              <w:left w:val="nil"/>
              <w:bottom w:val="single" w:color="auto" w:sz="4" w:space="0"/>
              <w:right w:val="single" w:color="auto" w:sz="4" w:space="0"/>
            </w:tcBorders>
            <w:shd w:val="clear" w:color="auto" w:fill="FFFFFF"/>
            <w:noWrap w:val="0"/>
            <w:vAlign w:val="center"/>
          </w:tcPr>
          <w:p w14:paraId="7B8F9D4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温州市鹿城区藤桥镇 戍浦南路2号</w:t>
            </w:r>
          </w:p>
        </w:tc>
        <w:tc>
          <w:tcPr>
            <w:tcW w:w="790" w:type="dxa"/>
            <w:tcBorders>
              <w:top w:val="nil"/>
              <w:left w:val="nil"/>
              <w:bottom w:val="single" w:color="auto" w:sz="4" w:space="0"/>
              <w:right w:val="single" w:color="auto" w:sz="4" w:space="0"/>
            </w:tcBorders>
            <w:shd w:val="clear" w:color="auto" w:fill="FFFFFF"/>
            <w:noWrap w:val="0"/>
            <w:vAlign w:val="center"/>
          </w:tcPr>
          <w:p w14:paraId="0DC822A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0BB597E0">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170656F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w:t>
            </w:r>
          </w:p>
        </w:tc>
        <w:tc>
          <w:tcPr>
            <w:tcW w:w="5627" w:type="dxa"/>
            <w:tcBorders>
              <w:top w:val="nil"/>
              <w:left w:val="nil"/>
              <w:bottom w:val="single" w:color="auto" w:sz="4" w:space="0"/>
              <w:right w:val="single" w:color="auto" w:sz="4" w:space="0"/>
            </w:tcBorders>
            <w:shd w:val="clear" w:color="auto" w:fill="FFFFFF"/>
            <w:noWrap w:val="0"/>
            <w:vAlign w:val="center"/>
          </w:tcPr>
          <w:p w14:paraId="384D335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单位地址</w:t>
            </w:r>
          </w:p>
        </w:tc>
        <w:tc>
          <w:tcPr>
            <w:tcW w:w="790" w:type="dxa"/>
            <w:tcBorders>
              <w:top w:val="nil"/>
              <w:left w:val="nil"/>
              <w:bottom w:val="single" w:color="auto" w:sz="4" w:space="0"/>
              <w:right w:val="single" w:color="auto" w:sz="4" w:space="0"/>
            </w:tcBorders>
            <w:shd w:val="clear" w:color="auto" w:fill="FFFFFF"/>
            <w:noWrap w:val="0"/>
            <w:vAlign w:val="center"/>
          </w:tcPr>
          <w:p w14:paraId="6582230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备注</w:t>
            </w:r>
          </w:p>
        </w:tc>
      </w:tr>
      <w:tr w14:paraId="7051195E">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5BAAC3B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二大队</w:t>
            </w:r>
          </w:p>
        </w:tc>
        <w:tc>
          <w:tcPr>
            <w:tcW w:w="5627" w:type="dxa"/>
            <w:tcBorders>
              <w:top w:val="nil"/>
              <w:left w:val="nil"/>
              <w:bottom w:val="single" w:color="auto" w:sz="4" w:space="0"/>
              <w:right w:val="single" w:color="auto" w:sz="4" w:space="0"/>
            </w:tcBorders>
            <w:shd w:val="clear" w:color="auto" w:fill="FFFFFF"/>
            <w:noWrap w:val="0"/>
            <w:vAlign w:val="center"/>
          </w:tcPr>
          <w:p w14:paraId="76156D7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鹿城区黎明西路307弄7号</w:t>
            </w:r>
          </w:p>
        </w:tc>
        <w:tc>
          <w:tcPr>
            <w:tcW w:w="790" w:type="dxa"/>
            <w:tcBorders>
              <w:top w:val="nil"/>
              <w:left w:val="nil"/>
              <w:bottom w:val="single" w:color="auto" w:sz="4" w:space="0"/>
              <w:right w:val="single" w:color="auto" w:sz="4" w:space="0"/>
            </w:tcBorders>
            <w:shd w:val="clear" w:color="auto" w:fill="FFFFFF"/>
            <w:noWrap w:val="0"/>
            <w:vAlign w:val="center"/>
          </w:tcPr>
          <w:p w14:paraId="28D2D69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2F4657E">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6172A07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二大队事故中队</w:t>
            </w:r>
          </w:p>
        </w:tc>
        <w:tc>
          <w:tcPr>
            <w:tcW w:w="5627" w:type="dxa"/>
            <w:tcBorders>
              <w:top w:val="nil"/>
              <w:left w:val="nil"/>
              <w:bottom w:val="single" w:color="auto" w:sz="4" w:space="0"/>
              <w:right w:val="single" w:color="auto" w:sz="4" w:space="0"/>
            </w:tcBorders>
            <w:shd w:val="clear" w:color="auto" w:fill="FFFFFF"/>
            <w:noWrap w:val="0"/>
            <w:vAlign w:val="center"/>
          </w:tcPr>
          <w:p w14:paraId="3D85A07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鹿城区黎明西路307弄7号</w:t>
            </w:r>
          </w:p>
        </w:tc>
        <w:tc>
          <w:tcPr>
            <w:tcW w:w="790" w:type="dxa"/>
            <w:tcBorders>
              <w:top w:val="nil"/>
              <w:left w:val="nil"/>
              <w:bottom w:val="single" w:color="auto" w:sz="4" w:space="0"/>
              <w:right w:val="single" w:color="auto" w:sz="4" w:space="0"/>
            </w:tcBorders>
            <w:shd w:val="clear" w:color="auto" w:fill="FFFFFF"/>
            <w:noWrap w:val="0"/>
            <w:vAlign w:val="center"/>
          </w:tcPr>
          <w:p w14:paraId="2A83F47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3F269F5A">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730815A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二大队一中队</w:t>
            </w:r>
          </w:p>
        </w:tc>
        <w:tc>
          <w:tcPr>
            <w:tcW w:w="5627" w:type="dxa"/>
            <w:tcBorders>
              <w:top w:val="nil"/>
              <w:left w:val="nil"/>
              <w:bottom w:val="single" w:color="auto" w:sz="4" w:space="0"/>
              <w:right w:val="single" w:color="auto" w:sz="4" w:space="0"/>
            </w:tcBorders>
            <w:shd w:val="clear" w:color="auto" w:fill="FFFFFF"/>
            <w:noWrap w:val="0"/>
            <w:vAlign w:val="center"/>
          </w:tcPr>
          <w:p w14:paraId="1994A4E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鹿城区黎明西路257弄7号</w:t>
            </w:r>
          </w:p>
        </w:tc>
        <w:tc>
          <w:tcPr>
            <w:tcW w:w="790" w:type="dxa"/>
            <w:tcBorders>
              <w:top w:val="nil"/>
              <w:left w:val="nil"/>
              <w:bottom w:val="single" w:color="auto" w:sz="4" w:space="0"/>
              <w:right w:val="single" w:color="auto" w:sz="4" w:space="0"/>
            </w:tcBorders>
            <w:shd w:val="clear" w:color="auto" w:fill="FFFFFF"/>
            <w:noWrap w:val="0"/>
            <w:vAlign w:val="center"/>
          </w:tcPr>
          <w:p w14:paraId="0AFFDC7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1FEC9364">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19CB3F9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二大队二中队</w:t>
            </w:r>
          </w:p>
        </w:tc>
        <w:tc>
          <w:tcPr>
            <w:tcW w:w="5627" w:type="dxa"/>
            <w:tcBorders>
              <w:top w:val="nil"/>
              <w:left w:val="nil"/>
              <w:bottom w:val="single" w:color="auto" w:sz="4" w:space="0"/>
              <w:right w:val="single" w:color="auto" w:sz="4" w:space="0"/>
            </w:tcBorders>
            <w:shd w:val="clear" w:color="auto" w:fill="FFFFFF"/>
            <w:noWrap w:val="0"/>
            <w:vAlign w:val="center"/>
          </w:tcPr>
          <w:p w14:paraId="4C663FF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南浦路118号王子花苑</w:t>
            </w:r>
          </w:p>
        </w:tc>
        <w:tc>
          <w:tcPr>
            <w:tcW w:w="790" w:type="dxa"/>
            <w:tcBorders>
              <w:top w:val="nil"/>
              <w:left w:val="nil"/>
              <w:bottom w:val="single" w:color="auto" w:sz="4" w:space="0"/>
              <w:right w:val="single" w:color="auto" w:sz="4" w:space="0"/>
            </w:tcBorders>
            <w:shd w:val="clear" w:color="auto" w:fill="FFFFFF"/>
            <w:noWrap w:val="0"/>
            <w:vAlign w:val="center"/>
          </w:tcPr>
          <w:p w14:paraId="67974F1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B772645">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4FFD0D1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二大队三中队</w:t>
            </w:r>
          </w:p>
        </w:tc>
        <w:tc>
          <w:tcPr>
            <w:tcW w:w="5627" w:type="dxa"/>
            <w:tcBorders>
              <w:top w:val="nil"/>
              <w:left w:val="nil"/>
              <w:bottom w:val="single" w:color="auto" w:sz="4" w:space="0"/>
              <w:right w:val="single" w:color="auto" w:sz="4" w:space="0"/>
            </w:tcBorders>
            <w:shd w:val="clear" w:color="auto" w:fill="FFFFFF"/>
            <w:noWrap w:val="0"/>
            <w:vAlign w:val="center"/>
          </w:tcPr>
          <w:p w14:paraId="4107967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鹿城区东港路120号</w:t>
            </w:r>
          </w:p>
        </w:tc>
        <w:tc>
          <w:tcPr>
            <w:tcW w:w="790" w:type="dxa"/>
            <w:tcBorders>
              <w:top w:val="nil"/>
              <w:left w:val="nil"/>
              <w:bottom w:val="single" w:color="auto" w:sz="4" w:space="0"/>
              <w:right w:val="single" w:color="auto" w:sz="4" w:space="0"/>
            </w:tcBorders>
            <w:shd w:val="clear" w:color="auto" w:fill="FFFFFF"/>
            <w:noWrap w:val="0"/>
            <w:vAlign w:val="center"/>
          </w:tcPr>
          <w:p w14:paraId="48593AB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B2755DE">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2F259EA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二大队四中队</w:t>
            </w:r>
          </w:p>
        </w:tc>
        <w:tc>
          <w:tcPr>
            <w:tcW w:w="5627" w:type="dxa"/>
            <w:tcBorders>
              <w:top w:val="nil"/>
              <w:left w:val="nil"/>
              <w:bottom w:val="single" w:color="auto" w:sz="4" w:space="0"/>
              <w:right w:val="single" w:color="auto" w:sz="4" w:space="0"/>
            </w:tcBorders>
            <w:shd w:val="clear" w:color="auto" w:fill="FFFFFF"/>
            <w:noWrap w:val="0"/>
            <w:vAlign w:val="center"/>
          </w:tcPr>
          <w:p w14:paraId="5BF5B65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鹿城区锦源路站前东小区奔驰商厦东首（二楼）</w:t>
            </w:r>
          </w:p>
        </w:tc>
        <w:tc>
          <w:tcPr>
            <w:tcW w:w="790" w:type="dxa"/>
            <w:tcBorders>
              <w:top w:val="nil"/>
              <w:left w:val="nil"/>
              <w:bottom w:val="single" w:color="auto" w:sz="4" w:space="0"/>
              <w:right w:val="single" w:color="auto" w:sz="4" w:space="0"/>
            </w:tcBorders>
            <w:shd w:val="clear" w:color="auto" w:fill="FFFFFF"/>
            <w:noWrap w:val="0"/>
            <w:vAlign w:val="center"/>
          </w:tcPr>
          <w:p w14:paraId="11815B1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1B12C6A">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259A2D0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二大队五中队</w:t>
            </w:r>
          </w:p>
        </w:tc>
        <w:tc>
          <w:tcPr>
            <w:tcW w:w="5627" w:type="dxa"/>
            <w:tcBorders>
              <w:top w:val="nil"/>
              <w:left w:val="nil"/>
              <w:bottom w:val="single" w:color="auto" w:sz="4" w:space="0"/>
              <w:right w:val="single" w:color="auto" w:sz="4" w:space="0"/>
            </w:tcBorders>
            <w:shd w:val="clear" w:color="auto" w:fill="FFFFFF"/>
            <w:noWrap w:val="0"/>
            <w:vAlign w:val="center"/>
          </w:tcPr>
          <w:p w14:paraId="48C0F17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七都街道</w:t>
            </w:r>
            <w:r>
              <w:rPr>
                <w:rFonts w:hint="eastAsia" w:ascii="宋体" w:hAnsi="宋体" w:eastAsia="宋体" w:cs="宋体"/>
                <w:bCs/>
                <w:color w:val="auto"/>
                <w:sz w:val="22"/>
                <w:szCs w:val="22"/>
                <w:highlight w:val="none"/>
                <w:lang w:val="en-US" w:eastAsia="zh-CN"/>
              </w:rPr>
              <w:t>1508号</w:t>
            </w:r>
            <w:r>
              <w:rPr>
                <w:rFonts w:hint="eastAsia" w:ascii="宋体" w:hAnsi="宋体" w:eastAsia="宋体" w:cs="宋体"/>
                <w:bCs/>
                <w:color w:val="auto"/>
                <w:sz w:val="22"/>
                <w:szCs w:val="22"/>
                <w:highlight w:val="none"/>
              </w:rPr>
              <w:t>老涂</w:t>
            </w:r>
            <w:r>
              <w:rPr>
                <w:rFonts w:hint="eastAsia" w:ascii="宋体" w:hAnsi="宋体" w:eastAsia="宋体" w:cs="宋体"/>
                <w:bCs/>
                <w:color w:val="auto"/>
                <w:sz w:val="22"/>
                <w:szCs w:val="22"/>
                <w:highlight w:val="none"/>
                <w:lang w:val="en-US" w:eastAsia="zh-CN"/>
              </w:rPr>
              <w:t>居民中心二楼，七都农商银行楼上</w:t>
            </w:r>
          </w:p>
        </w:tc>
        <w:tc>
          <w:tcPr>
            <w:tcW w:w="790" w:type="dxa"/>
            <w:tcBorders>
              <w:top w:val="nil"/>
              <w:left w:val="nil"/>
              <w:bottom w:val="single" w:color="auto" w:sz="4" w:space="0"/>
              <w:right w:val="single" w:color="auto" w:sz="4" w:space="0"/>
            </w:tcBorders>
            <w:shd w:val="clear" w:color="auto" w:fill="FFFFFF"/>
            <w:noWrap w:val="0"/>
            <w:vAlign w:val="center"/>
          </w:tcPr>
          <w:p w14:paraId="72E85CC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4C9753B">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71702D0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w:t>
            </w:r>
          </w:p>
        </w:tc>
        <w:tc>
          <w:tcPr>
            <w:tcW w:w="5627" w:type="dxa"/>
            <w:tcBorders>
              <w:top w:val="nil"/>
              <w:left w:val="nil"/>
              <w:bottom w:val="single" w:color="auto" w:sz="4" w:space="0"/>
              <w:right w:val="single" w:color="auto" w:sz="4" w:space="0"/>
            </w:tcBorders>
            <w:shd w:val="clear" w:color="auto" w:fill="FFFFFF"/>
            <w:noWrap w:val="0"/>
            <w:vAlign w:val="center"/>
          </w:tcPr>
          <w:p w14:paraId="0933688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单位地址</w:t>
            </w:r>
          </w:p>
        </w:tc>
        <w:tc>
          <w:tcPr>
            <w:tcW w:w="790" w:type="dxa"/>
            <w:tcBorders>
              <w:top w:val="nil"/>
              <w:left w:val="nil"/>
              <w:bottom w:val="single" w:color="auto" w:sz="4" w:space="0"/>
              <w:right w:val="single" w:color="auto" w:sz="4" w:space="0"/>
            </w:tcBorders>
            <w:shd w:val="clear" w:color="auto" w:fill="FFFFFF"/>
            <w:noWrap w:val="0"/>
            <w:vAlign w:val="center"/>
          </w:tcPr>
          <w:p w14:paraId="1F40D51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备注</w:t>
            </w:r>
          </w:p>
        </w:tc>
      </w:tr>
      <w:tr w14:paraId="7FEE301E">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69D4C8E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三大队</w:t>
            </w:r>
          </w:p>
        </w:tc>
        <w:tc>
          <w:tcPr>
            <w:tcW w:w="5627" w:type="dxa"/>
            <w:tcBorders>
              <w:top w:val="nil"/>
              <w:left w:val="nil"/>
              <w:bottom w:val="single" w:color="auto" w:sz="4" w:space="0"/>
              <w:right w:val="single" w:color="auto" w:sz="4" w:space="0"/>
            </w:tcBorders>
            <w:shd w:val="clear" w:color="auto" w:fill="FFFFFF"/>
            <w:noWrap w:val="0"/>
            <w:vAlign w:val="center"/>
          </w:tcPr>
          <w:p w14:paraId="3E99C6E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龙腾南路消防大队西首</w:t>
            </w:r>
          </w:p>
        </w:tc>
        <w:tc>
          <w:tcPr>
            <w:tcW w:w="790" w:type="dxa"/>
            <w:tcBorders>
              <w:top w:val="nil"/>
              <w:left w:val="nil"/>
              <w:bottom w:val="single" w:color="auto" w:sz="4" w:space="0"/>
              <w:right w:val="single" w:color="auto" w:sz="4" w:space="0"/>
            </w:tcBorders>
            <w:shd w:val="clear" w:color="auto" w:fill="FFFFFF"/>
            <w:noWrap w:val="0"/>
            <w:vAlign w:val="center"/>
          </w:tcPr>
          <w:p w14:paraId="3017DC7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48C39B01">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6D4743C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三大队事故中队</w:t>
            </w:r>
          </w:p>
        </w:tc>
        <w:tc>
          <w:tcPr>
            <w:tcW w:w="5627" w:type="dxa"/>
            <w:tcBorders>
              <w:top w:val="nil"/>
              <w:left w:val="nil"/>
              <w:bottom w:val="single" w:color="auto" w:sz="4" w:space="0"/>
              <w:right w:val="single" w:color="auto" w:sz="4" w:space="0"/>
            </w:tcBorders>
            <w:shd w:val="clear" w:color="auto" w:fill="FFFFFF"/>
            <w:noWrap w:val="0"/>
            <w:vAlign w:val="center"/>
          </w:tcPr>
          <w:p w14:paraId="704C9C6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龙腾南路消防大队西首</w:t>
            </w:r>
          </w:p>
        </w:tc>
        <w:tc>
          <w:tcPr>
            <w:tcW w:w="790" w:type="dxa"/>
            <w:tcBorders>
              <w:top w:val="nil"/>
              <w:left w:val="nil"/>
              <w:bottom w:val="single" w:color="auto" w:sz="4" w:space="0"/>
              <w:right w:val="single" w:color="auto" w:sz="4" w:space="0"/>
            </w:tcBorders>
            <w:shd w:val="clear" w:color="auto" w:fill="FFFFFF"/>
            <w:noWrap w:val="0"/>
            <w:vAlign w:val="center"/>
          </w:tcPr>
          <w:p w14:paraId="6BBB410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DEB2404">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2942C7C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三大队一中队</w:t>
            </w:r>
          </w:p>
        </w:tc>
        <w:tc>
          <w:tcPr>
            <w:tcW w:w="5627" w:type="dxa"/>
            <w:tcBorders>
              <w:top w:val="nil"/>
              <w:left w:val="nil"/>
              <w:bottom w:val="single" w:color="auto" w:sz="4" w:space="0"/>
              <w:right w:val="single" w:color="auto" w:sz="4" w:space="0"/>
            </w:tcBorders>
            <w:shd w:val="clear" w:color="auto" w:fill="FFFFFF"/>
            <w:noWrap w:val="0"/>
            <w:vAlign w:val="center"/>
          </w:tcPr>
          <w:p w14:paraId="70EC06C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龙湾区文昌路178号电商大厦一层东首</w:t>
            </w:r>
          </w:p>
        </w:tc>
        <w:tc>
          <w:tcPr>
            <w:tcW w:w="790" w:type="dxa"/>
            <w:tcBorders>
              <w:top w:val="nil"/>
              <w:left w:val="nil"/>
              <w:bottom w:val="single" w:color="auto" w:sz="4" w:space="0"/>
              <w:right w:val="single" w:color="auto" w:sz="4" w:space="0"/>
            </w:tcBorders>
            <w:shd w:val="clear" w:color="auto" w:fill="FFFFFF"/>
            <w:noWrap w:val="0"/>
            <w:vAlign w:val="center"/>
          </w:tcPr>
          <w:p w14:paraId="243016A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191951F8">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69ACA4A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三大队二中队</w:t>
            </w:r>
          </w:p>
        </w:tc>
        <w:tc>
          <w:tcPr>
            <w:tcW w:w="5627" w:type="dxa"/>
            <w:tcBorders>
              <w:top w:val="nil"/>
              <w:left w:val="nil"/>
              <w:bottom w:val="single" w:color="auto" w:sz="4" w:space="0"/>
              <w:right w:val="single" w:color="auto" w:sz="4" w:space="0"/>
            </w:tcBorders>
            <w:shd w:val="clear" w:color="auto" w:fill="FFFFFF"/>
            <w:noWrap w:val="0"/>
            <w:vAlign w:val="center"/>
          </w:tcPr>
          <w:p w14:paraId="227010D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龙湾区瑶溪镇白楼下阳明路32号</w:t>
            </w:r>
          </w:p>
        </w:tc>
        <w:tc>
          <w:tcPr>
            <w:tcW w:w="790" w:type="dxa"/>
            <w:tcBorders>
              <w:top w:val="nil"/>
              <w:left w:val="nil"/>
              <w:bottom w:val="single" w:color="auto" w:sz="4" w:space="0"/>
              <w:right w:val="single" w:color="auto" w:sz="4" w:space="0"/>
            </w:tcBorders>
            <w:shd w:val="clear" w:color="auto" w:fill="FFFFFF"/>
            <w:noWrap w:val="0"/>
            <w:vAlign w:val="center"/>
          </w:tcPr>
          <w:p w14:paraId="572EE37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5096984">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7F7BDE6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三大队三中队</w:t>
            </w:r>
          </w:p>
        </w:tc>
        <w:tc>
          <w:tcPr>
            <w:tcW w:w="5627" w:type="dxa"/>
            <w:tcBorders>
              <w:top w:val="nil"/>
              <w:left w:val="nil"/>
              <w:bottom w:val="single" w:color="auto" w:sz="4" w:space="0"/>
              <w:right w:val="single" w:color="auto" w:sz="4" w:space="0"/>
            </w:tcBorders>
            <w:shd w:val="clear" w:color="auto" w:fill="FFFFFF"/>
            <w:noWrap w:val="0"/>
            <w:vAlign w:val="center"/>
          </w:tcPr>
          <w:p w14:paraId="6B6277E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龙湾区东嘉路与永定路口永定家园</w:t>
            </w:r>
          </w:p>
        </w:tc>
        <w:tc>
          <w:tcPr>
            <w:tcW w:w="790" w:type="dxa"/>
            <w:tcBorders>
              <w:top w:val="nil"/>
              <w:left w:val="nil"/>
              <w:bottom w:val="single" w:color="auto" w:sz="4" w:space="0"/>
              <w:right w:val="single" w:color="auto" w:sz="4" w:space="0"/>
            </w:tcBorders>
            <w:shd w:val="clear" w:color="auto" w:fill="FFFFFF"/>
            <w:noWrap w:val="0"/>
            <w:vAlign w:val="center"/>
          </w:tcPr>
          <w:p w14:paraId="4A78CD5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3C4A0AE8">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6981055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w:t>
            </w:r>
          </w:p>
        </w:tc>
        <w:tc>
          <w:tcPr>
            <w:tcW w:w="5627" w:type="dxa"/>
            <w:tcBorders>
              <w:top w:val="nil"/>
              <w:left w:val="nil"/>
              <w:bottom w:val="single" w:color="auto" w:sz="4" w:space="0"/>
              <w:right w:val="single" w:color="auto" w:sz="4" w:space="0"/>
            </w:tcBorders>
            <w:shd w:val="clear" w:color="auto" w:fill="FFFFFF"/>
            <w:noWrap w:val="0"/>
            <w:vAlign w:val="center"/>
          </w:tcPr>
          <w:p w14:paraId="772F2B1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单位地址</w:t>
            </w:r>
          </w:p>
        </w:tc>
        <w:tc>
          <w:tcPr>
            <w:tcW w:w="790" w:type="dxa"/>
            <w:tcBorders>
              <w:top w:val="nil"/>
              <w:left w:val="nil"/>
              <w:bottom w:val="single" w:color="auto" w:sz="4" w:space="0"/>
              <w:right w:val="single" w:color="auto" w:sz="4" w:space="0"/>
            </w:tcBorders>
            <w:shd w:val="clear" w:color="auto" w:fill="FFFFFF"/>
            <w:noWrap w:val="0"/>
            <w:vAlign w:val="center"/>
          </w:tcPr>
          <w:p w14:paraId="32FBB4A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备注</w:t>
            </w:r>
          </w:p>
        </w:tc>
      </w:tr>
      <w:tr w14:paraId="27447421">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5A0D6C2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w:t>
            </w:r>
          </w:p>
        </w:tc>
        <w:tc>
          <w:tcPr>
            <w:tcW w:w="5627" w:type="dxa"/>
            <w:tcBorders>
              <w:top w:val="nil"/>
              <w:left w:val="nil"/>
              <w:bottom w:val="single" w:color="auto" w:sz="4" w:space="0"/>
              <w:right w:val="single" w:color="auto" w:sz="4" w:space="0"/>
            </w:tcBorders>
            <w:shd w:val="clear" w:color="auto" w:fill="FFFFFF"/>
            <w:noWrap w:val="0"/>
            <w:vAlign w:val="center"/>
          </w:tcPr>
          <w:p w14:paraId="5188044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过境公路1630号</w:t>
            </w:r>
          </w:p>
        </w:tc>
        <w:tc>
          <w:tcPr>
            <w:tcW w:w="790" w:type="dxa"/>
            <w:tcBorders>
              <w:top w:val="nil"/>
              <w:left w:val="nil"/>
              <w:bottom w:val="single" w:color="auto" w:sz="4" w:space="0"/>
              <w:right w:val="single" w:color="auto" w:sz="4" w:space="0"/>
            </w:tcBorders>
            <w:shd w:val="clear" w:color="auto" w:fill="FFFFFF"/>
            <w:noWrap w:val="0"/>
            <w:vAlign w:val="center"/>
          </w:tcPr>
          <w:p w14:paraId="39C8F37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42C7268B">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285D457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四大队事故中队</w:t>
            </w:r>
          </w:p>
        </w:tc>
        <w:tc>
          <w:tcPr>
            <w:tcW w:w="5627" w:type="dxa"/>
            <w:tcBorders>
              <w:top w:val="nil"/>
              <w:left w:val="nil"/>
              <w:bottom w:val="single" w:color="auto" w:sz="4" w:space="0"/>
              <w:right w:val="single" w:color="auto" w:sz="4" w:space="0"/>
            </w:tcBorders>
            <w:shd w:val="clear" w:color="auto" w:fill="FFFFFF"/>
            <w:noWrap w:val="0"/>
            <w:vAlign w:val="center"/>
          </w:tcPr>
          <w:p w14:paraId="00F1108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过境公路1630号</w:t>
            </w:r>
          </w:p>
        </w:tc>
        <w:tc>
          <w:tcPr>
            <w:tcW w:w="790" w:type="dxa"/>
            <w:tcBorders>
              <w:top w:val="nil"/>
              <w:left w:val="nil"/>
              <w:bottom w:val="single" w:color="auto" w:sz="4" w:space="0"/>
              <w:right w:val="single" w:color="auto" w:sz="4" w:space="0"/>
            </w:tcBorders>
            <w:shd w:val="clear" w:color="auto" w:fill="FFFFFF"/>
            <w:noWrap w:val="0"/>
            <w:vAlign w:val="center"/>
          </w:tcPr>
          <w:p w14:paraId="03C2028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1699D903">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4800024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四大队一中队</w:t>
            </w:r>
          </w:p>
        </w:tc>
        <w:tc>
          <w:tcPr>
            <w:tcW w:w="5627" w:type="dxa"/>
            <w:tcBorders>
              <w:top w:val="nil"/>
              <w:left w:val="nil"/>
              <w:bottom w:val="single" w:color="auto" w:sz="4" w:space="0"/>
              <w:right w:val="single" w:color="auto" w:sz="4" w:space="0"/>
            </w:tcBorders>
            <w:shd w:val="clear" w:color="auto" w:fill="FFFFFF"/>
            <w:noWrap w:val="0"/>
            <w:vAlign w:val="center"/>
          </w:tcPr>
          <w:p w14:paraId="7D36833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过境公路1630号</w:t>
            </w:r>
          </w:p>
        </w:tc>
        <w:tc>
          <w:tcPr>
            <w:tcW w:w="790" w:type="dxa"/>
            <w:tcBorders>
              <w:top w:val="nil"/>
              <w:left w:val="nil"/>
              <w:bottom w:val="single" w:color="auto" w:sz="4" w:space="0"/>
              <w:right w:val="single" w:color="auto" w:sz="4" w:space="0"/>
            </w:tcBorders>
            <w:shd w:val="clear" w:color="auto" w:fill="FFFFFF"/>
            <w:noWrap w:val="0"/>
            <w:vAlign w:val="center"/>
          </w:tcPr>
          <w:p w14:paraId="2926650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0FC399D6">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01C112E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四大队二中队</w:t>
            </w:r>
          </w:p>
        </w:tc>
        <w:tc>
          <w:tcPr>
            <w:tcW w:w="5627" w:type="dxa"/>
            <w:tcBorders>
              <w:top w:val="nil"/>
              <w:left w:val="nil"/>
              <w:bottom w:val="single" w:color="auto" w:sz="4" w:space="0"/>
              <w:right w:val="single" w:color="auto" w:sz="4" w:space="0"/>
            </w:tcBorders>
            <w:shd w:val="clear" w:color="auto" w:fill="FFFFFF"/>
            <w:noWrap w:val="0"/>
            <w:vAlign w:val="center"/>
          </w:tcPr>
          <w:p w14:paraId="542AF06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瓯海区104国道南白象段1804号（金竹村）</w:t>
            </w:r>
          </w:p>
        </w:tc>
        <w:tc>
          <w:tcPr>
            <w:tcW w:w="790" w:type="dxa"/>
            <w:tcBorders>
              <w:top w:val="nil"/>
              <w:left w:val="nil"/>
              <w:bottom w:val="single" w:color="auto" w:sz="4" w:space="0"/>
              <w:right w:val="single" w:color="auto" w:sz="4" w:space="0"/>
            </w:tcBorders>
            <w:shd w:val="clear" w:color="auto" w:fill="FFFFFF"/>
            <w:noWrap w:val="0"/>
            <w:vAlign w:val="center"/>
          </w:tcPr>
          <w:p w14:paraId="4713C9D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0E37C846">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5663655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四大队三中队</w:t>
            </w:r>
          </w:p>
        </w:tc>
        <w:tc>
          <w:tcPr>
            <w:tcW w:w="5627" w:type="dxa"/>
            <w:tcBorders>
              <w:top w:val="nil"/>
              <w:left w:val="nil"/>
              <w:bottom w:val="single" w:color="auto" w:sz="4" w:space="0"/>
              <w:right w:val="single" w:color="auto" w:sz="4" w:space="0"/>
            </w:tcBorders>
            <w:shd w:val="clear" w:color="auto" w:fill="FFFFFF"/>
            <w:noWrap w:val="0"/>
            <w:vAlign w:val="center"/>
          </w:tcPr>
          <w:p w14:paraId="7FC4678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瓯海区娄桥街道上汇工业区极光路10号</w:t>
            </w:r>
          </w:p>
        </w:tc>
        <w:tc>
          <w:tcPr>
            <w:tcW w:w="790" w:type="dxa"/>
            <w:tcBorders>
              <w:top w:val="nil"/>
              <w:left w:val="nil"/>
              <w:bottom w:val="single" w:color="auto" w:sz="4" w:space="0"/>
              <w:right w:val="single" w:color="auto" w:sz="4" w:space="0"/>
            </w:tcBorders>
            <w:shd w:val="clear" w:color="auto" w:fill="FFFFFF"/>
            <w:noWrap w:val="0"/>
            <w:vAlign w:val="center"/>
          </w:tcPr>
          <w:p w14:paraId="5C83B71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51B00560">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6777006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四大队四中队</w:t>
            </w:r>
          </w:p>
        </w:tc>
        <w:tc>
          <w:tcPr>
            <w:tcW w:w="5627" w:type="dxa"/>
            <w:tcBorders>
              <w:top w:val="nil"/>
              <w:left w:val="nil"/>
              <w:bottom w:val="single" w:color="auto" w:sz="4" w:space="0"/>
              <w:right w:val="single" w:color="auto" w:sz="4" w:space="0"/>
            </w:tcBorders>
            <w:shd w:val="clear" w:color="auto" w:fill="FFFFFF"/>
            <w:noWrap w:val="0"/>
            <w:vAlign w:val="center"/>
          </w:tcPr>
          <w:p w14:paraId="0781202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瓯海区</w:t>
            </w:r>
            <w:r>
              <w:rPr>
                <w:rFonts w:hint="eastAsia" w:ascii="宋体" w:hAnsi="宋体" w:eastAsia="宋体" w:cs="宋体"/>
                <w:bCs/>
                <w:color w:val="auto"/>
                <w:sz w:val="22"/>
                <w:szCs w:val="22"/>
                <w:highlight w:val="none"/>
                <w:lang w:val="en-US" w:eastAsia="zh-CN"/>
              </w:rPr>
              <w:t>南塘一组团1栋</w:t>
            </w:r>
          </w:p>
        </w:tc>
        <w:tc>
          <w:tcPr>
            <w:tcW w:w="790" w:type="dxa"/>
            <w:tcBorders>
              <w:top w:val="nil"/>
              <w:left w:val="nil"/>
              <w:bottom w:val="single" w:color="auto" w:sz="4" w:space="0"/>
              <w:right w:val="single" w:color="auto" w:sz="4" w:space="0"/>
            </w:tcBorders>
            <w:shd w:val="clear" w:color="auto" w:fill="FFFFFF"/>
            <w:noWrap w:val="0"/>
            <w:vAlign w:val="center"/>
          </w:tcPr>
          <w:p w14:paraId="7CF97AB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BDECB00">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47D1465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四大队六中队</w:t>
            </w:r>
          </w:p>
        </w:tc>
        <w:tc>
          <w:tcPr>
            <w:tcW w:w="5627" w:type="dxa"/>
            <w:tcBorders>
              <w:top w:val="nil"/>
              <w:left w:val="nil"/>
              <w:bottom w:val="single" w:color="auto" w:sz="4" w:space="0"/>
              <w:right w:val="single" w:color="auto" w:sz="4" w:space="0"/>
            </w:tcBorders>
            <w:shd w:val="clear" w:color="auto" w:fill="FFFFFF"/>
            <w:noWrap w:val="0"/>
            <w:vAlign w:val="center"/>
          </w:tcPr>
          <w:p w14:paraId="63496F9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瓯海区</w:t>
            </w:r>
            <w:r>
              <w:rPr>
                <w:rFonts w:hint="eastAsia" w:ascii="宋体" w:hAnsi="宋体" w:eastAsia="宋体" w:cs="宋体"/>
                <w:bCs/>
                <w:color w:val="auto"/>
                <w:sz w:val="22"/>
                <w:szCs w:val="22"/>
                <w:highlight w:val="none"/>
                <w:lang w:val="en-US" w:eastAsia="zh-CN"/>
              </w:rPr>
              <w:t>泽雅镇泽雅大道134号</w:t>
            </w:r>
          </w:p>
        </w:tc>
        <w:tc>
          <w:tcPr>
            <w:tcW w:w="790" w:type="dxa"/>
            <w:tcBorders>
              <w:top w:val="nil"/>
              <w:left w:val="nil"/>
              <w:bottom w:val="single" w:color="auto" w:sz="4" w:space="0"/>
              <w:right w:val="single" w:color="auto" w:sz="4" w:space="0"/>
            </w:tcBorders>
            <w:shd w:val="clear" w:color="auto" w:fill="FFFFFF"/>
            <w:noWrap w:val="0"/>
            <w:vAlign w:val="center"/>
          </w:tcPr>
          <w:p w14:paraId="1E23680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25EE390C">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0035460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四大队八中队</w:t>
            </w:r>
          </w:p>
        </w:tc>
        <w:tc>
          <w:tcPr>
            <w:tcW w:w="5627" w:type="dxa"/>
            <w:tcBorders>
              <w:top w:val="nil"/>
              <w:left w:val="nil"/>
              <w:bottom w:val="single" w:color="auto" w:sz="4" w:space="0"/>
              <w:right w:val="single" w:color="auto" w:sz="4" w:space="0"/>
            </w:tcBorders>
            <w:shd w:val="clear" w:color="auto" w:fill="FFFFFF"/>
            <w:noWrap w:val="0"/>
            <w:vAlign w:val="center"/>
          </w:tcPr>
          <w:p w14:paraId="4EDC7FB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瓯海区104国道南白象段652号</w:t>
            </w:r>
          </w:p>
        </w:tc>
        <w:tc>
          <w:tcPr>
            <w:tcW w:w="790" w:type="dxa"/>
            <w:tcBorders>
              <w:top w:val="nil"/>
              <w:left w:val="nil"/>
              <w:bottom w:val="single" w:color="auto" w:sz="4" w:space="0"/>
              <w:right w:val="single" w:color="auto" w:sz="4" w:space="0"/>
            </w:tcBorders>
            <w:shd w:val="clear" w:color="auto" w:fill="FFFFFF"/>
            <w:noWrap w:val="0"/>
            <w:vAlign w:val="center"/>
          </w:tcPr>
          <w:p w14:paraId="40F5638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6A8AC4EF">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1A04F0E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w:t>
            </w:r>
          </w:p>
        </w:tc>
        <w:tc>
          <w:tcPr>
            <w:tcW w:w="5627" w:type="dxa"/>
            <w:tcBorders>
              <w:top w:val="nil"/>
              <w:left w:val="nil"/>
              <w:bottom w:val="single" w:color="auto" w:sz="4" w:space="0"/>
              <w:right w:val="single" w:color="auto" w:sz="4" w:space="0"/>
            </w:tcBorders>
            <w:shd w:val="clear" w:color="auto" w:fill="FFFFFF"/>
            <w:noWrap w:val="0"/>
            <w:vAlign w:val="center"/>
          </w:tcPr>
          <w:p w14:paraId="739D12E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单位地址</w:t>
            </w:r>
          </w:p>
        </w:tc>
        <w:tc>
          <w:tcPr>
            <w:tcW w:w="790" w:type="dxa"/>
            <w:tcBorders>
              <w:top w:val="nil"/>
              <w:left w:val="nil"/>
              <w:bottom w:val="single" w:color="auto" w:sz="4" w:space="0"/>
              <w:right w:val="single" w:color="auto" w:sz="4" w:space="0"/>
            </w:tcBorders>
            <w:shd w:val="clear" w:color="auto" w:fill="FFFFFF"/>
            <w:noWrap w:val="0"/>
            <w:vAlign w:val="center"/>
          </w:tcPr>
          <w:p w14:paraId="0A0BFEF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备注</w:t>
            </w:r>
          </w:p>
        </w:tc>
      </w:tr>
      <w:tr w14:paraId="097344DD">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55AEF16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五大队</w:t>
            </w:r>
          </w:p>
        </w:tc>
        <w:tc>
          <w:tcPr>
            <w:tcW w:w="5627" w:type="dxa"/>
            <w:tcBorders>
              <w:top w:val="nil"/>
              <w:left w:val="nil"/>
              <w:bottom w:val="single" w:color="auto" w:sz="4" w:space="0"/>
              <w:right w:val="single" w:color="auto" w:sz="4" w:space="0"/>
            </w:tcBorders>
            <w:shd w:val="clear" w:color="auto" w:fill="FFFFFF"/>
            <w:noWrap w:val="0"/>
            <w:vAlign w:val="center"/>
          </w:tcPr>
          <w:p w14:paraId="28F30DC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温州市经济技术开发区杨柳路与滨海四路交叉口</w:t>
            </w:r>
          </w:p>
        </w:tc>
        <w:tc>
          <w:tcPr>
            <w:tcW w:w="790" w:type="dxa"/>
            <w:tcBorders>
              <w:top w:val="nil"/>
              <w:left w:val="nil"/>
              <w:bottom w:val="single" w:color="auto" w:sz="4" w:space="0"/>
              <w:right w:val="single" w:color="auto" w:sz="4" w:space="0"/>
            </w:tcBorders>
            <w:shd w:val="clear" w:color="auto" w:fill="FFFFFF"/>
            <w:noWrap w:val="0"/>
            <w:vAlign w:val="center"/>
          </w:tcPr>
          <w:p w14:paraId="179D34E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34864F01">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05D86D5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五大队一中队</w:t>
            </w:r>
          </w:p>
        </w:tc>
        <w:tc>
          <w:tcPr>
            <w:tcW w:w="5627" w:type="dxa"/>
            <w:tcBorders>
              <w:top w:val="nil"/>
              <w:left w:val="nil"/>
              <w:bottom w:val="single" w:color="auto" w:sz="4" w:space="0"/>
              <w:right w:val="single" w:color="auto" w:sz="4" w:space="0"/>
            </w:tcBorders>
            <w:shd w:val="clear" w:color="auto" w:fill="FFFFFF"/>
            <w:noWrap w:val="0"/>
            <w:vAlign w:val="center"/>
          </w:tcPr>
          <w:p w14:paraId="7467B40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温州市龙湾区沙城街道沧浪路2-2号</w:t>
            </w:r>
          </w:p>
        </w:tc>
        <w:tc>
          <w:tcPr>
            <w:tcW w:w="790" w:type="dxa"/>
            <w:tcBorders>
              <w:top w:val="nil"/>
              <w:left w:val="nil"/>
              <w:bottom w:val="single" w:color="auto" w:sz="4" w:space="0"/>
              <w:right w:val="single" w:color="auto" w:sz="4" w:space="0"/>
            </w:tcBorders>
            <w:shd w:val="clear" w:color="auto" w:fill="FFFFFF"/>
            <w:noWrap w:val="0"/>
            <w:vAlign w:val="center"/>
          </w:tcPr>
          <w:p w14:paraId="3280D13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00A2CB47">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00521CB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五大队二中队</w:t>
            </w:r>
          </w:p>
        </w:tc>
        <w:tc>
          <w:tcPr>
            <w:tcW w:w="5627" w:type="dxa"/>
            <w:tcBorders>
              <w:top w:val="nil"/>
              <w:left w:val="nil"/>
              <w:bottom w:val="single" w:color="auto" w:sz="4" w:space="0"/>
              <w:right w:val="single" w:color="auto" w:sz="4" w:space="0"/>
            </w:tcBorders>
            <w:shd w:val="clear" w:color="auto" w:fill="FFFFFF"/>
            <w:noWrap w:val="0"/>
            <w:vAlign w:val="center"/>
          </w:tcPr>
          <w:p w14:paraId="72F0BB7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温州市龙湾区永强大道2号</w:t>
            </w:r>
          </w:p>
        </w:tc>
        <w:tc>
          <w:tcPr>
            <w:tcW w:w="790" w:type="dxa"/>
            <w:tcBorders>
              <w:top w:val="nil"/>
              <w:left w:val="nil"/>
              <w:bottom w:val="single" w:color="auto" w:sz="4" w:space="0"/>
              <w:right w:val="single" w:color="auto" w:sz="4" w:space="0"/>
            </w:tcBorders>
            <w:shd w:val="clear" w:color="auto" w:fill="FFFFFF"/>
            <w:noWrap w:val="0"/>
            <w:vAlign w:val="center"/>
          </w:tcPr>
          <w:p w14:paraId="71C98ED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1EC03A09">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3754485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w:t>
            </w:r>
          </w:p>
        </w:tc>
        <w:tc>
          <w:tcPr>
            <w:tcW w:w="5627" w:type="dxa"/>
            <w:tcBorders>
              <w:top w:val="nil"/>
              <w:left w:val="nil"/>
              <w:bottom w:val="single" w:color="auto" w:sz="4" w:space="0"/>
              <w:right w:val="single" w:color="auto" w:sz="4" w:space="0"/>
            </w:tcBorders>
            <w:shd w:val="clear" w:color="auto" w:fill="FFFFFF"/>
            <w:noWrap w:val="0"/>
            <w:vAlign w:val="center"/>
          </w:tcPr>
          <w:p w14:paraId="5B71439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单位地址</w:t>
            </w:r>
          </w:p>
        </w:tc>
        <w:tc>
          <w:tcPr>
            <w:tcW w:w="790" w:type="dxa"/>
            <w:tcBorders>
              <w:top w:val="nil"/>
              <w:left w:val="nil"/>
              <w:bottom w:val="single" w:color="auto" w:sz="4" w:space="0"/>
              <w:right w:val="single" w:color="auto" w:sz="4" w:space="0"/>
            </w:tcBorders>
            <w:shd w:val="clear" w:color="auto" w:fill="FFFFFF"/>
            <w:noWrap w:val="0"/>
            <w:vAlign w:val="center"/>
          </w:tcPr>
          <w:p w14:paraId="68CE74B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备注</w:t>
            </w:r>
          </w:p>
        </w:tc>
      </w:tr>
      <w:tr w14:paraId="208DE0E2">
        <w:tblPrEx>
          <w:tblCellMar>
            <w:top w:w="0" w:type="dxa"/>
            <w:left w:w="108" w:type="dxa"/>
            <w:bottom w:w="0" w:type="dxa"/>
            <w:right w:w="108" w:type="dxa"/>
          </w:tblCellMar>
        </w:tblPrEx>
        <w:trPr>
          <w:trHeight w:val="285" w:hRule="atLeast"/>
          <w:jc w:val="center"/>
        </w:trPr>
        <w:tc>
          <w:tcPr>
            <w:tcW w:w="2943" w:type="dxa"/>
            <w:tcBorders>
              <w:top w:val="nil"/>
              <w:left w:val="single" w:color="auto" w:sz="4" w:space="0"/>
              <w:bottom w:val="single" w:color="auto" w:sz="4" w:space="0"/>
              <w:right w:val="single" w:color="auto" w:sz="4" w:space="0"/>
            </w:tcBorders>
            <w:shd w:val="clear" w:color="auto" w:fill="FFFFFF"/>
            <w:noWrap w:val="0"/>
            <w:vAlign w:val="center"/>
          </w:tcPr>
          <w:p w14:paraId="48222E2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车辆管理所</w:t>
            </w:r>
          </w:p>
        </w:tc>
        <w:tc>
          <w:tcPr>
            <w:tcW w:w="5627" w:type="dxa"/>
            <w:tcBorders>
              <w:top w:val="nil"/>
              <w:left w:val="nil"/>
              <w:bottom w:val="single" w:color="auto" w:sz="4" w:space="0"/>
              <w:right w:val="single" w:color="auto" w:sz="4" w:space="0"/>
            </w:tcBorders>
            <w:shd w:val="clear" w:color="auto" w:fill="FFFFFF"/>
            <w:noWrap w:val="0"/>
            <w:vAlign w:val="center"/>
          </w:tcPr>
          <w:p w14:paraId="7A0985B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温州市过境公路里垟路口</w:t>
            </w:r>
          </w:p>
          <w:p w14:paraId="5D084D8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车管所计算机维护有以下几点：</w:t>
            </w:r>
          </w:p>
          <w:p w14:paraId="40CFF68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车管所（温州市过境公路里羊路口）</w:t>
            </w:r>
          </w:p>
          <w:p w14:paraId="02347C7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考试中心（瓯海区娄桥镇河庄村）</w:t>
            </w:r>
          </w:p>
          <w:p w14:paraId="03B5F86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汽车城服务站（瓯海大道蛟凤路口）</w:t>
            </w:r>
          </w:p>
          <w:p w14:paraId="72BFA7F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新城分所（温州大道508号广纳五金城）</w:t>
            </w:r>
          </w:p>
          <w:p w14:paraId="4B00482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郊区分所（双屿镇前陈村）</w:t>
            </w:r>
          </w:p>
          <w:p w14:paraId="7D650FB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报名中心（</w:t>
            </w:r>
            <w:r>
              <w:rPr>
                <w:rFonts w:hint="eastAsia" w:ascii="宋体" w:hAnsi="宋体" w:eastAsia="宋体" w:cs="宋体"/>
                <w:bCs/>
                <w:color w:val="auto"/>
                <w:sz w:val="22"/>
                <w:szCs w:val="22"/>
                <w:highlight w:val="none"/>
                <w:lang w:val="en-US" w:eastAsia="zh-CN"/>
              </w:rPr>
              <w:t>牛山北路52-1号</w:t>
            </w:r>
            <w:r>
              <w:rPr>
                <w:rFonts w:hint="eastAsia" w:ascii="宋体" w:hAnsi="宋体" w:eastAsia="宋体" w:cs="宋体"/>
                <w:bCs/>
                <w:color w:val="auto"/>
                <w:sz w:val="22"/>
                <w:szCs w:val="22"/>
                <w:highlight w:val="none"/>
              </w:rPr>
              <w:t>）</w:t>
            </w:r>
          </w:p>
          <w:p w14:paraId="5E786D0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汽车4S店机动车上牌点（全市</w:t>
            </w:r>
            <w:r>
              <w:rPr>
                <w:rFonts w:hint="eastAsia" w:ascii="宋体" w:hAnsi="宋体" w:eastAsia="宋体" w:cs="宋体"/>
                <w:bCs/>
                <w:color w:val="auto"/>
                <w:sz w:val="22"/>
                <w:szCs w:val="22"/>
                <w:highlight w:val="none"/>
                <w:lang w:val="en-US" w:eastAsia="zh-CN"/>
              </w:rPr>
              <w:t>32</w:t>
            </w:r>
            <w:r>
              <w:rPr>
                <w:rFonts w:hint="eastAsia" w:ascii="宋体" w:hAnsi="宋体" w:eastAsia="宋体" w:cs="宋体"/>
                <w:bCs/>
                <w:color w:val="auto"/>
                <w:sz w:val="22"/>
                <w:szCs w:val="22"/>
                <w:highlight w:val="none"/>
              </w:rPr>
              <w:t>个车行）</w:t>
            </w:r>
          </w:p>
          <w:p w14:paraId="25E8394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银行抵押受理机动车（4个银行）</w:t>
            </w:r>
          </w:p>
          <w:p w14:paraId="2D83264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金融中心6家</w:t>
            </w:r>
          </w:p>
        </w:tc>
        <w:tc>
          <w:tcPr>
            <w:tcW w:w="790" w:type="dxa"/>
            <w:tcBorders>
              <w:top w:val="nil"/>
              <w:left w:val="nil"/>
              <w:bottom w:val="single" w:color="auto" w:sz="4" w:space="0"/>
              <w:right w:val="single" w:color="auto" w:sz="4" w:space="0"/>
            </w:tcBorders>
            <w:shd w:val="clear" w:color="auto" w:fill="FFFFFF"/>
            <w:noWrap w:val="0"/>
            <w:vAlign w:val="center"/>
          </w:tcPr>
          <w:p w14:paraId="05FDD8C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r>
      <w:tr w14:paraId="72247B7D">
        <w:tblPrEx>
          <w:tblCellMar>
            <w:top w:w="0" w:type="dxa"/>
            <w:left w:w="108" w:type="dxa"/>
            <w:bottom w:w="0" w:type="dxa"/>
            <w:right w:w="108" w:type="dxa"/>
          </w:tblCellMar>
        </w:tblPrEx>
        <w:trPr>
          <w:trHeight w:val="285" w:hRule="atLeast"/>
          <w:jc w:val="center"/>
        </w:trPr>
        <w:tc>
          <w:tcPr>
            <w:tcW w:w="93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EC1253">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注：维护期间，如单位出现办公地点变化，以实际办公地点为准。若交管局新增加部门，也应当纳入维保单位范围。</w:t>
            </w:r>
          </w:p>
        </w:tc>
      </w:tr>
    </w:tbl>
    <w:p w14:paraId="1EBCC47C">
      <w:pPr>
        <w:pStyle w:val="60"/>
        <w:tabs>
          <w:tab w:val="left" w:pos="482"/>
          <w:tab w:val="left" w:pos="2183"/>
          <w:tab w:val="left" w:pos="3884"/>
          <w:tab w:val="left" w:pos="5585"/>
        </w:tabs>
        <w:rPr>
          <w:rFonts w:hint="eastAsia" w:ascii="宋体" w:hAnsi="宋体" w:eastAsia="宋体" w:cs="宋体"/>
          <w:b/>
          <w:color w:val="auto"/>
          <w:sz w:val="22"/>
          <w:szCs w:val="22"/>
          <w:highlight w:val="none"/>
        </w:rPr>
      </w:pPr>
    </w:p>
    <w:p w14:paraId="05A87CD8">
      <w:pPr>
        <w:pStyle w:val="50"/>
        <w:rPr>
          <w:rFonts w:hint="eastAsia" w:ascii="宋体" w:hAnsi="宋体" w:eastAsia="宋体" w:cs="宋体"/>
          <w:color w:val="auto"/>
          <w:highlight w:val="none"/>
        </w:rPr>
      </w:pPr>
    </w:p>
    <w:p w14:paraId="2D5E5FFF">
      <w:pPr>
        <w:pStyle w:val="60"/>
        <w:tabs>
          <w:tab w:val="left" w:pos="482"/>
          <w:tab w:val="left" w:pos="2183"/>
          <w:tab w:val="left" w:pos="3884"/>
          <w:tab w:val="left" w:pos="5585"/>
        </w:tabs>
        <w:outlineLvl w:val="5"/>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2.2.3.1.2服务方式</w:t>
      </w:r>
    </w:p>
    <w:p w14:paraId="5E82CC1F">
      <w:pPr>
        <w:pStyle w:val="50"/>
        <w:rPr>
          <w:rFonts w:hint="eastAsia" w:ascii="宋体" w:hAnsi="宋体" w:eastAsia="宋体" w:cs="宋体"/>
          <w:color w:val="auto"/>
          <w:sz w:val="22"/>
          <w:szCs w:val="22"/>
          <w:highlight w:val="none"/>
          <w:lang w:val="en-US" w:eastAsia="zh-CN"/>
        </w:rPr>
      </w:pPr>
    </w:p>
    <w:p w14:paraId="39E026F7">
      <w:pPr>
        <w:keepNext w:val="0"/>
        <w:keepLines w:val="0"/>
        <w:pageBreakBefore w:val="0"/>
        <w:widowControl w:val="0"/>
        <w:kinsoku/>
        <w:wordWrap/>
        <w:overflowPunct/>
        <w:topLinePunct w:val="0"/>
        <w:autoSpaceDE/>
        <w:autoSpaceDN/>
        <w:bidi w:val="0"/>
        <w:adjustRightInd/>
        <w:snapToGrid/>
        <w:spacing w:line="360" w:lineRule="exact"/>
        <w:ind w:left="0" w:leftChars="0" w:firstLine="442"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lang w:val="en-US" w:eastAsia="zh-CN"/>
        </w:rPr>
        <w:t>①</w:t>
      </w:r>
      <w:r>
        <w:rPr>
          <w:rFonts w:hint="eastAsia" w:ascii="宋体" w:hAnsi="宋体" w:eastAsia="宋体" w:cs="宋体"/>
          <w:b/>
          <w:color w:val="auto"/>
          <w:sz w:val="22"/>
          <w:szCs w:val="22"/>
          <w:highlight w:val="none"/>
        </w:rPr>
        <w:t>人员配置：</w:t>
      </w:r>
    </w:p>
    <w:p w14:paraId="02B02937">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1）交管局大楼：常驻1名工程师，负责交管局大楼日常维护及相关管理职责；</w:t>
      </w:r>
    </w:p>
    <w:p w14:paraId="5DB1E04A">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2）车辆管理所：常驻</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名工程师车管所，负责市车管所及下属各分所的日常维护及协助车管所科技管理员履行相关管理职责，六合一专网服务系统、机动车查验专网系统前端网点设备接入现场调试、管理和运维和车辆检测便民服务平台检测站前端设备接入现场调试、管理和运维等服务。</w:t>
      </w:r>
    </w:p>
    <w:p w14:paraId="3A97F601">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3）五个路面直属大队：</w:t>
      </w:r>
      <w:r>
        <w:rPr>
          <w:rFonts w:hint="eastAsia" w:ascii="宋体" w:hAnsi="宋体" w:eastAsia="宋体" w:cs="宋体"/>
          <w:bCs/>
          <w:color w:val="auto"/>
          <w:sz w:val="22"/>
          <w:szCs w:val="22"/>
          <w:highlight w:val="none"/>
          <w:lang w:val="en-US" w:eastAsia="zh-CN"/>
        </w:rPr>
        <w:t>派驻3名工程师机动处置各大队</w:t>
      </w:r>
      <w:r>
        <w:rPr>
          <w:rFonts w:hint="eastAsia" w:ascii="宋体" w:hAnsi="宋体" w:eastAsia="宋体" w:cs="宋体"/>
          <w:bCs/>
          <w:color w:val="auto"/>
          <w:sz w:val="22"/>
          <w:szCs w:val="22"/>
          <w:highlight w:val="none"/>
        </w:rPr>
        <w:t>及下属中队的日常维护、协助大队科技管理员履行相关管理职责；</w:t>
      </w:r>
    </w:p>
    <w:p w14:paraId="21FBDB29">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以上单位共计常驻</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名工程师；派驻的技术人员必须通过交管局的人员政治审查；工作期间必须遵守公安局保密协议和信息安全的相关规定。</w:t>
      </w:r>
    </w:p>
    <w:p w14:paraId="2C7A25AE">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除以上</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位常驻人员外，乙方还应具备机动维护力量，负责整个交管局的网络维护及其他应急维护工作，须具备CISP、CCRC（网络安全应急响应工程师）、工信部信息安全工程师、人事部网络工程师等网络及安全服务认证，并提供工程师证书及社保证明。</w:t>
      </w:r>
    </w:p>
    <w:p w14:paraId="22C1CA4C">
      <w:pPr>
        <w:keepNext w:val="0"/>
        <w:keepLines w:val="0"/>
        <w:pageBreakBefore w:val="0"/>
        <w:widowControl w:val="0"/>
        <w:kinsoku/>
        <w:wordWrap/>
        <w:overflowPunct/>
        <w:topLinePunct w:val="0"/>
        <w:autoSpaceDE/>
        <w:autoSpaceDN/>
        <w:bidi w:val="0"/>
        <w:adjustRightInd/>
        <w:snapToGrid/>
        <w:spacing w:line="360" w:lineRule="exact"/>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②</w:t>
      </w:r>
      <w:r>
        <w:rPr>
          <w:rFonts w:hint="eastAsia" w:ascii="宋体" w:hAnsi="宋体" w:eastAsia="宋体" w:cs="宋体"/>
          <w:b/>
          <w:color w:val="auto"/>
          <w:sz w:val="22"/>
          <w:szCs w:val="22"/>
          <w:highlight w:val="none"/>
        </w:rPr>
        <w:t>服务时间：</w:t>
      </w:r>
      <w:r>
        <w:rPr>
          <w:rFonts w:hint="eastAsia" w:ascii="宋体" w:hAnsi="宋体" w:eastAsia="宋体" w:cs="宋体"/>
          <w:bCs/>
          <w:color w:val="auto"/>
          <w:sz w:val="22"/>
          <w:szCs w:val="22"/>
          <w:highlight w:val="none"/>
        </w:rPr>
        <w:t>乙方除正常工作时间外，还应提供紧急服务。甲方如有急需服务，可拨打紧急服务电话并及时提供服务。</w:t>
      </w:r>
    </w:p>
    <w:p w14:paraId="1009BC3F">
      <w:pPr>
        <w:keepNext w:val="0"/>
        <w:keepLines w:val="0"/>
        <w:pageBreakBefore w:val="0"/>
        <w:widowControl w:val="0"/>
        <w:kinsoku/>
        <w:wordWrap/>
        <w:overflowPunct/>
        <w:topLinePunct w:val="0"/>
        <w:autoSpaceDE/>
        <w:autoSpaceDN/>
        <w:bidi w:val="0"/>
        <w:adjustRightInd/>
        <w:snapToGrid/>
        <w:spacing w:line="360" w:lineRule="exact"/>
        <w:ind w:left="0" w:leftChars="0" w:firstLine="442"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lang w:val="en-US" w:eastAsia="zh-CN"/>
        </w:rPr>
        <w:t>③</w:t>
      </w:r>
      <w:r>
        <w:rPr>
          <w:rFonts w:hint="eastAsia" w:ascii="宋体" w:hAnsi="宋体" w:eastAsia="宋体" w:cs="宋体"/>
          <w:b/>
          <w:color w:val="auto"/>
          <w:sz w:val="22"/>
          <w:szCs w:val="22"/>
          <w:highlight w:val="none"/>
        </w:rPr>
        <w:t>提供</w:t>
      </w:r>
      <w:r>
        <w:rPr>
          <w:rFonts w:hint="eastAsia" w:ascii="宋体" w:hAnsi="宋体" w:eastAsia="宋体" w:cs="宋体"/>
          <w:b/>
          <w:snapToGrid w:val="0"/>
          <w:color w:val="auto"/>
          <w:sz w:val="22"/>
          <w:szCs w:val="22"/>
          <w:highlight w:val="none"/>
        </w:rPr>
        <w:t>运维服务软件平台</w:t>
      </w:r>
      <w:r>
        <w:rPr>
          <w:rFonts w:hint="eastAsia" w:ascii="宋体" w:hAnsi="宋体" w:eastAsia="宋体" w:cs="宋体"/>
          <w:b/>
          <w:color w:val="auto"/>
          <w:sz w:val="22"/>
          <w:szCs w:val="22"/>
          <w:highlight w:val="none"/>
        </w:rPr>
        <w:t>（工单系统）：</w:t>
      </w:r>
      <w:r>
        <w:rPr>
          <w:rFonts w:hint="eastAsia" w:ascii="宋体" w:hAnsi="宋体" w:eastAsia="宋体" w:cs="宋体"/>
          <w:b/>
          <w:bCs w:val="0"/>
          <w:color w:val="auto"/>
          <w:sz w:val="22"/>
          <w:szCs w:val="22"/>
          <w:highlight w:val="none"/>
        </w:rPr>
        <w:t>202</w:t>
      </w:r>
      <w:r>
        <w:rPr>
          <w:rFonts w:hint="eastAsia" w:ascii="宋体" w:hAnsi="宋体" w:eastAsia="宋体" w:cs="宋体"/>
          <w:b/>
          <w:bCs w:val="0"/>
          <w:color w:val="auto"/>
          <w:sz w:val="22"/>
          <w:szCs w:val="22"/>
          <w:highlight w:val="none"/>
          <w:lang w:val="en-US" w:eastAsia="zh-CN"/>
        </w:rPr>
        <w:t>5</w:t>
      </w:r>
      <w:r>
        <w:rPr>
          <w:rFonts w:hint="eastAsia" w:ascii="宋体" w:hAnsi="宋体" w:eastAsia="宋体" w:cs="宋体"/>
          <w:b/>
          <w:bCs w:val="0"/>
          <w:color w:val="auto"/>
          <w:sz w:val="22"/>
          <w:szCs w:val="22"/>
          <w:highlight w:val="none"/>
        </w:rPr>
        <w:t>年</w:t>
      </w:r>
      <w:r>
        <w:rPr>
          <w:rFonts w:hint="eastAsia" w:ascii="宋体" w:hAnsi="宋体" w:eastAsia="宋体" w:cs="宋体"/>
          <w:b/>
          <w:bCs w:val="0"/>
          <w:color w:val="auto"/>
          <w:sz w:val="22"/>
          <w:szCs w:val="22"/>
          <w:highlight w:val="none"/>
          <w:lang w:val="en-US" w:eastAsia="zh-CN"/>
        </w:rPr>
        <w:t>0</w:t>
      </w:r>
      <w:r>
        <w:rPr>
          <w:rFonts w:hint="eastAsia" w:ascii="宋体" w:hAnsi="宋体" w:eastAsia="宋体" w:cs="宋体"/>
          <w:b/>
          <w:bCs w:val="0"/>
          <w:color w:val="auto"/>
          <w:sz w:val="22"/>
          <w:szCs w:val="22"/>
          <w:highlight w:val="none"/>
        </w:rPr>
        <w:t>1月</w:t>
      </w:r>
      <w:r>
        <w:rPr>
          <w:rFonts w:hint="eastAsia" w:ascii="宋体" w:hAnsi="宋体" w:eastAsia="宋体" w:cs="宋体"/>
          <w:b/>
          <w:bCs w:val="0"/>
          <w:color w:val="auto"/>
          <w:sz w:val="22"/>
          <w:szCs w:val="22"/>
          <w:highlight w:val="none"/>
          <w:lang w:val="en-US" w:eastAsia="zh-CN"/>
        </w:rPr>
        <w:t>0</w:t>
      </w:r>
      <w:r>
        <w:rPr>
          <w:rFonts w:hint="eastAsia" w:ascii="宋体" w:hAnsi="宋体" w:eastAsia="宋体" w:cs="宋体"/>
          <w:b/>
          <w:bCs w:val="0"/>
          <w:color w:val="auto"/>
          <w:sz w:val="22"/>
          <w:szCs w:val="22"/>
          <w:highlight w:val="none"/>
        </w:rPr>
        <w:t>1日起-202</w:t>
      </w:r>
      <w:r>
        <w:rPr>
          <w:rFonts w:hint="eastAsia" w:ascii="宋体" w:hAnsi="宋体" w:eastAsia="宋体" w:cs="宋体"/>
          <w:b/>
          <w:bCs w:val="0"/>
          <w:color w:val="auto"/>
          <w:sz w:val="22"/>
          <w:szCs w:val="22"/>
          <w:highlight w:val="none"/>
          <w:lang w:val="en-US" w:eastAsia="zh-CN"/>
        </w:rPr>
        <w:t>5</w:t>
      </w:r>
      <w:r>
        <w:rPr>
          <w:rFonts w:hint="eastAsia" w:ascii="宋体" w:hAnsi="宋体" w:eastAsia="宋体" w:cs="宋体"/>
          <w:b/>
          <w:bCs w:val="0"/>
          <w:color w:val="auto"/>
          <w:sz w:val="22"/>
          <w:szCs w:val="22"/>
          <w:highlight w:val="none"/>
        </w:rPr>
        <w:t>年12月31日止。</w:t>
      </w:r>
    </w:p>
    <w:p w14:paraId="5B5D4093">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工单管理：用户通过自助服务提交服务请求，并基于售后服务台进行受理、派工和跟踪。服务过程对用户全面开放，实现社交化的客户连接。工单可通过web登录或者钉钉应用登录，端对端的全过程管理，确保每个客户的服务请求都能得到妥善处理，为客户、服务管理、服务执行、资源管理等人员提供透明的信息共享与协作。</w:t>
      </w:r>
    </w:p>
    <w:p w14:paraId="691CB916">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2）资产管理：对资产的整个生命周期（采购、入库、领用、维修）进行全过程管理，每个事件都可以关联到资产。</w:t>
      </w:r>
    </w:p>
    <w:p w14:paraId="5FA1F5E0">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3）团队管理：可对不同的部门或单位，分不同的服务团队，实现精细化管理。</w:t>
      </w:r>
    </w:p>
    <w:p w14:paraId="76C24A94">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4）通知管理：对提交的工单可通过邮件、钉钉等方式通知到报单人，报单人可以实时掌握工单的处理进度。</w:t>
      </w:r>
    </w:p>
    <w:p w14:paraId="1038E69E">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5）报表管理：报表分析实现及时了解服务能力情况、统计服务质量情况、了解服务成本效益、掌握服务生命周期数据等。</w:t>
      </w:r>
    </w:p>
    <w:p w14:paraId="3767C457">
      <w:pPr>
        <w:pStyle w:val="60"/>
        <w:tabs>
          <w:tab w:val="left" w:pos="482"/>
          <w:tab w:val="left" w:pos="2183"/>
          <w:tab w:val="left" w:pos="3884"/>
          <w:tab w:val="left" w:pos="5585"/>
        </w:tabs>
        <w:rPr>
          <w:rFonts w:hint="eastAsia" w:ascii="宋体" w:hAnsi="宋体" w:eastAsia="宋体" w:cs="宋体"/>
          <w:color w:val="auto"/>
          <w:sz w:val="22"/>
          <w:szCs w:val="22"/>
          <w:highlight w:val="none"/>
        </w:rPr>
      </w:pPr>
    </w:p>
    <w:p w14:paraId="25C15B48">
      <w:pPr>
        <w:pStyle w:val="60"/>
        <w:tabs>
          <w:tab w:val="left" w:pos="482"/>
          <w:tab w:val="left" w:pos="2183"/>
          <w:tab w:val="left" w:pos="3884"/>
          <w:tab w:val="left" w:pos="5585"/>
        </w:tabs>
        <w:outlineLvl w:val="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2.2.3.1.3</w:t>
      </w:r>
      <w:r>
        <w:rPr>
          <w:rFonts w:hint="eastAsia" w:ascii="宋体" w:hAnsi="宋体" w:eastAsia="宋体" w:cs="宋体"/>
          <w:b/>
          <w:color w:val="auto"/>
          <w:sz w:val="22"/>
          <w:szCs w:val="22"/>
          <w:highlight w:val="none"/>
        </w:rPr>
        <w:t>服务期限</w:t>
      </w:r>
    </w:p>
    <w:p w14:paraId="6D0B9B72">
      <w:pPr>
        <w:pStyle w:val="50"/>
        <w:rPr>
          <w:rFonts w:hint="eastAsia" w:ascii="宋体" w:hAnsi="宋体" w:eastAsia="宋体" w:cs="宋体"/>
          <w:color w:val="auto"/>
          <w:sz w:val="22"/>
          <w:szCs w:val="22"/>
          <w:highlight w:val="none"/>
        </w:rPr>
      </w:pPr>
    </w:p>
    <w:p w14:paraId="3DF0A023">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202</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年1月1日起-202</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年12月31日止。</w:t>
      </w:r>
    </w:p>
    <w:p w14:paraId="5E151EBE">
      <w:pPr>
        <w:pStyle w:val="60"/>
        <w:tabs>
          <w:tab w:val="left" w:pos="482"/>
          <w:tab w:val="left" w:pos="2183"/>
          <w:tab w:val="left" w:pos="3884"/>
          <w:tab w:val="left" w:pos="5585"/>
        </w:tabs>
        <w:rPr>
          <w:rFonts w:hint="eastAsia" w:ascii="宋体" w:hAnsi="宋体" w:eastAsia="宋体" w:cs="宋体"/>
          <w:color w:val="auto"/>
          <w:sz w:val="22"/>
          <w:szCs w:val="22"/>
          <w:highlight w:val="none"/>
        </w:rPr>
      </w:pPr>
    </w:p>
    <w:p w14:paraId="355C7FB3">
      <w:pPr>
        <w:pStyle w:val="50"/>
        <w:rPr>
          <w:rFonts w:hint="eastAsia" w:ascii="宋体" w:hAnsi="宋体" w:eastAsia="宋体" w:cs="宋体"/>
          <w:color w:val="auto"/>
          <w:sz w:val="22"/>
          <w:szCs w:val="22"/>
          <w:highlight w:val="none"/>
        </w:rPr>
      </w:pPr>
    </w:p>
    <w:p w14:paraId="2C67E91A">
      <w:pPr>
        <w:pStyle w:val="60"/>
        <w:tabs>
          <w:tab w:val="left" w:pos="482"/>
          <w:tab w:val="left" w:pos="2183"/>
          <w:tab w:val="left" w:pos="3884"/>
          <w:tab w:val="left" w:pos="5585"/>
        </w:tabs>
        <w:outlineLvl w:val="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2.2.3.1.4</w:t>
      </w:r>
      <w:r>
        <w:rPr>
          <w:rFonts w:hint="eastAsia" w:ascii="宋体" w:hAnsi="宋体" w:eastAsia="宋体" w:cs="宋体"/>
          <w:b/>
          <w:color w:val="auto"/>
          <w:sz w:val="22"/>
          <w:szCs w:val="22"/>
          <w:highlight w:val="none"/>
        </w:rPr>
        <w:t>服务内容要点</w:t>
      </w:r>
    </w:p>
    <w:p w14:paraId="0AEED06A">
      <w:pPr>
        <w:pStyle w:val="50"/>
        <w:rPr>
          <w:rFonts w:hint="eastAsia" w:ascii="宋体" w:hAnsi="宋体" w:eastAsia="宋体" w:cs="宋体"/>
          <w:b/>
          <w:color w:val="auto"/>
          <w:sz w:val="22"/>
          <w:szCs w:val="22"/>
          <w:highlight w:val="none"/>
        </w:rPr>
      </w:pPr>
    </w:p>
    <w:p w14:paraId="27978D8D">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在服务期内，</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承诺为温州市公安局交通管理局提供全面和及时的技术支持与服务，主要的内容如下：</w:t>
      </w:r>
    </w:p>
    <w:tbl>
      <w:tblPr>
        <w:tblStyle w:val="62"/>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4"/>
        <w:gridCol w:w="1176"/>
        <w:gridCol w:w="1134"/>
        <w:gridCol w:w="1680"/>
      </w:tblGrid>
      <w:tr w14:paraId="6A79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94" w:type="dxa"/>
            <w:gridSpan w:val="4"/>
            <w:noWrap w:val="0"/>
            <w:vAlign w:val="top"/>
          </w:tcPr>
          <w:p w14:paraId="418F4D7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交通管理局</w:t>
            </w:r>
            <w:r>
              <w:rPr>
                <w:rFonts w:hint="eastAsia" w:ascii="宋体" w:hAnsi="宋体" w:eastAsia="宋体" w:cs="宋体"/>
                <w:b/>
                <w:bCs/>
                <w:color w:val="auto"/>
                <w:kern w:val="2"/>
                <w:sz w:val="22"/>
                <w:szCs w:val="22"/>
                <w:highlight w:val="none"/>
                <w:lang w:val="en-US" w:eastAsia="zh-CN" w:bidi="ar-SA"/>
              </w:rPr>
              <w:t>计算机运维保障</w:t>
            </w:r>
            <w:r>
              <w:rPr>
                <w:rFonts w:hint="eastAsia" w:ascii="宋体" w:hAnsi="宋体" w:eastAsia="宋体" w:cs="宋体"/>
                <w:b/>
                <w:color w:val="auto"/>
                <w:sz w:val="22"/>
                <w:szCs w:val="22"/>
                <w:highlight w:val="none"/>
              </w:rPr>
              <w:t>服务范围</w:t>
            </w:r>
          </w:p>
        </w:tc>
      </w:tr>
      <w:tr w14:paraId="473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1AF9362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1176" w:type="dxa"/>
            <w:noWrap w:val="0"/>
            <w:vAlign w:val="center"/>
          </w:tcPr>
          <w:p w14:paraId="493FD1B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1134" w:type="dxa"/>
            <w:noWrap w:val="0"/>
            <w:vAlign w:val="center"/>
          </w:tcPr>
          <w:p w14:paraId="16E4A6F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服务方式</w:t>
            </w:r>
          </w:p>
        </w:tc>
        <w:tc>
          <w:tcPr>
            <w:tcW w:w="1680" w:type="dxa"/>
            <w:noWrap w:val="0"/>
            <w:vAlign w:val="center"/>
          </w:tcPr>
          <w:p w14:paraId="0076E5F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186E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804" w:type="dxa"/>
            <w:noWrap w:val="0"/>
            <w:vAlign w:val="center"/>
          </w:tcPr>
          <w:p w14:paraId="506AF569">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网络设备、网络线路、端口：</w:t>
            </w:r>
            <w:r>
              <w:rPr>
                <w:rFonts w:hint="eastAsia" w:ascii="宋体" w:hAnsi="宋体" w:eastAsia="宋体" w:cs="宋体"/>
                <w:color w:val="auto"/>
                <w:sz w:val="22"/>
                <w:szCs w:val="22"/>
                <w:highlight w:val="none"/>
              </w:rPr>
              <w:t>管理、维护、保养、除尘、调试、巡检、检测等</w:t>
            </w:r>
          </w:p>
        </w:tc>
        <w:tc>
          <w:tcPr>
            <w:tcW w:w="1176" w:type="dxa"/>
            <w:noWrap w:val="0"/>
            <w:vAlign w:val="center"/>
          </w:tcPr>
          <w:p w14:paraId="0BA3919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12个月</w:t>
            </w:r>
          </w:p>
        </w:tc>
        <w:tc>
          <w:tcPr>
            <w:tcW w:w="1134" w:type="dxa"/>
            <w:noWrap w:val="0"/>
            <w:vAlign w:val="center"/>
          </w:tcPr>
          <w:p w14:paraId="14CE873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常驻</w:t>
            </w:r>
          </w:p>
        </w:tc>
        <w:tc>
          <w:tcPr>
            <w:tcW w:w="1680" w:type="dxa"/>
            <w:noWrap w:val="0"/>
            <w:vAlign w:val="center"/>
          </w:tcPr>
          <w:p w14:paraId="114B08F6">
            <w:pPr>
              <w:pageBreakBefore w:val="0"/>
              <w:widowControl w:val="0"/>
              <w:kinsoku/>
              <w:wordWrap/>
              <w:overflowPunct/>
              <w:topLinePunct w:val="0"/>
              <w:bidi w:val="0"/>
              <w:spacing w:line="360" w:lineRule="exact"/>
              <w:ind w:left="0" w:leftChars="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包括：</w:t>
            </w:r>
            <w:r>
              <w:rPr>
                <w:rFonts w:hint="eastAsia" w:ascii="宋体" w:hAnsi="宋体" w:eastAsia="宋体" w:cs="宋体"/>
                <w:color w:val="auto"/>
                <w:sz w:val="22"/>
                <w:szCs w:val="22"/>
                <w:highlight w:val="none"/>
              </w:rPr>
              <w:t>维护、调试、紧急响应等</w:t>
            </w:r>
          </w:p>
        </w:tc>
      </w:tr>
      <w:tr w14:paraId="2C16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6E68B56F">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台式电脑：</w:t>
            </w:r>
            <w:r>
              <w:rPr>
                <w:rFonts w:hint="eastAsia" w:ascii="宋体" w:hAnsi="宋体" w:eastAsia="宋体" w:cs="宋体"/>
                <w:color w:val="auto"/>
                <w:sz w:val="22"/>
                <w:szCs w:val="22"/>
                <w:highlight w:val="none"/>
              </w:rPr>
              <w:t>设备、系统、（应用、专业）软件、保养、检测等</w:t>
            </w:r>
          </w:p>
        </w:tc>
        <w:tc>
          <w:tcPr>
            <w:tcW w:w="1176" w:type="dxa"/>
            <w:vMerge w:val="restart"/>
            <w:noWrap w:val="0"/>
            <w:vAlign w:val="center"/>
          </w:tcPr>
          <w:p w14:paraId="1F659AE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12个月</w:t>
            </w:r>
          </w:p>
        </w:tc>
        <w:tc>
          <w:tcPr>
            <w:tcW w:w="1134" w:type="dxa"/>
            <w:vMerge w:val="restart"/>
            <w:noWrap w:val="0"/>
            <w:vAlign w:val="center"/>
          </w:tcPr>
          <w:p w14:paraId="6089990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常驻</w:t>
            </w:r>
          </w:p>
        </w:tc>
        <w:tc>
          <w:tcPr>
            <w:tcW w:w="1680" w:type="dxa"/>
            <w:vMerge w:val="restart"/>
            <w:noWrap w:val="0"/>
            <w:vAlign w:val="center"/>
          </w:tcPr>
          <w:p w14:paraId="431F4A48">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包括：</w:t>
            </w:r>
            <w:r>
              <w:rPr>
                <w:rFonts w:hint="eastAsia" w:ascii="宋体" w:hAnsi="宋体" w:eastAsia="宋体" w:cs="宋体"/>
                <w:color w:val="auto"/>
                <w:sz w:val="22"/>
                <w:szCs w:val="22"/>
                <w:highlight w:val="none"/>
              </w:rPr>
              <w:t>设备运输、紧急响应等</w:t>
            </w:r>
          </w:p>
        </w:tc>
      </w:tr>
      <w:tr w14:paraId="03E2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74B6CE8D">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笔记本电脑：</w:t>
            </w:r>
            <w:r>
              <w:rPr>
                <w:rFonts w:hint="eastAsia" w:ascii="宋体" w:hAnsi="宋体" w:eastAsia="宋体" w:cs="宋体"/>
                <w:color w:val="auto"/>
                <w:sz w:val="22"/>
                <w:szCs w:val="22"/>
                <w:highlight w:val="none"/>
              </w:rPr>
              <w:t>系统、设备、（应用、专业）软件、保养、检测等</w:t>
            </w:r>
          </w:p>
        </w:tc>
        <w:tc>
          <w:tcPr>
            <w:tcW w:w="1176" w:type="dxa"/>
            <w:vMerge w:val="continue"/>
            <w:noWrap w:val="0"/>
            <w:vAlign w:val="center"/>
          </w:tcPr>
          <w:p w14:paraId="74F14C6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134" w:type="dxa"/>
            <w:vMerge w:val="continue"/>
            <w:noWrap w:val="0"/>
            <w:vAlign w:val="center"/>
          </w:tcPr>
          <w:p w14:paraId="75C5FF7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680" w:type="dxa"/>
            <w:vMerge w:val="continue"/>
            <w:noWrap w:val="0"/>
            <w:vAlign w:val="center"/>
          </w:tcPr>
          <w:p w14:paraId="6545AED2">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72F0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2C3E806F">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电话机、传真机：</w:t>
            </w:r>
            <w:r>
              <w:rPr>
                <w:rFonts w:hint="eastAsia" w:ascii="宋体" w:hAnsi="宋体" w:eastAsia="宋体" w:cs="宋体"/>
                <w:color w:val="auto"/>
                <w:sz w:val="22"/>
                <w:szCs w:val="22"/>
                <w:highlight w:val="none"/>
              </w:rPr>
              <w:t>保养、检测、维护</w:t>
            </w:r>
          </w:p>
        </w:tc>
        <w:tc>
          <w:tcPr>
            <w:tcW w:w="1176" w:type="dxa"/>
            <w:vMerge w:val="continue"/>
            <w:noWrap w:val="0"/>
            <w:vAlign w:val="center"/>
          </w:tcPr>
          <w:p w14:paraId="047AAB6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134" w:type="dxa"/>
            <w:vMerge w:val="continue"/>
            <w:noWrap w:val="0"/>
            <w:vAlign w:val="center"/>
          </w:tcPr>
          <w:p w14:paraId="223DC18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680" w:type="dxa"/>
            <w:vMerge w:val="continue"/>
            <w:noWrap w:val="0"/>
            <w:vAlign w:val="center"/>
          </w:tcPr>
          <w:p w14:paraId="550299CB">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2349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5E5FA2E3">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其他外部设备：</w:t>
            </w:r>
            <w:r>
              <w:rPr>
                <w:rFonts w:hint="eastAsia" w:ascii="宋体" w:hAnsi="宋体" w:eastAsia="宋体" w:cs="宋体"/>
                <w:color w:val="auto"/>
                <w:sz w:val="22"/>
                <w:szCs w:val="22"/>
                <w:highlight w:val="none"/>
              </w:rPr>
              <w:t>保养、检测、维护</w:t>
            </w:r>
          </w:p>
        </w:tc>
        <w:tc>
          <w:tcPr>
            <w:tcW w:w="1176" w:type="dxa"/>
            <w:vMerge w:val="continue"/>
            <w:noWrap w:val="0"/>
            <w:vAlign w:val="center"/>
          </w:tcPr>
          <w:p w14:paraId="3B985D7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134" w:type="dxa"/>
            <w:vMerge w:val="continue"/>
            <w:noWrap w:val="0"/>
            <w:vAlign w:val="center"/>
          </w:tcPr>
          <w:p w14:paraId="16A34D6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680" w:type="dxa"/>
            <w:vMerge w:val="continue"/>
            <w:noWrap w:val="0"/>
            <w:vAlign w:val="center"/>
          </w:tcPr>
          <w:p w14:paraId="3E421B41">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00F8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4E98D86D">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设备初始化服务：</w:t>
            </w:r>
            <w:r>
              <w:rPr>
                <w:rFonts w:hint="eastAsia" w:ascii="宋体" w:hAnsi="宋体" w:eastAsia="宋体" w:cs="宋体"/>
                <w:color w:val="auto"/>
                <w:sz w:val="22"/>
                <w:szCs w:val="22"/>
                <w:highlight w:val="none"/>
              </w:rPr>
              <w:t>检测、保养、登记</w:t>
            </w:r>
          </w:p>
        </w:tc>
        <w:tc>
          <w:tcPr>
            <w:tcW w:w="1176" w:type="dxa"/>
            <w:vMerge w:val="restart"/>
            <w:noWrap w:val="0"/>
            <w:vAlign w:val="center"/>
          </w:tcPr>
          <w:p w14:paraId="3983C94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12个月</w:t>
            </w:r>
          </w:p>
        </w:tc>
        <w:tc>
          <w:tcPr>
            <w:tcW w:w="1134" w:type="dxa"/>
            <w:vMerge w:val="restart"/>
            <w:noWrap w:val="0"/>
            <w:vAlign w:val="center"/>
          </w:tcPr>
          <w:p w14:paraId="0D3D273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常驻</w:t>
            </w:r>
          </w:p>
        </w:tc>
        <w:tc>
          <w:tcPr>
            <w:tcW w:w="1680" w:type="dxa"/>
            <w:vMerge w:val="restart"/>
            <w:noWrap w:val="0"/>
            <w:vAlign w:val="center"/>
          </w:tcPr>
          <w:p w14:paraId="1BCBCD2F">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费用包含在各设备维护中（更换硬件产生的费用由</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承担）</w:t>
            </w:r>
          </w:p>
        </w:tc>
      </w:tr>
      <w:tr w14:paraId="66FD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44829650">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运输：</w:t>
            </w:r>
            <w:r>
              <w:rPr>
                <w:rFonts w:hint="eastAsia" w:ascii="宋体" w:hAnsi="宋体" w:eastAsia="宋体" w:cs="宋体"/>
                <w:color w:val="auto"/>
                <w:sz w:val="22"/>
                <w:szCs w:val="22"/>
                <w:highlight w:val="none"/>
              </w:rPr>
              <w:t>（保内、外）设备送修、维修服务</w:t>
            </w:r>
          </w:p>
        </w:tc>
        <w:tc>
          <w:tcPr>
            <w:tcW w:w="1176" w:type="dxa"/>
            <w:vMerge w:val="continue"/>
            <w:noWrap w:val="0"/>
            <w:vAlign w:val="center"/>
          </w:tcPr>
          <w:p w14:paraId="05FA44F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134" w:type="dxa"/>
            <w:vMerge w:val="continue"/>
            <w:noWrap w:val="0"/>
            <w:vAlign w:val="center"/>
          </w:tcPr>
          <w:p w14:paraId="13DCA18E">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680" w:type="dxa"/>
            <w:vMerge w:val="continue"/>
            <w:noWrap w:val="0"/>
            <w:vAlign w:val="center"/>
          </w:tcPr>
          <w:p w14:paraId="6F1CA50E">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5F6C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2484D889">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突发事件和重大时刻：现场待命</w:t>
            </w:r>
          </w:p>
        </w:tc>
        <w:tc>
          <w:tcPr>
            <w:tcW w:w="1176" w:type="dxa"/>
            <w:vMerge w:val="continue"/>
            <w:noWrap w:val="0"/>
            <w:vAlign w:val="center"/>
          </w:tcPr>
          <w:p w14:paraId="28B5FAD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134" w:type="dxa"/>
            <w:vMerge w:val="continue"/>
            <w:noWrap w:val="0"/>
            <w:vAlign w:val="center"/>
          </w:tcPr>
          <w:p w14:paraId="2F8A855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p>
        </w:tc>
        <w:tc>
          <w:tcPr>
            <w:tcW w:w="1680" w:type="dxa"/>
            <w:vMerge w:val="continue"/>
            <w:noWrap w:val="0"/>
            <w:vAlign w:val="center"/>
          </w:tcPr>
          <w:p w14:paraId="138C6634">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4A9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4" w:type="dxa"/>
            <w:noWrap w:val="0"/>
            <w:vAlign w:val="center"/>
          </w:tcPr>
          <w:p w14:paraId="1AD1AF32">
            <w:pPr>
              <w:pageBreakBefore w:val="0"/>
              <w:widowControl w:val="0"/>
              <w:kinsoku/>
              <w:wordWrap/>
              <w:overflowPunct/>
              <w:topLinePunct w:val="0"/>
              <w:bidi w:val="0"/>
              <w:spacing w:line="360" w:lineRule="exact"/>
              <w:ind w:left="0" w:left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365天电话咨询服务</w:t>
            </w:r>
          </w:p>
        </w:tc>
        <w:tc>
          <w:tcPr>
            <w:tcW w:w="1176" w:type="dxa"/>
            <w:noWrap w:val="0"/>
            <w:vAlign w:val="center"/>
          </w:tcPr>
          <w:p w14:paraId="5A597F3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12个月</w:t>
            </w:r>
          </w:p>
        </w:tc>
        <w:tc>
          <w:tcPr>
            <w:tcW w:w="1134" w:type="dxa"/>
            <w:noWrap w:val="0"/>
            <w:vAlign w:val="center"/>
          </w:tcPr>
          <w:p w14:paraId="13AC47F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电话</w:t>
            </w:r>
          </w:p>
        </w:tc>
        <w:tc>
          <w:tcPr>
            <w:tcW w:w="1680" w:type="dxa"/>
            <w:vMerge w:val="continue"/>
            <w:noWrap w:val="0"/>
            <w:vAlign w:val="center"/>
          </w:tcPr>
          <w:p w14:paraId="508F5548">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40229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26F1264C">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系统服务</w:t>
            </w:r>
          </w:p>
        </w:tc>
        <w:tc>
          <w:tcPr>
            <w:tcW w:w="3990" w:type="dxa"/>
            <w:gridSpan w:val="3"/>
            <w:shd w:val="clear" w:color="auto" w:fill="FFFFFF"/>
            <w:noWrap w:val="0"/>
            <w:vAlign w:val="center"/>
          </w:tcPr>
          <w:p w14:paraId="52C95E8C">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关键业务系统支持</w:t>
            </w:r>
          </w:p>
        </w:tc>
      </w:tr>
      <w:tr w14:paraId="413E8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71B60688">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服务覆盖范围</w:t>
            </w:r>
          </w:p>
        </w:tc>
        <w:tc>
          <w:tcPr>
            <w:tcW w:w="3990" w:type="dxa"/>
            <w:gridSpan w:val="3"/>
            <w:shd w:val="clear" w:color="auto" w:fill="FFFFFF"/>
            <w:noWrap w:val="0"/>
            <w:vAlign w:val="center"/>
          </w:tcPr>
          <w:p w14:paraId="3838D5E5">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kern w:val="2"/>
                <w:sz w:val="22"/>
                <w:szCs w:val="22"/>
                <w:highlight w:val="none"/>
                <w:u w:val="single"/>
                <w:lang w:val="en-US" w:eastAsia="zh-CN" w:bidi="ar-SA"/>
              </w:rPr>
            </w:pPr>
          </w:p>
        </w:tc>
      </w:tr>
      <w:tr w14:paraId="67FBD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06D5908F">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硬件维护</w:t>
            </w:r>
          </w:p>
        </w:tc>
        <w:tc>
          <w:tcPr>
            <w:tcW w:w="3990" w:type="dxa"/>
            <w:gridSpan w:val="3"/>
            <w:shd w:val="clear" w:color="auto" w:fill="FFFFFF"/>
            <w:noWrap w:val="0"/>
            <w:vAlign w:val="center"/>
          </w:tcPr>
          <w:p w14:paraId="6FE7BFA9">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保证</w:t>
            </w:r>
          </w:p>
        </w:tc>
      </w:tr>
      <w:tr w14:paraId="4E925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3F9A8B17">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常用系统可用性</w:t>
            </w:r>
          </w:p>
        </w:tc>
        <w:tc>
          <w:tcPr>
            <w:tcW w:w="3990" w:type="dxa"/>
            <w:gridSpan w:val="3"/>
            <w:shd w:val="clear" w:color="auto" w:fill="FFFFFF"/>
            <w:noWrap w:val="0"/>
            <w:vAlign w:val="center"/>
          </w:tcPr>
          <w:p w14:paraId="149EB34D">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bookmarkStart w:id="62" w:name="OLE_LINK1"/>
            <w:r>
              <w:rPr>
                <w:rFonts w:hint="eastAsia" w:ascii="宋体" w:hAnsi="宋体" w:eastAsia="宋体" w:cs="宋体"/>
                <w:bCs/>
                <w:color w:val="auto"/>
                <w:sz w:val="22"/>
                <w:szCs w:val="22"/>
                <w:highlight w:val="none"/>
              </w:rPr>
              <w:t>保证</w:t>
            </w:r>
          </w:p>
          <w:bookmarkEnd w:id="62"/>
        </w:tc>
      </w:tr>
      <w:tr w14:paraId="0D284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70372F91">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驻场服务</w:t>
            </w:r>
          </w:p>
        </w:tc>
        <w:tc>
          <w:tcPr>
            <w:tcW w:w="3990" w:type="dxa"/>
            <w:gridSpan w:val="3"/>
            <w:shd w:val="clear" w:color="auto" w:fill="FFFFFF"/>
            <w:noWrap w:val="0"/>
            <w:vAlign w:val="center"/>
          </w:tcPr>
          <w:p w14:paraId="6C792A6E">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p>
        </w:tc>
      </w:tr>
      <w:tr w14:paraId="677A6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4009B6EC">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人数</w:t>
            </w:r>
          </w:p>
        </w:tc>
        <w:tc>
          <w:tcPr>
            <w:tcW w:w="3990" w:type="dxa"/>
            <w:gridSpan w:val="3"/>
            <w:shd w:val="clear" w:color="auto" w:fill="FFFFFF"/>
            <w:noWrap w:val="0"/>
            <w:vAlign w:val="center"/>
          </w:tcPr>
          <w:p w14:paraId="381BC584">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人</w:t>
            </w:r>
          </w:p>
        </w:tc>
      </w:tr>
      <w:tr w14:paraId="4AA098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4D4C8D26">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维护服务管理标准</w:t>
            </w:r>
          </w:p>
        </w:tc>
        <w:tc>
          <w:tcPr>
            <w:tcW w:w="3990" w:type="dxa"/>
            <w:gridSpan w:val="3"/>
            <w:shd w:val="clear" w:color="auto" w:fill="FFFFFF"/>
            <w:noWrap w:val="0"/>
            <w:vAlign w:val="center"/>
          </w:tcPr>
          <w:p w14:paraId="7FF0C130">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维护服务标准</w:t>
            </w:r>
          </w:p>
        </w:tc>
      </w:tr>
      <w:tr w14:paraId="1ED65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59044853">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专家支持服务响应</w:t>
            </w:r>
          </w:p>
        </w:tc>
        <w:tc>
          <w:tcPr>
            <w:tcW w:w="3990" w:type="dxa"/>
            <w:gridSpan w:val="3"/>
            <w:shd w:val="clear" w:color="auto" w:fill="FFFFFF"/>
            <w:noWrap w:val="0"/>
            <w:vAlign w:val="center"/>
          </w:tcPr>
          <w:p w14:paraId="41E04A09">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kern w:val="2"/>
                <w:sz w:val="22"/>
                <w:szCs w:val="22"/>
                <w:highlight w:val="none"/>
                <w:u w:val="single"/>
                <w:lang w:val="en-US" w:eastAsia="zh-CN" w:bidi="ar-SA"/>
              </w:rPr>
            </w:pPr>
          </w:p>
        </w:tc>
      </w:tr>
      <w:tr w14:paraId="353A7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35A923D3">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电话覆盖时间</w:t>
            </w:r>
          </w:p>
        </w:tc>
        <w:tc>
          <w:tcPr>
            <w:tcW w:w="3990" w:type="dxa"/>
            <w:gridSpan w:val="3"/>
            <w:shd w:val="clear" w:color="auto" w:fill="FFFFFF"/>
            <w:noWrap w:val="0"/>
            <w:vAlign w:val="top"/>
          </w:tcPr>
          <w:p w14:paraId="038D0337">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7*24小时</w:t>
            </w:r>
          </w:p>
        </w:tc>
      </w:tr>
      <w:tr w14:paraId="6F884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6446368B">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电话响应时间</w:t>
            </w:r>
          </w:p>
        </w:tc>
        <w:tc>
          <w:tcPr>
            <w:tcW w:w="3990" w:type="dxa"/>
            <w:gridSpan w:val="3"/>
            <w:shd w:val="clear" w:color="auto" w:fill="FFFFFF"/>
            <w:noWrap w:val="0"/>
            <w:vAlign w:val="top"/>
          </w:tcPr>
          <w:p w14:paraId="7452D347">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立即响应</w:t>
            </w:r>
          </w:p>
        </w:tc>
      </w:tr>
      <w:tr w14:paraId="1B14C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58977DE1">
            <w:pPr>
              <w:pStyle w:val="43"/>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到达客户现场时间</w:t>
            </w:r>
          </w:p>
        </w:tc>
        <w:tc>
          <w:tcPr>
            <w:tcW w:w="3990" w:type="dxa"/>
            <w:gridSpan w:val="3"/>
            <w:shd w:val="clear" w:color="auto" w:fill="FFFFFF"/>
            <w:noWrap w:val="0"/>
            <w:vAlign w:val="top"/>
          </w:tcPr>
          <w:p w14:paraId="39BC41B1">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4小时</w:t>
            </w:r>
          </w:p>
        </w:tc>
      </w:tr>
      <w:tr w14:paraId="2B380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21B0B357">
            <w:pPr>
              <w:pStyle w:val="43"/>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问题诊断时间</w:t>
            </w:r>
          </w:p>
        </w:tc>
        <w:tc>
          <w:tcPr>
            <w:tcW w:w="3990" w:type="dxa"/>
            <w:gridSpan w:val="3"/>
            <w:shd w:val="clear" w:color="auto" w:fill="FFFFFF"/>
            <w:noWrap w:val="0"/>
            <w:vAlign w:val="top"/>
          </w:tcPr>
          <w:p w14:paraId="7F8470E4">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小于1小时</w:t>
            </w:r>
          </w:p>
        </w:tc>
      </w:tr>
      <w:tr w14:paraId="5C2C4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1259F7B2">
            <w:pPr>
              <w:pStyle w:val="43"/>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服务报告提交</w:t>
            </w:r>
          </w:p>
        </w:tc>
        <w:tc>
          <w:tcPr>
            <w:tcW w:w="3990" w:type="dxa"/>
            <w:gridSpan w:val="3"/>
            <w:shd w:val="clear" w:color="auto" w:fill="FFFFFF"/>
            <w:noWrap w:val="0"/>
            <w:vAlign w:val="center"/>
          </w:tcPr>
          <w:p w14:paraId="3BE3375F">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提供</w:t>
            </w:r>
          </w:p>
        </w:tc>
      </w:tr>
      <w:tr w14:paraId="64FFC5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0D78BCBF">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技术服务</w:t>
            </w:r>
          </w:p>
        </w:tc>
        <w:tc>
          <w:tcPr>
            <w:tcW w:w="3990" w:type="dxa"/>
            <w:gridSpan w:val="3"/>
            <w:shd w:val="clear" w:color="auto" w:fill="FFFFFF"/>
            <w:noWrap w:val="0"/>
            <w:vAlign w:val="center"/>
          </w:tcPr>
          <w:p w14:paraId="2154FDCD">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kern w:val="2"/>
                <w:sz w:val="22"/>
                <w:szCs w:val="22"/>
                <w:highlight w:val="none"/>
                <w:u w:val="single"/>
                <w:lang w:val="en-US" w:eastAsia="zh-CN" w:bidi="ar-SA"/>
              </w:rPr>
            </w:pPr>
          </w:p>
        </w:tc>
      </w:tr>
      <w:tr w14:paraId="74405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01117DE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项目现场支持</w:t>
            </w:r>
          </w:p>
        </w:tc>
        <w:tc>
          <w:tcPr>
            <w:tcW w:w="3990" w:type="dxa"/>
            <w:gridSpan w:val="3"/>
            <w:shd w:val="clear" w:color="auto" w:fill="FFFFFF"/>
            <w:noWrap w:val="0"/>
            <w:vAlign w:val="center"/>
          </w:tcPr>
          <w:p w14:paraId="0E1ED423">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提供</w:t>
            </w:r>
          </w:p>
        </w:tc>
      </w:tr>
      <w:tr w14:paraId="2998E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5574C76A">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提供系统性能改善措施</w:t>
            </w:r>
          </w:p>
        </w:tc>
        <w:tc>
          <w:tcPr>
            <w:tcW w:w="3990" w:type="dxa"/>
            <w:gridSpan w:val="3"/>
            <w:shd w:val="clear" w:color="auto" w:fill="FFFFFF"/>
            <w:noWrap w:val="0"/>
            <w:vAlign w:val="center"/>
          </w:tcPr>
          <w:p w14:paraId="3BC61A08">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提供</w:t>
            </w:r>
          </w:p>
        </w:tc>
      </w:tr>
      <w:tr w14:paraId="4602C9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6679463F">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系统应用的配置优化</w:t>
            </w:r>
          </w:p>
        </w:tc>
        <w:tc>
          <w:tcPr>
            <w:tcW w:w="3990" w:type="dxa"/>
            <w:gridSpan w:val="3"/>
            <w:shd w:val="clear" w:color="auto" w:fill="FFFFFF"/>
            <w:noWrap w:val="0"/>
            <w:vAlign w:val="center"/>
          </w:tcPr>
          <w:p w14:paraId="1B4F681C">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kern w:val="2"/>
                <w:sz w:val="22"/>
                <w:szCs w:val="22"/>
                <w:highlight w:val="none"/>
                <w:u w:val="single"/>
                <w:lang w:val="en-US" w:eastAsia="zh-CN" w:bidi="ar-SA"/>
              </w:rPr>
            </w:pPr>
            <w:r>
              <w:rPr>
                <w:rFonts w:hint="eastAsia" w:ascii="宋体" w:hAnsi="宋体" w:eastAsia="宋体" w:cs="宋体"/>
                <w:bCs/>
                <w:color w:val="auto"/>
                <w:sz w:val="22"/>
                <w:szCs w:val="22"/>
                <w:highlight w:val="none"/>
              </w:rPr>
              <w:t>提供</w:t>
            </w:r>
          </w:p>
        </w:tc>
      </w:tr>
      <w:tr w14:paraId="4F680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2742537F">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网络安全服务</w:t>
            </w:r>
          </w:p>
        </w:tc>
        <w:tc>
          <w:tcPr>
            <w:tcW w:w="3990" w:type="dxa"/>
            <w:gridSpan w:val="3"/>
            <w:shd w:val="clear" w:color="auto" w:fill="FFFFFF"/>
            <w:noWrap w:val="0"/>
            <w:vAlign w:val="center"/>
          </w:tcPr>
          <w:p w14:paraId="74FF8CEC">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提供</w:t>
            </w:r>
          </w:p>
        </w:tc>
      </w:tr>
      <w:tr w14:paraId="52CFA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6300DB1E">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远程诊断</w:t>
            </w:r>
          </w:p>
        </w:tc>
        <w:tc>
          <w:tcPr>
            <w:tcW w:w="3990" w:type="dxa"/>
            <w:gridSpan w:val="3"/>
            <w:shd w:val="clear" w:color="auto" w:fill="FFFFFF"/>
            <w:noWrap w:val="0"/>
            <w:vAlign w:val="center"/>
          </w:tcPr>
          <w:p w14:paraId="39EA0F40">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
                <w:color w:val="auto"/>
                <w:kern w:val="2"/>
                <w:sz w:val="22"/>
                <w:szCs w:val="22"/>
                <w:highlight w:val="none"/>
                <w:u w:val="single"/>
                <w:lang w:val="en-US" w:eastAsia="zh-CN" w:bidi="ar-SA"/>
              </w:rPr>
            </w:pPr>
          </w:p>
        </w:tc>
      </w:tr>
      <w:tr w14:paraId="38802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340" w:hRule="atLeast"/>
          <w:jc w:val="center"/>
        </w:trPr>
        <w:tc>
          <w:tcPr>
            <w:tcW w:w="5804" w:type="dxa"/>
            <w:shd w:val="clear" w:color="auto" w:fill="FFFFFF"/>
            <w:noWrap w:val="0"/>
            <w:vAlign w:val="center"/>
          </w:tcPr>
          <w:p w14:paraId="2AE96553">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远程故障解决</w:t>
            </w:r>
          </w:p>
        </w:tc>
        <w:tc>
          <w:tcPr>
            <w:tcW w:w="3990" w:type="dxa"/>
            <w:gridSpan w:val="3"/>
            <w:shd w:val="clear" w:color="auto" w:fill="FFFFFF"/>
            <w:noWrap w:val="0"/>
            <w:vAlign w:val="center"/>
          </w:tcPr>
          <w:p w14:paraId="2C83D98A">
            <w:pPr>
              <w:pageBreakBefore w:val="0"/>
              <w:widowControl w:val="0"/>
              <w:kinsoku/>
              <w:wordWrap/>
              <w:overflowPunct/>
              <w:topLinePunct w:val="0"/>
              <w:bidi w:val="0"/>
              <w:snapToGrid w:val="0"/>
              <w:spacing w:line="360" w:lineRule="exact"/>
              <w:ind w:left="0" w:left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提供</w:t>
            </w:r>
          </w:p>
        </w:tc>
      </w:tr>
    </w:tbl>
    <w:p w14:paraId="691CE562">
      <w:pPr>
        <w:keepNext w:val="0"/>
        <w:keepLines w:val="0"/>
        <w:pageBreakBefore w:val="0"/>
        <w:widowControl w:val="0"/>
        <w:kinsoku/>
        <w:wordWrap/>
        <w:overflowPunct/>
        <w:topLinePunct w:val="0"/>
        <w:autoSpaceDE/>
        <w:autoSpaceDN/>
        <w:bidi w:val="0"/>
        <w:adjustRightInd/>
        <w:snapToGrid/>
        <w:spacing w:line="36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②</w:t>
      </w:r>
      <w:r>
        <w:rPr>
          <w:rFonts w:hint="eastAsia" w:ascii="宋体" w:hAnsi="宋体" w:eastAsia="宋体" w:cs="宋体"/>
          <w:b/>
          <w:bCs/>
          <w:color w:val="auto"/>
          <w:sz w:val="22"/>
          <w:szCs w:val="22"/>
          <w:highlight w:val="none"/>
        </w:rPr>
        <w:t>维护范围：包含交管局及下属各大队所有相关IT设备的维护，建议</w:t>
      </w:r>
      <w:r>
        <w:rPr>
          <w:rFonts w:hint="eastAsia" w:ascii="宋体" w:hAnsi="宋体" w:eastAsia="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在投标前进行实地考察。</w:t>
      </w:r>
    </w:p>
    <w:p w14:paraId="24FA8A64">
      <w:pPr>
        <w:keepNext w:val="0"/>
        <w:keepLines w:val="0"/>
        <w:pageBreakBefore w:val="0"/>
        <w:widowControl w:val="0"/>
        <w:kinsoku/>
        <w:wordWrap/>
        <w:overflowPunct/>
        <w:topLinePunct w:val="0"/>
        <w:autoSpaceDE/>
        <w:autoSpaceDN/>
        <w:bidi w:val="0"/>
        <w:adjustRightInd/>
        <w:snapToGrid/>
        <w:spacing w:line="36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③</w:t>
      </w:r>
      <w:r>
        <w:rPr>
          <w:rFonts w:hint="eastAsia" w:ascii="宋体" w:hAnsi="宋体" w:eastAsia="宋体" w:cs="宋体"/>
          <w:b/>
          <w:bCs/>
          <w:color w:val="auto"/>
          <w:sz w:val="22"/>
          <w:szCs w:val="22"/>
          <w:highlight w:val="none"/>
        </w:rPr>
        <w:t>提供相关的视频会议会务现场保障服务。</w:t>
      </w:r>
    </w:p>
    <w:p w14:paraId="32457BC4">
      <w:pPr>
        <w:keepNext w:val="0"/>
        <w:keepLines w:val="0"/>
        <w:pageBreakBefore w:val="0"/>
        <w:widowControl w:val="0"/>
        <w:kinsoku/>
        <w:wordWrap/>
        <w:overflowPunct/>
        <w:topLinePunct w:val="0"/>
        <w:autoSpaceDE/>
        <w:autoSpaceDN/>
        <w:bidi w:val="0"/>
        <w:adjustRightInd/>
        <w:snapToGrid/>
        <w:spacing w:line="36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④</w:t>
      </w:r>
      <w:r>
        <w:rPr>
          <w:rFonts w:hint="eastAsia" w:ascii="宋体" w:hAnsi="宋体" w:eastAsia="宋体" w:cs="宋体"/>
          <w:b/>
          <w:bCs/>
          <w:color w:val="auto"/>
          <w:sz w:val="22"/>
          <w:szCs w:val="22"/>
          <w:highlight w:val="none"/>
        </w:rPr>
        <w:t>本项目属于人力运维项目，不包含备品备件的价格。在服务过程中，需要服务单位提供备品备件的，由</w:t>
      </w:r>
      <w:r>
        <w:rPr>
          <w:rFonts w:hint="eastAsia" w:ascii="宋体" w:hAnsi="宋体" w:eastAsia="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额外支付费用。在</w:t>
      </w:r>
      <w:r>
        <w:rPr>
          <w:rFonts w:hint="eastAsia" w:ascii="宋体" w:hAnsi="宋体" w:eastAsia="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支付费用前，备品备件的产权归属于服务单位。</w:t>
      </w:r>
      <w:r>
        <w:rPr>
          <w:rFonts w:hint="eastAsia" w:ascii="宋体" w:hAnsi="宋体" w:eastAsia="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支付备品备件费用后，备品备件的产权归属于</w:t>
      </w:r>
      <w:r>
        <w:rPr>
          <w:rFonts w:hint="eastAsia" w:ascii="宋体" w:hAnsi="宋体" w:eastAsia="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w:t>
      </w:r>
    </w:p>
    <w:p w14:paraId="3A668195">
      <w:pPr>
        <w:rPr>
          <w:rFonts w:hint="eastAsia" w:ascii="宋体" w:hAnsi="宋体" w:eastAsia="宋体" w:cs="宋体"/>
          <w:color w:val="auto"/>
          <w:sz w:val="22"/>
          <w:szCs w:val="22"/>
          <w:highlight w:val="none"/>
        </w:rPr>
      </w:pPr>
    </w:p>
    <w:p w14:paraId="371C01A6">
      <w:pPr>
        <w:rPr>
          <w:rFonts w:hint="eastAsia" w:ascii="宋体" w:hAnsi="宋体" w:eastAsia="宋体" w:cs="宋体"/>
          <w:color w:val="auto"/>
          <w:sz w:val="22"/>
          <w:szCs w:val="22"/>
          <w:highlight w:val="none"/>
          <w:lang w:val="en-US" w:eastAsia="zh-CN"/>
        </w:rPr>
      </w:pPr>
    </w:p>
    <w:p w14:paraId="5D48C38E">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2.2.3.2具体维护内容</w:t>
      </w:r>
    </w:p>
    <w:p w14:paraId="6023C898">
      <w:pPr>
        <w:pageBreakBefore w:val="0"/>
        <w:widowControl w:val="0"/>
        <w:kinsoku/>
        <w:wordWrap/>
        <w:overflowPunct/>
        <w:topLinePunct w:val="0"/>
        <w:bidi w:val="0"/>
        <w:spacing w:line="360" w:lineRule="exact"/>
        <w:ind w:left="0" w:leftChars="0" w:firstLine="541" w:firstLineChars="245"/>
        <w:textAlignment w:val="auto"/>
        <w:outlineLvl w:val="5"/>
        <w:rPr>
          <w:rFonts w:hint="eastAsia" w:ascii="宋体" w:hAnsi="宋体" w:eastAsia="宋体" w:cs="宋体"/>
          <w:b/>
          <w:color w:val="auto"/>
          <w:sz w:val="22"/>
          <w:szCs w:val="22"/>
          <w:highlight w:val="none"/>
        </w:rPr>
      </w:pPr>
      <w:bookmarkStart w:id="63" w:name="_Toc441051463"/>
      <w:bookmarkStart w:id="64" w:name="_Toc117174218"/>
      <w:bookmarkStart w:id="65" w:name="_Toc40266005"/>
      <w:bookmarkStart w:id="66" w:name="_Toc117164401"/>
      <w:bookmarkStart w:id="67" w:name="_Toc117174929"/>
      <w:bookmarkStart w:id="68" w:name="_Toc282690448"/>
      <w:bookmarkStart w:id="69" w:name="_Toc117178299"/>
      <w:bookmarkStart w:id="70" w:name="_Toc201920301"/>
      <w:bookmarkStart w:id="71" w:name="_Toc117182532"/>
      <w:bookmarkStart w:id="72" w:name="_Toc51996433"/>
      <w:bookmarkStart w:id="73" w:name="_Toc40594934"/>
      <w:r>
        <w:rPr>
          <w:rFonts w:hint="eastAsia" w:ascii="宋体" w:hAnsi="宋体" w:eastAsia="宋体" w:cs="宋体"/>
          <w:b/>
          <w:bCs/>
          <w:color w:val="auto"/>
          <w:kern w:val="2"/>
          <w:sz w:val="22"/>
          <w:szCs w:val="22"/>
          <w:highlight w:val="none"/>
          <w:lang w:val="en-US" w:eastAsia="zh-CN" w:bidi="ar-SA"/>
        </w:rPr>
        <w:t>2.2.3.2.1</w:t>
      </w:r>
      <w:r>
        <w:rPr>
          <w:rFonts w:hint="eastAsia" w:ascii="宋体" w:hAnsi="宋体" w:eastAsia="宋体" w:cs="宋体"/>
          <w:b/>
          <w:color w:val="auto"/>
          <w:sz w:val="22"/>
          <w:szCs w:val="22"/>
          <w:highlight w:val="none"/>
        </w:rPr>
        <w:t>驻点人员维护期内服务范围</w:t>
      </w:r>
      <w:bookmarkEnd w:id="63"/>
      <w:bookmarkEnd w:id="64"/>
      <w:bookmarkEnd w:id="65"/>
      <w:bookmarkEnd w:id="66"/>
      <w:bookmarkEnd w:id="67"/>
      <w:bookmarkEnd w:id="68"/>
      <w:bookmarkEnd w:id="69"/>
      <w:bookmarkEnd w:id="70"/>
      <w:bookmarkEnd w:id="71"/>
      <w:bookmarkEnd w:id="72"/>
      <w:bookmarkEnd w:id="73"/>
    </w:p>
    <w:p w14:paraId="47313F6F">
      <w:pPr>
        <w:pageBreakBefore w:val="0"/>
        <w:widowControl w:val="0"/>
        <w:kinsoku/>
        <w:wordWrap/>
        <w:overflowPunct/>
        <w:topLinePunct w:val="0"/>
        <w:bidi w:val="0"/>
        <w:spacing w:line="360" w:lineRule="exact"/>
        <w:ind w:left="0" w:leftChars="0"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总体职责：协助所在单位科技管理员，做好本单位所有设备的登记、管理及运维。</w:t>
      </w:r>
    </w:p>
    <w:p w14:paraId="5DB49F3E">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主要职责：</w:t>
      </w:r>
      <w:bookmarkStart w:id="74" w:name="_Toc51996432"/>
      <w:bookmarkStart w:id="75" w:name="_Toc282690447"/>
      <w:bookmarkStart w:id="76" w:name="_Toc40594933"/>
      <w:bookmarkStart w:id="77" w:name="_Toc201920300"/>
      <w:bookmarkStart w:id="78" w:name="_Toc40266004"/>
      <w:r>
        <w:rPr>
          <w:rFonts w:hint="eastAsia" w:ascii="宋体" w:hAnsi="宋体" w:eastAsia="宋体" w:cs="宋体"/>
          <w:bCs/>
          <w:color w:val="auto"/>
          <w:sz w:val="22"/>
          <w:szCs w:val="22"/>
          <w:highlight w:val="none"/>
        </w:rPr>
        <w:t>科技类硬件固定资产登记和管理 （科技类硬件指PC电脑、笔记本电脑、打印机、网络交换机、路由器、光纤收发器、配线架、大队自有PC服务器等）</w:t>
      </w:r>
    </w:p>
    <w:p w14:paraId="634C4735">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硬件故障排查、维护（包括故障部件更换，配件更换费用由交管局承担）</w:t>
      </w:r>
    </w:p>
    <w:p w14:paraId="347E80C2">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常用软件维护服务（常用软件指计算机操作系统，上级部门下发或指定安装的管控软件、查毒软件、数字证书管理软件，交管局本级开发和运维的业务管理软件，维护服务是指按照正常规则进行安装，调试，排除软件运行适配性问题，保障软件的正常使用，收集记录无法处置的异常性故障上报交管局负责人）</w:t>
      </w:r>
    </w:p>
    <w:p w14:paraId="0CFE0BB9">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协助大队科技管理员进行系统管理，对大队、中队机房实施专人管理，建立机房管理制度、严格出入登记、完善机房设备和点位网络拓扑图，规整梳理网络线路，保障网络运行稳定，出具网络、安全、应用方面的改进方案和建议</w:t>
      </w:r>
    </w:p>
    <w:p w14:paraId="4BB21655">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软硬件升级、网络升级时的协助服务</w:t>
      </w:r>
    </w:p>
    <w:p w14:paraId="0FA0571C">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业务培训与技术咨询</w:t>
      </w:r>
    </w:p>
    <w:bookmarkEnd w:id="74"/>
    <w:bookmarkEnd w:id="75"/>
    <w:bookmarkEnd w:id="76"/>
    <w:bookmarkEnd w:id="77"/>
    <w:bookmarkEnd w:id="78"/>
    <w:p w14:paraId="796D8D8C">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ITIL运维管理服务（驻场服务）</w:t>
      </w:r>
    </w:p>
    <w:p w14:paraId="687EDCB7">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维护处理的记录工作</w:t>
      </w:r>
    </w:p>
    <w:p w14:paraId="542DA0E1">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定期巡检机房、网络、设备等，提出合理化改进意见</w:t>
      </w:r>
    </w:p>
    <w:p w14:paraId="4076D35C">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设备资产管理：开展全网（外网，政务网，公安内网）计算机和其他网络设备的实时动态资产管理（新增、变更、报废）以及相关管理信息的更新维护，确保各类资产设备的信息实时准确。</w:t>
      </w:r>
    </w:p>
    <w:p w14:paraId="62CDE86E">
      <w:pPr>
        <w:pStyle w:val="60"/>
        <w:tabs>
          <w:tab w:val="left" w:pos="482"/>
          <w:tab w:val="left" w:pos="2183"/>
          <w:tab w:val="left" w:pos="3884"/>
          <w:tab w:val="left" w:pos="5585"/>
        </w:tabs>
        <w:rPr>
          <w:rFonts w:hint="eastAsia" w:ascii="宋体" w:hAnsi="宋体" w:eastAsia="宋体" w:cs="宋体"/>
          <w:color w:val="auto"/>
          <w:sz w:val="22"/>
          <w:szCs w:val="22"/>
          <w:highlight w:val="none"/>
        </w:rPr>
      </w:pPr>
    </w:p>
    <w:p w14:paraId="73361237">
      <w:pPr>
        <w:pageBreakBefore w:val="0"/>
        <w:widowControl w:val="0"/>
        <w:kinsoku/>
        <w:wordWrap/>
        <w:overflowPunct/>
        <w:topLinePunct w:val="0"/>
        <w:bidi w:val="0"/>
        <w:spacing w:line="360" w:lineRule="exact"/>
        <w:ind w:left="0" w:leftChars="0" w:firstLine="541" w:firstLineChars="245"/>
        <w:textAlignment w:val="auto"/>
        <w:outlineLvl w:val="5"/>
        <w:rPr>
          <w:rFonts w:hint="eastAsia" w:ascii="宋体" w:hAnsi="宋体" w:eastAsia="宋体" w:cs="宋体"/>
          <w:b/>
          <w:color w:val="auto"/>
          <w:sz w:val="22"/>
          <w:szCs w:val="22"/>
          <w:highlight w:val="none"/>
        </w:rPr>
      </w:pPr>
      <w:r>
        <w:rPr>
          <w:rFonts w:hint="eastAsia" w:ascii="宋体" w:hAnsi="宋体" w:eastAsia="宋体" w:cs="宋体"/>
          <w:b/>
          <w:bCs/>
          <w:color w:val="auto"/>
          <w:kern w:val="2"/>
          <w:sz w:val="22"/>
          <w:szCs w:val="22"/>
          <w:highlight w:val="none"/>
          <w:lang w:val="en-US" w:eastAsia="zh-CN" w:bidi="ar-SA"/>
        </w:rPr>
        <w:t>2.2.3.2.2</w:t>
      </w:r>
      <w:r>
        <w:rPr>
          <w:rFonts w:hint="eastAsia" w:ascii="宋体" w:hAnsi="宋体" w:eastAsia="宋体" w:cs="宋体"/>
          <w:b/>
          <w:color w:val="auto"/>
          <w:sz w:val="22"/>
          <w:szCs w:val="22"/>
          <w:highlight w:val="none"/>
        </w:rPr>
        <w:t>服务响应</w:t>
      </w:r>
    </w:p>
    <w:p w14:paraId="404E3CB0">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整体维护响应时间要求：每周7×24，202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1月</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1日起-202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年12月31日止</w:t>
      </w:r>
    </w:p>
    <w:p w14:paraId="2E8FBC65">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驻场工程师实行与常驻单位人员相同的上班制，提供现场即时响应服务。遇不能解决的，及时报告所在单位科技管理员及乙方指定的负责人，制定下一步维护计划。</w:t>
      </w:r>
    </w:p>
    <w:p w14:paraId="40BA5676">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应急服务支持。发生突发故障，驻场人员不能及时或者无法解决的，需要机动维护力量或专家支持的，</w:t>
      </w:r>
      <w:r>
        <w:rPr>
          <w:rFonts w:hint="eastAsia" w:ascii="宋体" w:hAnsi="宋体" w:eastAsia="宋体" w:cs="宋体"/>
          <w:color w:val="auto"/>
          <w:sz w:val="22"/>
          <w:szCs w:val="22"/>
          <w:highlight w:val="none"/>
          <w:lang w:val="en-US" w:eastAsia="zh-CN"/>
        </w:rPr>
        <w:t>应4个小时内到达现场，提供维护服务</w:t>
      </w:r>
      <w:r>
        <w:rPr>
          <w:rFonts w:hint="eastAsia" w:ascii="宋体" w:hAnsi="宋体" w:eastAsia="宋体" w:cs="宋体"/>
          <w:bCs/>
          <w:color w:val="auto"/>
          <w:sz w:val="22"/>
          <w:szCs w:val="22"/>
          <w:highlight w:val="none"/>
        </w:rPr>
        <w:t>。</w:t>
      </w:r>
    </w:p>
    <w:p w14:paraId="073E5FAA">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故障响应及处理。</w:t>
      </w:r>
    </w:p>
    <w:p w14:paraId="3B5CBDF0">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问题诊断时间小于1小时。</w:t>
      </w:r>
    </w:p>
    <w:p w14:paraId="55F3D7B9">
      <w:pPr>
        <w:pStyle w:val="60"/>
        <w:tabs>
          <w:tab w:val="left" w:pos="482"/>
          <w:tab w:val="left" w:pos="2183"/>
          <w:tab w:val="left" w:pos="3884"/>
          <w:tab w:val="left" w:pos="5585"/>
        </w:tabs>
        <w:rPr>
          <w:rFonts w:hint="eastAsia" w:ascii="宋体" w:hAnsi="宋体" w:eastAsia="宋体" w:cs="宋体"/>
          <w:color w:val="auto"/>
          <w:sz w:val="22"/>
          <w:szCs w:val="22"/>
          <w:highlight w:val="none"/>
          <w:lang w:val="en-US" w:eastAsia="zh-CN"/>
        </w:rPr>
      </w:pPr>
    </w:p>
    <w:p w14:paraId="3CD521F6">
      <w:pPr>
        <w:pageBreakBefore w:val="0"/>
        <w:widowControl w:val="0"/>
        <w:kinsoku/>
        <w:wordWrap/>
        <w:overflowPunct/>
        <w:topLinePunct w:val="0"/>
        <w:bidi w:val="0"/>
        <w:spacing w:line="360" w:lineRule="exact"/>
        <w:ind w:left="0" w:leftChars="0" w:firstLine="762" w:firstLineChars="345"/>
        <w:textAlignment w:val="auto"/>
        <w:outlineLvl w:val="5"/>
        <w:rPr>
          <w:rFonts w:hint="eastAsia" w:ascii="宋体" w:hAnsi="宋体" w:eastAsia="宋体" w:cs="宋体"/>
          <w:b/>
          <w:color w:val="auto"/>
          <w:sz w:val="22"/>
          <w:szCs w:val="22"/>
          <w:highlight w:val="none"/>
        </w:rPr>
      </w:pPr>
      <w:r>
        <w:rPr>
          <w:rFonts w:hint="eastAsia" w:ascii="宋体" w:hAnsi="宋体" w:eastAsia="宋体" w:cs="宋体"/>
          <w:b/>
          <w:bCs/>
          <w:color w:val="auto"/>
          <w:kern w:val="2"/>
          <w:sz w:val="22"/>
          <w:szCs w:val="22"/>
          <w:highlight w:val="none"/>
          <w:lang w:val="en-US" w:eastAsia="zh-CN" w:bidi="ar-SA"/>
        </w:rPr>
        <w:t>2.2.3.2.3</w:t>
      </w:r>
      <w:r>
        <w:rPr>
          <w:rFonts w:hint="eastAsia" w:ascii="宋体" w:hAnsi="宋体" w:eastAsia="宋体" w:cs="宋体"/>
          <w:b/>
          <w:color w:val="auto"/>
          <w:sz w:val="22"/>
          <w:szCs w:val="22"/>
          <w:highlight w:val="none"/>
        </w:rPr>
        <w:t>设备维护间隔与维护情况汇报</w:t>
      </w:r>
    </w:p>
    <w:p w14:paraId="26FB2B67">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每次维护处理必须做好相关记录，详细列明故障时间、故障情况、处理过程、相应硬件更换情况等，并由所在单位科技管理员确认；</w:t>
      </w:r>
    </w:p>
    <w:p w14:paraId="4F7D71DD">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每</w:t>
      </w:r>
      <w:r>
        <w:rPr>
          <w:rFonts w:hint="eastAsia" w:ascii="宋体" w:hAnsi="宋体" w:eastAsia="宋体" w:cs="宋体"/>
          <w:bCs/>
          <w:color w:val="auto"/>
          <w:sz w:val="22"/>
          <w:szCs w:val="22"/>
          <w:highlight w:val="none"/>
        </w:rPr>
        <w:t>周一次例行大队机房巡检即预防性维护并提供例行巡检报告；</w:t>
      </w:r>
    </w:p>
    <w:p w14:paraId="166C5B59">
      <w:pPr>
        <w:pageBreakBefore w:val="0"/>
        <w:widowControl w:val="0"/>
        <w:kinsoku/>
        <w:wordWrap/>
        <w:overflowPunct/>
        <w:topLinePunct w:val="0"/>
        <w:bidi w:val="0"/>
        <w:spacing w:line="360" w:lineRule="exact"/>
        <w:ind w:left="0" w:leftChars="0"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每月一次例行中队机房巡检即预防性维护并提供例行巡检报告；</w:t>
      </w:r>
    </w:p>
    <w:p w14:paraId="74A2FBF5">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每月汇总一次维护记录，并向交管局提交维护工作量的分析和统计。</w:t>
      </w:r>
    </w:p>
    <w:p w14:paraId="3DA0B9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每月一次健康性检查，与</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有关负责人员和技术人员研讨硬件系统运行状况、全面检查硬件系统的工作状态、对硬件系统的运行环境进行评估、现场解答客户技术人员的有关硬件技术方面的问题、硬件可用率、故障分布和维修类型状况，最后由维护人交付硬件系统健康检查报告书，针对被服务方的设备的运行状况，提出设备的配置和参数设定等方面优化建议；</w:t>
      </w:r>
    </w:p>
    <w:p w14:paraId="6B01B4C2">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半年考核1次，并依据考核情况，支付维护款</w:t>
      </w:r>
    </w:p>
    <w:p w14:paraId="38FC0A15">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服务年度期满前十五天通知</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并完成年度现场维护，提供年度服务总结报告。依据年度维护情况，</w:t>
      </w:r>
      <w:r>
        <w:rPr>
          <w:rFonts w:hint="eastAsia" w:ascii="宋体" w:hAnsi="宋体" w:eastAsia="宋体" w:cs="宋体"/>
          <w:bCs/>
          <w:color w:val="auto"/>
          <w:sz w:val="22"/>
          <w:szCs w:val="22"/>
          <w:highlight w:val="none"/>
        </w:rPr>
        <w:t>进行合同结算。</w:t>
      </w:r>
    </w:p>
    <w:p w14:paraId="0EB23527">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服务方应建立运维管理系统平台，忠实记录每一次维护行为，包含维护时间、地点、服务对象、起止时间、维护人员、设备编号、故障情况、处置情况和状态，平台可通过设置时间段，分析研判维护的质量和效果，如哪个大队设备故障率高、哪个维护人员工作量大、哪个维护任务处置时间长、哪个维护人员维护效率高等，可用图表显示和统计。</w:t>
      </w:r>
    </w:p>
    <w:p w14:paraId="7410F03F">
      <w:pPr>
        <w:pStyle w:val="50"/>
        <w:rPr>
          <w:rFonts w:hint="eastAsia" w:ascii="宋体" w:hAnsi="宋体" w:eastAsia="宋体" w:cs="宋体"/>
          <w:color w:val="auto"/>
          <w:sz w:val="22"/>
          <w:szCs w:val="22"/>
          <w:highlight w:val="none"/>
          <w:lang w:val="en-US" w:eastAsia="zh-CN"/>
        </w:rPr>
      </w:pPr>
    </w:p>
    <w:p w14:paraId="7A2C8093">
      <w:pPr>
        <w:pageBreakBefore w:val="0"/>
        <w:widowControl w:val="0"/>
        <w:kinsoku/>
        <w:wordWrap/>
        <w:overflowPunct/>
        <w:topLinePunct w:val="0"/>
        <w:bidi w:val="0"/>
        <w:spacing w:line="360" w:lineRule="exact"/>
        <w:ind w:left="0" w:leftChars="0" w:firstLine="541" w:firstLineChars="245"/>
        <w:textAlignment w:val="auto"/>
        <w:outlineLvl w:val="5"/>
        <w:rPr>
          <w:rFonts w:hint="eastAsia" w:ascii="宋体" w:hAnsi="宋体" w:eastAsia="宋体" w:cs="宋体"/>
          <w:b/>
          <w:color w:val="auto"/>
          <w:sz w:val="22"/>
          <w:szCs w:val="22"/>
          <w:highlight w:val="none"/>
        </w:rPr>
      </w:pPr>
      <w:r>
        <w:rPr>
          <w:rFonts w:hint="eastAsia" w:ascii="宋体" w:hAnsi="宋体" w:eastAsia="宋体" w:cs="宋体"/>
          <w:b/>
          <w:bCs/>
          <w:color w:val="auto"/>
          <w:kern w:val="2"/>
          <w:sz w:val="22"/>
          <w:szCs w:val="22"/>
          <w:highlight w:val="none"/>
          <w:lang w:val="en-US" w:eastAsia="zh-CN" w:bidi="ar-SA"/>
        </w:rPr>
        <w:t>2.2.3.2.4</w:t>
      </w:r>
      <w:r>
        <w:rPr>
          <w:rFonts w:hint="eastAsia" w:ascii="宋体" w:hAnsi="宋体" w:eastAsia="宋体" w:cs="宋体"/>
          <w:b/>
          <w:color w:val="auto"/>
          <w:sz w:val="22"/>
          <w:szCs w:val="22"/>
          <w:highlight w:val="none"/>
        </w:rPr>
        <w:t>大队及中队机房定期巡检与预防性维护</w:t>
      </w:r>
    </w:p>
    <w:p w14:paraId="3B16FF34">
      <w:pPr>
        <w:pageBreakBefore w:val="0"/>
        <w:widowControl w:val="0"/>
        <w:kinsoku/>
        <w:wordWrap/>
        <w:overflowPunct/>
        <w:topLinePunct w:val="0"/>
        <w:bidi w:val="0"/>
        <w:spacing w:line="360" w:lineRule="exact"/>
        <w:ind w:left="0" w:leftChars="0"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安排每周一次针对大队机房的定期例行巡检和预防性维护，每月一次针对中队机房的定期例行巡检和预防性维护，内容包括：</w:t>
      </w:r>
    </w:p>
    <w:p w14:paraId="190C7FAE">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提供巡检报告；</w:t>
      </w:r>
    </w:p>
    <w:p w14:paraId="16FA0576">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设备运行物理状态；</w:t>
      </w:r>
    </w:p>
    <w:p w14:paraId="058F0462">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电源稳定性和线路检查；</w:t>
      </w:r>
    </w:p>
    <w:p w14:paraId="565AD525">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系统硬件诊断；及时更换损坏的或有潜在故障的部件（硬件更换费用由交管局承担）。</w:t>
      </w:r>
    </w:p>
    <w:p w14:paraId="629C9923">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2.2.3.3备品备件要求</w:t>
      </w:r>
    </w:p>
    <w:p w14:paraId="60DBDF2C">
      <w:pPr>
        <w:pStyle w:val="60"/>
        <w:tabs>
          <w:tab w:val="left" w:pos="482"/>
          <w:tab w:val="left" w:pos="2183"/>
          <w:tab w:val="left" w:pos="3884"/>
          <w:tab w:val="left" w:pos="5585"/>
        </w:tabs>
        <w:rPr>
          <w:rFonts w:hint="eastAsia" w:ascii="宋体" w:hAnsi="宋体" w:eastAsia="宋体" w:cs="宋体"/>
          <w:b/>
          <w:bCs/>
          <w:color w:val="auto"/>
          <w:kern w:val="2"/>
          <w:sz w:val="22"/>
          <w:szCs w:val="22"/>
          <w:highlight w:val="none"/>
          <w:lang w:val="en-US" w:eastAsia="zh-CN" w:bidi="ar-SA"/>
        </w:rPr>
      </w:pPr>
    </w:p>
    <w:p w14:paraId="1837E4CE">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rPr>
        <w:t>交管局备品备件要求清单</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中标</w:t>
      </w:r>
      <w:r>
        <w:rPr>
          <w:rFonts w:hint="eastAsia" w:ascii="宋体" w:hAnsi="宋体" w:eastAsia="宋体" w:cs="宋体"/>
          <w:b/>
          <w:bCs w:val="0"/>
          <w:color w:val="auto"/>
          <w:sz w:val="22"/>
          <w:szCs w:val="22"/>
          <w:highlight w:val="none"/>
          <w:lang w:val="en-US" w:eastAsia="zh-CN"/>
        </w:rPr>
        <w:t>人</w:t>
      </w:r>
      <w:r>
        <w:rPr>
          <w:rFonts w:hint="eastAsia" w:ascii="宋体" w:hAnsi="宋体" w:eastAsia="宋体" w:cs="宋体"/>
          <w:b/>
          <w:bCs w:val="0"/>
          <w:color w:val="auto"/>
          <w:sz w:val="22"/>
          <w:szCs w:val="22"/>
          <w:highlight w:val="none"/>
        </w:rPr>
        <w:t>必须提供以下设备做为备件</w:t>
      </w:r>
      <w:r>
        <w:rPr>
          <w:rFonts w:hint="eastAsia" w:ascii="宋体" w:hAnsi="宋体" w:eastAsia="宋体" w:cs="宋体"/>
          <w:b/>
          <w:bCs w:val="0"/>
          <w:color w:val="auto"/>
          <w:sz w:val="22"/>
          <w:szCs w:val="22"/>
          <w:highlight w:val="none"/>
          <w:lang w:eastAsia="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59"/>
        <w:gridCol w:w="3137"/>
        <w:gridCol w:w="1063"/>
        <w:gridCol w:w="1275"/>
        <w:gridCol w:w="1738"/>
      </w:tblGrid>
      <w:tr w14:paraId="470C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02C7227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59" w:type="dxa"/>
            <w:noWrap w:val="0"/>
            <w:vAlign w:val="center"/>
          </w:tcPr>
          <w:p w14:paraId="25F6305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3137" w:type="dxa"/>
            <w:noWrap w:val="0"/>
            <w:vAlign w:val="center"/>
          </w:tcPr>
          <w:p w14:paraId="43C5BAF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tc>
        <w:tc>
          <w:tcPr>
            <w:tcW w:w="1063" w:type="dxa"/>
            <w:noWrap w:val="0"/>
            <w:vAlign w:val="center"/>
          </w:tcPr>
          <w:p w14:paraId="383437B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275" w:type="dxa"/>
            <w:noWrap w:val="0"/>
            <w:vAlign w:val="center"/>
          </w:tcPr>
          <w:p w14:paraId="07A344B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1738" w:type="dxa"/>
            <w:noWrap w:val="0"/>
            <w:vAlign w:val="top"/>
          </w:tcPr>
          <w:p w14:paraId="6AC5F87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备注</w:t>
            </w:r>
          </w:p>
        </w:tc>
      </w:tr>
      <w:tr w14:paraId="1F74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10BD2E2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59" w:type="dxa"/>
            <w:noWrap w:val="0"/>
            <w:vAlign w:val="center"/>
          </w:tcPr>
          <w:p w14:paraId="2538C4C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服务器</w:t>
            </w:r>
          </w:p>
        </w:tc>
        <w:tc>
          <w:tcPr>
            <w:tcW w:w="3137" w:type="dxa"/>
            <w:noWrap w:val="0"/>
            <w:vAlign w:val="center"/>
          </w:tcPr>
          <w:p w14:paraId="3B426186">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063" w:type="dxa"/>
            <w:noWrap w:val="0"/>
            <w:vAlign w:val="center"/>
          </w:tcPr>
          <w:p w14:paraId="69E13B7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75" w:type="dxa"/>
            <w:noWrap w:val="0"/>
            <w:vAlign w:val="center"/>
          </w:tcPr>
          <w:p w14:paraId="1D4ACC6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restart"/>
            <w:noWrap w:val="0"/>
            <w:vAlign w:val="center"/>
          </w:tcPr>
          <w:p w14:paraId="3344BA6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设</w:t>
            </w:r>
            <w:r>
              <w:rPr>
                <w:rFonts w:hint="eastAsia" w:ascii="宋体" w:hAnsi="宋体" w:eastAsia="宋体" w:cs="宋体"/>
                <w:color w:val="auto"/>
                <w:sz w:val="22"/>
                <w:szCs w:val="22"/>
                <w:highlight w:val="none"/>
              </w:rPr>
              <w:t>备备品备件放置中标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服务点：</w:t>
            </w:r>
          </w:p>
          <w:p w14:paraId="64972C9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备品备件响应时间：2个小时</w:t>
            </w:r>
          </w:p>
          <w:p w14:paraId="4871993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r>
      <w:tr w14:paraId="67D9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7D87890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59" w:type="dxa"/>
            <w:noWrap w:val="0"/>
            <w:vAlign w:val="center"/>
          </w:tcPr>
          <w:p w14:paraId="393CE28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存储</w:t>
            </w:r>
          </w:p>
        </w:tc>
        <w:tc>
          <w:tcPr>
            <w:tcW w:w="3137" w:type="dxa"/>
            <w:noWrap w:val="0"/>
            <w:vAlign w:val="center"/>
          </w:tcPr>
          <w:p w14:paraId="59A5973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063" w:type="dxa"/>
            <w:noWrap w:val="0"/>
            <w:vAlign w:val="center"/>
          </w:tcPr>
          <w:p w14:paraId="2A88E38E">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75" w:type="dxa"/>
            <w:noWrap w:val="0"/>
            <w:vAlign w:val="center"/>
          </w:tcPr>
          <w:p w14:paraId="64881AD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continue"/>
            <w:noWrap w:val="0"/>
            <w:vAlign w:val="top"/>
          </w:tcPr>
          <w:p w14:paraId="3CC1D331">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6C0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554B3F7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59" w:type="dxa"/>
            <w:noWrap w:val="0"/>
            <w:vAlign w:val="center"/>
          </w:tcPr>
          <w:p w14:paraId="3304B37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交换机</w:t>
            </w:r>
          </w:p>
        </w:tc>
        <w:tc>
          <w:tcPr>
            <w:tcW w:w="3137" w:type="dxa"/>
            <w:noWrap w:val="0"/>
            <w:vAlign w:val="center"/>
          </w:tcPr>
          <w:p w14:paraId="5B80B6F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三层 可网管千兆交换机</w:t>
            </w:r>
          </w:p>
        </w:tc>
        <w:tc>
          <w:tcPr>
            <w:tcW w:w="1063" w:type="dxa"/>
            <w:noWrap w:val="0"/>
            <w:vAlign w:val="center"/>
          </w:tcPr>
          <w:p w14:paraId="07B245B2">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275" w:type="dxa"/>
            <w:noWrap w:val="0"/>
            <w:vAlign w:val="center"/>
          </w:tcPr>
          <w:p w14:paraId="516665B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continue"/>
            <w:noWrap w:val="0"/>
            <w:vAlign w:val="top"/>
          </w:tcPr>
          <w:p w14:paraId="2AA1AF28">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1D7A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3EC24AB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59" w:type="dxa"/>
            <w:noWrap w:val="0"/>
            <w:vAlign w:val="center"/>
          </w:tcPr>
          <w:p w14:paraId="7C53F78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网闸</w:t>
            </w:r>
          </w:p>
        </w:tc>
        <w:tc>
          <w:tcPr>
            <w:tcW w:w="3137" w:type="dxa"/>
            <w:noWrap w:val="0"/>
            <w:vAlign w:val="center"/>
          </w:tcPr>
          <w:p w14:paraId="7835C37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063" w:type="dxa"/>
            <w:noWrap w:val="0"/>
            <w:vAlign w:val="center"/>
          </w:tcPr>
          <w:p w14:paraId="7080F27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75" w:type="dxa"/>
            <w:noWrap w:val="0"/>
            <w:vAlign w:val="center"/>
          </w:tcPr>
          <w:p w14:paraId="60E7A5A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continue"/>
            <w:noWrap w:val="0"/>
            <w:vAlign w:val="top"/>
          </w:tcPr>
          <w:p w14:paraId="7BD0F8B1">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2A63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6EFE435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759" w:type="dxa"/>
            <w:noWrap w:val="0"/>
            <w:vAlign w:val="center"/>
          </w:tcPr>
          <w:p w14:paraId="447A73D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交换机模块</w:t>
            </w:r>
          </w:p>
        </w:tc>
        <w:tc>
          <w:tcPr>
            <w:tcW w:w="3137" w:type="dxa"/>
            <w:noWrap w:val="0"/>
            <w:vAlign w:val="center"/>
          </w:tcPr>
          <w:p w14:paraId="247D712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千兆交换机模块</w:t>
            </w:r>
          </w:p>
        </w:tc>
        <w:tc>
          <w:tcPr>
            <w:tcW w:w="1063" w:type="dxa"/>
            <w:noWrap w:val="0"/>
            <w:vAlign w:val="center"/>
          </w:tcPr>
          <w:p w14:paraId="66AD93C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275" w:type="dxa"/>
            <w:noWrap w:val="0"/>
            <w:vAlign w:val="center"/>
          </w:tcPr>
          <w:p w14:paraId="0CF0DF4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块</w:t>
            </w:r>
          </w:p>
        </w:tc>
        <w:tc>
          <w:tcPr>
            <w:tcW w:w="1738" w:type="dxa"/>
            <w:vMerge w:val="continue"/>
            <w:noWrap w:val="0"/>
            <w:vAlign w:val="top"/>
          </w:tcPr>
          <w:p w14:paraId="6B91354C">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3675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645E368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759" w:type="dxa"/>
            <w:noWrap w:val="0"/>
            <w:vAlign w:val="center"/>
          </w:tcPr>
          <w:p w14:paraId="1B0D81A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交换机模块</w:t>
            </w:r>
          </w:p>
        </w:tc>
        <w:tc>
          <w:tcPr>
            <w:tcW w:w="3137" w:type="dxa"/>
            <w:noWrap w:val="0"/>
            <w:vAlign w:val="center"/>
          </w:tcPr>
          <w:p w14:paraId="1CCE02B5">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万兆交换机模块</w:t>
            </w:r>
          </w:p>
        </w:tc>
        <w:tc>
          <w:tcPr>
            <w:tcW w:w="1063" w:type="dxa"/>
            <w:noWrap w:val="0"/>
            <w:vAlign w:val="center"/>
          </w:tcPr>
          <w:p w14:paraId="2C8F7A4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75" w:type="dxa"/>
            <w:noWrap w:val="0"/>
            <w:vAlign w:val="center"/>
          </w:tcPr>
          <w:p w14:paraId="3EEB4E5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块</w:t>
            </w:r>
          </w:p>
        </w:tc>
        <w:tc>
          <w:tcPr>
            <w:tcW w:w="1738" w:type="dxa"/>
            <w:vMerge w:val="continue"/>
            <w:noWrap w:val="0"/>
            <w:vAlign w:val="top"/>
          </w:tcPr>
          <w:p w14:paraId="1AB45647">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0FDB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5D46997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759" w:type="dxa"/>
            <w:noWrap w:val="0"/>
            <w:vAlign w:val="center"/>
          </w:tcPr>
          <w:p w14:paraId="00D12AB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路由器</w:t>
            </w:r>
          </w:p>
        </w:tc>
        <w:tc>
          <w:tcPr>
            <w:tcW w:w="3137" w:type="dxa"/>
            <w:noWrap w:val="0"/>
            <w:vAlign w:val="center"/>
          </w:tcPr>
          <w:p w14:paraId="4C5A01D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063" w:type="dxa"/>
            <w:noWrap w:val="0"/>
            <w:vAlign w:val="center"/>
          </w:tcPr>
          <w:p w14:paraId="39AA130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75" w:type="dxa"/>
            <w:noWrap w:val="0"/>
            <w:vAlign w:val="center"/>
          </w:tcPr>
          <w:p w14:paraId="659EBA4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continue"/>
            <w:noWrap w:val="0"/>
            <w:vAlign w:val="top"/>
          </w:tcPr>
          <w:p w14:paraId="2B5B20B0">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2AC9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098F6D83">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759" w:type="dxa"/>
            <w:noWrap w:val="0"/>
            <w:vAlign w:val="center"/>
          </w:tcPr>
          <w:p w14:paraId="1D9D322E">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防火墙</w:t>
            </w:r>
          </w:p>
        </w:tc>
        <w:tc>
          <w:tcPr>
            <w:tcW w:w="3137" w:type="dxa"/>
            <w:noWrap w:val="0"/>
            <w:vAlign w:val="center"/>
          </w:tcPr>
          <w:p w14:paraId="707E6E8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063" w:type="dxa"/>
            <w:noWrap w:val="0"/>
            <w:vAlign w:val="center"/>
          </w:tcPr>
          <w:p w14:paraId="7ECDA33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75" w:type="dxa"/>
            <w:noWrap w:val="0"/>
            <w:vAlign w:val="center"/>
          </w:tcPr>
          <w:p w14:paraId="1C67910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continue"/>
            <w:noWrap w:val="0"/>
            <w:vAlign w:val="top"/>
          </w:tcPr>
          <w:p w14:paraId="29D590D0">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6CFB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7E5894F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759" w:type="dxa"/>
            <w:noWrap w:val="0"/>
            <w:vAlign w:val="center"/>
          </w:tcPr>
          <w:p w14:paraId="70685E5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视频会议终端</w:t>
            </w:r>
          </w:p>
        </w:tc>
        <w:tc>
          <w:tcPr>
            <w:tcW w:w="3137" w:type="dxa"/>
            <w:noWrap w:val="0"/>
            <w:vAlign w:val="center"/>
          </w:tcPr>
          <w:p w14:paraId="09D33611">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063" w:type="dxa"/>
            <w:noWrap w:val="0"/>
            <w:vAlign w:val="center"/>
          </w:tcPr>
          <w:p w14:paraId="677CDAA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75" w:type="dxa"/>
            <w:noWrap w:val="0"/>
            <w:vAlign w:val="center"/>
          </w:tcPr>
          <w:p w14:paraId="3BD75C3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continue"/>
            <w:noWrap w:val="0"/>
            <w:vAlign w:val="top"/>
          </w:tcPr>
          <w:p w14:paraId="169057ED">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0656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noWrap w:val="0"/>
            <w:vAlign w:val="center"/>
          </w:tcPr>
          <w:p w14:paraId="4441E204">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759" w:type="dxa"/>
            <w:noWrap w:val="0"/>
            <w:vAlign w:val="center"/>
          </w:tcPr>
          <w:p w14:paraId="2F64D46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视频会议摄像机</w:t>
            </w:r>
          </w:p>
        </w:tc>
        <w:tc>
          <w:tcPr>
            <w:tcW w:w="3137" w:type="dxa"/>
            <w:noWrap w:val="0"/>
            <w:vAlign w:val="center"/>
          </w:tcPr>
          <w:p w14:paraId="70C0EB7C">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063" w:type="dxa"/>
            <w:noWrap w:val="0"/>
            <w:vAlign w:val="center"/>
          </w:tcPr>
          <w:p w14:paraId="548C2EAF">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75" w:type="dxa"/>
            <w:noWrap w:val="0"/>
            <w:vAlign w:val="center"/>
          </w:tcPr>
          <w:p w14:paraId="467AF340">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1738" w:type="dxa"/>
            <w:vMerge w:val="continue"/>
            <w:noWrap w:val="0"/>
            <w:vAlign w:val="top"/>
          </w:tcPr>
          <w:p w14:paraId="3B8F0EA9">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bl>
    <w:p w14:paraId="2E801453">
      <w:pPr>
        <w:numPr>
          <w:ilvl w:val="0"/>
          <w:numId w:val="0"/>
        </w:numPr>
        <w:spacing w:line="460" w:lineRule="exact"/>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2.2.3.4维护服务记录模版</w:t>
      </w:r>
    </w:p>
    <w:p w14:paraId="041B0C6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交管局维护服务记录模版</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33"/>
        <w:gridCol w:w="678"/>
        <w:gridCol w:w="1829"/>
        <w:gridCol w:w="3021"/>
      </w:tblGrid>
      <w:tr w14:paraId="3291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9" w:type="dxa"/>
            <w:gridSpan w:val="5"/>
            <w:noWrap w:val="0"/>
            <w:vAlign w:val="top"/>
          </w:tcPr>
          <w:p w14:paraId="6E77045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现场服务报告</w:t>
            </w:r>
          </w:p>
        </w:tc>
      </w:tr>
      <w:tr w14:paraId="0D37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noWrap w:val="0"/>
            <w:vAlign w:val="top"/>
          </w:tcPr>
          <w:p w14:paraId="691758F9">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客户方</w:t>
            </w:r>
          </w:p>
        </w:tc>
        <w:tc>
          <w:tcPr>
            <w:tcW w:w="3211" w:type="dxa"/>
            <w:gridSpan w:val="2"/>
            <w:noWrap w:val="0"/>
            <w:vAlign w:val="top"/>
          </w:tcPr>
          <w:p w14:paraId="6CD78B8A">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829" w:type="dxa"/>
            <w:noWrap w:val="0"/>
            <w:vAlign w:val="top"/>
          </w:tcPr>
          <w:p w14:paraId="7A108D97">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故障受理时间</w:t>
            </w:r>
          </w:p>
        </w:tc>
        <w:tc>
          <w:tcPr>
            <w:tcW w:w="3021" w:type="dxa"/>
            <w:noWrap w:val="0"/>
            <w:vAlign w:val="top"/>
          </w:tcPr>
          <w:p w14:paraId="65308FEE">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r>
      <w:tr w14:paraId="47D9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8" w:type="dxa"/>
            <w:noWrap w:val="0"/>
            <w:vAlign w:val="top"/>
          </w:tcPr>
          <w:p w14:paraId="738CC40D">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故障涉及设备</w:t>
            </w:r>
          </w:p>
        </w:tc>
        <w:tc>
          <w:tcPr>
            <w:tcW w:w="3211" w:type="dxa"/>
            <w:gridSpan w:val="2"/>
            <w:noWrap w:val="0"/>
            <w:vAlign w:val="top"/>
          </w:tcPr>
          <w:p w14:paraId="3A1211C8">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c>
          <w:tcPr>
            <w:tcW w:w="1829" w:type="dxa"/>
            <w:noWrap w:val="0"/>
            <w:vAlign w:val="top"/>
          </w:tcPr>
          <w:p w14:paraId="0558808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故障应用</w:t>
            </w:r>
          </w:p>
        </w:tc>
        <w:tc>
          <w:tcPr>
            <w:tcW w:w="3021" w:type="dxa"/>
            <w:noWrap w:val="0"/>
            <w:vAlign w:val="top"/>
          </w:tcPr>
          <w:p w14:paraId="5375582B">
            <w:pPr>
              <w:pageBreakBefore w:val="0"/>
              <w:widowControl w:val="0"/>
              <w:kinsoku/>
              <w:wordWrap/>
              <w:overflowPunct/>
              <w:topLinePunct w:val="0"/>
              <w:bidi w:val="0"/>
              <w:spacing w:line="360" w:lineRule="exact"/>
              <w:ind w:left="0" w:leftChars="0"/>
              <w:jc w:val="center"/>
              <w:textAlignment w:val="auto"/>
              <w:rPr>
                <w:rFonts w:hint="eastAsia" w:ascii="宋体" w:hAnsi="宋体" w:eastAsia="宋体" w:cs="宋体"/>
                <w:color w:val="auto"/>
                <w:sz w:val="22"/>
                <w:szCs w:val="22"/>
                <w:highlight w:val="none"/>
              </w:rPr>
            </w:pPr>
          </w:p>
        </w:tc>
      </w:tr>
      <w:tr w14:paraId="46D8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9" w:type="dxa"/>
            <w:gridSpan w:val="5"/>
            <w:noWrap w:val="0"/>
            <w:vAlign w:val="top"/>
          </w:tcPr>
          <w:p w14:paraId="11B8A6FD">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环境描述：</w:t>
            </w:r>
          </w:p>
          <w:p w14:paraId="51129377">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p>
          <w:p w14:paraId="2EAB2207">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p>
        </w:tc>
      </w:tr>
      <w:tr w14:paraId="21A7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9" w:type="dxa"/>
            <w:gridSpan w:val="5"/>
            <w:noWrap w:val="0"/>
            <w:vAlign w:val="top"/>
          </w:tcPr>
          <w:p w14:paraId="6E29346B">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故障原因分析：</w:t>
            </w:r>
          </w:p>
          <w:p w14:paraId="73C1CDA2">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2"/>
                <w:szCs w:val="22"/>
                <w:highlight w:val="none"/>
              </w:rPr>
            </w:pPr>
          </w:p>
        </w:tc>
      </w:tr>
      <w:tr w14:paraId="3324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9" w:type="dxa"/>
            <w:gridSpan w:val="5"/>
            <w:noWrap w:val="0"/>
            <w:vAlign w:val="top"/>
          </w:tcPr>
          <w:p w14:paraId="20FBD463">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故障处理与结果：</w:t>
            </w:r>
          </w:p>
          <w:p w14:paraId="700B6D1E">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p>
        </w:tc>
      </w:tr>
      <w:tr w14:paraId="575A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9" w:type="dxa"/>
            <w:gridSpan w:val="5"/>
            <w:noWrap w:val="0"/>
            <w:vAlign w:val="top"/>
          </w:tcPr>
          <w:p w14:paraId="25213DB9">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经验与建议： </w:t>
            </w:r>
          </w:p>
        </w:tc>
      </w:tr>
      <w:tr w14:paraId="24F7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gridSpan w:val="2"/>
            <w:noWrap w:val="0"/>
            <w:vAlign w:val="top"/>
          </w:tcPr>
          <w:p w14:paraId="102E623C">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客户方： </w:t>
            </w:r>
          </w:p>
          <w:p w14:paraId="101C6EC5">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日期：</w:t>
            </w:r>
          </w:p>
        </w:tc>
        <w:tc>
          <w:tcPr>
            <w:tcW w:w="5528" w:type="dxa"/>
            <w:gridSpan w:val="3"/>
            <w:noWrap w:val="0"/>
            <w:vAlign w:val="top"/>
          </w:tcPr>
          <w:p w14:paraId="255E5606">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工程师： </w:t>
            </w:r>
          </w:p>
          <w:p w14:paraId="66595AEC">
            <w:pPr>
              <w:pageBreakBefore w:val="0"/>
              <w:widowControl w:val="0"/>
              <w:kinsoku/>
              <w:wordWrap/>
              <w:overflowPunct/>
              <w:topLinePunct w:val="0"/>
              <w:bidi w:val="0"/>
              <w:spacing w:line="360" w:lineRule="exact"/>
              <w:ind w:left="0" w:left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日期：</w:t>
            </w:r>
          </w:p>
        </w:tc>
      </w:tr>
    </w:tbl>
    <w:p w14:paraId="63513C6E">
      <w:pPr>
        <w:pStyle w:val="16"/>
        <w:rPr>
          <w:rFonts w:hint="eastAsia" w:ascii="宋体" w:hAnsi="宋体" w:eastAsia="宋体" w:cs="宋体"/>
          <w:color w:val="auto"/>
          <w:sz w:val="22"/>
          <w:szCs w:val="22"/>
          <w:highlight w:val="none"/>
          <w:lang w:val="en-US" w:eastAsia="zh-CN"/>
        </w:rPr>
      </w:pPr>
    </w:p>
    <w:p w14:paraId="53977796">
      <w:pPr>
        <w:rPr>
          <w:rFonts w:hint="eastAsia" w:ascii="宋体" w:hAnsi="宋体" w:eastAsia="宋体" w:cs="宋体"/>
          <w:color w:val="auto"/>
          <w:sz w:val="22"/>
          <w:szCs w:val="22"/>
          <w:highlight w:val="none"/>
          <w:lang w:val="en-US" w:eastAsia="zh-CN"/>
        </w:rPr>
      </w:pPr>
    </w:p>
    <w:p w14:paraId="04D5757D">
      <w:pPr>
        <w:pageBreakBefore w:val="0"/>
        <w:widowControl w:val="0"/>
        <w:kinsoku/>
        <w:wordWrap/>
        <w:overflowPunct/>
        <w:topLinePunct w:val="0"/>
        <w:bidi w:val="0"/>
        <w:spacing w:line="360" w:lineRule="exact"/>
        <w:textAlignment w:val="auto"/>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2.2.3.5技术人员要求</w:t>
      </w:r>
    </w:p>
    <w:p w14:paraId="0BF6B172">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
          <w:color w:val="auto"/>
          <w:sz w:val="22"/>
          <w:szCs w:val="22"/>
          <w:highlight w:val="none"/>
          <w:u w:val="none"/>
          <w:lang w:eastAsia="zh-CN"/>
        </w:rPr>
      </w:pPr>
      <w:r>
        <w:rPr>
          <w:rFonts w:hint="eastAsia" w:ascii="宋体" w:hAnsi="宋体" w:eastAsia="宋体" w:cs="宋体"/>
          <w:bCs/>
          <w:color w:val="auto"/>
          <w:sz w:val="22"/>
          <w:szCs w:val="22"/>
          <w:highlight w:val="none"/>
          <w:u w:val="none"/>
        </w:rPr>
        <w:t>（1）</w:t>
      </w:r>
      <w:r>
        <w:rPr>
          <w:rFonts w:hint="eastAsia" w:ascii="宋体" w:hAnsi="宋体" w:eastAsia="宋体" w:cs="宋体"/>
          <w:bCs/>
          <w:color w:val="auto"/>
          <w:kern w:val="0"/>
          <w:sz w:val="22"/>
          <w:szCs w:val="22"/>
          <w:highlight w:val="none"/>
          <w:u w:val="none"/>
          <w:lang w:eastAsia="zh-CN"/>
        </w:rPr>
        <w:t>投标人</w:t>
      </w:r>
      <w:r>
        <w:rPr>
          <w:rFonts w:hint="eastAsia" w:ascii="宋体" w:hAnsi="宋体" w:eastAsia="宋体" w:cs="宋体"/>
          <w:bCs/>
          <w:color w:val="auto"/>
          <w:kern w:val="0"/>
          <w:sz w:val="22"/>
          <w:szCs w:val="22"/>
          <w:highlight w:val="none"/>
          <w:u w:val="none"/>
          <w:lang w:val="en-US" w:eastAsia="zh-CN"/>
        </w:rPr>
        <w:t>具有良好</w:t>
      </w:r>
      <w:r>
        <w:rPr>
          <w:rFonts w:hint="eastAsia" w:ascii="宋体" w:hAnsi="宋体" w:eastAsia="宋体" w:cs="宋体"/>
          <w:bCs/>
          <w:color w:val="auto"/>
          <w:kern w:val="0"/>
          <w:sz w:val="22"/>
          <w:szCs w:val="22"/>
          <w:highlight w:val="none"/>
          <w:u w:val="none"/>
        </w:rPr>
        <w:t>技术保障服务能力</w:t>
      </w:r>
      <w:r>
        <w:rPr>
          <w:rFonts w:hint="eastAsia" w:ascii="宋体" w:hAnsi="宋体" w:eastAsia="宋体" w:cs="宋体"/>
          <w:bCs/>
          <w:color w:val="auto"/>
          <w:kern w:val="0"/>
          <w:sz w:val="22"/>
          <w:szCs w:val="22"/>
          <w:highlight w:val="none"/>
          <w:u w:val="none"/>
          <w:lang w:eastAsia="zh-CN"/>
        </w:rPr>
        <w:t>；</w:t>
      </w:r>
    </w:p>
    <w:p w14:paraId="1D0B316B">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（2）驻场服务的工程师经</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试用合格后方可正式上岗，具备公安系统相关项目实施、维保维护经验；（</w:t>
      </w:r>
      <w:r>
        <w:rPr>
          <w:rFonts w:hint="eastAsia" w:ascii="宋体" w:hAnsi="宋体" w:eastAsia="宋体" w:cs="宋体"/>
          <w:bCs/>
          <w:color w:val="auto"/>
          <w:sz w:val="22"/>
          <w:szCs w:val="22"/>
          <w:highlight w:val="none"/>
          <w:u w:val="single"/>
        </w:rPr>
        <w:t>驻场服务工程师必须是大学专科或以上学历，需要从事相关专业3年及以上工作经验</w:t>
      </w:r>
      <w:r>
        <w:rPr>
          <w:rFonts w:hint="eastAsia" w:ascii="宋体" w:hAnsi="宋体" w:eastAsia="宋体" w:cs="宋体"/>
          <w:bCs/>
          <w:color w:val="auto"/>
          <w:sz w:val="22"/>
          <w:szCs w:val="22"/>
          <w:highlight w:val="none"/>
        </w:rPr>
        <w:t>）</w:t>
      </w:r>
    </w:p>
    <w:p w14:paraId="383552B0">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为每个工程师提供专业培训，保证了工程师不断吸收新知识及技术水平的不断升级；</w:t>
      </w:r>
    </w:p>
    <w:p w14:paraId="3950BEB3">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（4）驻点人员和其他接触公安业务网络的技术人员均需按照公安局保密协议和内部人员政治审查。</w:t>
      </w:r>
    </w:p>
    <w:p w14:paraId="709385B3">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（5）驻点技术人员年度费用需在投标文件单独列出，人员工作情况、与维护岗位的适配度由驻点所在单位评估。如驻点单位认为</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派驻的人员技术、责任心、工作等情况与岗位不适配，可要求</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更换人员，人员费用按照投标文件中人员费用由</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支付。</w:t>
      </w:r>
    </w:p>
    <w:p w14:paraId="74BA6902">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2.2.4计算机综合运维保障服务考核办法</w:t>
      </w:r>
    </w:p>
    <w:p w14:paraId="0153BDEC">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为进一步规范驻点运维人员管理，推动驻点运维人员积极正确履职，特制定交管局驻点运维人员日常考核办法办法。本办法未尽事宜由交管局科技科负责解释。</w:t>
      </w:r>
    </w:p>
    <w:p w14:paraId="1D56555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（一）、考核主体</w:t>
      </w:r>
    </w:p>
    <w:p w14:paraId="33012E5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交管局及下属部门驻点运维人员。</w:t>
      </w:r>
    </w:p>
    <w:p w14:paraId="490E8A5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（二）、考核基本制度</w:t>
      </w:r>
    </w:p>
    <w:p w14:paraId="2E31BB6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管局对驻点运维人员实施月考核制度，月考核满分为100分，由驻点单位科技负责人对考核分进行管理并在每月最后一个工作日签字上报局科技科。局科技科将根据月考核分对驻点运维人员进行考核定档并开展后续考核结果运用，其中，月考核高于（含等于）90分的定为合格，80-90分的定为基本合格，80分以下定为不合格。对月考核基本合格的驻点运人员，交管局将扣除其当月薪资10%的运维费用，对月考核不合格人员，扣除其当月薪资20%的运维费用。对一个服务周期（12个月）内，合格次数达不到9次的驻点运维人员，交管局将报领导审批将有关人员退回其公司。</w:t>
      </w:r>
    </w:p>
    <w:p w14:paraId="69F900C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（三）、考核细则</w:t>
      </w:r>
    </w:p>
    <w:p w14:paraId="1A397441">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1、驻点运维人员未严格遵守驻点单位勤务制度的，按照如下标准处理。</w:t>
      </w:r>
    </w:p>
    <w:p w14:paraId="68975D6D">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（1）迟到早退等不遵守勤务作息制度的发现一次扣除月考核分1分。</w:t>
      </w:r>
    </w:p>
    <w:p w14:paraId="2BACAB0D">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（2）未经批准擅自脱离岗位超过两小的，以旷工半日论处，扣考核分2分，依次累计，一个月内旷工达到2天的，当月考核定为基本合格，超过3天的，当月考核定为不合格。</w:t>
      </w:r>
    </w:p>
    <w:p w14:paraId="3202A772">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（3）在上班期间有睡觉，炒股，打游戏等与工作明显无关的行为的，发现一次视情况扣分1-3分。</w:t>
      </w:r>
    </w:p>
    <w:p w14:paraId="3553C7EA">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（4）内务不合格一次扣1分，屡教不改的加倍扣分。</w:t>
      </w:r>
    </w:p>
    <w:p w14:paraId="5FED8187">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（5）违反工作勤务制度或者内务制度被督察部门发现导致工作单位被通报的，处罚翻倍。当月考核认定为基本合格，对月度内多次被督察部门查获的，可将其月考核认定不合格。</w:t>
      </w:r>
    </w:p>
    <w:p w14:paraId="6F23601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2、未按规定完成日常工作的扣1-3分，情节严重的，对工作造成较大影响的，当月考核认定基本合格。</w:t>
      </w:r>
    </w:p>
    <w:p w14:paraId="76D7920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3、无正当理由，不完成由支队科技科或者驻点单位指派的职责以内的工作的，扣1-3分，给工作造成较大影响的，当月考核认定基本合格。</w:t>
      </w:r>
    </w:p>
    <w:p w14:paraId="0E5CB0B2">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4、被驻点单位民警投诉服务质量存在问题，并由科技科裁定确存在过错的，视情况进行扣1-3分，如给运维单位造成严重后果的，当月考核认定为不合格。</w:t>
      </w:r>
    </w:p>
    <w:p w14:paraId="0BF9C88D">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违反相关工作守则，导致数据泄露或者工作网络暴露在风险之中的，当月考核认定为不合格。</w:t>
      </w:r>
    </w:p>
    <w:p w14:paraId="78978ED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6、未经批准擅自发布警务运维信息或者泄露工作机密，给工作造成不良影响的，视情况扣1-3分，情节严重的，当月考核认定基本合格。</w:t>
      </w:r>
    </w:p>
    <w:p w14:paraId="71ECF83E">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7、未保持手机通畅，失联超过24小时并给驻点单位正常工作造成不良影响的，视情况罚款扣1-3分，情节严重的，当月考核认定基本合格</w:t>
      </w:r>
    </w:p>
    <w:p w14:paraId="2D3719CD">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 由于维护人员技术不足、工作疏忽、操作不当等自身原因造成设备系统运行不正常的或者达不到上级相关硬性要求的，视情况当月考核认定基本合格或者不合格。发生因维护质量问题造成上级部门检查不合格，用户部门无法正常工作，当月考核认定基本合格，严重影响工作的。当月考核认定不合格。</w:t>
      </w:r>
    </w:p>
    <w:p w14:paraId="49230084">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9、恶意拷贝存储转移传播倒卖公安内网机密数据的，直接予以辞退，构成违法犯罪的，移交司法机关处理，并扣除运维公司相关费用。</w:t>
      </w:r>
    </w:p>
    <w:p w14:paraId="5F8AFD3B">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10、驻点人员违反交管局疫情防控管理规定的，当月考核认定为不合格，如造成严重后果的，直接开除。</w:t>
      </w:r>
    </w:p>
    <w:p w14:paraId="48E05300">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11、本办法未明确列明，但是明显违背常理的其他过失行为，驻点单位科技负责人可将视情况给予相应处罚。</w:t>
      </w:r>
    </w:p>
    <w:p w14:paraId="0A554273">
      <w:pPr>
        <w:pStyle w:val="61"/>
        <w:keepNext w:val="0"/>
        <w:keepLines w:val="0"/>
        <w:pageBreakBefore w:val="0"/>
        <w:widowControl w:val="0"/>
        <w:kinsoku/>
        <w:wordWrap/>
        <w:overflowPunct/>
        <w:topLinePunct w:val="0"/>
        <w:autoSpaceDE/>
        <w:autoSpaceDN/>
        <w:bidi w:val="0"/>
        <w:adjustRightInd/>
        <w:snapToGrid/>
        <w:spacing w:line="360" w:lineRule="exact"/>
        <w:ind w:left="0"/>
        <w:textAlignment w:val="auto"/>
        <w:outlineLvl w:val="9"/>
        <w:rPr>
          <w:rFonts w:hint="eastAsia" w:ascii="宋体" w:hAnsi="宋体" w:eastAsia="宋体" w:cs="宋体"/>
          <w:b/>
          <w:bCs/>
          <w:color w:val="auto"/>
          <w:spacing w:val="-6"/>
          <w:sz w:val="22"/>
          <w:szCs w:val="22"/>
          <w:highlight w:val="none"/>
          <w:lang w:val="en-US" w:eastAsia="zh-CN"/>
        </w:rPr>
      </w:pPr>
    </w:p>
    <w:p w14:paraId="0E4FBFDE">
      <w:pPr>
        <w:pStyle w:val="60"/>
        <w:tabs>
          <w:tab w:val="left" w:pos="482"/>
          <w:tab w:val="left" w:pos="2183"/>
          <w:tab w:val="left" w:pos="3884"/>
          <w:tab w:val="left" w:pos="5585"/>
        </w:tabs>
        <w:rPr>
          <w:rFonts w:hint="eastAsia" w:ascii="宋体" w:hAnsi="宋体" w:eastAsia="宋体" w:cs="宋体"/>
          <w:color w:val="auto"/>
          <w:sz w:val="22"/>
          <w:szCs w:val="22"/>
          <w:highlight w:val="none"/>
          <w:lang w:val="en-US" w:eastAsia="zh-CN"/>
        </w:rPr>
      </w:pPr>
    </w:p>
    <w:p w14:paraId="546308E1">
      <w:pPr>
        <w:numPr>
          <w:ilvl w:val="0"/>
          <w:numId w:val="0"/>
        </w:numPr>
        <w:spacing w:line="460" w:lineRule="exact"/>
        <w:outlineLvl w:val="2"/>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2.3公安交通管理信息系统运维</w:t>
      </w:r>
    </w:p>
    <w:p w14:paraId="38578F05">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2.3.1采购内容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0"/>
      </w:tblGrid>
      <w:tr w14:paraId="1F98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8430" w:type="dxa"/>
            <w:noWrap w:val="0"/>
            <w:vAlign w:val="center"/>
          </w:tcPr>
          <w:p w14:paraId="26E05A8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采购</w:t>
            </w:r>
            <w:r>
              <w:rPr>
                <w:rFonts w:hint="eastAsia" w:ascii="宋体" w:hAnsi="宋体" w:eastAsia="宋体" w:cs="宋体"/>
                <w:b/>
                <w:color w:val="auto"/>
                <w:sz w:val="22"/>
                <w:szCs w:val="22"/>
                <w:highlight w:val="none"/>
              </w:rPr>
              <w:t>内容</w:t>
            </w:r>
          </w:p>
        </w:tc>
      </w:tr>
      <w:tr w14:paraId="4C61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430" w:type="dxa"/>
            <w:noWrap w:val="0"/>
            <w:vAlign w:val="center"/>
          </w:tcPr>
          <w:p w14:paraId="6EF1A73B">
            <w:pPr>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color w:val="auto"/>
                <w:sz w:val="22"/>
                <w:szCs w:val="22"/>
                <w:highlight w:val="none"/>
              </w:rPr>
              <w:t>公安交通管理信息</w:t>
            </w:r>
            <w:r>
              <w:rPr>
                <w:rFonts w:hint="eastAsia" w:ascii="宋体" w:hAnsi="宋体" w:eastAsia="宋体" w:cs="宋体"/>
                <w:color w:val="auto"/>
                <w:sz w:val="22"/>
                <w:szCs w:val="22"/>
                <w:highlight w:val="none"/>
                <w:lang w:val="en-US" w:eastAsia="zh-CN"/>
              </w:rPr>
              <w:t>系统</w:t>
            </w:r>
            <w:r>
              <w:rPr>
                <w:rFonts w:hint="eastAsia" w:ascii="宋体" w:hAnsi="宋体" w:eastAsia="宋体" w:cs="宋体"/>
                <w:color w:val="auto"/>
                <w:sz w:val="22"/>
                <w:szCs w:val="22"/>
                <w:highlight w:val="none"/>
              </w:rPr>
              <w:t>运维</w:t>
            </w:r>
            <w:r>
              <w:rPr>
                <w:rFonts w:hint="eastAsia" w:ascii="宋体" w:hAnsi="宋体" w:eastAsia="宋体" w:cs="宋体"/>
                <w:color w:val="auto"/>
                <w:sz w:val="22"/>
                <w:szCs w:val="22"/>
                <w:highlight w:val="none"/>
                <w:lang w:val="en-US" w:eastAsia="zh-CN"/>
              </w:rPr>
              <w:t>及</w:t>
            </w:r>
            <w:r>
              <w:rPr>
                <w:rFonts w:hint="eastAsia" w:ascii="宋体" w:hAnsi="宋体" w:eastAsia="宋体" w:cs="宋体"/>
                <w:b/>
                <w:bCs/>
                <w:color w:val="auto"/>
                <w:kern w:val="2"/>
                <w:sz w:val="22"/>
                <w:szCs w:val="22"/>
                <w:highlight w:val="none"/>
                <w:lang w:val="en-US" w:eastAsia="zh-CN" w:bidi="ar-SA"/>
              </w:rPr>
              <w:t>公安网安全保障服务租赁</w:t>
            </w:r>
          </w:p>
        </w:tc>
      </w:tr>
    </w:tbl>
    <w:p w14:paraId="67628F33">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2.3.2技术需求</w:t>
      </w:r>
    </w:p>
    <w:p w14:paraId="370C95EC">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bookmarkStart w:id="79" w:name="_Toc422988078"/>
      <w:bookmarkStart w:id="80" w:name="_Toc447185409"/>
      <w:r>
        <w:rPr>
          <w:rFonts w:hint="eastAsia" w:ascii="宋体" w:hAnsi="宋体" w:eastAsia="宋体" w:cs="宋体"/>
          <w:b/>
          <w:bCs/>
          <w:color w:val="auto"/>
          <w:kern w:val="2"/>
          <w:sz w:val="22"/>
          <w:szCs w:val="22"/>
          <w:highlight w:val="none"/>
          <w:lang w:val="en-US" w:eastAsia="zh-CN" w:bidi="ar-SA"/>
        </w:rPr>
        <w:t>2.3.2.1项目内容</w:t>
      </w:r>
      <w:bookmarkEnd w:id="79"/>
      <w:bookmarkEnd w:id="80"/>
      <w:r>
        <w:rPr>
          <w:rFonts w:hint="eastAsia" w:ascii="宋体" w:hAnsi="宋体" w:eastAsia="宋体" w:cs="宋体"/>
          <w:b/>
          <w:bCs/>
          <w:color w:val="auto"/>
          <w:kern w:val="2"/>
          <w:sz w:val="22"/>
          <w:szCs w:val="22"/>
          <w:highlight w:val="none"/>
          <w:lang w:val="en-US" w:eastAsia="zh-CN" w:bidi="ar-SA"/>
        </w:rPr>
        <w:t>及要求</w:t>
      </w:r>
    </w:p>
    <w:p w14:paraId="11B8B0E2">
      <w:pPr>
        <w:rPr>
          <w:rFonts w:hint="eastAsia" w:ascii="宋体" w:hAnsi="宋体" w:eastAsia="宋体" w:cs="宋体"/>
          <w:color w:val="auto"/>
          <w:sz w:val="22"/>
          <w:szCs w:val="22"/>
          <w:highlight w:val="none"/>
        </w:rPr>
      </w:pPr>
    </w:p>
    <w:p w14:paraId="57895CBC">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系统运维清单如下：</w:t>
      </w:r>
    </w:p>
    <w:p w14:paraId="591AB59F">
      <w:pPr>
        <w:rPr>
          <w:rFonts w:hint="eastAsia" w:ascii="宋体" w:hAnsi="宋体" w:eastAsia="宋体" w:cs="宋体"/>
          <w:color w:val="auto"/>
          <w:sz w:val="22"/>
          <w:szCs w:val="22"/>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986"/>
        <w:gridCol w:w="4140"/>
      </w:tblGrid>
      <w:tr w14:paraId="2AE3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8D34689">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986" w:type="dxa"/>
            <w:noWrap w:val="0"/>
            <w:vAlign w:val="center"/>
          </w:tcPr>
          <w:p w14:paraId="19C4759B">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系统名称</w:t>
            </w:r>
          </w:p>
        </w:tc>
        <w:tc>
          <w:tcPr>
            <w:tcW w:w="4140" w:type="dxa"/>
            <w:noWrap w:val="0"/>
            <w:vAlign w:val="center"/>
          </w:tcPr>
          <w:p w14:paraId="3AD92E19">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tc>
      </w:tr>
      <w:tr w14:paraId="5397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C389ACC">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986" w:type="dxa"/>
            <w:noWrap w:val="0"/>
            <w:vAlign w:val="center"/>
          </w:tcPr>
          <w:p w14:paraId="4417A3C2">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公安交通管理综合应用</w:t>
            </w:r>
            <w:r>
              <w:rPr>
                <w:rFonts w:hint="eastAsia" w:ascii="宋体" w:hAnsi="宋体" w:eastAsia="宋体" w:cs="宋体"/>
                <w:color w:val="auto"/>
                <w:sz w:val="22"/>
                <w:szCs w:val="22"/>
                <w:highlight w:val="none"/>
                <w:lang w:val="en-US" w:eastAsia="zh-CN"/>
              </w:rPr>
              <w:t>平台（六合一）</w:t>
            </w:r>
          </w:p>
        </w:tc>
        <w:tc>
          <w:tcPr>
            <w:tcW w:w="4140" w:type="dxa"/>
            <w:noWrap w:val="0"/>
            <w:vAlign w:val="center"/>
          </w:tcPr>
          <w:p w14:paraId="3D47B52E">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交管局核心业务办理系统</w:t>
            </w:r>
          </w:p>
        </w:tc>
      </w:tr>
      <w:tr w14:paraId="7E8F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8" w:type="dxa"/>
            <w:noWrap w:val="0"/>
            <w:vAlign w:val="center"/>
          </w:tcPr>
          <w:p w14:paraId="38F1D140">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986" w:type="dxa"/>
            <w:noWrap w:val="0"/>
            <w:vAlign w:val="center"/>
          </w:tcPr>
          <w:p w14:paraId="47D4B2C3">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互联网</w:t>
            </w:r>
            <w:r>
              <w:rPr>
                <w:rFonts w:hint="eastAsia" w:ascii="宋体" w:hAnsi="宋体" w:eastAsia="宋体" w:cs="宋体"/>
                <w:color w:val="auto"/>
                <w:sz w:val="22"/>
                <w:szCs w:val="22"/>
                <w:highlight w:val="none"/>
                <w:lang w:val="en-US" w:eastAsia="zh-CN"/>
              </w:rPr>
              <w:t>交通安全综合</w:t>
            </w:r>
            <w:r>
              <w:rPr>
                <w:rFonts w:hint="eastAsia" w:ascii="宋体" w:hAnsi="宋体" w:eastAsia="宋体" w:cs="宋体"/>
                <w:color w:val="auto"/>
                <w:sz w:val="22"/>
                <w:szCs w:val="22"/>
                <w:highlight w:val="none"/>
              </w:rPr>
              <w:t>服务</w:t>
            </w:r>
            <w:r>
              <w:rPr>
                <w:rFonts w:hint="eastAsia" w:ascii="宋体" w:hAnsi="宋体" w:eastAsia="宋体" w:cs="宋体"/>
                <w:color w:val="auto"/>
                <w:sz w:val="22"/>
                <w:szCs w:val="22"/>
                <w:highlight w:val="none"/>
                <w:lang w:val="en-US" w:eastAsia="zh-CN"/>
              </w:rPr>
              <w:t>管理</w:t>
            </w:r>
            <w:r>
              <w:rPr>
                <w:rFonts w:hint="eastAsia" w:ascii="宋体" w:hAnsi="宋体" w:eastAsia="宋体" w:cs="宋体"/>
                <w:color w:val="auto"/>
                <w:sz w:val="22"/>
                <w:szCs w:val="22"/>
                <w:highlight w:val="none"/>
              </w:rPr>
              <w:t>平台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含交管12123APP</w:t>
            </w:r>
            <w:r>
              <w:rPr>
                <w:rFonts w:hint="eastAsia" w:ascii="宋体" w:hAnsi="宋体" w:eastAsia="宋体" w:cs="宋体"/>
                <w:color w:val="auto"/>
                <w:sz w:val="22"/>
                <w:szCs w:val="22"/>
                <w:highlight w:val="none"/>
                <w:lang w:eastAsia="zh-CN"/>
              </w:rPr>
              <w:t>）</w:t>
            </w:r>
          </w:p>
        </w:tc>
        <w:tc>
          <w:tcPr>
            <w:tcW w:w="4140" w:type="dxa"/>
            <w:noWrap w:val="0"/>
            <w:vAlign w:val="center"/>
          </w:tcPr>
          <w:p w14:paraId="3222F7D7">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交管局核心业务互联网办理系统</w:t>
            </w:r>
          </w:p>
        </w:tc>
      </w:tr>
      <w:tr w14:paraId="797C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8" w:type="dxa"/>
            <w:noWrap w:val="0"/>
            <w:vAlign w:val="center"/>
          </w:tcPr>
          <w:p w14:paraId="6C7B723B">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3986" w:type="dxa"/>
            <w:noWrap w:val="0"/>
            <w:vAlign w:val="center"/>
          </w:tcPr>
          <w:p w14:paraId="342F1C4E">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统一接入服务平台（含统一外挂用户管理）</w:t>
            </w:r>
          </w:p>
        </w:tc>
        <w:tc>
          <w:tcPr>
            <w:tcW w:w="4140" w:type="dxa"/>
            <w:noWrap w:val="0"/>
            <w:vAlign w:val="center"/>
          </w:tcPr>
          <w:p w14:paraId="3EFE00F3">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交管局各类外挂系统基础服务平台，杭州诚道科技有限公司开发</w:t>
            </w:r>
          </w:p>
        </w:tc>
      </w:tr>
      <w:tr w14:paraId="5604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8" w:type="dxa"/>
            <w:noWrap w:val="0"/>
            <w:vAlign w:val="center"/>
          </w:tcPr>
          <w:p w14:paraId="0C12488C">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3986" w:type="dxa"/>
            <w:noWrap w:val="0"/>
            <w:vAlign w:val="center"/>
          </w:tcPr>
          <w:p w14:paraId="7AC35DD0">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温州市公安局交通警察支队重点车辆驾驶员单位监管系统</w:t>
            </w:r>
          </w:p>
        </w:tc>
        <w:tc>
          <w:tcPr>
            <w:tcW w:w="4140" w:type="dxa"/>
            <w:noWrap w:val="0"/>
            <w:vAlign w:val="center"/>
          </w:tcPr>
          <w:p w14:paraId="385CC724">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杭州诚道科技有限公司开发</w:t>
            </w:r>
          </w:p>
        </w:tc>
      </w:tr>
      <w:tr w14:paraId="05E0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09DD8EE">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3986" w:type="dxa"/>
            <w:noWrap w:val="0"/>
            <w:vAlign w:val="center"/>
          </w:tcPr>
          <w:p w14:paraId="69521766">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勤务系统</w:t>
            </w:r>
          </w:p>
        </w:tc>
        <w:tc>
          <w:tcPr>
            <w:tcW w:w="4140" w:type="dxa"/>
            <w:noWrap w:val="0"/>
            <w:vAlign w:val="center"/>
          </w:tcPr>
          <w:p w14:paraId="1EFDA737">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苏州广立信息技术有限公司开发</w:t>
            </w:r>
          </w:p>
        </w:tc>
      </w:tr>
      <w:tr w14:paraId="50C9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F99095F">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3986" w:type="dxa"/>
            <w:noWrap w:val="0"/>
            <w:vAlign w:val="center"/>
          </w:tcPr>
          <w:p w14:paraId="0956D8EF">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交警移动警务系统</w:t>
            </w:r>
          </w:p>
        </w:tc>
        <w:tc>
          <w:tcPr>
            <w:tcW w:w="4140" w:type="dxa"/>
            <w:noWrap w:val="0"/>
            <w:vAlign w:val="center"/>
          </w:tcPr>
          <w:p w14:paraId="4C5D8426">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浙江信电技术股份有限公司开发</w:t>
            </w:r>
          </w:p>
        </w:tc>
      </w:tr>
      <w:tr w14:paraId="3832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6414DE08">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3986" w:type="dxa"/>
            <w:noWrap w:val="0"/>
            <w:vAlign w:val="center"/>
          </w:tcPr>
          <w:p w14:paraId="3F4D0A8E">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公安网安全保障服务租赁</w:t>
            </w:r>
          </w:p>
        </w:tc>
        <w:tc>
          <w:tcPr>
            <w:tcW w:w="4140" w:type="dxa"/>
            <w:noWrap w:val="0"/>
            <w:vAlign w:val="center"/>
          </w:tcPr>
          <w:p w14:paraId="5E513926">
            <w:pPr>
              <w:pStyle w:val="1001"/>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安全监管系统，浙江远望信息股份有限公司开发。</w:t>
            </w:r>
          </w:p>
        </w:tc>
      </w:tr>
    </w:tbl>
    <w:p w14:paraId="49D87C42">
      <w:pPr>
        <w:pStyle w:val="1001"/>
        <w:ind w:left="450" w:firstLine="0" w:firstLineChars="0"/>
        <w:rPr>
          <w:rFonts w:hint="eastAsia" w:ascii="宋体" w:hAnsi="宋体" w:eastAsia="宋体" w:cs="宋体"/>
          <w:color w:val="auto"/>
          <w:sz w:val="22"/>
          <w:szCs w:val="22"/>
          <w:highlight w:val="none"/>
        </w:rPr>
      </w:pPr>
    </w:p>
    <w:p w14:paraId="12A2CB00">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2.3.2.2运维主要要求</w:t>
      </w:r>
    </w:p>
    <w:p w14:paraId="56FBF7C1">
      <w:pPr>
        <w:pStyle w:val="16"/>
        <w:rPr>
          <w:rFonts w:hint="eastAsia" w:ascii="宋体" w:hAnsi="宋体" w:eastAsia="宋体" w:cs="宋体"/>
          <w:color w:val="auto"/>
          <w:sz w:val="22"/>
          <w:szCs w:val="22"/>
          <w:highlight w:val="none"/>
          <w:lang w:val="en-US" w:eastAsia="zh-CN"/>
        </w:rPr>
      </w:pPr>
    </w:p>
    <w:p w14:paraId="29EC35E5">
      <w:pPr>
        <w:numPr>
          <w:ilvl w:val="0"/>
          <w:numId w:val="11"/>
        </w:numPr>
        <w:spacing w:line="360" w:lineRule="auto"/>
        <w:ind w:firstLine="539" w:firstLineChars="245"/>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总体要求:</w:t>
      </w:r>
    </w:p>
    <w:p w14:paraId="4CE9EF21">
      <w:pPr>
        <w:numPr>
          <w:ilvl w:val="0"/>
          <w:numId w:val="0"/>
        </w:num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提供5*8小时工作时间</w:t>
      </w:r>
      <w:r>
        <w:rPr>
          <w:rFonts w:hint="eastAsia" w:ascii="宋体" w:hAnsi="宋体" w:eastAsia="宋体" w:cs="宋体"/>
          <w:bCs/>
          <w:color w:val="auto"/>
          <w:sz w:val="22"/>
          <w:szCs w:val="22"/>
          <w:highlight w:val="none"/>
          <w:lang w:val="en-US" w:eastAsia="zh-CN"/>
        </w:rPr>
        <w:t>至少1</w:t>
      </w:r>
      <w:r>
        <w:rPr>
          <w:rFonts w:hint="eastAsia" w:ascii="宋体" w:hAnsi="宋体" w:eastAsia="宋体" w:cs="宋体"/>
          <w:bCs/>
          <w:color w:val="auto"/>
          <w:sz w:val="22"/>
          <w:szCs w:val="22"/>
          <w:highlight w:val="none"/>
        </w:rPr>
        <w:t>人驻点运维；7*24小时电话在线服务、3</w:t>
      </w:r>
      <w:r>
        <w:rPr>
          <w:rFonts w:hint="eastAsia" w:ascii="宋体" w:hAnsi="宋体" w:eastAsia="宋体" w:cs="宋体"/>
          <w:color w:val="auto"/>
          <w:sz w:val="22"/>
          <w:szCs w:val="22"/>
          <w:highlight w:val="none"/>
        </w:rPr>
        <w:t>0分钟内的服务请求响应、1小时的现场服务请求响应，以及6小时内的故障必须得到解决；软件升级及</w:t>
      </w:r>
      <w:r>
        <w:rPr>
          <w:rFonts w:hint="eastAsia" w:ascii="宋体" w:hAnsi="宋体" w:eastAsia="宋体" w:cs="宋体"/>
          <w:bCs/>
          <w:color w:val="auto"/>
          <w:sz w:val="22"/>
          <w:szCs w:val="22"/>
          <w:highlight w:val="none"/>
        </w:rPr>
        <w:t>应急故障随时现场处置和支持服务；做好甲方特殊时期的系统现场运维保障，特殊时期指与系统运行相关的软硬件维护、安保、紧急任务或甲方认为比较重要需要重点保障系统的时期。</w:t>
      </w:r>
    </w:p>
    <w:p w14:paraId="6FC5EC3D">
      <w:pPr>
        <w:numPr>
          <w:ilvl w:val="0"/>
          <w:numId w:val="11"/>
        </w:numPr>
        <w:spacing w:line="360" w:lineRule="auto"/>
        <w:ind w:left="0" w:leftChars="0" w:firstLine="539" w:firstLineChars="24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公安交通管理综合应用</w:t>
      </w:r>
      <w:r>
        <w:rPr>
          <w:rFonts w:hint="eastAsia" w:ascii="宋体" w:hAnsi="宋体" w:eastAsia="宋体" w:cs="宋体"/>
          <w:color w:val="auto"/>
          <w:sz w:val="22"/>
          <w:szCs w:val="22"/>
          <w:highlight w:val="none"/>
          <w:lang w:val="en-US" w:eastAsia="zh-CN"/>
        </w:rPr>
        <w:t>平台（六合一）：</w:t>
      </w:r>
    </w:p>
    <w:p w14:paraId="0ABE9208">
      <w:pPr>
        <w:numPr>
          <w:ilvl w:val="0"/>
          <w:numId w:val="0"/>
        </w:numPr>
        <w:spacing w:line="360"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协助甲方处理系统更新升级及功能推广中的相关技术支持工作；日常运维工作中</w:t>
      </w:r>
      <w:r>
        <w:rPr>
          <w:rFonts w:hint="eastAsia" w:ascii="宋体" w:hAnsi="宋体" w:eastAsia="宋体" w:cs="宋体"/>
          <w:bCs/>
          <w:color w:val="auto"/>
          <w:sz w:val="22"/>
          <w:szCs w:val="22"/>
          <w:highlight w:val="none"/>
        </w:rPr>
        <w:t>主动检查和发现隐患并进行处理，保障系统日常正常运行</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登陆系统页面，测试使用各功能模块，进行运行情况巡检；提供7*24小时的技术咨询，解答用户在日常办理业务过程的操作技术咨询，解答用户在系统升级后新增模块的问题解答，帮助用户解决在操作过程中遇到的困难、问题和普通操作故障。技术支持服务应当按照相关规范记录并供查询和统计。对于突发故障或用户反馈的紧急问题，提供7*24小时远程及按需现场处置</w:t>
      </w:r>
      <w:r>
        <w:rPr>
          <w:rFonts w:hint="eastAsia" w:ascii="宋体" w:hAnsi="宋体" w:eastAsia="宋体" w:cs="宋体"/>
          <w:bCs/>
          <w:color w:val="auto"/>
          <w:sz w:val="22"/>
          <w:szCs w:val="22"/>
          <w:highlight w:val="none"/>
          <w:lang w:val="en-US" w:eastAsia="zh-CN"/>
        </w:rPr>
        <w:t>,并</w:t>
      </w:r>
      <w:r>
        <w:rPr>
          <w:rFonts w:hint="eastAsia" w:ascii="宋体" w:hAnsi="宋体" w:eastAsia="宋体" w:cs="宋体"/>
          <w:bCs/>
          <w:color w:val="auto"/>
          <w:sz w:val="22"/>
          <w:szCs w:val="22"/>
          <w:highlight w:val="none"/>
        </w:rPr>
        <w:t>形成维保记录，定期提交给甲方确认。对系统核心业务数据进行维护性检查，发现隐患或隐蔽异常问题，进行修复和预防处理；做好公安交通管理综合应用与互联网交通安全综合服务管理平台（含交管12123APP）之间的数据交换监测、协助排查及处置用户报告的公安网与互联网、公安网各层级之间的各类数据同步问题</w:t>
      </w:r>
      <w:r>
        <w:rPr>
          <w:rFonts w:hint="eastAsia" w:ascii="宋体" w:hAnsi="宋体" w:cs="宋体"/>
          <w:bCs/>
          <w:color w:val="auto"/>
          <w:sz w:val="22"/>
          <w:szCs w:val="22"/>
          <w:highlight w:val="none"/>
          <w:lang w:eastAsia="zh-CN"/>
        </w:rPr>
        <w:t>；协助核查用户报告的各类异常数据，对应核实为异常数据的，经由客户同意后，协助上报及跟踪处置，</w:t>
      </w:r>
      <w:r>
        <w:rPr>
          <w:rFonts w:hint="eastAsia" w:ascii="宋体" w:hAnsi="宋体" w:cs="宋体"/>
          <w:bCs/>
          <w:color w:val="auto"/>
          <w:sz w:val="22"/>
          <w:szCs w:val="22"/>
          <w:highlight w:val="none"/>
          <w:lang w:val="en-US" w:eastAsia="zh-CN"/>
        </w:rPr>
        <w:t>形成</w:t>
      </w:r>
      <w:r>
        <w:rPr>
          <w:rFonts w:hint="eastAsia" w:ascii="宋体" w:hAnsi="宋体" w:cs="宋体"/>
          <w:bCs/>
          <w:color w:val="auto"/>
          <w:sz w:val="22"/>
          <w:szCs w:val="22"/>
          <w:highlight w:val="none"/>
          <w:lang w:eastAsia="zh-CN"/>
        </w:rPr>
        <w:t>问题闭环处理。及时收集用户反馈的使用故障和问题，将困难无法处置的故障与省局支撑团队对接，并督促省局支撑团队解决系统故障，形成闭环处置；</w:t>
      </w:r>
      <w:r>
        <w:rPr>
          <w:rFonts w:hint="eastAsia" w:ascii="宋体" w:hAnsi="宋体" w:cs="宋体"/>
          <w:bCs/>
          <w:color w:val="auto"/>
          <w:sz w:val="22"/>
          <w:szCs w:val="22"/>
          <w:highlight w:val="none"/>
          <w:lang w:val="en-US" w:eastAsia="zh-CN"/>
        </w:rPr>
        <w:t>做好外挂系统管理，对平台接口进行管理、含接口调用技术指导、到期提醒等；根据用户需求，做好与第三方系统（含温州市智慧交管大数据平台）对接的技术支持工作，并解答相关业务表及业务数据字典问题；按照客户要求，做好周末、节日、重大会议、安保等重要事件的现场系统保障任务等。</w:t>
      </w:r>
    </w:p>
    <w:p w14:paraId="0C079A99">
      <w:pPr>
        <w:spacing w:line="360" w:lineRule="auto"/>
        <w:ind w:firstLine="539" w:firstLineChars="24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）互联网</w:t>
      </w:r>
      <w:r>
        <w:rPr>
          <w:rFonts w:hint="eastAsia" w:ascii="宋体" w:hAnsi="宋体" w:eastAsia="宋体" w:cs="宋体"/>
          <w:color w:val="auto"/>
          <w:sz w:val="22"/>
          <w:szCs w:val="22"/>
          <w:highlight w:val="none"/>
          <w:lang w:val="en-US" w:eastAsia="zh-CN"/>
        </w:rPr>
        <w:t>交通安全综合</w:t>
      </w:r>
      <w:r>
        <w:rPr>
          <w:rFonts w:hint="eastAsia" w:ascii="宋体" w:hAnsi="宋体" w:eastAsia="宋体" w:cs="宋体"/>
          <w:color w:val="auto"/>
          <w:sz w:val="22"/>
          <w:szCs w:val="22"/>
          <w:highlight w:val="none"/>
        </w:rPr>
        <w:t>服务</w:t>
      </w:r>
      <w:r>
        <w:rPr>
          <w:rFonts w:hint="eastAsia" w:ascii="宋体" w:hAnsi="宋体" w:eastAsia="宋体" w:cs="宋体"/>
          <w:color w:val="auto"/>
          <w:sz w:val="22"/>
          <w:szCs w:val="22"/>
          <w:highlight w:val="none"/>
          <w:lang w:val="en-US" w:eastAsia="zh-CN"/>
        </w:rPr>
        <w:t>管理</w:t>
      </w:r>
      <w:r>
        <w:rPr>
          <w:rFonts w:hint="eastAsia" w:ascii="宋体" w:hAnsi="宋体" w:eastAsia="宋体" w:cs="宋体"/>
          <w:color w:val="auto"/>
          <w:sz w:val="22"/>
          <w:szCs w:val="22"/>
          <w:highlight w:val="none"/>
        </w:rPr>
        <w:t>平台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含交管12123APP</w:t>
      </w:r>
      <w:r>
        <w:rPr>
          <w:rFonts w:hint="eastAsia" w:ascii="宋体" w:hAnsi="宋体" w:eastAsia="宋体" w:cs="宋体"/>
          <w:color w:val="auto"/>
          <w:sz w:val="22"/>
          <w:szCs w:val="22"/>
          <w:highlight w:val="none"/>
          <w:lang w:eastAsia="zh-CN"/>
        </w:rPr>
        <w:t>）</w:t>
      </w:r>
    </w:p>
    <w:p w14:paraId="7A91CA72">
      <w:pPr>
        <w:numPr>
          <w:ilvl w:val="0"/>
          <w:numId w:val="0"/>
        </w:numPr>
        <w:spacing w:line="360"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协助甲方处理系统更新升级及功能推广中的相关技术支持工作；日常运维工作中</w:t>
      </w:r>
      <w:r>
        <w:rPr>
          <w:rFonts w:hint="eastAsia" w:ascii="宋体" w:hAnsi="宋体" w:eastAsia="宋体" w:cs="宋体"/>
          <w:bCs/>
          <w:color w:val="auto"/>
          <w:sz w:val="22"/>
          <w:szCs w:val="22"/>
          <w:highlight w:val="none"/>
        </w:rPr>
        <w:t>主动检查和发现隐患并进行处理，保障系统日常正常运行</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登陆系统页面，测试使用各功能模块，进行运行情况巡检；提供7*24小时的技术咨询，解答用户在日常办理业务过程的操作技术咨询，解答用户在系统升级后新增模块的问题解答，帮助用户解决在操作过程中遇到的困难、问题和普通操作故障。技术支持服务应当按照相关规范记录并供查询和统计。对于突发故障或用户反馈的紧急问题，提供7*24小时远程及按需现场处置</w:t>
      </w:r>
      <w:r>
        <w:rPr>
          <w:rFonts w:hint="eastAsia" w:ascii="宋体" w:hAnsi="宋体" w:eastAsia="宋体" w:cs="宋体"/>
          <w:bCs/>
          <w:color w:val="auto"/>
          <w:sz w:val="22"/>
          <w:szCs w:val="22"/>
          <w:highlight w:val="none"/>
          <w:lang w:val="en-US" w:eastAsia="zh-CN"/>
        </w:rPr>
        <w:t>,并</w:t>
      </w:r>
      <w:r>
        <w:rPr>
          <w:rFonts w:hint="eastAsia" w:ascii="宋体" w:hAnsi="宋体" w:eastAsia="宋体" w:cs="宋体"/>
          <w:bCs/>
          <w:color w:val="auto"/>
          <w:sz w:val="22"/>
          <w:szCs w:val="22"/>
          <w:highlight w:val="none"/>
        </w:rPr>
        <w:t>形成维保记录，定期提交给甲方确认。对系统核心业务数据进行维护性检查，发现隐患或隐蔽异常问题，进行修复和预防处理；做好公安交通管理综合应用与互联网交通安全综合服务管理平台（含交管12123APP）之间的数据交换监测、协助排查及处置用户报告的互联网</w:t>
      </w:r>
      <w:r>
        <w:rPr>
          <w:rFonts w:hint="eastAsia" w:ascii="宋体" w:hAnsi="宋体" w:cs="宋体"/>
          <w:bCs/>
          <w:color w:val="auto"/>
          <w:sz w:val="22"/>
          <w:szCs w:val="22"/>
          <w:highlight w:val="none"/>
          <w:lang w:val="en-US" w:eastAsia="zh-CN"/>
        </w:rPr>
        <w:t>和</w:t>
      </w:r>
      <w:r>
        <w:rPr>
          <w:rFonts w:hint="eastAsia" w:ascii="宋体" w:hAnsi="宋体" w:eastAsia="宋体" w:cs="宋体"/>
          <w:bCs/>
          <w:color w:val="auto"/>
          <w:sz w:val="22"/>
          <w:szCs w:val="22"/>
          <w:highlight w:val="none"/>
        </w:rPr>
        <w:t>公安网、各层级之间的各类数据同步问题</w:t>
      </w:r>
      <w:r>
        <w:rPr>
          <w:rFonts w:hint="eastAsia" w:ascii="宋体" w:hAnsi="宋体" w:cs="宋体"/>
          <w:bCs/>
          <w:color w:val="auto"/>
          <w:sz w:val="22"/>
          <w:szCs w:val="22"/>
          <w:highlight w:val="none"/>
          <w:lang w:eastAsia="zh-CN"/>
        </w:rPr>
        <w:t>；协助核查用户报告的各类异常数据，对应核实为异常数据的，经由客户同意后，协助上报及跟踪处置，</w:t>
      </w:r>
      <w:r>
        <w:rPr>
          <w:rFonts w:hint="eastAsia" w:ascii="宋体" w:hAnsi="宋体" w:cs="宋体"/>
          <w:bCs/>
          <w:color w:val="auto"/>
          <w:sz w:val="22"/>
          <w:szCs w:val="22"/>
          <w:highlight w:val="none"/>
          <w:lang w:val="en-US" w:eastAsia="zh-CN"/>
        </w:rPr>
        <w:t>形成</w:t>
      </w:r>
      <w:r>
        <w:rPr>
          <w:rFonts w:hint="eastAsia" w:ascii="宋体" w:hAnsi="宋体" w:cs="宋体"/>
          <w:bCs/>
          <w:color w:val="auto"/>
          <w:sz w:val="22"/>
          <w:szCs w:val="22"/>
          <w:highlight w:val="none"/>
          <w:lang w:eastAsia="zh-CN"/>
        </w:rPr>
        <w:t>问题闭环处理。及时收集用户反馈的使用故障和问题，将困难无法处置的故障与省局支撑团队对接，并督促省局支撑团队解决系统故障，形成闭环处置；</w:t>
      </w:r>
      <w:r>
        <w:rPr>
          <w:rFonts w:hint="eastAsia" w:ascii="宋体" w:hAnsi="宋体" w:cs="宋体"/>
          <w:bCs/>
          <w:color w:val="auto"/>
          <w:sz w:val="22"/>
          <w:szCs w:val="22"/>
          <w:highlight w:val="none"/>
          <w:lang w:val="en-US" w:eastAsia="zh-CN"/>
        </w:rPr>
        <w:t>按照客户要求，做好周末、节日、重大会议、安保等重要事件的现场系统保障任务等。</w:t>
      </w:r>
    </w:p>
    <w:p w14:paraId="4377CDA2">
      <w:pPr>
        <w:numPr>
          <w:ilvl w:val="0"/>
          <w:numId w:val="0"/>
        </w:numPr>
        <w:spacing w:line="360" w:lineRule="auto"/>
        <w:ind w:left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）统一接入服务平台（含统一外挂用户管理）</w:t>
      </w:r>
    </w:p>
    <w:p w14:paraId="5974AEFD">
      <w:pPr>
        <w:numPr>
          <w:ilvl w:val="0"/>
          <w:numId w:val="0"/>
        </w:numPr>
        <w:spacing w:line="360" w:lineRule="auto"/>
        <w:ind w:firstLine="440" w:firstLineChars="200"/>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rPr>
        <w:t>主动检查和发现隐患并进行处理，保障系统日常正常运行</w:t>
      </w:r>
      <w:r>
        <w:rPr>
          <w:rFonts w:hint="eastAsia" w:ascii="宋体" w:hAnsi="宋体" w:eastAsia="宋体" w:cs="宋体"/>
          <w:bCs/>
          <w:color w:val="auto"/>
          <w:sz w:val="22"/>
          <w:szCs w:val="22"/>
          <w:highlight w:val="none"/>
          <w:lang w:eastAsia="zh-CN"/>
        </w:rPr>
        <w:t>；提供7*24小时的技术咨询，解答用户在日常办理业务过程的操作技术咨询，帮助用户解决在操作过程中遇到的困难、问题和普通操作故障。技术支持服务应当按照相关规范记录并供查询和统计</w:t>
      </w:r>
      <w:r>
        <w:rPr>
          <w:rFonts w:hint="eastAsia" w:ascii="宋体" w:hAnsi="宋体" w:cs="宋体"/>
          <w:bCs/>
          <w:color w:val="auto"/>
          <w:sz w:val="22"/>
          <w:szCs w:val="22"/>
          <w:highlight w:val="none"/>
          <w:lang w:eastAsia="zh-CN"/>
        </w:rPr>
        <w:t>；运行状态7*24小时实时监控服务，巡检统一外挂服务节点，对需要进行用户解锁、密码重置的用户进行操作，</w:t>
      </w:r>
      <w:r>
        <w:rPr>
          <w:rFonts w:hint="eastAsia" w:ascii="宋体" w:hAnsi="宋体" w:cs="宋体"/>
          <w:bCs/>
          <w:color w:val="auto"/>
          <w:sz w:val="22"/>
          <w:szCs w:val="22"/>
          <w:highlight w:val="none"/>
          <w:lang w:val="en-US" w:eastAsia="zh-CN"/>
        </w:rPr>
        <w:t>并</w:t>
      </w:r>
      <w:r>
        <w:rPr>
          <w:rFonts w:hint="eastAsia" w:ascii="宋体" w:hAnsi="宋体" w:cs="宋体"/>
          <w:bCs/>
          <w:color w:val="auto"/>
          <w:sz w:val="22"/>
          <w:szCs w:val="22"/>
          <w:highlight w:val="none"/>
          <w:lang w:eastAsia="zh-CN"/>
        </w:rPr>
        <w:t>形成维保记录，定期提交给甲方确认；</w:t>
      </w:r>
      <w:r>
        <w:rPr>
          <w:rFonts w:hint="eastAsia" w:ascii="宋体" w:hAnsi="宋体" w:eastAsia="宋体" w:cs="宋体"/>
          <w:bCs/>
          <w:color w:val="auto"/>
          <w:sz w:val="22"/>
          <w:szCs w:val="22"/>
          <w:highlight w:val="none"/>
          <w:lang w:val="en-US" w:eastAsia="zh-CN"/>
        </w:rPr>
        <w:t>做好系统服务器、操作系统、数据库系统、中间件及边界同步服务的日常运维和数据监测工作；做好应急故障响应，将无法处置的故障与交管局支撑团队对接，在各自职责范围内相互配合解决系统故障，形成闭环处置；对系统核心业务数据进行维护性检查，发现隐患和或隐蔽异常问题，进行修复和预防处理；</w:t>
      </w:r>
      <w:r>
        <w:rPr>
          <w:rFonts w:hint="eastAsia" w:ascii="宋体" w:hAnsi="宋体" w:cs="宋体"/>
          <w:bCs/>
          <w:color w:val="auto"/>
          <w:sz w:val="22"/>
          <w:szCs w:val="22"/>
          <w:highlight w:val="none"/>
          <w:lang w:val="en-US" w:eastAsia="zh-CN"/>
        </w:rPr>
        <w:t>做好与各类接口调用系统的对接工作，经由客户同意，备案第三方信息，新增接口，协同测试接口调用等；做好异常业务处理，如接口服务节点异常，接口延期，同步业务卡死等；对统一外挂专网通道进行维护，保障114、城管、微信等第三方系统调用的专网通道接口正常运行，并配合各类专网调用系统故障排查；做好短信业务维护和自定义短信内容配置等工作，包含维护短信服务，每日监测短信服务，保障短信发送功能正常，发现问题及时处置，以及经由客户同意，根据第三方系统相关需求，协助客户调整定制自定义短信内容模板等；按照客户要求，做好周末、节日、重大会议、安保等重要事件的现场系统保障任务等；</w:t>
      </w:r>
    </w:p>
    <w:p w14:paraId="28680010">
      <w:pPr>
        <w:numPr>
          <w:ilvl w:val="0"/>
          <w:numId w:val="0"/>
        </w:numPr>
        <w:spacing w:line="360" w:lineRule="auto"/>
        <w:ind w:left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）温州市公安局交通警察支队重点车辆驾驶员单位监管系统</w:t>
      </w:r>
    </w:p>
    <w:p w14:paraId="3E35D972">
      <w:pPr>
        <w:numPr>
          <w:ilvl w:val="0"/>
          <w:numId w:val="0"/>
        </w:numPr>
        <w:spacing w:line="360"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提供7*24小时的技术咨询，解答用户在日常办理业务过程的操作技术咨询，帮助用户解决在操作过程中遇到的困难、问题和普通操作故障。技术支持服务应当按照相关规范记录并供查询和统计</w:t>
      </w:r>
      <w:r>
        <w:rPr>
          <w:rFonts w:hint="eastAsia" w:ascii="宋体" w:hAnsi="宋体" w:cs="宋体"/>
          <w:bCs/>
          <w:color w:val="auto"/>
          <w:sz w:val="22"/>
          <w:szCs w:val="22"/>
          <w:highlight w:val="none"/>
          <w:lang w:eastAsia="zh-CN"/>
        </w:rPr>
        <w:t>；运行状态7*24小时实时监控服务，巡检相关服务，保障正常运行，</w:t>
      </w:r>
      <w:r>
        <w:rPr>
          <w:rFonts w:hint="eastAsia" w:ascii="宋体" w:hAnsi="宋体" w:eastAsia="宋体" w:cs="宋体"/>
          <w:bCs/>
          <w:color w:val="auto"/>
          <w:sz w:val="22"/>
          <w:szCs w:val="22"/>
          <w:highlight w:val="none"/>
          <w:lang w:val="en-US" w:eastAsia="zh-CN"/>
        </w:rPr>
        <w:t>并</w:t>
      </w:r>
      <w:r>
        <w:rPr>
          <w:rFonts w:hint="eastAsia" w:ascii="宋体" w:hAnsi="宋体" w:eastAsia="宋体" w:cs="宋体"/>
          <w:bCs/>
          <w:color w:val="auto"/>
          <w:sz w:val="22"/>
          <w:szCs w:val="22"/>
          <w:highlight w:val="none"/>
        </w:rPr>
        <w:t>形成维保记录，定期提交给甲方确认</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做好系统服务器、操作系统、数据库系统、中间件的日常运维和数据监测工作</w:t>
      </w:r>
      <w:r>
        <w:rPr>
          <w:rFonts w:hint="eastAsia" w:ascii="宋体" w:hAnsi="宋体" w:cs="宋体"/>
          <w:bCs/>
          <w:color w:val="auto"/>
          <w:sz w:val="22"/>
          <w:szCs w:val="22"/>
          <w:highlight w:val="none"/>
          <w:lang w:val="en-US" w:eastAsia="zh-CN"/>
        </w:rPr>
        <w:t>；对系统核心业务数据进行维护性检查，发现隐患和或隐蔽异常问题，进行修复和预防处理；</w:t>
      </w:r>
      <w:r>
        <w:rPr>
          <w:rFonts w:hint="eastAsia" w:ascii="宋体" w:hAnsi="宋体" w:eastAsia="宋体" w:cs="宋体"/>
          <w:bCs/>
          <w:color w:val="auto"/>
          <w:sz w:val="22"/>
          <w:szCs w:val="22"/>
          <w:highlight w:val="none"/>
          <w:lang w:val="en-US" w:eastAsia="zh-CN"/>
        </w:rPr>
        <w:t>系统运行中的异常业务处置，经客户同意后，处理系统运行中的异常数据等</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做好应急故障响应，定位故障及处置，将无法处置的故障与交管局支撑团队对接，在各自职责范围内相互配合，形成闭环处置；</w:t>
      </w:r>
      <w:r>
        <w:rPr>
          <w:rFonts w:hint="eastAsia" w:ascii="宋体" w:hAnsi="宋体" w:cs="宋体"/>
          <w:bCs/>
          <w:color w:val="auto"/>
          <w:sz w:val="22"/>
          <w:szCs w:val="22"/>
          <w:highlight w:val="none"/>
          <w:lang w:val="en-US" w:eastAsia="zh-CN"/>
        </w:rPr>
        <w:t>按照客户要求，做好周末、节日、重大会议、安保等重要事件的现场系统保障任务等。</w:t>
      </w:r>
    </w:p>
    <w:p w14:paraId="49C38692">
      <w:pPr>
        <w:numPr>
          <w:ilvl w:val="0"/>
          <w:numId w:val="0"/>
        </w:numPr>
        <w:spacing w:line="360" w:lineRule="auto"/>
        <w:ind w:leftChars="24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6）勤务系统</w:t>
      </w:r>
    </w:p>
    <w:p w14:paraId="0101823D">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bidi="ar"/>
        </w:rPr>
        <w:t>6.1</w:t>
      </w:r>
      <w:r>
        <w:rPr>
          <w:rFonts w:hint="eastAsia" w:ascii="宋体" w:hAnsi="宋体" w:eastAsia="宋体" w:cs="宋体"/>
          <w:color w:val="auto"/>
          <w:kern w:val="2"/>
          <w:sz w:val="22"/>
          <w:szCs w:val="22"/>
          <w:highlight w:val="none"/>
          <w:lang w:val="en-US" w:eastAsia="zh-CN" w:bidi="ar"/>
        </w:rPr>
        <w:t>每周至少一次定期查看服务器运行状况</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服务器日志</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各线程运行情况</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台各标准接口服务运行情况</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表空间剩余量</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冗余文件</w:t>
      </w:r>
      <w:r>
        <w:rPr>
          <w:rFonts w:hint="eastAsia" w:ascii="宋体" w:hAnsi="宋体" w:eastAsia="宋体" w:cs="宋体"/>
          <w:color w:val="auto"/>
          <w:kern w:val="2"/>
          <w:sz w:val="22"/>
          <w:szCs w:val="22"/>
          <w:highlight w:val="none"/>
          <w:lang w:eastAsia="zh-CN" w:bidi="ar"/>
        </w:rPr>
        <w:t>量</w:t>
      </w:r>
      <w:r>
        <w:rPr>
          <w:rFonts w:hint="eastAsia" w:ascii="宋体" w:hAnsi="宋体" w:eastAsia="宋体" w:cs="宋体"/>
          <w:color w:val="auto"/>
          <w:kern w:val="2"/>
          <w:sz w:val="22"/>
          <w:szCs w:val="22"/>
          <w:highlight w:val="none"/>
          <w:lang w:val="en-US" w:eastAsia="zh-CN" w:bidi="ar"/>
        </w:rPr>
        <w:t>，如有异常，向甲方报备申请维修，需查看实体服务器公安内网四台</w:t>
      </w:r>
      <w:r>
        <w:rPr>
          <w:rFonts w:hint="eastAsia" w:ascii="宋体" w:hAnsi="宋体" w:eastAsia="宋体" w:cs="宋体"/>
          <w:color w:val="auto"/>
          <w:kern w:val="2"/>
          <w:sz w:val="22"/>
          <w:szCs w:val="22"/>
          <w:highlight w:val="none"/>
          <w:lang w:eastAsia="zh-CN" w:bidi="ar"/>
        </w:rPr>
        <w:t>；</w:t>
      </w:r>
    </w:p>
    <w:p w14:paraId="1D80A41E">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bidi="ar"/>
        </w:rPr>
        <w:t>6.2</w:t>
      </w:r>
      <w:r>
        <w:rPr>
          <w:rFonts w:hint="eastAsia" w:ascii="宋体" w:hAnsi="宋体" w:eastAsia="宋体" w:cs="宋体"/>
          <w:color w:val="auto"/>
          <w:kern w:val="2"/>
          <w:sz w:val="22"/>
          <w:szCs w:val="22"/>
          <w:highlight w:val="none"/>
          <w:lang w:val="en-US" w:eastAsia="zh-CN" w:bidi="ar"/>
        </w:rPr>
        <w:t>每月至少一次定期备份重要数据</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针对耗性能SQL语句分析、优化</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检查数据库同步情况</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数据库等待事件分析，异常情况及时处理</w:t>
      </w:r>
      <w:r>
        <w:rPr>
          <w:rFonts w:hint="eastAsia" w:ascii="宋体" w:hAnsi="宋体" w:eastAsia="宋体" w:cs="宋体"/>
          <w:color w:val="auto"/>
          <w:kern w:val="2"/>
          <w:sz w:val="22"/>
          <w:szCs w:val="22"/>
          <w:highlight w:val="none"/>
          <w:lang w:eastAsia="zh-CN" w:bidi="ar"/>
        </w:rPr>
        <w:t>；</w:t>
      </w:r>
    </w:p>
    <w:p w14:paraId="109F41C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lang w:eastAsia="zh-CN" w:bidi="ar"/>
        </w:rPr>
      </w:pPr>
      <w:r>
        <w:rPr>
          <w:rFonts w:hint="eastAsia" w:ascii="宋体" w:hAnsi="宋体" w:eastAsia="宋体" w:cs="宋体"/>
          <w:color w:val="auto"/>
          <w:kern w:val="2"/>
          <w:sz w:val="22"/>
          <w:szCs w:val="22"/>
          <w:highlight w:val="none"/>
          <w:lang w:eastAsia="zh-CN" w:bidi="ar"/>
        </w:rPr>
        <w:t>6.3</w:t>
      </w:r>
      <w:r>
        <w:rPr>
          <w:rFonts w:hint="eastAsia" w:ascii="宋体" w:hAnsi="宋体" w:eastAsia="宋体" w:cs="宋体"/>
          <w:color w:val="auto"/>
          <w:kern w:val="2"/>
          <w:sz w:val="22"/>
          <w:szCs w:val="22"/>
          <w:highlight w:val="none"/>
          <w:lang w:val="en-US" w:eastAsia="zh-CN" w:bidi="ar"/>
        </w:rPr>
        <w:t>每半年至少一次检查</w:t>
      </w:r>
      <w:r>
        <w:rPr>
          <w:rFonts w:hint="eastAsia" w:ascii="宋体" w:hAnsi="宋体" w:eastAsia="宋体" w:cs="宋体"/>
          <w:color w:val="auto"/>
          <w:kern w:val="2"/>
          <w:sz w:val="22"/>
          <w:szCs w:val="22"/>
          <w:highlight w:val="none"/>
          <w:lang w:eastAsia="zh-CN" w:bidi="ar"/>
        </w:rPr>
        <w:t>数据库</w:t>
      </w:r>
      <w:r>
        <w:rPr>
          <w:rFonts w:hint="eastAsia" w:ascii="宋体" w:hAnsi="宋体" w:eastAsia="宋体" w:cs="宋体"/>
          <w:color w:val="auto"/>
          <w:kern w:val="2"/>
          <w:sz w:val="22"/>
          <w:szCs w:val="22"/>
          <w:highlight w:val="none"/>
          <w:lang w:val="en-US" w:eastAsia="zh-CN" w:bidi="ar"/>
        </w:rPr>
        <w:t>日志文件</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对象状态</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相关资源的使用情况</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安全性</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运行情况</w:t>
      </w:r>
      <w:r>
        <w:rPr>
          <w:rFonts w:hint="eastAsia" w:ascii="宋体" w:hAnsi="宋体" w:eastAsia="宋体" w:cs="宋体"/>
          <w:color w:val="auto"/>
          <w:kern w:val="2"/>
          <w:sz w:val="22"/>
          <w:szCs w:val="22"/>
          <w:highlight w:val="none"/>
          <w:lang w:eastAsia="zh-CN" w:bidi="ar"/>
        </w:rPr>
        <w:t>和</w:t>
      </w:r>
      <w:r>
        <w:rPr>
          <w:rFonts w:hint="eastAsia" w:ascii="宋体" w:hAnsi="宋体" w:eastAsia="宋体" w:cs="宋体"/>
          <w:color w:val="auto"/>
          <w:kern w:val="2"/>
          <w:sz w:val="22"/>
          <w:szCs w:val="22"/>
          <w:highlight w:val="none"/>
          <w:lang w:val="en-US" w:eastAsia="zh-CN" w:bidi="ar"/>
        </w:rPr>
        <w:t>高峰时段数据库的进程数、连接数、并发数</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对异常情况及时干预</w:t>
      </w:r>
      <w:r>
        <w:rPr>
          <w:rFonts w:hint="eastAsia" w:ascii="宋体" w:hAnsi="宋体" w:eastAsia="宋体" w:cs="宋体"/>
          <w:color w:val="auto"/>
          <w:kern w:val="2"/>
          <w:sz w:val="22"/>
          <w:szCs w:val="22"/>
          <w:highlight w:val="none"/>
          <w:lang w:eastAsia="zh-CN" w:bidi="ar"/>
        </w:rPr>
        <w:t>；</w:t>
      </w:r>
    </w:p>
    <w:p w14:paraId="20D43782">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eastAsia="zh-CN" w:bidi="ar"/>
        </w:rPr>
        <w:t>6.4</w:t>
      </w:r>
      <w:r>
        <w:rPr>
          <w:rFonts w:hint="eastAsia" w:ascii="宋体" w:hAnsi="宋体" w:eastAsia="宋体" w:cs="宋体"/>
          <w:color w:val="auto"/>
          <w:kern w:val="2"/>
          <w:sz w:val="22"/>
          <w:szCs w:val="22"/>
          <w:highlight w:val="none"/>
          <w:lang w:val="en-US" w:eastAsia="zh-CN" w:bidi="ar"/>
        </w:rPr>
        <w:t>配合开发不涉及系统框架调整的采购方需求功能</w:t>
      </w:r>
      <w:r>
        <w:rPr>
          <w:rFonts w:hint="eastAsia" w:ascii="宋体" w:hAnsi="宋体" w:eastAsia="宋体" w:cs="宋体"/>
          <w:color w:val="auto"/>
          <w:kern w:val="2"/>
          <w:sz w:val="22"/>
          <w:szCs w:val="22"/>
          <w:highlight w:val="none"/>
          <w:lang w:eastAsia="zh-CN" w:bidi="ar"/>
        </w:rPr>
        <w:t>，包含</w:t>
      </w:r>
      <w:r>
        <w:rPr>
          <w:rFonts w:hint="eastAsia" w:ascii="宋体" w:hAnsi="宋体" w:eastAsia="宋体" w:cs="宋体"/>
          <w:color w:val="auto"/>
          <w:kern w:val="2"/>
          <w:sz w:val="22"/>
          <w:szCs w:val="22"/>
          <w:highlight w:val="none"/>
          <w:lang w:val="en-US" w:eastAsia="zh-CN" w:bidi="ar"/>
        </w:rPr>
        <w:t>新增的数据统计及接口</w:t>
      </w:r>
      <w:r>
        <w:rPr>
          <w:rFonts w:hint="eastAsia"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处理日常临时性数据统计、数据比对、数据抽取导出</w:t>
      </w:r>
      <w:r>
        <w:rPr>
          <w:rFonts w:hint="eastAsia" w:ascii="宋体" w:hAnsi="宋体" w:eastAsia="宋体" w:cs="宋体"/>
          <w:color w:val="auto"/>
          <w:kern w:val="2"/>
          <w:sz w:val="22"/>
          <w:szCs w:val="22"/>
          <w:highlight w:val="none"/>
          <w:lang w:eastAsia="zh-CN" w:bidi="ar"/>
        </w:rPr>
        <w:t>；</w:t>
      </w:r>
    </w:p>
    <w:p w14:paraId="7A9F1A3D">
      <w:pPr>
        <w:pStyle w:val="60"/>
        <w:tabs>
          <w:tab w:val="left" w:pos="482"/>
          <w:tab w:val="left" w:pos="2183"/>
          <w:tab w:val="left" w:pos="3884"/>
          <w:tab w:val="left" w:pos="5585"/>
        </w:tabs>
        <w:rPr>
          <w:rFonts w:hint="eastAsia" w:ascii="宋体" w:hAnsi="宋体" w:eastAsia="宋体" w:cs="宋体"/>
          <w:color w:val="auto"/>
          <w:sz w:val="22"/>
          <w:szCs w:val="22"/>
          <w:highlight w:val="none"/>
          <w:lang w:eastAsia="zh-CN"/>
        </w:rPr>
      </w:pPr>
    </w:p>
    <w:p w14:paraId="409244F8">
      <w:pPr>
        <w:numPr>
          <w:ilvl w:val="0"/>
          <w:numId w:val="0"/>
        </w:numPr>
        <w:spacing w:line="360" w:lineRule="auto"/>
        <w:ind w:leftChars="24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7）移动警务系统（含优化升级）</w:t>
      </w:r>
    </w:p>
    <w:p w14:paraId="1B02C998">
      <w:pPr>
        <w:numPr>
          <w:ilvl w:val="0"/>
          <w:numId w:val="0"/>
        </w:num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7.1工作日每日检查但不限于：服务器的使用情况、表空间使用情况、警务通各个文书编号使用情况、查看协管通违停数据入库和发送短信的情况、各个</w:t>
      </w:r>
      <w:r>
        <w:rPr>
          <w:rFonts w:hint="eastAsia" w:ascii="宋体" w:hAnsi="宋体" w:eastAsia="宋体" w:cs="宋体"/>
          <w:bCs/>
          <w:color w:val="auto"/>
          <w:sz w:val="22"/>
          <w:szCs w:val="22"/>
          <w:highlight w:val="none"/>
          <w:lang w:val="en-US" w:eastAsia="zh-CN"/>
        </w:rPr>
        <w:t>接口运行情况</w:t>
      </w:r>
      <w:r>
        <w:rPr>
          <w:rFonts w:hint="eastAsia" w:ascii="宋体" w:hAnsi="宋体" w:eastAsia="宋体" w:cs="宋体"/>
          <w:bCs/>
          <w:color w:val="auto"/>
          <w:sz w:val="22"/>
          <w:szCs w:val="22"/>
          <w:highlight w:val="none"/>
          <w:lang w:eastAsia="zh-CN"/>
        </w:rPr>
        <w:t>、终端</w:t>
      </w:r>
      <w:r>
        <w:rPr>
          <w:rFonts w:hint="eastAsia" w:ascii="宋体" w:hAnsi="宋体" w:eastAsia="宋体" w:cs="宋体"/>
          <w:bCs/>
          <w:color w:val="auto"/>
          <w:sz w:val="22"/>
          <w:szCs w:val="22"/>
          <w:highlight w:val="none"/>
          <w:lang w:val="en-US" w:eastAsia="zh-CN"/>
        </w:rPr>
        <w:t>视频监控</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警务通后台服务</w:t>
      </w:r>
      <w:r>
        <w:rPr>
          <w:rFonts w:hint="eastAsia" w:ascii="宋体" w:hAnsi="宋体" w:eastAsia="宋体" w:cs="宋体"/>
          <w:bCs/>
          <w:color w:val="auto"/>
          <w:sz w:val="22"/>
          <w:szCs w:val="22"/>
          <w:highlight w:val="none"/>
          <w:lang w:eastAsia="zh-CN"/>
        </w:rPr>
        <w:t>等，维护警务通、协管通入库失败数据；</w:t>
      </w:r>
    </w:p>
    <w:p w14:paraId="58083D56">
      <w:pPr>
        <w:numPr>
          <w:ilvl w:val="0"/>
          <w:numId w:val="0"/>
        </w:numPr>
        <w:spacing w:line="360" w:lineRule="auto"/>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    7.2积极对接新功能的需求部门，理解新功能的用途，紧跟新功能的开发，及时通报开发进度；</w:t>
      </w:r>
    </w:p>
    <w:p w14:paraId="31E7DEF9">
      <w:pPr>
        <w:numPr>
          <w:ilvl w:val="0"/>
          <w:numId w:val="0"/>
        </w:num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7.3对移动安全接入、浙警云端等直接影响警务通使用的APP故障需要及时掌握情况并联系省厅技术人员解决并通报科技科；</w:t>
      </w:r>
    </w:p>
    <w:p w14:paraId="65F9EB98">
      <w:pPr>
        <w:numPr>
          <w:ilvl w:val="0"/>
          <w:numId w:val="0"/>
        </w:num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7.4全时段了解公安交通综合应用管理平台的可用性，对平台的故障、升级和维护等要及时通报；</w:t>
      </w:r>
    </w:p>
    <w:p w14:paraId="5DBE88E5">
      <w:pPr>
        <w:numPr>
          <w:ilvl w:val="0"/>
          <w:numId w:val="0"/>
        </w:num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eastAsia="zh-CN"/>
        </w:rPr>
        <w:t>7.5在任意时间警务通不能正常使用时，需及时（一般情况非工作时间不超过半小时）到单位排查故障原因；</w:t>
      </w:r>
    </w:p>
    <w:p w14:paraId="2B68C28C">
      <w:pPr>
        <w:numPr>
          <w:ilvl w:val="0"/>
          <w:numId w:val="0"/>
        </w:numPr>
        <w:spacing w:line="360" w:lineRule="auto"/>
        <w:ind w:left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7.6对民警的咨询需及时解答和回复；</w:t>
      </w:r>
    </w:p>
    <w:p w14:paraId="75C93BF6">
      <w:pPr>
        <w:numPr>
          <w:ilvl w:val="0"/>
          <w:numId w:val="0"/>
        </w:numPr>
        <w:spacing w:line="360" w:lineRule="auto"/>
        <w:ind w:left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7.7熟练掌握警务通注册流程，协助科技科民警注册终端；</w:t>
      </w:r>
    </w:p>
    <w:p w14:paraId="1ACB8775">
      <w:pPr>
        <w:numPr>
          <w:ilvl w:val="0"/>
          <w:numId w:val="0"/>
        </w:numPr>
        <w:spacing w:line="360" w:lineRule="auto"/>
        <w:ind w:left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7.8对科技科布置的临时保障任务，无条件的严格执行。            </w:t>
      </w:r>
    </w:p>
    <w:p w14:paraId="498EEE1D">
      <w:pPr>
        <w:numPr>
          <w:ilvl w:val="0"/>
          <w:numId w:val="0"/>
        </w:numPr>
        <w:spacing w:line="360" w:lineRule="auto"/>
        <w:ind w:leftChars="24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b/>
          <w:bCs/>
          <w:color w:val="auto"/>
          <w:kern w:val="2"/>
          <w:sz w:val="22"/>
          <w:szCs w:val="22"/>
          <w:highlight w:val="none"/>
          <w:lang w:val="en-US" w:eastAsia="zh-CN" w:bidi="ar-SA"/>
        </w:rPr>
        <w:t>公安网安全保障服务租赁</w:t>
      </w:r>
    </w:p>
    <w:p w14:paraId="345E6E4D">
      <w:pPr>
        <w:spacing w:line="460" w:lineRule="exact"/>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 xml:space="preserve"> 网络安全控制接入服务</w:t>
      </w:r>
      <w:r>
        <w:rPr>
          <w:rFonts w:hint="eastAsia" w:ascii="宋体" w:hAnsi="宋体" w:eastAsia="宋体" w:cs="宋体"/>
          <w:bCs/>
          <w:color w:val="auto"/>
          <w:sz w:val="22"/>
          <w:szCs w:val="22"/>
          <w:highlight w:val="none"/>
          <w:lang w:eastAsia="zh-CN"/>
        </w:rPr>
        <w:t>，保障</w:t>
      </w:r>
      <w:r>
        <w:rPr>
          <w:rFonts w:hint="eastAsia" w:ascii="宋体" w:hAnsi="宋体" w:eastAsia="宋体" w:cs="宋体"/>
          <w:bCs/>
          <w:color w:val="auto"/>
          <w:sz w:val="22"/>
          <w:szCs w:val="22"/>
          <w:highlight w:val="none"/>
        </w:rPr>
        <w:t>交管局区域公安网电脑注册率达到市局要求，保障交管局区域公安网（含公安视频专网）电脑不发生违规外联事件被上级通报。</w:t>
      </w:r>
    </w:p>
    <w:p w14:paraId="286C4A55">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通过技术服务的实施，综合运用网络流量分析、主动探测、资产自动识别技术，实现对公安网内硬件资产、服务资产、网络边界、违规行为的智能感知，实现全面、实时、高效地监测整个网络中资产状态和违规非法连接行为，并且支持实时告警、取证、阻断。对网内终端运行情况进行统一管理，实现资产理得清、风险看得见、资源管得住、责任查得出。</w:t>
      </w:r>
    </w:p>
    <w:p w14:paraId="6AA9BCDA">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服务商为本次服务提供所需硬件设备、操作系统、维保服务以及协助应用软件升级等服务内容。</w:t>
      </w:r>
    </w:p>
    <w:p w14:paraId="715208E7">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服务商需针对网内设备底数不清、资产不明的情况，需要提供技术手段，例如对公安信息网内的终端计算机、服务器、网络设备、音视频设备等各类设备准确发现并进行注册管理。</w:t>
      </w:r>
    </w:p>
    <w:p w14:paraId="20F5ECDB">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要提供多重网络接入控制手段，对未注册终端访问网络进行准入控制。当未注册终端接入网络之后，可自动发现该终端，并能识别其终端类型，如属于应注册终端则对该终端进行强制认证、跳转注册，注册完成后系统对其进行入网体检，符合入网条件终端才可正常访问网络资源。</w:t>
      </w:r>
    </w:p>
    <w:p w14:paraId="4FE6525D">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服务商通过各项组件的无缝协同工作，实现第一时间发现非授权外联行为并进行防护，防护方式可提供终端提醒、通信阻断、强制关机、关机并需管理员解锁等手段。</w:t>
      </w:r>
    </w:p>
    <w:p w14:paraId="074C8CBC">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服务商需要对常见违规发生意外情况例如插错网线、移动设备接入、外场误连接、设备维修、网络维护误操作等违规外联提供有效的预防措施方案</w:t>
      </w:r>
    </w:p>
    <w:p w14:paraId="3E40F382">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服务商需要提供主机防火墙、IP/MAC绑定、DNS绑定无线网卡禁用、DNS服务禁用、DHCP服务禁用以及禁用IPV6等技术手段预防违规外联情况发生。</w:t>
      </w:r>
    </w:p>
    <w:p w14:paraId="10B177B7">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服务商需要提供网络状态监测、实时抓包分析、定时外联监测、网络数据通讯控制、禁用端口设备等技术服务</w:t>
      </w:r>
    </w:p>
    <w:p w14:paraId="6612A501">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服务商需要提供入网申请和审核、接入控制、双向认证、MAC认证、WEB认证、入网安检、身份认证、设备替换阻断、成效报告等技术保障服务</w:t>
      </w:r>
    </w:p>
    <w:p w14:paraId="61259FE8">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服务商需要提供一年四次巡检服务，协助提前盘点清楚设备运行状态，提前预判风险，并处置相关问题；</w:t>
      </w:r>
    </w:p>
    <w:p w14:paraId="344D5253">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服务商需要提供应急保障服务，并提供紧急预案，在紧急情况发生时启动紧急预案，需技术人员30分钟内响应，并且2小时抵达现场，调度各方面有效资源完成保障工作。</w:t>
      </w:r>
    </w:p>
    <w:p w14:paraId="18241839">
      <w:pPr>
        <w:keepNext w:val="0"/>
        <w:keepLines w:val="0"/>
        <w:widowControl w:val="0"/>
        <w:numPr>
          <w:ilvl w:val="0"/>
          <w:numId w:val="12"/>
        </w:numPr>
        <w:suppressLineNumbers w:val="0"/>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技术服务工具要求与现有的温州市公安局安全管理核心平台实现无缝对接，并提供平台对接截图。</w:t>
      </w:r>
    </w:p>
    <w:p w14:paraId="4C19FB9D">
      <w:pPr>
        <w:pStyle w:val="16"/>
        <w:rPr>
          <w:rFonts w:hint="eastAsia" w:ascii="宋体" w:hAnsi="宋体" w:eastAsia="宋体" w:cs="宋体"/>
          <w:color w:val="auto"/>
          <w:sz w:val="22"/>
          <w:szCs w:val="22"/>
          <w:highlight w:val="none"/>
          <w:lang w:val="en-US" w:eastAsia="zh-CN"/>
        </w:rPr>
      </w:pPr>
    </w:p>
    <w:p w14:paraId="6277B3A9">
      <w:pPr>
        <w:numPr>
          <w:ilvl w:val="0"/>
          <w:numId w:val="0"/>
        </w:numPr>
        <w:spacing w:line="460" w:lineRule="exact"/>
        <w:outlineLvl w:val="4"/>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2.3.2.3运维人员要求</w:t>
      </w:r>
    </w:p>
    <w:p w14:paraId="53A2A0B5">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1、除派驻</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人驻点运维外，还应提供资深项目运维组成员进行技术支持，作为驻点运维的补充，处理驻点人员无法解决的问题。投标单位需提供项目运维组成员名单、职务、学历、经历，资质证书等；运维人员必须非常熟悉交警业务，并具有相关软件项目维护经验。（需提供至少2名Oracle OCP 10g及以上认证工程师，1名具有3年以上认证时间的信息系统运维管理工程师，2名工信部颁发ITSS认证的IT服务工程师资格证书）。</w:t>
      </w:r>
    </w:p>
    <w:p w14:paraId="4A79CF56">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2、驻点人员：要求拥有</w:t>
      </w:r>
      <w:r>
        <w:rPr>
          <w:rFonts w:hint="eastAsia" w:ascii="宋体" w:hAnsi="宋体" w:eastAsia="宋体" w:cs="宋体"/>
          <w:bCs/>
          <w:color w:val="auto"/>
          <w:sz w:val="22"/>
          <w:szCs w:val="22"/>
          <w:highlight w:val="none"/>
          <w:lang w:val="en-US" w:eastAsia="zh-CN"/>
        </w:rPr>
        <w:t>本科</w:t>
      </w:r>
      <w:r>
        <w:rPr>
          <w:rFonts w:hint="eastAsia" w:ascii="宋体" w:hAnsi="宋体" w:eastAsia="宋体" w:cs="宋体"/>
          <w:bCs/>
          <w:color w:val="auto"/>
          <w:sz w:val="22"/>
          <w:szCs w:val="22"/>
          <w:highlight w:val="none"/>
        </w:rPr>
        <w:t>以上学历，计算机或电子信息工程相关专业毕业，有至少</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年交警行业信息系统现场运维经验；</w:t>
      </w:r>
    </w:p>
    <w:p w14:paraId="5EC30D75">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3、运维人员须服从甲方人员的管理，遵守各项规章制度及保密规定。</w:t>
      </w:r>
    </w:p>
    <w:p w14:paraId="09B9AE7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4、在合同生效以后，对采购人认为其能力与本项目所要求的能力不相称而提出更换的项目组成员和驻点人员，中标方必须予以更换。</w:t>
      </w:r>
    </w:p>
    <w:p w14:paraId="3CCB27C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5、中标人必须保障驻点人员的稳定，除采购人要求外，不得更换驻点维护人员，如特殊情况需要更换的，中标方必须书面报采购单位，说明原因及理由，并采购方有权扣除合同总额的0-30%作为罚金。</w:t>
      </w:r>
    </w:p>
    <w:p w14:paraId="250FBC00">
      <w:pPr>
        <w:numPr>
          <w:ilvl w:val="0"/>
          <w:numId w:val="0"/>
        </w:numPr>
        <w:spacing w:line="460" w:lineRule="exact"/>
        <w:outlineLvl w:val="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2.3.3公安交通管理信息系统驻点运维考核办法</w:t>
      </w:r>
    </w:p>
    <w:p w14:paraId="37091928">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一）、考核主体</w:t>
      </w:r>
    </w:p>
    <w:p w14:paraId="0B5CE2DC">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运维项目中标单位（以下简称维护单位）履行对运维范围内的系统的运维管理职能，招标人负责对维护单位运维项目的管理指导、考核，督促维护单位履行合同。</w:t>
      </w:r>
    </w:p>
    <w:p w14:paraId="123EE6D7">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由招标单位系统管理人、项目管理人或相关领导填写考核单并签字（盖章）后交项目管理人留档，作为扣款依据。</w:t>
      </w:r>
    </w:p>
    <w:p w14:paraId="1A8AA6CD">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二）考核条款</w:t>
      </w:r>
    </w:p>
    <w:p w14:paraId="1C2F8AF4">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考核包含驻点人员日常考核、系统日常运维考核、系统故障考核和运维投诉考核：</w:t>
      </w:r>
    </w:p>
    <w:p w14:paraId="48FEE92E">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驻点人员所在的业务部门（或管理人员）对驻点人员的进行工作纪律等内容进行考核，发现迟到早退一次扣除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的0.1%（加班后补休报备的除外）；</w:t>
      </w:r>
    </w:p>
    <w:p w14:paraId="26D338FA">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驻点人员所在的业务部门（或管理人员）对驻点人员协助甲方办理情况进行考核，发现驻点人员对交办与运维相关的事项办事拖拉、敷衍了事甚至推诿的，每次扣</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的0.1%。</w:t>
      </w:r>
    </w:p>
    <w:p w14:paraId="6D3CB792">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系统管理人、项目管理人或相关领导发现未履行合同约定的运维职责的，一次扣除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0.2%，经提醒仍不改正的，扣除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的1%；</w:t>
      </w:r>
    </w:p>
    <w:p w14:paraId="7A49EDB5">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系统管理人、项目管理人或相关领导确认系统（省版系统除外）发生故障的，单个系统每次扣除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1%，对甲方造成较大以上影响的（引起甲方单位主要及以上领导关注、被上级部门通报、引起督办投诉等），扣除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2%；</w:t>
      </w:r>
    </w:p>
    <w:p w14:paraId="52412A74">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系统管理人、项目管理人或相关领导收到甲方系统使用人员投诉并确认履职不到位的，，每次扣除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0.5%；</w:t>
      </w:r>
    </w:p>
    <w:p w14:paraId="17E8C216">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系统管理人、项目管理人或相关领导确认相关问题处理不及时或不到位，每次扣除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0.5%，造成督办投诉的，扣</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1%；</w:t>
      </w:r>
    </w:p>
    <w:p w14:paraId="121A3699">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系统管理人、项目管理人或相关领导确认因运维不到位，相关问题引起交管局及以上领导关注的，扣除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1%；造成督办投诉、或被上级部门通报的，扣除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2%。</w:t>
      </w:r>
    </w:p>
    <w:p w14:paraId="3C9CE002">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8、因运维不到位，发生网络安全事件的，每次扣除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2%；被上级部门通报的，每次扣除</w:t>
      </w:r>
      <w:r>
        <w:rPr>
          <w:rFonts w:hint="eastAsia" w:ascii="宋体" w:hAnsi="宋体" w:eastAsia="宋体" w:cs="宋体"/>
          <w:bCs/>
          <w:color w:val="auto"/>
          <w:sz w:val="22"/>
          <w:szCs w:val="22"/>
          <w:highlight w:val="none"/>
          <w:lang w:eastAsia="zh-CN"/>
        </w:rPr>
        <w:t>合同金额（公安交通管理信息系统驻点运维部分）</w:t>
      </w:r>
      <w:r>
        <w:rPr>
          <w:rFonts w:hint="eastAsia" w:ascii="宋体" w:hAnsi="宋体" w:eastAsia="宋体" w:cs="宋体"/>
          <w:bCs/>
          <w:color w:val="auto"/>
          <w:sz w:val="22"/>
          <w:szCs w:val="22"/>
          <w:highlight w:val="none"/>
        </w:rPr>
        <w:t>5%。</w:t>
      </w:r>
    </w:p>
    <w:p w14:paraId="5B2677B0">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三）考核记录单</w:t>
      </w:r>
    </w:p>
    <w:tbl>
      <w:tblPr>
        <w:tblStyle w:val="6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6"/>
        <w:gridCol w:w="765"/>
        <w:gridCol w:w="629"/>
        <w:gridCol w:w="494"/>
      </w:tblGrid>
      <w:tr w14:paraId="5683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604" w:type="dxa"/>
            <w:gridSpan w:val="4"/>
            <w:noWrap w:val="0"/>
            <w:vAlign w:val="center"/>
          </w:tcPr>
          <w:p w14:paraId="3C61146A">
            <w:pPr>
              <w:pStyle w:val="1001"/>
              <w:keepNext w:val="0"/>
              <w:keepLines w:val="0"/>
              <w:pageBreakBefore w:val="0"/>
              <w:kinsoku/>
              <w:wordWrap/>
              <w:overflowPunct/>
              <w:topLinePunct w:val="0"/>
              <w:autoSpaceDE w:val="0"/>
              <w:autoSpaceDN w:val="0"/>
              <w:bidi w:val="0"/>
              <w:adjustRightInd/>
              <w:snapToGrid w:val="0"/>
              <w:spacing w:line="240" w:lineRule="auto"/>
              <w:ind w:left="-81" w:firstLine="0" w:firstLineChars="0"/>
              <w:jc w:val="center"/>
              <w:textAlignment w:val="auto"/>
              <w:outlineLvl w:val="0"/>
              <w:rPr>
                <w:rFonts w:hint="eastAsia" w:ascii="宋体" w:hAnsi="宋体" w:eastAsia="宋体" w:cs="宋体"/>
                <w:color w:val="auto"/>
                <w:sz w:val="22"/>
                <w:szCs w:val="22"/>
                <w:highlight w:val="none"/>
              </w:rPr>
            </w:pPr>
            <w:bookmarkStart w:id="81" w:name="_Toc11302"/>
            <w:r>
              <w:rPr>
                <w:rFonts w:hint="eastAsia" w:ascii="宋体" w:hAnsi="宋体" w:eastAsia="宋体" w:cs="宋体"/>
                <w:color w:val="auto"/>
                <w:sz w:val="22"/>
                <w:szCs w:val="22"/>
                <w:highlight w:val="none"/>
              </w:rPr>
              <w:t>温州市公安局交管局公安交通管理信息系统运维考核记录单（编号：    ）</w:t>
            </w:r>
            <w:bookmarkEnd w:id="81"/>
          </w:p>
        </w:tc>
      </w:tr>
      <w:tr w14:paraId="2283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04" w:type="dxa"/>
            <w:gridSpan w:val="4"/>
            <w:noWrap w:val="0"/>
            <w:vAlign w:val="center"/>
          </w:tcPr>
          <w:p w14:paraId="00DBD72E">
            <w:pPr>
              <w:pStyle w:val="1001"/>
              <w:keepNext w:val="0"/>
              <w:keepLines w:val="0"/>
              <w:pageBreakBefore w:val="0"/>
              <w:kinsoku/>
              <w:wordWrap/>
              <w:overflowPunct/>
              <w:topLinePunct w:val="0"/>
              <w:autoSpaceDE w:val="0"/>
              <w:autoSpaceDN w:val="0"/>
              <w:bidi w:val="0"/>
              <w:adjustRightInd/>
              <w:snapToGrid w:val="0"/>
              <w:spacing w:line="240" w:lineRule="auto"/>
              <w:ind w:left="-81" w:firstLine="0" w:firstLineChars="0"/>
              <w:jc w:val="left"/>
              <w:textAlignment w:val="auto"/>
              <w:outlineLvl w:val="0"/>
              <w:rPr>
                <w:rFonts w:hint="eastAsia" w:ascii="宋体" w:hAnsi="宋体" w:eastAsia="宋体" w:cs="宋体"/>
                <w:color w:val="auto"/>
                <w:sz w:val="22"/>
                <w:szCs w:val="22"/>
                <w:highlight w:val="none"/>
              </w:rPr>
            </w:pPr>
            <w:bookmarkStart w:id="82" w:name="_Toc16613"/>
            <w:r>
              <w:rPr>
                <w:rFonts w:hint="eastAsia" w:ascii="宋体" w:hAnsi="宋体" w:eastAsia="宋体" w:cs="宋体"/>
                <w:color w:val="auto"/>
                <w:sz w:val="22"/>
                <w:szCs w:val="22"/>
                <w:highlight w:val="none"/>
              </w:rPr>
              <w:t>扣款事项发生时间：        年     月     日     时     分</w:t>
            </w:r>
            <w:bookmarkEnd w:id="82"/>
          </w:p>
        </w:tc>
      </w:tr>
      <w:tr w14:paraId="40B7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577F6FDA">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bookmarkStart w:id="83" w:name="_Toc30292"/>
            <w:r>
              <w:rPr>
                <w:rFonts w:hint="eastAsia" w:ascii="宋体" w:hAnsi="宋体" w:eastAsia="宋体" w:cs="宋体"/>
                <w:color w:val="auto"/>
                <w:sz w:val="22"/>
                <w:szCs w:val="22"/>
                <w:highlight w:val="none"/>
              </w:rPr>
              <w:t>考核条款</w:t>
            </w:r>
            <w:bookmarkEnd w:id="83"/>
          </w:p>
        </w:tc>
        <w:tc>
          <w:tcPr>
            <w:tcW w:w="765" w:type="dxa"/>
            <w:noWrap w:val="0"/>
            <w:vAlign w:val="center"/>
          </w:tcPr>
          <w:p w14:paraId="0AF941E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扣款事项描述</w:t>
            </w:r>
          </w:p>
        </w:tc>
        <w:tc>
          <w:tcPr>
            <w:tcW w:w="629" w:type="dxa"/>
            <w:noWrap w:val="0"/>
            <w:vAlign w:val="center"/>
          </w:tcPr>
          <w:p w14:paraId="76CC344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扣款金额</w:t>
            </w:r>
          </w:p>
        </w:tc>
        <w:tc>
          <w:tcPr>
            <w:tcW w:w="494" w:type="dxa"/>
            <w:noWrap w:val="0"/>
            <w:vAlign w:val="center"/>
          </w:tcPr>
          <w:p w14:paraId="51607D8B">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2C3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152365F9">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bookmarkStart w:id="84" w:name="_Toc15669"/>
            <w:r>
              <w:rPr>
                <w:rFonts w:hint="eastAsia" w:ascii="宋体" w:hAnsi="宋体" w:eastAsia="宋体" w:cs="宋体"/>
                <w:color w:val="auto"/>
                <w:sz w:val="22"/>
                <w:szCs w:val="22"/>
                <w:highlight w:val="none"/>
              </w:rPr>
              <w:t>1、驻点人员所在的业务部门（或管理人员）对驻点人员的进行工作纪律等内容进行考核，发现迟到早退一次扣除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的0.1%（加班后补休报备的除外）</w:t>
            </w:r>
            <w:bookmarkEnd w:id="84"/>
          </w:p>
        </w:tc>
        <w:tc>
          <w:tcPr>
            <w:tcW w:w="765" w:type="dxa"/>
            <w:noWrap w:val="0"/>
            <w:vAlign w:val="center"/>
          </w:tcPr>
          <w:p w14:paraId="37C926B2">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2457B834">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56B85F95">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p>
        </w:tc>
      </w:tr>
      <w:tr w14:paraId="17AF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79A44EF8">
            <w:pPr>
              <w:keepNext w:val="0"/>
              <w:keepLines w:val="0"/>
              <w:pageBreakBefore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2、驻点人员所在的业务部门（或管理人员）对驻点人员协助甲方办理情况进行考核，发现驻点人员对交办与运维相关的事项办事拖拉、敷衍了事甚至推诿的，每次扣</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的0.1%。</w:t>
            </w:r>
          </w:p>
        </w:tc>
        <w:tc>
          <w:tcPr>
            <w:tcW w:w="765" w:type="dxa"/>
            <w:noWrap w:val="0"/>
            <w:vAlign w:val="center"/>
          </w:tcPr>
          <w:p w14:paraId="0BB06D2D">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0B68E70B">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0509E6AB">
            <w:pPr>
              <w:pStyle w:val="1001"/>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outlineLvl w:val="0"/>
              <w:rPr>
                <w:rFonts w:hint="eastAsia" w:ascii="宋体" w:hAnsi="宋体" w:eastAsia="宋体" w:cs="宋体"/>
                <w:color w:val="auto"/>
                <w:sz w:val="22"/>
                <w:szCs w:val="22"/>
                <w:highlight w:val="none"/>
              </w:rPr>
            </w:pPr>
          </w:p>
        </w:tc>
      </w:tr>
      <w:tr w14:paraId="4E4F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6FB0261F">
            <w:pPr>
              <w:keepNext w:val="0"/>
              <w:keepLines w:val="0"/>
              <w:pageBreakBefore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3、系统管理人、项目管理人或相关领导发现未履行合同约定的运维职责的，一次扣除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0.2%，经提醒仍不改正的，扣除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的1%；</w:t>
            </w:r>
          </w:p>
        </w:tc>
        <w:tc>
          <w:tcPr>
            <w:tcW w:w="765" w:type="dxa"/>
            <w:noWrap w:val="0"/>
            <w:vAlign w:val="center"/>
          </w:tcPr>
          <w:p w14:paraId="09325285">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702F295E">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33718783">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r>
      <w:tr w14:paraId="1A15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4A730D26">
            <w:pPr>
              <w:keepNext w:val="0"/>
              <w:keepLines w:val="0"/>
              <w:pageBreakBefore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4、系统管理人、项目管理人或相关领导确认系统（省版系统除外）发生故障的，单个系统每次扣除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1%，对甲方造成较大以上影响的（引起甲方单位主要及以上领导关注、被上级部门通报、引起督办投诉等），扣除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 xml:space="preserve">2%； </w:t>
            </w:r>
          </w:p>
        </w:tc>
        <w:tc>
          <w:tcPr>
            <w:tcW w:w="765" w:type="dxa"/>
            <w:noWrap w:val="0"/>
            <w:vAlign w:val="center"/>
          </w:tcPr>
          <w:p w14:paraId="0749D4C8">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63551758">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0B528AA8">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r>
      <w:tr w14:paraId="7E3F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1E5E8EC0">
            <w:pPr>
              <w:keepNext w:val="0"/>
              <w:keepLines w:val="0"/>
              <w:pageBreakBefore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5、系统管理人、项目管理人或相关领导收到甲方系统使用人员投诉并确认履职不到位的，每次扣除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0.5%；</w:t>
            </w:r>
          </w:p>
        </w:tc>
        <w:tc>
          <w:tcPr>
            <w:tcW w:w="765" w:type="dxa"/>
            <w:noWrap w:val="0"/>
            <w:vAlign w:val="center"/>
          </w:tcPr>
          <w:p w14:paraId="50316DA0">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2087CAE4">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1FE088FD">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r>
      <w:tr w14:paraId="31B2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4F9E101F">
            <w:pPr>
              <w:keepNext w:val="0"/>
              <w:keepLines w:val="0"/>
              <w:pageBreakBefore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6、系统管理人、项目管理人或相关领导确认相关问题处理不及时或不到位，每次扣除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0.5%，造成督办投诉的，扣</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1%；</w:t>
            </w:r>
          </w:p>
        </w:tc>
        <w:tc>
          <w:tcPr>
            <w:tcW w:w="765" w:type="dxa"/>
            <w:noWrap w:val="0"/>
            <w:vAlign w:val="center"/>
          </w:tcPr>
          <w:p w14:paraId="180B365E">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4DDF2069">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78E79736">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r>
      <w:tr w14:paraId="3494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4A190986">
            <w:pPr>
              <w:keepNext w:val="0"/>
              <w:keepLines w:val="0"/>
              <w:pageBreakBefore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7、系统管理人、项目管理人或相关领导确认因运维不到位，相关问题引起交管局及以上领导关注的，扣除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1%；造成督办投诉、或被上级部门通报的，扣除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2%。</w:t>
            </w:r>
          </w:p>
        </w:tc>
        <w:tc>
          <w:tcPr>
            <w:tcW w:w="765" w:type="dxa"/>
            <w:noWrap w:val="0"/>
            <w:vAlign w:val="center"/>
          </w:tcPr>
          <w:p w14:paraId="336FFABB">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0FF5174F">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04D620A6">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r>
      <w:tr w14:paraId="4CA7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16" w:type="dxa"/>
            <w:noWrap w:val="0"/>
            <w:vAlign w:val="center"/>
          </w:tcPr>
          <w:p w14:paraId="0D3166B2">
            <w:pPr>
              <w:keepNext w:val="0"/>
              <w:keepLines w:val="0"/>
              <w:pageBreakBefore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8、因运维不到位，发生网络安全事件的，每次扣除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2%；被上级部门通报的，每次扣除</w:t>
            </w:r>
            <w:r>
              <w:rPr>
                <w:rFonts w:hint="eastAsia" w:ascii="宋体" w:hAnsi="宋体" w:eastAsia="宋体" w:cs="宋体"/>
                <w:color w:val="auto"/>
                <w:sz w:val="22"/>
                <w:szCs w:val="22"/>
                <w:highlight w:val="none"/>
                <w:lang w:eastAsia="zh-CN"/>
              </w:rPr>
              <w:t>合同金额（公安交通管理信息系统驻点运维部分）</w:t>
            </w:r>
            <w:r>
              <w:rPr>
                <w:rFonts w:hint="eastAsia" w:ascii="宋体" w:hAnsi="宋体" w:eastAsia="宋体" w:cs="宋体"/>
                <w:color w:val="auto"/>
                <w:sz w:val="22"/>
                <w:szCs w:val="22"/>
                <w:highlight w:val="none"/>
              </w:rPr>
              <w:t>5%</w:t>
            </w:r>
          </w:p>
        </w:tc>
        <w:tc>
          <w:tcPr>
            <w:tcW w:w="765" w:type="dxa"/>
            <w:noWrap w:val="0"/>
            <w:vAlign w:val="center"/>
          </w:tcPr>
          <w:p w14:paraId="76FD4A4C">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629" w:type="dxa"/>
            <w:noWrap w:val="0"/>
            <w:vAlign w:val="center"/>
          </w:tcPr>
          <w:p w14:paraId="20E68D31">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c>
          <w:tcPr>
            <w:tcW w:w="494" w:type="dxa"/>
            <w:noWrap w:val="0"/>
            <w:vAlign w:val="center"/>
          </w:tcPr>
          <w:p w14:paraId="7A58F541">
            <w:pPr>
              <w:pStyle w:val="1001"/>
              <w:keepNext w:val="0"/>
              <w:keepLines w:val="0"/>
              <w:pageBreakBefore w:val="0"/>
              <w:kinsoku/>
              <w:wordWrap/>
              <w:overflowPunct/>
              <w:topLinePunct w:val="0"/>
              <w:autoSpaceDE w:val="0"/>
              <w:autoSpaceDN w:val="0"/>
              <w:bidi w:val="0"/>
              <w:adjustRightInd/>
              <w:snapToGrid w:val="0"/>
              <w:spacing w:line="240" w:lineRule="auto"/>
              <w:ind w:left="-81"/>
              <w:jc w:val="center"/>
              <w:textAlignment w:val="auto"/>
              <w:outlineLvl w:val="0"/>
              <w:rPr>
                <w:rFonts w:hint="eastAsia" w:ascii="宋体" w:hAnsi="宋体" w:eastAsia="宋体" w:cs="宋体"/>
                <w:color w:val="auto"/>
                <w:sz w:val="22"/>
                <w:szCs w:val="22"/>
                <w:highlight w:val="none"/>
              </w:rPr>
            </w:pPr>
          </w:p>
        </w:tc>
      </w:tr>
      <w:tr w14:paraId="6826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604" w:type="dxa"/>
            <w:gridSpan w:val="4"/>
            <w:noWrap w:val="0"/>
            <w:vAlign w:val="center"/>
          </w:tcPr>
          <w:p w14:paraId="429F1481">
            <w:pPr>
              <w:pStyle w:val="1001"/>
              <w:keepNext w:val="0"/>
              <w:keepLines w:val="0"/>
              <w:pageBreakBefore w:val="0"/>
              <w:kinsoku/>
              <w:wordWrap/>
              <w:overflowPunct/>
              <w:topLinePunct w:val="0"/>
              <w:autoSpaceDE w:val="0"/>
              <w:autoSpaceDN w:val="0"/>
              <w:bidi w:val="0"/>
              <w:adjustRightInd/>
              <w:snapToGrid w:val="0"/>
              <w:spacing w:line="240" w:lineRule="auto"/>
              <w:ind w:left="-81" w:firstLine="0" w:firstLineChars="0"/>
              <w:jc w:val="left"/>
              <w:textAlignment w:val="auto"/>
              <w:outlineLvl w:val="0"/>
              <w:rPr>
                <w:rFonts w:hint="eastAsia" w:ascii="宋体" w:hAnsi="宋体" w:eastAsia="宋体" w:cs="宋体"/>
                <w:color w:val="auto"/>
                <w:sz w:val="22"/>
                <w:szCs w:val="22"/>
                <w:highlight w:val="none"/>
              </w:rPr>
            </w:pPr>
            <w:bookmarkStart w:id="85" w:name="_Toc11379"/>
            <w:r>
              <w:rPr>
                <w:rFonts w:hint="eastAsia" w:ascii="宋体" w:hAnsi="宋体" w:eastAsia="宋体" w:cs="宋体"/>
                <w:color w:val="auto"/>
                <w:sz w:val="22"/>
                <w:szCs w:val="22"/>
                <w:highlight w:val="none"/>
              </w:rPr>
              <w:t>考核时间：       年     月    日                             考核人员签字（盖章）：</w:t>
            </w:r>
            <w:bookmarkEnd w:id="85"/>
          </w:p>
        </w:tc>
      </w:tr>
    </w:tbl>
    <w:p w14:paraId="2C184C23">
      <w:pPr>
        <w:pStyle w:val="60"/>
        <w:tabs>
          <w:tab w:val="left" w:pos="482"/>
          <w:tab w:val="left" w:pos="2183"/>
          <w:tab w:val="left" w:pos="3884"/>
          <w:tab w:val="left" w:pos="5585"/>
        </w:tabs>
        <w:rPr>
          <w:rFonts w:hint="eastAsia" w:ascii="宋体" w:hAnsi="宋体" w:eastAsia="宋体" w:cs="宋体"/>
          <w:color w:val="auto"/>
          <w:highlight w:val="none"/>
        </w:rPr>
      </w:pPr>
    </w:p>
    <w:p w14:paraId="67B92E65">
      <w:pPr>
        <w:numPr>
          <w:ilvl w:val="0"/>
          <w:numId w:val="0"/>
        </w:numPr>
        <w:spacing w:line="460" w:lineRule="exact"/>
        <w:outlineLvl w:val="1"/>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三、考核办法补充说明</w:t>
      </w:r>
    </w:p>
    <w:p w14:paraId="31E34A14">
      <w:p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招标单位根据招标内容清单分项制定项目考核办法，详见2.1.4数据中心各类核心设备、大数据平台维保及运营商线路租赁考核办法，2.2.4计算机综合运维保障服务考核办法，2.3.3公安交通管理信息系统驻点运维考核办法。</w:t>
      </w:r>
    </w:p>
    <w:p w14:paraId="26269582">
      <w:pPr>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2.考核办法所列扣款条件中的“合同金额、</w:t>
      </w:r>
      <w:r>
        <w:rPr>
          <w:rFonts w:hint="eastAsia" w:ascii="宋体" w:hAnsi="宋体" w:eastAsia="宋体" w:cs="宋体"/>
          <w:bCs/>
          <w:color w:val="auto"/>
          <w:sz w:val="22"/>
          <w:szCs w:val="22"/>
          <w:highlight w:val="none"/>
          <w:lang w:eastAsia="zh-CN"/>
        </w:rPr>
        <w:t>维保款</w:t>
      </w:r>
      <w:r>
        <w:rPr>
          <w:rFonts w:hint="eastAsia" w:ascii="宋体" w:hAnsi="宋体" w:eastAsia="宋体" w:cs="宋体"/>
          <w:bCs/>
          <w:color w:val="auto"/>
          <w:sz w:val="22"/>
          <w:szCs w:val="22"/>
          <w:highlight w:val="none"/>
          <w:lang w:val="en-US" w:eastAsia="zh-CN"/>
        </w:rPr>
        <w:t>”为投标人投标时所列分项报价，请投标供应商结合各招标内容分项实际要求科学报价。</w:t>
      </w:r>
    </w:p>
    <w:p w14:paraId="23604E47">
      <w:pPr>
        <w:snapToGrid w:val="0"/>
        <w:spacing w:line="360" w:lineRule="auto"/>
        <w:ind w:firstLine="480" w:firstLineChars="200"/>
        <w:jc w:val="left"/>
        <w:rPr>
          <w:rFonts w:ascii="仿宋" w:hAnsi="仿宋" w:eastAsia="仿宋" w:cs="仿宋"/>
          <w:color w:val="auto"/>
          <w:sz w:val="24"/>
          <w:highlight w:val="none"/>
        </w:rPr>
      </w:pPr>
    </w:p>
    <w:p w14:paraId="31C0A5B9">
      <w:pPr>
        <w:pStyle w:val="3"/>
        <w:rPr>
          <w:rStyle w:val="84"/>
          <w:rFonts w:ascii="仿宋" w:eastAsia="仿宋"/>
          <w:b/>
          <w:bCs w:val="0"/>
          <w:color w:val="auto"/>
          <w:kern w:val="2"/>
          <w:sz w:val="24"/>
          <w:szCs w:val="24"/>
          <w:highlight w:val="none"/>
        </w:rPr>
      </w:pPr>
      <w:bookmarkStart w:id="86" w:name="_Toc133499553"/>
      <w:r>
        <w:rPr>
          <w:rStyle w:val="84"/>
          <w:rFonts w:hint="eastAsia" w:ascii="仿宋" w:eastAsia="仿宋"/>
          <w:b/>
          <w:bCs w:val="0"/>
          <w:color w:val="auto"/>
          <w:kern w:val="2"/>
          <w:sz w:val="24"/>
          <w:szCs w:val="24"/>
          <w:highlight w:val="none"/>
          <w:lang w:val="en-US" w:eastAsia="zh-CN"/>
        </w:rPr>
        <w:t>四</w:t>
      </w:r>
      <w:r>
        <w:rPr>
          <w:rStyle w:val="84"/>
          <w:rFonts w:hint="eastAsia" w:ascii="仿宋" w:eastAsia="仿宋"/>
          <w:b/>
          <w:bCs w:val="0"/>
          <w:color w:val="auto"/>
          <w:kern w:val="2"/>
          <w:sz w:val="24"/>
          <w:szCs w:val="24"/>
          <w:highlight w:val="none"/>
        </w:rPr>
        <w:t>、履约验收要求</w:t>
      </w:r>
      <w:bookmarkEnd w:id="86"/>
    </w:p>
    <w:p w14:paraId="1541ABE3">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（一）验收要求</w:t>
      </w:r>
    </w:p>
    <w:p w14:paraId="7C1AA51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（1）中标人按照交货时间送货至采购人指定地点，并须派出具有相关技术资格的技术人员到用户现场进行调试，并达到标准要求。</w:t>
      </w:r>
    </w:p>
    <w:p w14:paraId="6C63B9E8">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供应商调试结束后，采购人负责组织验收，并成立验收小组。直接参与项目采购活动的主要负责人不能作为验收工作的主要负责人，验收应按照招标要求及中标人的投标内容对所供货的数量和质量进行核对验收；中标人提供产品检验合格证、使用说明书以及相关的技术资料。</w:t>
      </w:r>
    </w:p>
    <w:p w14:paraId="308C73B4">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（3）验收合格后，由验收小组组成人员签署验收报告，并承担相应责任，该验收报告将作为付款的主要依据。</w:t>
      </w:r>
    </w:p>
    <w:p w14:paraId="4221AA08">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（二）履约验收的相关费用</w:t>
      </w:r>
    </w:p>
    <w:p w14:paraId="1469C8DE">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由中标人支付，投标时应包含在投标报价中。包含第三方检测及评审费用。</w:t>
      </w:r>
    </w:p>
    <w:p w14:paraId="52EE470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（三）项目验收工作组织程序</w:t>
      </w:r>
    </w:p>
    <w:p w14:paraId="7292E44D">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1、供应商根据采购文件、投标（响应）文件、采购合同、封存样品等约定的质量、数量、技术指标或者服务要求设置验收指标及其标准，制定验收指标及标准。</w:t>
      </w:r>
    </w:p>
    <w:p w14:paraId="22DE66FD">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2、确定项目采用简易程序验收或一般程序验收的方式以及采用一次性验收、分段验收或分期验收的方法。</w:t>
      </w:r>
    </w:p>
    <w:p w14:paraId="1C4F6FE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3、验收小组拟组成情况。</w:t>
      </w:r>
    </w:p>
    <w:p w14:paraId="69DF8633">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4、启动项目验收的时间。</w:t>
      </w:r>
    </w:p>
    <w:p w14:paraId="587E158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5、组织验收的程序和内容：供应商提供项目验收相关技术资料、合格证明以及验收所必须具备的其他材料，并协助验收组织机构开展验收。验收组织机构准备采购文件、封存样品，根据验收方案组织现场查验。标准定制的货物和通用的服务采购项目可以采用抽检方式进行验收。验收时，应当按照采购合同的约定对每一项技术、服务、安全标准的履约情况进行确认。验收小组必须做好验收记录。验收记录要准确、详细记载采购项目重要事项的履约情况。需分段验收的履约环节在结束以前，供应商应当通知验收组织机构。验收组织机构应当及时查验，未及时查验的，供应商可以顺延项目交付日期，并有权按照合同约定要求赔偿停工、窝工损失。 </w:t>
      </w:r>
    </w:p>
    <w:p w14:paraId="00328B2F">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6、出具验收书。验收书的内容应包括：实施验收过程基本情况陈述，供应商对合同规定的每一项技术、服务、安全标准等履行情况，与政府采购合同约定的权利义务比较情况，验收结论性意见等。验收小组签字确认。委托第三方检测的，附检测报告。分段验收、分期验收的项目，附相应资料。采购人及供应商对验收意见予以确认。</w:t>
      </w:r>
    </w:p>
    <w:p w14:paraId="4BA24BB8">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7、验收结果公告：采购人对验收项目作出整体评价和分类评价。除涉密情形外，在评价后2个工作日内在浙江政府采购网发布验收结果。</w:t>
      </w:r>
    </w:p>
    <w:p w14:paraId="4D8B654D">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8、验收资料归档。</w:t>
      </w:r>
    </w:p>
    <w:p w14:paraId="511A307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9、如验收不合格的，供应商应采取补救措施，及时处理。整改结束后，由供应商通知验收组织机构重新验收。</w:t>
      </w:r>
    </w:p>
    <w:p w14:paraId="4033B080">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四）未尽事宜，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14:paraId="12237342">
      <w:pPr>
        <w:spacing w:line="360" w:lineRule="auto"/>
        <w:ind w:firstLine="440" w:firstLineChars="200"/>
        <w:jc w:val="left"/>
        <w:rPr>
          <w:rFonts w:hint="eastAsia" w:ascii="仿宋" w:hAnsi="仿宋" w:eastAsia="仿宋" w:cs="仿宋"/>
          <w:color w:val="auto"/>
          <w:sz w:val="22"/>
          <w:szCs w:val="22"/>
          <w:highlight w:val="none"/>
        </w:rPr>
      </w:pPr>
    </w:p>
    <w:p w14:paraId="35B68DCA">
      <w:pPr>
        <w:spacing w:line="360" w:lineRule="auto"/>
        <w:ind w:firstLine="440" w:firstLineChars="200"/>
        <w:jc w:val="left"/>
        <w:rPr>
          <w:rFonts w:hint="eastAsia" w:ascii="仿宋" w:hAnsi="仿宋" w:eastAsia="仿宋" w:cs="仿宋"/>
          <w:color w:val="auto"/>
          <w:sz w:val="22"/>
          <w:szCs w:val="22"/>
          <w:highlight w:val="none"/>
        </w:rPr>
      </w:pPr>
    </w:p>
    <w:p w14:paraId="22FD90D7">
      <w:pPr>
        <w:spacing w:line="360" w:lineRule="auto"/>
        <w:ind w:firstLine="440" w:firstLineChars="200"/>
        <w:jc w:val="left"/>
        <w:rPr>
          <w:rFonts w:hint="eastAsia" w:ascii="仿宋" w:hAnsi="仿宋" w:eastAsia="仿宋" w:cs="仿宋"/>
          <w:color w:val="auto"/>
          <w:sz w:val="22"/>
          <w:szCs w:val="22"/>
          <w:highlight w:val="none"/>
        </w:rPr>
      </w:pPr>
    </w:p>
    <w:p w14:paraId="55532A18">
      <w:pPr>
        <w:spacing w:line="360" w:lineRule="auto"/>
        <w:ind w:firstLine="440" w:firstLineChars="200"/>
        <w:jc w:val="left"/>
        <w:rPr>
          <w:rFonts w:hint="eastAsia" w:ascii="仿宋" w:hAnsi="仿宋" w:eastAsia="仿宋" w:cs="仿宋"/>
          <w:color w:val="auto"/>
          <w:sz w:val="22"/>
          <w:szCs w:val="22"/>
          <w:highlight w:val="none"/>
        </w:rPr>
      </w:pPr>
    </w:p>
    <w:p w14:paraId="0DCE657C">
      <w:pPr>
        <w:spacing w:line="360" w:lineRule="auto"/>
        <w:ind w:firstLine="440" w:firstLineChars="200"/>
        <w:jc w:val="left"/>
        <w:rPr>
          <w:rFonts w:hint="eastAsia" w:ascii="仿宋" w:hAnsi="仿宋" w:eastAsia="仿宋" w:cs="仿宋"/>
          <w:color w:val="auto"/>
          <w:sz w:val="22"/>
          <w:szCs w:val="22"/>
          <w:highlight w:val="none"/>
        </w:rPr>
      </w:pPr>
    </w:p>
    <w:p w14:paraId="6D750B2A">
      <w:pPr>
        <w:spacing w:line="360" w:lineRule="auto"/>
        <w:ind w:firstLine="440" w:firstLineChars="200"/>
        <w:jc w:val="left"/>
        <w:rPr>
          <w:rFonts w:hint="eastAsia" w:ascii="仿宋" w:hAnsi="仿宋" w:eastAsia="仿宋" w:cs="仿宋"/>
          <w:color w:val="auto"/>
          <w:sz w:val="22"/>
          <w:szCs w:val="22"/>
          <w:highlight w:val="none"/>
        </w:rPr>
      </w:pPr>
    </w:p>
    <w:p w14:paraId="20071DC7">
      <w:pPr>
        <w:spacing w:line="360" w:lineRule="auto"/>
        <w:ind w:firstLine="440" w:firstLineChars="200"/>
        <w:jc w:val="left"/>
        <w:rPr>
          <w:rFonts w:hint="eastAsia" w:ascii="仿宋" w:hAnsi="仿宋" w:eastAsia="仿宋" w:cs="仿宋"/>
          <w:color w:val="auto"/>
          <w:sz w:val="22"/>
          <w:szCs w:val="22"/>
          <w:highlight w:val="none"/>
        </w:rPr>
      </w:pPr>
    </w:p>
    <w:p w14:paraId="5D475AB8">
      <w:pPr>
        <w:spacing w:line="360" w:lineRule="auto"/>
        <w:ind w:firstLine="440" w:firstLineChars="200"/>
        <w:jc w:val="left"/>
        <w:rPr>
          <w:rFonts w:hint="eastAsia" w:ascii="仿宋" w:hAnsi="仿宋" w:eastAsia="仿宋" w:cs="仿宋"/>
          <w:color w:val="auto"/>
          <w:sz w:val="22"/>
          <w:szCs w:val="22"/>
          <w:highlight w:val="none"/>
        </w:rPr>
      </w:pPr>
    </w:p>
    <w:p w14:paraId="2EDB1CD0">
      <w:pPr>
        <w:pStyle w:val="60"/>
        <w:rPr>
          <w:rFonts w:hint="eastAsia" w:ascii="仿宋" w:hAnsi="仿宋" w:eastAsia="仿宋" w:cs="仿宋"/>
          <w:color w:val="auto"/>
          <w:sz w:val="22"/>
          <w:szCs w:val="22"/>
          <w:highlight w:val="none"/>
        </w:rPr>
      </w:pPr>
    </w:p>
    <w:p w14:paraId="666A8E54">
      <w:pPr>
        <w:pStyle w:val="50"/>
        <w:rPr>
          <w:rFonts w:hint="eastAsia" w:ascii="仿宋" w:hAnsi="仿宋" w:eastAsia="仿宋" w:cs="仿宋"/>
          <w:color w:val="auto"/>
          <w:sz w:val="22"/>
          <w:szCs w:val="22"/>
          <w:highlight w:val="none"/>
        </w:rPr>
      </w:pPr>
    </w:p>
    <w:p w14:paraId="11DC73CB">
      <w:pPr>
        <w:rPr>
          <w:rFonts w:hint="eastAsia" w:ascii="仿宋" w:hAnsi="仿宋" w:eastAsia="仿宋" w:cs="仿宋"/>
          <w:color w:val="auto"/>
          <w:sz w:val="22"/>
          <w:szCs w:val="22"/>
          <w:highlight w:val="none"/>
        </w:rPr>
      </w:pPr>
    </w:p>
    <w:p w14:paraId="53B09F92">
      <w:pPr>
        <w:rPr>
          <w:rFonts w:hint="eastAsia" w:ascii="仿宋" w:hAnsi="仿宋" w:eastAsia="仿宋" w:cs="仿宋"/>
          <w:color w:val="auto"/>
          <w:sz w:val="22"/>
          <w:szCs w:val="22"/>
          <w:highlight w:val="none"/>
        </w:rPr>
      </w:pPr>
    </w:p>
    <w:p w14:paraId="0789631A">
      <w:pPr>
        <w:rPr>
          <w:rFonts w:hint="eastAsia" w:ascii="仿宋" w:hAnsi="仿宋" w:eastAsia="仿宋" w:cs="仿宋"/>
          <w:color w:val="auto"/>
          <w:sz w:val="22"/>
          <w:szCs w:val="22"/>
          <w:highlight w:val="none"/>
        </w:rPr>
      </w:pPr>
    </w:p>
    <w:p w14:paraId="066A5DC7">
      <w:pPr>
        <w:rPr>
          <w:rFonts w:hint="eastAsia" w:ascii="仿宋" w:hAnsi="仿宋" w:eastAsia="仿宋" w:cs="仿宋"/>
          <w:color w:val="auto"/>
          <w:sz w:val="22"/>
          <w:szCs w:val="22"/>
          <w:highlight w:val="none"/>
        </w:rPr>
      </w:pPr>
    </w:p>
    <w:p w14:paraId="66341B5E">
      <w:pPr>
        <w:rPr>
          <w:rFonts w:hint="eastAsia" w:ascii="仿宋" w:hAnsi="仿宋" w:eastAsia="仿宋" w:cs="仿宋"/>
          <w:color w:val="auto"/>
          <w:sz w:val="22"/>
          <w:szCs w:val="22"/>
          <w:highlight w:val="none"/>
        </w:rPr>
      </w:pPr>
    </w:p>
    <w:p w14:paraId="7CA66378">
      <w:pPr>
        <w:rPr>
          <w:rFonts w:hint="eastAsia" w:ascii="仿宋" w:hAnsi="仿宋" w:eastAsia="仿宋" w:cs="仿宋"/>
          <w:color w:val="auto"/>
          <w:sz w:val="22"/>
          <w:szCs w:val="22"/>
          <w:highlight w:val="none"/>
        </w:rPr>
      </w:pPr>
    </w:p>
    <w:p w14:paraId="5BC9D722">
      <w:pPr>
        <w:rPr>
          <w:rFonts w:hint="eastAsia" w:ascii="仿宋" w:hAnsi="仿宋" w:eastAsia="仿宋" w:cs="仿宋"/>
          <w:color w:val="auto"/>
          <w:sz w:val="22"/>
          <w:szCs w:val="22"/>
          <w:highlight w:val="none"/>
        </w:rPr>
      </w:pPr>
    </w:p>
    <w:p w14:paraId="660CBF30">
      <w:pPr>
        <w:rPr>
          <w:rFonts w:hint="eastAsia" w:ascii="仿宋" w:hAnsi="仿宋" w:eastAsia="仿宋" w:cs="仿宋"/>
          <w:color w:val="auto"/>
          <w:sz w:val="22"/>
          <w:szCs w:val="22"/>
          <w:highlight w:val="none"/>
        </w:rPr>
      </w:pPr>
    </w:p>
    <w:p w14:paraId="17D65FF1">
      <w:pPr>
        <w:rPr>
          <w:rFonts w:hint="eastAsia" w:ascii="仿宋" w:hAnsi="仿宋" w:eastAsia="仿宋" w:cs="仿宋"/>
          <w:color w:val="auto"/>
          <w:sz w:val="22"/>
          <w:szCs w:val="22"/>
          <w:highlight w:val="none"/>
        </w:rPr>
      </w:pPr>
    </w:p>
    <w:p w14:paraId="44A48021">
      <w:pPr>
        <w:rPr>
          <w:rFonts w:hint="eastAsia" w:ascii="仿宋" w:hAnsi="仿宋" w:eastAsia="仿宋" w:cs="仿宋"/>
          <w:color w:val="auto"/>
          <w:sz w:val="22"/>
          <w:szCs w:val="22"/>
          <w:highlight w:val="none"/>
        </w:rPr>
      </w:pPr>
    </w:p>
    <w:p w14:paraId="3C1A0893">
      <w:pPr>
        <w:rPr>
          <w:rFonts w:hint="eastAsia" w:ascii="仿宋" w:hAnsi="仿宋" w:eastAsia="仿宋" w:cs="仿宋"/>
          <w:color w:val="auto"/>
          <w:sz w:val="22"/>
          <w:szCs w:val="22"/>
          <w:highlight w:val="none"/>
        </w:rPr>
      </w:pPr>
    </w:p>
    <w:p w14:paraId="7CC7D6AC">
      <w:pPr>
        <w:rPr>
          <w:rFonts w:hint="eastAsia" w:ascii="仿宋" w:hAnsi="仿宋" w:eastAsia="仿宋" w:cs="仿宋"/>
          <w:color w:val="auto"/>
          <w:sz w:val="22"/>
          <w:szCs w:val="22"/>
          <w:highlight w:val="none"/>
        </w:rPr>
      </w:pPr>
    </w:p>
    <w:p w14:paraId="0C3191D5">
      <w:pPr>
        <w:rPr>
          <w:rFonts w:hint="eastAsia" w:ascii="仿宋" w:hAnsi="仿宋" w:eastAsia="仿宋" w:cs="仿宋"/>
          <w:color w:val="auto"/>
          <w:sz w:val="22"/>
          <w:szCs w:val="22"/>
          <w:highlight w:val="none"/>
        </w:rPr>
      </w:pPr>
    </w:p>
    <w:p w14:paraId="2D659053">
      <w:pPr>
        <w:rPr>
          <w:rFonts w:hint="eastAsia" w:ascii="仿宋" w:hAnsi="仿宋" w:eastAsia="仿宋" w:cs="仿宋"/>
          <w:color w:val="auto"/>
          <w:sz w:val="22"/>
          <w:szCs w:val="22"/>
          <w:highlight w:val="none"/>
        </w:rPr>
      </w:pPr>
    </w:p>
    <w:p w14:paraId="7E3DCB4D">
      <w:pPr>
        <w:rPr>
          <w:rFonts w:hint="eastAsia" w:ascii="仿宋" w:hAnsi="仿宋" w:eastAsia="仿宋" w:cs="仿宋"/>
          <w:color w:val="auto"/>
          <w:sz w:val="22"/>
          <w:szCs w:val="22"/>
          <w:highlight w:val="none"/>
        </w:rPr>
      </w:pPr>
    </w:p>
    <w:p w14:paraId="3FD6BE2F">
      <w:pPr>
        <w:rPr>
          <w:rFonts w:hint="eastAsia" w:ascii="仿宋" w:hAnsi="仿宋" w:eastAsia="仿宋" w:cs="仿宋"/>
          <w:color w:val="auto"/>
          <w:sz w:val="22"/>
          <w:szCs w:val="22"/>
          <w:highlight w:val="none"/>
        </w:rPr>
      </w:pPr>
    </w:p>
    <w:p w14:paraId="7EE152D7">
      <w:pPr>
        <w:rPr>
          <w:rFonts w:hint="eastAsia" w:ascii="仿宋" w:hAnsi="仿宋" w:eastAsia="仿宋" w:cs="仿宋"/>
          <w:color w:val="auto"/>
          <w:sz w:val="22"/>
          <w:szCs w:val="22"/>
          <w:highlight w:val="none"/>
        </w:rPr>
      </w:pPr>
    </w:p>
    <w:p w14:paraId="1856A668">
      <w:pPr>
        <w:rPr>
          <w:rFonts w:hint="eastAsia" w:ascii="仿宋" w:hAnsi="仿宋" w:eastAsia="仿宋" w:cs="仿宋"/>
          <w:color w:val="auto"/>
          <w:sz w:val="22"/>
          <w:szCs w:val="22"/>
          <w:highlight w:val="none"/>
        </w:rPr>
      </w:pPr>
    </w:p>
    <w:p w14:paraId="22A9CA7A">
      <w:pPr>
        <w:rPr>
          <w:rFonts w:hint="eastAsia" w:ascii="仿宋" w:hAnsi="仿宋" w:eastAsia="仿宋" w:cs="仿宋"/>
          <w:color w:val="auto"/>
          <w:sz w:val="22"/>
          <w:szCs w:val="22"/>
          <w:highlight w:val="none"/>
        </w:rPr>
      </w:pPr>
    </w:p>
    <w:p w14:paraId="00C743A9">
      <w:pPr>
        <w:rPr>
          <w:rFonts w:hint="eastAsia" w:ascii="仿宋" w:hAnsi="仿宋" w:eastAsia="仿宋" w:cs="仿宋"/>
          <w:color w:val="auto"/>
          <w:sz w:val="22"/>
          <w:szCs w:val="22"/>
          <w:highlight w:val="none"/>
        </w:rPr>
      </w:pPr>
    </w:p>
    <w:p w14:paraId="068DABEE">
      <w:pPr>
        <w:rPr>
          <w:rFonts w:hint="eastAsia" w:ascii="仿宋" w:hAnsi="仿宋" w:eastAsia="仿宋" w:cs="仿宋"/>
          <w:color w:val="auto"/>
          <w:sz w:val="22"/>
          <w:szCs w:val="22"/>
          <w:highlight w:val="none"/>
        </w:rPr>
      </w:pPr>
    </w:p>
    <w:p w14:paraId="032A522E">
      <w:pPr>
        <w:rPr>
          <w:rFonts w:hint="eastAsia" w:ascii="仿宋" w:hAnsi="仿宋" w:eastAsia="仿宋" w:cs="仿宋"/>
          <w:color w:val="auto"/>
          <w:sz w:val="22"/>
          <w:szCs w:val="22"/>
          <w:highlight w:val="none"/>
        </w:rPr>
      </w:pPr>
    </w:p>
    <w:p w14:paraId="162B5479">
      <w:pPr>
        <w:rPr>
          <w:rFonts w:hint="eastAsia" w:ascii="仿宋" w:hAnsi="仿宋" w:eastAsia="仿宋" w:cs="仿宋"/>
          <w:color w:val="auto"/>
          <w:sz w:val="22"/>
          <w:szCs w:val="22"/>
          <w:highlight w:val="none"/>
        </w:rPr>
      </w:pPr>
    </w:p>
    <w:p w14:paraId="401DA999">
      <w:pPr>
        <w:numPr>
          <w:ilvl w:val="0"/>
          <w:numId w:val="1"/>
        </w:numPr>
        <w:adjustRightInd/>
        <w:spacing w:line="360" w:lineRule="auto"/>
        <w:jc w:val="center"/>
        <w:outlineLvl w:val="0"/>
        <w:rPr>
          <w:rStyle w:val="84"/>
          <w:rFonts w:ascii="仿宋" w:eastAsia="仿宋"/>
          <w:color w:val="auto"/>
          <w:highlight w:val="none"/>
        </w:rPr>
      </w:pPr>
      <w:bookmarkStart w:id="87" w:name="_Toc184310288"/>
      <w:bookmarkEnd w:id="87"/>
      <w:bookmarkStart w:id="88" w:name="_Toc184314465"/>
      <w:bookmarkEnd w:id="88"/>
      <w:bookmarkStart w:id="89" w:name="_Toc184314429"/>
      <w:bookmarkEnd w:id="89"/>
      <w:bookmarkStart w:id="90" w:name="_Toc184308074"/>
      <w:bookmarkEnd w:id="90"/>
      <w:bookmarkStart w:id="91" w:name="_Toc184313271"/>
      <w:bookmarkEnd w:id="91"/>
      <w:bookmarkStart w:id="92" w:name="_Toc184314476"/>
      <w:bookmarkEnd w:id="92"/>
      <w:bookmarkStart w:id="93" w:name="_Toc184308056"/>
      <w:bookmarkEnd w:id="93"/>
      <w:bookmarkStart w:id="94" w:name="_Toc184308088"/>
      <w:bookmarkEnd w:id="94"/>
      <w:bookmarkStart w:id="95" w:name="_Toc184312121"/>
      <w:bookmarkEnd w:id="95"/>
      <w:bookmarkStart w:id="96" w:name="_Toc184313262"/>
      <w:bookmarkEnd w:id="96"/>
      <w:bookmarkStart w:id="97" w:name="_Toc184308060"/>
      <w:bookmarkEnd w:id="97"/>
      <w:bookmarkStart w:id="98" w:name="_Toc184314451"/>
      <w:bookmarkEnd w:id="98"/>
      <w:bookmarkStart w:id="99" w:name="_Toc184308089"/>
      <w:bookmarkEnd w:id="99"/>
      <w:bookmarkStart w:id="100" w:name="_Toc184314482"/>
      <w:bookmarkEnd w:id="100"/>
      <w:bookmarkStart w:id="101" w:name="_Toc184312131"/>
      <w:bookmarkEnd w:id="101"/>
      <w:bookmarkStart w:id="102" w:name="_Toc184314443"/>
      <w:bookmarkEnd w:id="102"/>
      <w:bookmarkStart w:id="103" w:name="_Toc184308051"/>
      <w:bookmarkEnd w:id="103"/>
      <w:bookmarkStart w:id="104" w:name="_Toc184312125"/>
      <w:bookmarkEnd w:id="104"/>
      <w:bookmarkStart w:id="105" w:name="_Toc184310320"/>
      <w:bookmarkEnd w:id="105"/>
      <w:bookmarkStart w:id="106" w:name="_Toc184312077"/>
      <w:bookmarkEnd w:id="106"/>
      <w:bookmarkStart w:id="107" w:name="_Toc184314480"/>
      <w:bookmarkEnd w:id="107"/>
      <w:bookmarkStart w:id="108" w:name="_Toc184313276"/>
      <w:bookmarkEnd w:id="108"/>
      <w:bookmarkStart w:id="109" w:name="_Toc184312091"/>
      <w:bookmarkEnd w:id="109"/>
      <w:bookmarkStart w:id="110" w:name="_Toc184308096"/>
      <w:bookmarkEnd w:id="110"/>
      <w:bookmarkStart w:id="111" w:name="_Toc184314413"/>
      <w:bookmarkEnd w:id="111"/>
      <w:bookmarkStart w:id="112" w:name="_Toc184312109"/>
      <w:bookmarkEnd w:id="112"/>
      <w:bookmarkStart w:id="113" w:name="_Toc184310312"/>
      <w:bookmarkEnd w:id="113"/>
      <w:bookmarkStart w:id="114" w:name="_Toc184312102"/>
      <w:bookmarkEnd w:id="114"/>
      <w:bookmarkStart w:id="115" w:name="_Toc184312134"/>
      <w:bookmarkEnd w:id="115"/>
      <w:bookmarkStart w:id="116" w:name="_Toc184312103"/>
      <w:bookmarkEnd w:id="116"/>
      <w:bookmarkStart w:id="117" w:name="_Toc184313291"/>
      <w:bookmarkEnd w:id="117"/>
      <w:bookmarkStart w:id="118" w:name="_Toc184313297"/>
      <w:bookmarkEnd w:id="118"/>
      <w:bookmarkStart w:id="119" w:name="_Toc184310317"/>
      <w:bookmarkEnd w:id="119"/>
      <w:bookmarkStart w:id="120" w:name="_Toc184310332"/>
      <w:bookmarkEnd w:id="120"/>
      <w:bookmarkStart w:id="121" w:name="_Toc184314455"/>
      <w:bookmarkEnd w:id="121"/>
      <w:bookmarkStart w:id="122" w:name="_Toc184308081"/>
      <w:bookmarkEnd w:id="122"/>
      <w:bookmarkStart w:id="123" w:name="_Toc184310325"/>
      <w:bookmarkEnd w:id="123"/>
      <w:bookmarkStart w:id="124" w:name="_Toc184308076"/>
      <w:bookmarkEnd w:id="124"/>
      <w:bookmarkStart w:id="125" w:name="_Toc184314435"/>
      <w:bookmarkEnd w:id="125"/>
      <w:bookmarkStart w:id="126" w:name="_Toc184314426"/>
      <w:bookmarkEnd w:id="126"/>
      <w:bookmarkStart w:id="127" w:name="_Toc184313300"/>
      <w:bookmarkEnd w:id="127"/>
      <w:bookmarkStart w:id="128" w:name="_Toc184310286"/>
      <w:bookmarkEnd w:id="128"/>
      <w:bookmarkStart w:id="129" w:name="_Toc184308075"/>
      <w:bookmarkEnd w:id="129"/>
      <w:bookmarkStart w:id="130" w:name="_Toc184313239"/>
      <w:bookmarkEnd w:id="130"/>
      <w:bookmarkStart w:id="131" w:name="_Toc184312094"/>
      <w:bookmarkEnd w:id="131"/>
      <w:bookmarkStart w:id="132" w:name="_Toc184314437"/>
      <w:bookmarkEnd w:id="132"/>
      <w:bookmarkStart w:id="133" w:name="_Toc184312108"/>
      <w:bookmarkEnd w:id="133"/>
      <w:bookmarkStart w:id="134" w:name="_Toc184308085"/>
      <w:bookmarkEnd w:id="134"/>
      <w:bookmarkStart w:id="135" w:name="_Toc184313267"/>
      <w:bookmarkEnd w:id="135"/>
      <w:bookmarkStart w:id="136" w:name="_Toc184314432"/>
      <w:bookmarkEnd w:id="136"/>
      <w:bookmarkStart w:id="137" w:name="_Toc184313265"/>
      <w:bookmarkEnd w:id="137"/>
      <w:bookmarkStart w:id="138" w:name="_Toc184314450"/>
      <w:bookmarkEnd w:id="138"/>
      <w:bookmarkStart w:id="139" w:name="_Toc184310282"/>
      <w:bookmarkEnd w:id="139"/>
      <w:bookmarkStart w:id="140" w:name="_Toc184312069"/>
      <w:bookmarkEnd w:id="140"/>
      <w:bookmarkStart w:id="141" w:name="_Toc184308077"/>
      <w:bookmarkEnd w:id="141"/>
      <w:bookmarkStart w:id="142" w:name="_Toc184312075"/>
      <w:bookmarkEnd w:id="142"/>
      <w:bookmarkStart w:id="143" w:name="_Toc184313244"/>
      <w:bookmarkEnd w:id="143"/>
      <w:bookmarkStart w:id="144" w:name="_Toc184310315"/>
      <w:bookmarkEnd w:id="144"/>
      <w:bookmarkStart w:id="145" w:name="_Toc184313292"/>
      <w:bookmarkEnd w:id="145"/>
      <w:bookmarkStart w:id="146" w:name="_Toc184314477"/>
      <w:bookmarkEnd w:id="146"/>
      <w:bookmarkStart w:id="147" w:name="_Toc184308050"/>
      <w:bookmarkEnd w:id="147"/>
      <w:bookmarkStart w:id="148" w:name="_Toc184314425"/>
      <w:bookmarkEnd w:id="148"/>
      <w:bookmarkStart w:id="149" w:name="_Toc184308084"/>
      <w:bookmarkEnd w:id="149"/>
      <w:bookmarkStart w:id="150" w:name="_Toc184308103"/>
      <w:bookmarkEnd w:id="150"/>
      <w:bookmarkStart w:id="151" w:name="_Toc184312122"/>
      <w:bookmarkEnd w:id="151"/>
      <w:bookmarkStart w:id="152" w:name="_Toc184312105"/>
      <w:bookmarkEnd w:id="152"/>
      <w:bookmarkStart w:id="153" w:name="_Toc184314444"/>
      <w:bookmarkEnd w:id="153"/>
      <w:bookmarkStart w:id="154" w:name="_Toc184310328"/>
      <w:bookmarkEnd w:id="154"/>
      <w:bookmarkStart w:id="155" w:name="_Toc184314422"/>
      <w:bookmarkEnd w:id="155"/>
      <w:bookmarkStart w:id="156" w:name="_Toc184313285"/>
      <w:bookmarkEnd w:id="156"/>
      <w:bookmarkStart w:id="157" w:name="_Toc184308071"/>
      <w:bookmarkEnd w:id="157"/>
      <w:bookmarkStart w:id="158" w:name="_Toc184308054"/>
      <w:bookmarkEnd w:id="158"/>
      <w:bookmarkStart w:id="159" w:name="_Toc184314411"/>
      <w:bookmarkEnd w:id="159"/>
      <w:bookmarkStart w:id="160" w:name="_Toc184310305"/>
      <w:bookmarkEnd w:id="160"/>
      <w:bookmarkStart w:id="161" w:name="_Toc184313301"/>
      <w:bookmarkEnd w:id="161"/>
      <w:bookmarkStart w:id="162" w:name="_Toc184310302"/>
      <w:bookmarkEnd w:id="162"/>
      <w:bookmarkStart w:id="163" w:name="_Toc184310314"/>
      <w:bookmarkEnd w:id="163"/>
      <w:bookmarkStart w:id="164" w:name="_Toc184312082"/>
      <w:bookmarkEnd w:id="164"/>
      <w:bookmarkStart w:id="165" w:name="_Toc184313307"/>
      <w:bookmarkEnd w:id="165"/>
      <w:bookmarkStart w:id="166" w:name="_Toc184313266"/>
      <w:bookmarkEnd w:id="166"/>
      <w:bookmarkStart w:id="167" w:name="_Toc184314441"/>
      <w:bookmarkEnd w:id="167"/>
      <w:bookmarkStart w:id="168" w:name="_Toc184314454"/>
      <w:bookmarkEnd w:id="168"/>
      <w:bookmarkStart w:id="169" w:name="_Toc184314412"/>
      <w:bookmarkEnd w:id="169"/>
      <w:bookmarkStart w:id="170" w:name="_Toc184308042"/>
      <w:bookmarkEnd w:id="170"/>
      <w:bookmarkStart w:id="171" w:name="_Toc184310275"/>
      <w:bookmarkEnd w:id="171"/>
      <w:bookmarkStart w:id="172" w:name="_Toc184313275"/>
      <w:bookmarkEnd w:id="172"/>
      <w:bookmarkStart w:id="173" w:name="_Toc184313302"/>
      <w:bookmarkEnd w:id="173"/>
      <w:bookmarkStart w:id="174" w:name="_Toc184308083"/>
      <w:bookmarkEnd w:id="174"/>
      <w:bookmarkStart w:id="175" w:name="_Toc184313247"/>
      <w:bookmarkEnd w:id="175"/>
      <w:bookmarkStart w:id="176" w:name="_Toc184314424"/>
      <w:bookmarkEnd w:id="176"/>
      <w:bookmarkStart w:id="177" w:name="_Toc184314415"/>
      <w:bookmarkEnd w:id="177"/>
      <w:bookmarkStart w:id="178" w:name="_Toc184308055"/>
      <w:bookmarkEnd w:id="178"/>
      <w:bookmarkStart w:id="179" w:name="_Toc184313279"/>
      <w:bookmarkEnd w:id="179"/>
      <w:bookmarkStart w:id="180" w:name="_Toc184310310"/>
      <w:bookmarkEnd w:id="180"/>
      <w:bookmarkStart w:id="181" w:name="_Toc184313298"/>
      <w:bookmarkEnd w:id="181"/>
      <w:bookmarkStart w:id="182" w:name="_Toc184310292"/>
      <w:bookmarkEnd w:id="182"/>
      <w:bookmarkStart w:id="183" w:name="_Toc184314460"/>
      <w:bookmarkEnd w:id="183"/>
      <w:bookmarkStart w:id="184" w:name="_Toc184312106"/>
      <w:bookmarkEnd w:id="184"/>
      <w:bookmarkStart w:id="185" w:name="_Toc184310309"/>
      <w:bookmarkEnd w:id="185"/>
      <w:bookmarkStart w:id="186" w:name="_Toc184310277"/>
      <w:bookmarkEnd w:id="186"/>
      <w:bookmarkStart w:id="187" w:name="_Toc184310303"/>
      <w:bookmarkEnd w:id="187"/>
      <w:bookmarkStart w:id="188" w:name="_Toc184313258"/>
      <w:bookmarkEnd w:id="188"/>
      <w:bookmarkStart w:id="189" w:name="_Toc184310336"/>
      <w:bookmarkEnd w:id="189"/>
      <w:bookmarkStart w:id="190" w:name="_Toc184314462"/>
      <w:bookmarkEnd w:id="190"/>
      <w:bookmarkStart w:id="191" w:name="_Toc184312098"/>
      <w:bookmarkEnd w:id="191"/>
      <w:bookmarkStart w:id="192" w:name="_Toc184314466"/>
      <w:bookmarkEnd w:id="192"/>
      <w:bookmarkStart w:id="193" w:name="_Toc184310329"/>
      <w:bookmarkEnd w:id="193"/>
      <w:bookmarkStart w:id="194" w:name="_Toc184308101"/>
      <w:bookmarkEnd w:id="194"/>
      <w:bookmarkStart w:id="195" w:name="_Toc184313309"/>
      <w:bookmarkEnd w:id="195"/>
      <w:bookmarkStart w:id="196" w:name="_Toc184314472"/>
      <w:bookmarkEnd w:id="196"/>
      <w:bookmarkStart w:id="197" w:name="_Toc184310322"/>
      <w:bookmarkEnd w:id="197"/>
      <w:bookmarkStart w:id="198" w:name="_Toc184314442"/>
      <w:bookmarkEnd w:id="198"/>
      <w:bookmarkStart w:id="199" w:name="_Toc184312114"/>
      <w:bookmarkEnd w:id="199"/>
      <w:bookmarkStart w:id="200" w:name="_Toc184310326"/>
      <w:bookmarkEnd w:id="200"/>
      <w:bookmarkStart w:id="201" w:name="_Toc184314452"/>
      <w:bookmarkEnd w:id="201"/>
      <w:bookmarkStart w:id="202" w:name="_Toc184308094"/>
      <w:bookmarkEnd w:id="202"/>
      <w:bookmarkStart w:id="203" w:name="_Toc184313261"/>
      <w:bookmarkEnd w:id="203"/>
      <w:bookmarkStart w:id="204" w:name="_Toc184312093"/>
      <w:bookmarkEnd w:id="204"/>
      <w:bookmarkStart w:id="205" w:name="_Toc184310318"/>
      <w:bookmarkEnd w:id="205"/>
      <w:bookmarkStart w:id="206" w:name="_Toc184312083"/>
      <w:bookmarkEnd w:id="206"/>
      <w:bookmarkStart w:id="207" w:name="_Toc184312112"/>
      <w:bookmarkEnd w:id="207"/>
      <w:bookmarkStart w:id="208" w:name="_Toc184314440"/>
      <w:bookmarkEnd w:id="208"/>
      <w:bookmarkStart w:id="209" w:name="_Toc184312087"/>
      <w:bookmarkEnd w:id="209"/>
      <w:bookmarkStart w:id="210" w:name="_Toc184310335"/>
      <w:bookmarkEnd w:id="210"/>
      <w:bookmarkStart w:id="211" w:name="_Toc184310297"/>
      <w:bookmarkEnd w:id="211"/>
      <w:bookmarkStart w:id="212" w:name="_Toc184312111"/>
      <w:bookmarkEnd w:id="212"/>
      <w:bookmarkStart w:id="213" w:name="_Toc184313281"/>
      <w:bookmarkEnd w:id="213"/>
      <w:bookmarkStart w:id="214" w:name="_Toc184308041"/>
      <w:bookmarkEnd w:id="214"/>
      <w:bookmarkStart w:id="215" w:name="_Toc184313289"/>
      <w:bookmarkEnd w:id="215"/>
      <w:bookmarkStart w:id="216" w:name="_Toc184314423"/>
      <w:bookmarkEnd w:id="216"/>
      <w:bookmarkStart w:id="217" w:name="_Toc184310283"/>
      <w:bookmarkEnd w:id="217"/>
      <w:bookmarkStart w:id="218" w:name="_Toc184308057"/>
      <w:bookmarkEnd w:id="218"/>
      <w:bookmarkStart w:id="219" w:name="_Toc184310295"/>
      <w:bookmarkEnd w:id="219"/>
      <w:bookmarkStart w:id="220" w:name="_Toc184308063"/>
      <w:bookmarkEnd w:id="220"/>
      <w:bookmarkStart w:id="221" w:name="_Toc184310308"/>
      <w:bookmarkEnd w:id="221"/>
      <w:bookmarkStart w:id="222" w:name="_Toc184310285"/>
      <w:bookmarkEnd w:id="222"/>
      <w:bookmarkStart w:id="223" w:name="_Toc184310343"/>
      <w:bookmarkEnd w:id="223"/>
      <w:bookmarkStart w:id="224" w:name="_Toc184310274"/>
      <w:bookmarkEnd w:id="224"/>
      <w:bookmarkStart w:id="225" w:name="_Toc184312074"/>
      <w:bookmarkEnd w:id="225"/>
      <w:bookmarkStart w:id="226" w:name="_Toc184312086"/>
      <w:bookmarkEnd w:id="226"/>
      <w:bookmarkStart w:id="227" w:name="_Toc184313256"/>
      <w:bookmarkEnd w:id="227"/>
      <w:bookmarkStart w:id="228" w:name="_Toc184314461"/>
      <w:bookmarkEnd w:id="228"/>
      <w:bookmarkStart w:id="229" w:name="_Toc184313287"/>
      <w:bookmarkEnd w:id="229"/>
      <w:bookmarkStart w:id="230" w:name="_Toc184313253"/>
      <w:bookmarkEnd w:id="230"/>
      <w:bookmarkStart w:id="231" w:name="_Toc184312089"/>
      <w:bookmarkEnd w:id="231"/>
      <w:bookmarkStart w:id="232" w:name="_Toc184312120"/>
      <w:bookmarkEnd w:id="232"/>
      <w:bookmarkStart w:id="233" w:name="_Toc184313260"/>
      <w:bookmarkEnd w:id="233"/>
      <w:bookmarkStart w:id="234" w:name="_Toc184312092"/>
      <w:bookmarkEnd w:id="234"/>
      <w:bookmarkStart w:id="235" w:name="_Toc184313277"/>
      <w:bookmarkEnd w:id="235"/>
      <w:bookmarkStart w:id="236" w:name="_Toc184310338"/>
      <w:bookmarkEnd w:id="236"/>
      <w:bookmarkStart w:id="237" w:name="_Toc184310279"/>
      <w:bookmarkEnd w:id="237"/>
      <w:bookmarkStart w:id="238" w:name="_Toc184314445"/>
      <w:bookmarkEnd w:id="238"/>
      <w:bookmarkStart w:id="239" w:name="_Toc184313250"/>
      <w:bookmarkEnd w:id="239"/>
      <w:bookmarkStart w:id="240" w:name="_Toc184310290"/>
      <w:bookmarkEnd w:id="240"/>
      <w:bookmarkStart w:id="241" w:name="_Toc184310287"/>
      <w:bookmarkEnd w:id="241"/>
      <w:bookmarkStart w:id="242" w:name="_Toc184308065"/>
      <w:bookmarkEnd w:id="242"/>
      <w:bookmarkStart w:id="243" w:name="_Toc184312129"/>
      <w:bookmarkEnd w:id="243"/>
      <w:bookmarkStart w:id="244" w:name="_Toc184314446"/>
      <w:bookmarkEnd w:id="244"/>
      <w:bookmarkStart w:id="245" w:name="_Toc184313245"/>
      <w:bookmarkEnd w:id="245"/>
      <w:bookmarkStart w:id="246" w:name="_Toc184310331"/>
      <w:bookmarkEnd w:id="246"/>
      <w:bookmarkStart w:id="247" w:name="_Toc184308079"/>
      <w:bookmarkEnd w:id="247"/>
      <w:bookmarkStart w:id="248" w:name="_Toc184312128"/>
      <w:bookmarkEnd w:id="248"/>
      <w:bookmarkStart w:id="249" w:name="_Toc184312118"/>
      <w:bookmarkEnd w:id="249"/>
      <w:bookmarkStart w:id="250" w:name="_Toc184312097"/>
      <w:bookmarkEnd w:id="250"/>
      <w:bookmarkStart w:id="251" w:name="_Toc184312081"/>
      <w:bookmarkEnd w:id="251"/>
      <w:bookmarkStart w:id="252" w:name="_Toc184313269"/>
      <w:bookmarkEnd w:id="252"/>
      <w:bookmarkStart w:id="253" w:name="_Toc184310299"/>
      <w:bookmarkEnd w:id="253"/>
      <w:bookmarkStart w:id="254" w:name="_Toc184314458"/>
      <w:bookmarkEnd w:id="254"/>
      <w:bookmarkStart w:id="255" w:name="_Toc184308095"/>
      <w:bookmarkEnd w:id="255"/>
      <w:bookmarkStart w:id="256" w:name="_Toc184313254"/>
      <w:bookmarkEnd w:id="256"/>
      <w:bookmarkStart w:id="257" w:name="_Toc184312136"/>
      <w:bookmarkEnd w:id="257"/>
      <w:bookmarkStart w:id="258" w:name="_Toc184308039"/>
      <w:bookmarkEnd w:id="258"/>
      <w:bookmarkStart w:id="259" w:name="_Toc184312072"/>
      <w:bookmarkEnd w:id="259"/>
      <w:bookmarkStart w:id="260" w:name="_Toc184308092"/>
      <w:bookmarkEnd w:id="260"/>
      <w:bookmarkStart w:id="261" w:name="_Toc184310330"/>
      <w:bookmarkEnd w:id="261"/>
      <w:bookmarkStart w:id="262" w:name="_Toc184308097"/>
      <w:bookmarkEnd w:id="262"/>
      <w:bookmarkStart w:id="263" w:name="_Toc184314430"/>
      <w:bookmarkEnd w:id="263"/>
      <w:bookmarkStart w:id="264" w:name="_Toc184310294"/>
      <w:bookmarkEnd w:id="264"/>
      <w:bookmarkStart w:id="265" w:name="_Toc184313246"/>
      <w:bookmarkEnd w:id="265"/>
      <w:bookmarkStart w:id="266" w:name="_Toc184312068"/>
      <w:bookmarkEnd w:id="266"/>
      <w:bookmarkStart w:id="267" w:name="_Toc184308107"/>
      <w:bookmarkEnd w:id="267"/>
      <w:bookmarkStart w:id="268" w:name="_Toc184310281"/>
      <w:bookmarkEnd w:id="268"/>
      <w:bookmarkStart w:id="269" w:name="_Toc184314463"/>
      <w:bookmarkEnd w:id="269"/>
      <w:bookmarkStart w:id="270" w:name="_Toc184308038"/>
      <w:bookmarkEnd w:id="270"/>
      <w:bookmarkStart w:id="271" w:name="_Toc184314434"/>
      <w:bookmarkEnd w:id="271"/>
      <w:bookmarkStart w:id="272" w:name="_Toc184308062"/>
      <w:bookmarkEnd w:id="272"/>
      <w:bookmarkStart w:id="273" w:name="_Toc184313243"/>
      <w:bookmarkEnd w:id="273"/>
      <w:bookmarkStart w:id="274" w:name="_Toc184313282"/>
      <w:bookmarkEnd w:id="274"/>
      <w:bookmarkStart w:id="275" w:name="_Toc184313290"/>
      <w:bookmarkEnd w:id="275"/>
      <w:bookmarkStart w:id="276" w:name="_Toc184314428"/>
      <w:bookmarkEnd w:id="276"/>
      <w:bookmarkStart w:id="277" w:name="_Toc184310340"/>
      <w:bookmarkEnd w:id="277"/>
      <w:bookmarkStart w:id="278" w:name="_Toc184308058"/>
      <w:bookmarkEnd w:id="278"/>
      <w:bookmarkStart w:id="279" w:name="_Toc184310298"/>
      <w:bookmarkEnd w:id="279"/>
      <w:bookmarkStart w:id="280" w:name="_Toc184312073"/>
      <w:bookmarkEnd w:id="280"/>
      <w:bookmarkStart w:id="281" w:name="_Toc184310291"/>
      <w:bookmarkEnd w:id="281"/>
      <w:bookmarkStart w:id="282" w:name="_Toc184308047"/>
      <w:bookmarkEnd w:id="282"/>
      <w:bookmarkStart w:id="283" w:name="_Toc184313242"/>
      <w:bookmarkEnd w:id="283"/>
      <w:bookmarkStart w:id="284" w:name="_Toc184314456"/>
      <w:bookmarkEnd w:id="284"/>
      <w:bookmarkStart w:id="285" w:name="_Toc184308061"/>
      <w:bookmarkEnd w:id="285"/>
      <w:bookmarkStart w:id="286" w:name="_Toc184308102"/>
      <w:bookmarkEnd w:id="286"/>
      <w:bookmarkStart w:id="287" w:name="_Toc184314469"/>
      <w:bookmarkEnd w:id="287"/>
      <w:bookmarkStart w:id="288" w:name="_Toc184310296"/>
      <w:bookmarkEnd w:id="288"/>
      <w:bookmarkStart w:id="289" w:name="_Toc184310313"/>
      <w:bookmarkEnd w:id="289"/>
      <w:bookmarkStart w:id="290" w:name="_Toc184308091"/>
      <w:bookmarkEnd w:id="290"/>
      <w:bookmarkStart w:id="291" w:name="_Toc184308064"/>
      <w:bookmarkEnd w:id="291"/>
      <w:bookmarkStart w:id="292" w:name="_Toc184313240"/>
      <w:bookmarkEnd w:id="292"/>
      <w:bookmarkStart w:id="293" w:name="_Toc184310324"/>
      <w:bookmarkEnd w:id="293"/>
      <w:bookmarkStart w:id="294" w:name="_Toc184314470"/>
      <w:bookmarkEnd w:id="294"/>
      <w:bookmarkStart w:id="295" w:name="_Toc184314436"/>
      <w:bookmarkEnd w:id="295"/>
      <w:bookmarkStart w:id="296" w:name="_Toc184312123"/>
      <w:bookmarkEnd w:id="296"/>
      <w:bookmarkStart w:id="297" w:name="_Toc184314431"/>
      <w:bookmarkEnd w:id="297"/>
      <w:bookmarkStart w:id="298" w:name="_Toc184314427"/>
      <w:bookmarkEnd w:id="298"/>
      <w:bookmarkStart w:id="299" w:name="_Toc184308093"/>
      <w:bookmarkEnd w:id="299"/>
      <w:bookmarkStart w:id="300" w:name="_Toc184308069"/>
      <w:bookmarkEnd w:id="300"/>
      <w:bookmarkStart w:id="301" w:name="_Toc184310300"/>
      <w:bookmarkEnd w:id="301"/>
      <w:bookmarkStart w:id="302" w:name="_Toc184312139"/>
      <w:bookmarkEnd w:id="302"/>
      <w:bookmarkStart w:id="303" w:name="_Toc184312085"/>
      <w:bookmarkEnd w:id="303"/>
      <w:bookmarkStart w:id="304" w:name="_Toc184310304"/>
      <w:bookmarkEnd w:id="304"/>
      <w:bookmarkStart w:id="305" w:name="_Toc184312100"/>
      <w:bookmarkEnd w:id="305"/>
      <w:bookmarkStart w:id="306" w:name="_Toc184310334"/>
      <w:bookmarkEnd w:id="306"/>
      <w:bookmarkStart w:id="307" w:name="_Toc184313308"/>
      <w:bookmarkEnd w:id="307"/>
      <w:bookmarkStart w:id="308" w:name="_Toc184308082"/>
      <w:bookmarkEnd w:id="308"/>
      <w:bookmarkStart w:id="309" w:name="_Toc184313268"/>
      <w:bookmarkEnd w:id="309"/>
      <w:bookmarkStart w:id="310" w:name="_Toc184308086"/>
      <w:bookmarkEnd w:id="310"/>
      <w:bookmarkStart w:id="311" w:name="_Toc184312080"/>
      <w:bookmarkEnd w:id="311"/>
      <w:bookmarkStart w:id="312" w:name="_Toc184313306"/>
      <w:bookmarkEnd w:id="312"/>
      <w:bookmarkStart w:id="313" w:name="_Toc184314421"/>
      <w:bookmarkEnd w:id="313"/>
      <w:bookmarkStart w:id="314" w:name="_Toc184312115"/>
      <w:bookmarkEnd w:id="314"/>
      <w:bookmarkStart w:id="315" w:name="_Toc184312078"/>
      <w:bookmarkEnd w:id="315"/>
      <w:bookmarkStart w:id="316" w:name="_Toc184314481"/>
      <w:bookmarkEnd w:id="316"/>
      <w:bookmarkStart w:id="317" w:name="_Toc184312117"/>
      <w:bookmarkEnd w:id="317"/>
      <w:bookmarkStart w:id="318" w:name="_Toc184313294"/>
      <w:bookmarkEnd w:id="318"/>
      <w:bookmarkStart w:id="319" w:name="_Toc184312104"/>
      <w:bookmarkEnd w:id="319"/>
      <w:bookmarkStart w:id="320" w:name="_Toc184310306"/>
      <w:bookmarkEnd w:id="320"/>
      <w:bookmarkStart w:id="321" w:name="_Toc184313249"/>
      <w:bookmarkEnd w:id="321"/>
      <w:bookmarkStart w:id="322" w:name="_Toc184314478"/>
      <w:bookmarkEnd w:id="322"/>
      <w:bookmarkStart w:id="323" w:name="_Toc184310321"/>
      <w:bookmarkEnd w:id="323"/>
      <w:bookmarkStart w:id="324" w:name="_Toc184308072"/>
      <w:bookmarkEnd w:id="324"/>
      <w:bookmarkStart w:id="325" w:name="_Toc184308053"/>
      <w:bookmarkEnd w:id="325"/>
      <w:bookmarkStart w:id="326" w:name="_Toc184313251"/>
      <w:bookmarkEnd w:id="326"/>
      <w:bookmarkStart w:id="327" w:name="_Toc184313286"/>
      <w:bookmarkEnd w:id="327"/>
      <w:bookmarkStart w:id="328" w:name="_Toc184312070"/>
      <w:bookmarkEnd w:id="328"/>
      <w:bookmarkStart w:id="329" w:name="_Toc184310339"/>
      <w:bookmarkEnd w:id="329"/>
      <w:bookmarkStart w:id="330" w:name="_Toc184308104"/>
      <w:bookmarkEnd w:id="330"/>
      <w:bookmarkStart w:id="331" w:name="_Toc184314473"/>
      <w:bookmarkEnd w:id="331"/>
      <w:bookmarkStart w:id="332" w:name="_Toc184308108"/>
      <w:bookmarkEnd w:id="332"/>
      <w:bookmarkStart w:id="333" w:name="_Toc184310280"/>
      <w:bookmarkEnd w:id="333"/>
      <w:bookmarkStart w:id="334" w:name="_Toc184313293"/>
      <w:bookmarkEnd w:id="334"/>
      <w:bookmarkStart w:id="335" w:name="_Toc184314433"/>
      <w:bookmarkEnd w:id="335"/>
      <w:bookmarkStart w:id="336" w:name="_Toc184314471"/>
      <w:bookmarkEnd w:id="336"/>
      <w:bookmarkStart w:id="337" w:name="_Toc184312095"/>
      <w:bookmarkEnd w:id="337"/>
      <w:bookmarkStart w:id="338" w:name="_Toc184310284"/>
      <w:bookmarkEnd w:id="338"/>
      <w:bookmarkStart w:id="339" w:name="_Toc184313272"/>
      <w:bookmarkEnd w:id="339"/>
      <w:bookmarkStart w:id="340" w:name="_Toc184312096"/>
      <w:bookmarkEnd w:id="340"/>
      <w:bookmarkStart w:id="341" w:name="_Toc184314453"/>
      <w:bookmarkEnd w:id="341"/>
      <w:bookmarkStart w:id="342" w:name="_Toc184312135"/>
      <w:bookmarkEnd w:id="342"/>
      <w:bookmarkStart w:id="343" w:name="_Toc184310341"/>
      <w:bookmarkEnd w:id="343"/>
      <w:bookmarkStart w:id="344" w:name="_Toc184313263"/>
      <w:bookmarkEnd w:id="344"/>
      <w:bookmarkStart w:id="345" w:name="_Toc184312130"/>
      <w:bookmarkEnd w:id="345"/>
      <w:bookmarkStart w:id="346" w:name="_Toc184314420"/>
      <w:bookmarkEnd w:id="346"/>
      <w:bookmarkStart w:id="347" w:name="_Toc184308037"/>
      <w:bookmarkEnd w:id="347"/>
      <w:bookmarkStart w:id="348" w:name="_Toc184313264"/>
      <w:bookmarkEnd w:id="348"/>
      <w:bookmarkStart w:id="349" w:name="_Toc184312133"/>
      <w:bookmarkEnd w:id="349"/>
      <w:bookmarkStart w:id="350" w:name="_Toc184310316"/>
      <w:bookmarkEnd w:id="350"/>
      <w:bookmarkStart w:id="351" w:name="_Toc184314468"/>
      <w:bookmarkEnd w:id="351"/>
      <w:bookmarkStart w:id="352" w:name="_Toc184314464"/>
      <w:bookmarkEnd w:id="352"/>
      <w:bookmarkStart w:id="353" w:name="_Toc184312076"/>
      <w:bookmarkEnd w:id="353"/>
      <w:bookmarkStart w:id="354" w:name="_Toc184308098"/>
      <w:bookmarkEnd w:id="354"/>
      <w:bookmarkStart w:id="355" w:name="_Toc184314419"/>
      <w:bookmarkEnd w:id="355"/>
      <w:bookmarkStart w:id="356" w:name="_Toc184312137"/>
      <w:bookmarkEnd w:id="356"/>
      <w:bookmarkStart w:id="357" w:name="_Toc184313248"/>
      <w:bookmarkEnd w:id="357"/>
      <w:bookmarkStart w:id="358" w:name="_Toc184313305"/>
      <w:bookmarkEnd w:id="358"/>
      <w:bookmarkStart w:id="359" w:name="_Toc184312127"/>
      <w:bookmarkEnd w:id="359"/>
      <w:bookmarkStart w:id="360" w:name="_Toc184310333"/>
      <w:bookmarkEnd w:id="360"/>
      <w:bookmarkStart w:id="361" w:name="_Toc184314410"/>
      <w:bookmarkEnd w:id="361"/>
      <w:bookmarkStart w:id="362" w:name="_Toc184313278"/>
      <w:bookmarkEnd w:id="362"/>
      <w:bookmarkStart w:id="363" w:name="_Toc184312138"/>
      <w:bookmarkEnd w:id="363"/>
      <w:bookmarkStart w:id="364" w:name="_Toc184308052"/>
      <w:bookmarkEnd w:id="364"/>
      <w:bookmarkStart w:id="365" w:name="_Toc184312084"/>
      <w:bookmarkEnd w:id="365"/>
      <w:bookmarkStart w:id="366" w:name="_Toc184312067"/>
      <w:bookmarkEnd w:id="366"/>
      <w:bookmarkStart w:id="367" w:name="_Toc184308066"/>
      <w:bookmarkEnd w:id="367"/>
      <w:bookmarkStart w:id="368" w:name="_Toc184313288"/>
      <w:bookmarkEnd w:id="368"/>
      <w:bookmarkStart w:id="369" w:name="_Toc184314459"/>
      <w:bookmarkEnd w:id="369"/>
      <w:bookmarkStart w:id="370" w:name="_Toc184312113"/>
      <w:bookmarkEnd w:id="370"/>
      <w:bookmarkStart w:id="371" w:name="_Toc184313295"/>
      <w:bookmarkEnd w:id="371"/>
      <w:bookmarkStart w:id="372" w:name="_Toc184313274"/>
      <w:bookmarkEnd w:id="372"/>
      <w:bookmarkStart w:id="373" w:name="_Toc184313284"/>
      <w:bookmarkEnd w:id="373"/>
      <w:bookmarkStart w:id="374" w:name="_Toc184314448"/>
      <w:bookmarkEnd w:id="374"/>
      <w:bookmarkStart w:id="375" w:name="_Toc184308070"/>
      <w:bookmarkEnd w:id="375"/>
      <w:bookmarkStart w:id="376" w:name="_Toc184308078"/>
      <w:bookmarkEnd w:id="376"/>
      <w:bookmarkStart w:id="377" w:name="_Toc184313270"/>
      <w:bookmarkEnd w:id="377"/>
      <w:bookmarkStart w:id="378" w:name="_Toc184313259"/>
      <w:bookmarkEnd w:id="378"/>
      <w:bookmarkStart w:id="379" w:name="_Toc184310337"/>
      <w:bookmarkEnd w:id="379"/>
      <w:bookmarkStart w:id="380" w:name="_Toc184310344"/>
      <w:bookmarkEnd w:id="380"/>
      <w:bookmarkStart w:id="381" w:name="_Toc184313299"/>
      <w:bookmarkEnd w:id="381"/>
      <w:bookmarkStart w:id="382" w:name="_Toc184314418"/>
      <w:bookmarkEnd w:id="382"/>
      <w:bookmarkStart w:id="383" w:name="_Toc184308059"/>
      <w:bookmarkEnd w:id="383"/>
      <w:bookmarkStart w:id="384" w:name="_Toc184312107"/>
      <w:bookmarkEnd w:id="384"/>
      <w:bookmarkStart w:id="385" w:name="_Toc184308067"/>
      <w:bookmarkEnd w:id="385"/>
      <w:bookmarkStart w:id="386" w:name="_Toc184308049"/>
      <w:bookmarkEnd w:id="386"/>
      <w:bookmarkStart w:id="387" w:name="_Toc184314449"/>
      <w:bookmarkEnd w:id="387"/>
      <w:bookmarkStart w:id="388" w:name="_Toc184314414"/>
      <w:bookmarkEnd w:id="388"/>
      <w:bookmarkStart w:id="389" w:name="_Toc184310327"/>
      <w:bookmarkEnd w:id="389"/>
      <w:bookmarkStart w:id="390" w:name="_Toc184308073"/>
      <w:bookmarkEnd w:id="390"/>
      <w:bookmarkStart w:id="391" w:name="_Toc184308043"/>
      <w:bookmarkEnd w:id="391"/>
      <w:bookmarkStart w:id="392" w:name="_Toc184308068"/>
      <w:bookmarkEnd w:id="392"/>
      <w:bookmarkStart w:id="393" w:name="_Toc184308099"/>
      <w:bookmarkEnd w:id="393"/>
      <w:bookmarkStart w:id="394" w:name="_Toc184314447"/>
      <w:bookmarkEnd w:id="394"/>
      <w:bookmarkStart w:id="395" w:name="_Toc184314474"/>
      <w:bookmarkEnd w:id="395"/>
      <w:bookmarkStart w:id="396" w:name="_Toc184314457"/>
      <w:bookmarkEnd w:id="396"/>
      <w:bookmarkStart w:id="397" w:name="_Toc184308087"/>
      <w:bookmarkEnd w:id="397"/>
      <w:bookmarkStart w:id="398" w:name="_Toc184314416"/>
      <w:bookmarkEnd w:id="398"/>
      <w:bookmarkStart w:id="399" w:name="_Toc184310293"/>
      <w:bookmarkEnd w:id="399"/>
      <w:bookmarkStart w:id="400" w:name="_Toc184308045"/>
      <w:bookmarkEnd w:id="400"/>
      <w:bookmarkStart w:id="401" w:name="_Toc184310307"/>
      <w:bookmarkEnd w:id="401"/>
      <w:bookmarkStart w:id="402" w:name="_Toc184313296"/>
      <w:bookmarkEnd w:id="402"/>
      <w:bookmarkStart w:id="403" w:name="_Toc184313283"/>
      <w:bookmarkEnd w:id="403"/>
      <w:bookmarkStart w:id="404" w:name="_Toc184310272"/>
      <w:bookmarkEnd w:id="404"/>
      <w:bookmarkStart w:id="405" w:name="_Toc184308040"/>
      <w:bookmarkEnd w:id="405"/>
      <w:bookmarkStart w:id="406" w:name="_Toc184313238"/>
      <w:bookmarkEnd w:id="406"/>
      <w:bookmarkStart w:id="407" w:name="_Toc184308105"/>
      <w:bookmarkEnd w:id="407"/>
      <w:bookmarkStart w:id="408" w:name="_Toc184308090"/>
      <w:bookmarkEnd w:id="408"/>
      <w:bookmarkStart w:id="409" w:name="_Toc184308036"/>
      <w:bookmarkEnd w:id="409"/>
      <w:bookmarkStart w:id="410" w:name="_Toc184313280"/>
      <w:bookmarkEnd w:id="410"/>
      <w:bookmarkStart w:id="411" w:name="_Toc184312126"/>
      <w:bookmarkEnd w:id="411"/>
      <w:bookmarkStart w:id="412" w:name="_Toc184313273"/>
      <w:bookmarkEnd w:id="412"/>
      <w:bookmarkStart w:id="413" w:name="_Toc184313252"/>
      <w:bookmarkEnd w:id="413"/>
      <w:bookmarkStart w:id="414" w:name="_Toc184312079"/>
      <w:bookmarkEnd w:id="414"/>
      <w:bookmarkStart w:id="415" w:name="_Toc184310319"/>
      <w:bookmarkEnd w:id="415"/>
      <w:bookmarkStart w:id="416" w:name="_Toc184313241"/>
      <w:bookmarkEnd w:id="416"/>
      <w:bookmarkStart w:id="417" w:name="_Toc184314467"/>
      <w:bookmarkEnd w:id="417"/>
      <w:bookmarkStart w:id="418" w:name="_Toc184310273"/>
      <w:bookmarkEnd w:id="418"/>
      <w:bookmarkStart w:id="419" w:name="_Toc184310323"/>
      <w:bookmarkEnd w:id="419"/>
      <w:bookmarkStart w:id="420" w:name="_Toc184313257"/>
      <w:bookmarkEnd w:id="420"/>
      <w:bookmarkStart w:id="421" w:name="_Toc184308106"/>
      <w:bookmarkEnd w:id="421"/>
      <w:bookmarkStart w:id="422" w:name="_Toc184312124"/>
      <w:bookmarkEnd w:id="422"/>
      <w:bookmarkStart w:id="423" w:name="_Toc184312090"/>
      <w:bookmarkEnd w:id="423"/>
      <w:bookmarkStart w:id="424" w:name="_Toc184310289"/>
      <w:bookmarkEnd w:id="424"/>
      <w:bookmarkStart w:id="425" w:name="_Toc184314475"/>
      <w:bookmarkEnd w:id="425"/>
      <w:bookmarkStart w:id="426" w:name="_Toc184312101"/>
      <w:bookmarkEnd w:id="426"/>
      <w:bookmarkStart w:id="427" w:name="_Toc184310311"/>
      <w:bookmarkEnd w:id="427"/>
      <w:bookmarkStart w:id="428" w:name="_Toc184313255"/>
      <w:bookmarkEnd w:id="428"/>
      <w:bookmarkStart w:id="429" w:name="_Toc184310301"/>
      <w:bookmarkEnd w:id="429"/>
      <w:bookmarkStart w:id="430" w:name="_Toc184313304"/>
      <w:bookmarkEnd w:id="430"/>
      <w:bookmarkStart w:id="431" w:name="_Toc184310342"/>
      <w:bookmarkEnd w:id="431"/>
      <w:bookmarkStart w:id="432" w:name="_Toc184308044"/>
      <w:bookmarkEnd w:id="432"/>
      <w:bookmarkStart w:id="433" w:name="_Toc184308100"/>
      <w:bookmarkEnd w:id="433"/>
      <w:bookmarkStart w:id="434" w:name="_Toc184312132"/>
      <w:bookmarkEnd w:id="434"/>
      <w:bookmarkStart w:id="435" w:name="_Toc184314479"/>
      <w:bookmarkEnd w:id="435"/>
      <w:bookmarkStart w:id="436" w:name="_Toc184308080"/>
      <w:bookmarkEnd w:id="436"/>
      <w:bookmarkStart w:id="437" w:name="_Toc184313303"/>
      <w:bookmarkEnd w:id="437"/>
      <w:bookmarkStart w:id="438" w:name="_Toc184308048"/>
      <w:bookmarkEnd w:id="438"/>
      <w:bookmarkStart w:id="439" w:name="_Toc184308046"/>
      <w:bookmarkEnd w:id="439"/>
      <w:bookmarkStart w:id="440" w:name="_Toc184312071"/>
      <w:bookmarkEnd w:id="440"/>
      <w:bookmarkStart w:id="441" w:name="_Toc184312099"/>
      <w:bookmarkEnd w:id="441"/>
      <w:bookmarkStart w:id="442" w:name="_Toc184314417"/>
      <w:bookmarkEnd w:id="442"/>
      <w:bookmarkStart w:id="443" w:name="_Toc184312116"/>
      <w:bookmarkEnd w:id="443"/>
      <w:bookmarkStart w:id="444" w:name="_Toc184312119"/>
      <w:bookmarkEnd w:id="444"/>
      <w:bookmarkStart w:id="445" w:name="_Toc184314438"/>
      <w:bookmarkEnd w:id="445"/>
      <w:bookmarkStart w:id="446" w:name="_Toc184313310"/>
      <w:bookmarkEnd w:id="446"/>
      <w:bookmarkStart w:id="447" w:name="_Toc184310278"/>
      <w:bookmarkEnd w:id="447"/>
      <w:bookmarkStart w:id="448" w:name="_Toc184310276"/>
      <w:bookmarkEnd w:id="448"/>
      <w:bookmarkStart w:id="449" w:name="_Toc184314439"/>
      <w:bookmarkEnd w:id="449"/>
      <w:bookmarkStart w:id="450" w:name="_Toc184312088"/>
      <w:bookmarkEnd w:id="450"/>
      <w:bookmarkStart w:id="451" w:name="_Toc184312110"/>
      <w:bookmarkEnd w:id="451"/>
      <w:bookmarkStart w:id="452" w:name="_Toc133499555"/>
      <w:r>
        <w:rPr>
          <w:rStyle w:val="84"/>
          <w:rFonts w:hint="eastAsia" w:ascii="仿宋" w:eastAsia="仿宋" w:cs="仿宋"/>
          <w:color w:val="auto"/>
          <w:highlight w:val="none"/>
        </w:rPr>
        <w:t>评标办法</w:t>
      </w:r>
      <w:bookmarkEnd w:id="452"/>
    </w:p>
    <w:tbl>
      <w:tblPr>
        <w:tblStyle w:val="62"/>
        <w:tblpPr w:leftFromText="180" w:rightFromText="180" w:vertAnchor="text" w:horzAnchor="page" w:tblpX="1188" w:tblpY="561"/>
        <w:tblOverlap w:val="never"/>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955"/>
        <w:gridCol w:w="1126"/>
        <w:gridCol w:w="4222"/>
        <w:gridCol w:w="1414"/>
        <w:gridCol w:w="1327"/>
      </w:tblGrid>
      <w:tr w14:paraId="3F10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60" w:type="dxa"/>
            <w:gridSpan w:val="6"/>
            <w:tcBorders>
              <w:top w:val="single" w:color="000000" w:sz="8" w:space="0"/>
              <w:left w:val="single" w:color="000000" w:sz="8" w:space="0"/>
              <w:bottom w:val="single" w:color="000000" w:sz="4" w:space="0"/>
              <w:right w:val="single" w:color="000000" w:sz="8" w:space="0"/>
            </w:tcBorders>
            <w:shd w:val="clear" w:color="auto" w:fill="auto"/>
            <w:vAlign w:val="center"/>
          </w:tcPr>
          <w:p w14:paraId="586075CE">
            <w:pPr>
              <w:pStyle w:val="3"/>
              <w:jc w:val="center"/>
              <w:rPr>
                <w:rFonts w:hint="eastAsia" w:ascii="宋体" w:hAnsi="宋体" w:eastAsia="宋体" w:cs="宋体"/>
                <w:i w:val="0"/>
                <w:iCs w:val="0"/>
                <w:color w:val="auto"/>
                <w:kern w:val="0"/>
                <w:sz w:val="24"/>
                <w:szCs w:val="24"/>
                <w:highlight w:val="none"/>
                <w:u w:val="none"/>
                <w:lang w:val="en-US" w:eastAsia="zh-CN" w:bidi="ar"/>
              </w:rPr>
            </w:pPr>
            <w:bookmarkStart w:id="453" w:name="_Toc133499556"/>
            <w:bookmarkStart w:id="454" w:name="_Toc18573"/>
            <w:r>
              <w:rPr>
                <w:rStyle w:val="84"/>
                <w:rFonts w:hint="eastAsia" w:ascii="仿宋" w:eastAsia="仿宋"/>
                <w:b/>
                <w:bCs w:val="0"/>
                <w:color w:val="auto"/>
                <w:kern w:val="2"/>
                <w:sz w:val="30"/>
                <w:szCs w:val="30"/>
                <w:highlight w:val="none"/>
              </w:rPr>
              <w:t>评标办法前附表</w:t>
            </w:r>
          </w:p>
        </w:tc>
      </w:tr>
      <w:tr w14:paraId="0479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079C9C7">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条款号</w:t>
            </w:r>
          </w:p>
        </w:tc>
        <w:tc>
          <w:tcPr>
            <w:tcW w:w="2081"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07BFCC53">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评审因素</w:t>
            </w:r>
          </w:p>
        </w:tc>
        <w:tc>
          <w:tcPr>
            <w:tcW w:w="6963"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14:paraId="78BCB156">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评审标准</w:t>
            </w:r>
          </w:p>
        </w:tc>
      </w:tr>
      <w:tr w14:paraId="22DD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14:paraId="433A5D3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7DE80D7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评标办法</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5661BBD2">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þ本项目采用综合评分法。综合评分法，是指投标文件满足招标文件全部实质性要求，且按照评审因素的量化指标评审得分最高的投标人为中标候选人的评标方法。</w:t>
            </w:r>
          </w:p>
        </w:tc>
      </w:tr>
      <w:tr w14:paraId="5A04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512BF8A1">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E14C421">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7AE1CEA8">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项目采用最低评标价法。最低评标价法，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w:t>
            </w:r>
          </w:p>
        </w:tc>
      </w:tr>
      <w:tr w14:paraId="5BCF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14:paraId="106B3B1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4131E14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kern w:val="0"/>
                <w:sz w:val="24"/>
                <w:szCs w:val="24"/>
                <w:highlight w:val="none"/>
                <w:u w:val="single"/>
                <w:lang w:val="en-US" w:eastAsia="zh-CN" w:bidi="ar"/>
              </w:rPr>
              <w:t>▲资格审查</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0CA8E1C5">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2.1.1提供符合参加政府采购活动应当具备的一般条件的承诺函及有效的企业营业执照（或事业法人登记证书或其它工商等登记证明材料，自然人提供身份证)复制件（如为联合体，则联合体各方均应提供）；</w:t>
            </w:r>
          </w:p>
        </w:tc>
      </w:tr>
      <w:tr w14:paraId="01B1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0FEF55A7">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9A26BB1">
            <w:pPr>
              <w:jc w:val="center"/>
              <w:rPr>
                <w:rFonts w:hint="eastAsia" w:ascii="宋体" w:hAnsi="宋体" w:eastAsia="宋体" w:cs="宋体"/>
                <w:i w:val="0"/>
                <w:iCs w:val="0"/>
                <w:color w:val="auto"/>
                <w:sz w:val="24"/>
                <w:szCs w:val="24"/>
                <w:highlight w:val="none"/>
                <w:u w:val="singl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3C500506">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2.1.2落实政府采购政策需满足的资格审查材料：</w:t>
            </w:r>
            <w:r>
              <w:rPr>
                <w:rFonts w:hint="eastAsia" w:ascii="宋体" w:hAnsi="宋体" w:eastAsia="宋体" w:cs="宋体"/>
                <w:i w:val="0"/>
                <w:iCs w:val="0"/>
                <w:color w:val="auto"/>
                <w:kern w:val="0"/>
                <w:sz w:val="24"/>
                <w:szCs w:val="24"/>
                <w:highlight w:val="none"/>
                <w:u w:val="single"/>
                <w:lang w:val="en-US" w:eastAsia="zh-CN" w:bidi="ar"/>
              </w:rPr>
              <w:t xml:space="preserve"> 无</w:t>
            </w:r>
          </w:p>
        </w:tc>
      </w:tr>
      <w:tr w14:paraId="2635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3CD52DD">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3FFA0F8">
            <w:pPr>
              <w:jc w:val="center"/>
              <w:rPr>
                <w:rFonts w:hint="eastAsia" w:ascii="宋体" w:hAnsi="宋体" w:eastAsia="宋体" w:cs="宋体"/>
                <w:i w:val="0"/>
                <w:iCs w:val="0"/>
                <w:color w:val="auto"/>
                <w:sz w:val="24"/>
                <w:szCs w:val="24"/>
                <w:highlight w:val="none"/>
                <w:u w:val="singl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5C351DF4">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2.1.3本项目的特定资格要求审查材料：</w:t>
            </w:r>
            <w:r>
              <w:rPr>
                <w:rFonts w:hint="eastAsia" w:ascii="宋体" w:hAnsi="宋体" w:eastAsia="宋体" w:cs="宋体"/>
                <w:i w:val="0"/>
                <w:iCs w:val="0"/>
                <w:color w:val="auto"/>
                <w:kern w:val="0"/>
                <w:sz w:val="24"/>
                <w:szCs w:val="24"/>
                <w:highlight w:val="none"/>
                <w:u w:val="single"/>
                <w:lang w:val="en-US" w:eastAsia="zh-CN" w:bidi="ar"/>
              </w:rPr>
              <w:t xml:space="preserve"> 无 </w:t>
            </w:r>
          </w:p>
        </w:tc>
      </w:tr>
      <w:tr w14:paraId="0B67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2504C01">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A077790">
            <w:pPr>
              <w:jc w:val="center"/>
              <w:rPr>
                <w:rFonts w:hint="eastAsia" w:ascii="宋体" w:hAnsi="宋体" w:eastAsia="宋体" w:cs="宋体"/>
                <w:i w:val="0"/>
                <w:iCs w:val="0"/>
                <w:color w:val="auto"/>
                <w:sz w:val="24"/>
                <w:szCs w:val="24"/>
                <w:highlight w:val="none"/>
                <w:u w:val="singl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6BD315AB">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2.1.4商业信誉审查：</w:t>
            </w:r>
          </w:p>
        </w:tc>
      </w:tr>
      <w:tr w14:paraId="0096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3A3B3D5">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9D74665">
            <w:pPr>
              <w:jc w:val="center"/>
              <w:rPr>
                <w:rFonts w:hint="eastAsia" w:ascii="宋体" w:hAnsi="宋体" w:eastAsia="宋体" w:cs="宋体"/>
                <w:i w:val="0"/>
                <w:iCs w:val="0"/>
                <w:color w:val="auto"/>
                <w:sz w:val="24"/>
                <w:szCs w:val="24"/>
                <w:highlight w:val="none"/>
                <w:u w:val="singl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065BC5D3">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tc>
      </w:tr>
      <w:tr w14:paraId="6CCA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6AA33223">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3E28F13">
            <w:pPr>
              <w:jc w:val="center"/>
              <w:rPr>
                <w:rFonts w:hint="eastAsia" w:ascii="宋体" w:hAnsi="宋体" w:eastAsia="宋体" w:cs="宋体"/>
                <w:i w:val="0"/>
                <w:iCs w:val="0"/>
                <w:color w:val="auto"/>
                <w:sz w:val="24"/>
                <w:szCs w:val="24"/>
                <w:highlight w:val="none"/>
                <w:u w:val="singl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7EB2A366">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对列入失信被执行人、重大税收违法案件当事人名单、政府采购严重违法失信行为记录名单的投标人，其投标将作无效标处理。</w:t>
            </w:r>
          </w:p>
        </w:tc>
      </w:tr>
      <w:tr w14:paraId="3E16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14:paraId="0633517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6BFC825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kern w:val="0"/>
                <w:sz w:val="24"/>
                <w:szCs w:val="24"/>
                <w:highlight w:val="none"/>
                <w:u w:val="single"/>
                <w:lang w:val="en-US" w:eastAsia="zh-CN" w:bidi="ar"/>
              </w:rPr>
              <w:t>▲符合性审查</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01C17C30">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评标委员会在评审过程中根据本“第四部分评标办法”2.2.1~2.2.3条款规定的符合性审查内容要求对投标文件的有效性、完整性、投标文件的响应程度审查。</w:t>
            </w:r>
          </w:p>
        </w:tc>
      </w:tr>
      <w:tr w14:paraId="41DC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9AEFAAF">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50B3CCD">
            <w:pPr>
              <w:jc w:val="center"/>
              <w:rPr>
                <w:rFonts w:hint="eastAsia" w:ascii="宋体" w:hAnsi="宋体" w:eastAsia="宋体" w:cs="宋体"/>
                <w:i w:val="0"/>
                <w:iCs w:val="0"/>
                <w:color w:val="auto"/>
                <w:sz w:val="24"/>
                <w:szCs w:val="24"/>
                <w:highlight w:val="none"/>
                <w:u w:val="singl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0CB1CB64">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符合性审查其他要求：</w:t>
            </w:r>
            <w:r>
              <w:rPr>
                <w:rFonts w:hint="eastAsia" w:ascii="宋体" w:hAnsi="宋体" w:eastAsia="宋体" w:cs="宋体"/>
                <w:i w:val="0"/>
                <w:iCs w:val="0"/>
                <w:color w:val="auto"/>
                <w:kern w:val="0"/>
                <w:sz w:val="24"/>
                <w:szCs w:val="24"/>
                <w:highlight w:val="none"/>
                <w:u w:val="single"/>
                <w:lang w:val="en-US" w:eastAsia="zh-CN" w:bidi="ar"/>
              </w:rPr>
              <w:t xml:space="preserve">  无</w:t>
            </w:r>
          </w:p>
        </w:tc>
      </w:tr>
      <w:tr w14:paraId="4F4E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bottom"/>
          </w:tcPr>
          <w:p w14:paraId="5DCB955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CC3917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比较与评价</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6025E675">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þ采用综合评分法</w:t>
            </w:r>
          </w:p>
        </w:tc>
      </w:tr>
      <w:tr w14:paraId="2D25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14:paraId="69D2DD1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2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47DC44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分值权重构成</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7D70CFC8">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评标委员会将对各供应商的投标报价、技术或服务水平、履约能力、售后服务等和业绩情况等方面进行综合评审，评标委员会各成员应当独立对每个有效供应商的投标文件进行评价、打分。</w:t>
            </w:r>
          </w:p>
        </w:tc>
      </w:tr>
      <w:tr w14:paraId="7CE0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3FB1BC3D">
            <w:pPr>
              <w:jc w:val="center"/>
              <w:rPr>
                <w:rFonts w:hint="eastAsia" w:ascii="宋体" w:hAnsi="宋体" w:eastAsia="宋体" w:cs="宋体"/>
                <w:i w:val="0"/>
                <w:iCs w:val="0"/>
                <w:color w:val="auto"/>
                <w:sz w:val="24"/>
                <w:szCs w:val="24"/>
                <w:highlight w:val="none"/>
                <w:u w:val="none"/>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EF0031">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5FBAEE6A">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各供应商的综合得分为：投标报价得分+商务技术得分之和，总和为100分，其中：其中商务技术</w:t>
            </w:r>
            <w:r>
              <w:rPr>
                <w:rFonts w:hint="eastAsia" w:ascii="宋体" w:hAnsi="宋体" w:cs="宋体"/>
                <w:i w:val="0"/>
                <w:iCs w:val="0"/>
                <w:color w:val="auto"/>
                <w:kern w:val="0"/>
                <w:sz w:val="24"/>
                <w:szCs w:val="24"/>
                <w:highlight w:val="none"/>
                <w:u w:val="single"/>
                <w:lang w:val="en-US" w:eastAsia="zh-CN" w:bidi="ar"/>
              </w:rPr>
              <w:t>70</w:t>
            </w:r>
            <w:r>
              <w:rPr>
                <w:rFonts w:hint="eastAsia" w:ascii="宋体" w:hAnsi="宋体" w:eastAsia="宋体" w:cs="宋体"/>
                <w:i w:val="0"/>
                <w:iCs w:val="0"/>
                <w:color w:val="auto"/>
                <w:kern w:val="0"/>
                <w:sz w:val="24"/>
                <w:szCs w:val="24"/>
                <w:highlight w:val="none"/>
                <w:u w:val="none"/>
                <w:lang w:val="en-US" w:eastAsia="zh-CN" w:bidi="ar"/>
              </w:rPr>
              <w:t>分（商务技术权值</w:t>
            </w:r>
            <w:r>
              <w:rPr>
                <w:rFonts w:hint="eastAsia" w:ascii="宋体" w:hAnsi="宋体" w:cs="宋体"/>
                <w:i w:val="0"/>
                <w:iCs w:val="0"/>
                <w:color w:val="auto"/>
                <w:kern w:val="0"/>
                <w:sz w:val="24"/>
                <w:szCs w:val="24"/>
                <w:highlight w:val="none"/>
                <w:u w:val="single"/>
                <w:lang w:val="en-US" w:eastAsia="zh-CN" w:bidi="ar"/>
              </w:rPr>
              <w:t>70</w:t>
            </w:r>
            <w:r>
              <w:rPr>
                <w:rFonts w:hint="eastAsia" w:ascii="宋体" w:hAnsi="宋体" w:eastAsia="宋体" w:cs="宋体"/>
                <w:i w:val="0"/>
                <w:iCs w:val="0"/>
                <w:color w:val="auto"/>
                <w:kern w:val="0"/>
                <w:sz w:val="24"/>
                <w:szCs w:val="24"/>
                <w:highlight w:val="none"/>
                <w:u w:val="none"/>
                <w:lang w:val="en-US" w:eastAsia="zh-CN" w:bidi="ar"/>
              </w:rPr>
              <w:t>%），报价</w:t>
            </w:r>
            <w:r>
              <w:rPr>
                <w:rFonts w:hint="eastAsia" w:ascii="宋体" w:hAnsi="宋体" w:cs="宋体"/>
                <w:i w:val="0"/>
                <w:iCs w:val="0"/>
                <w:color w:val="auto"/>
                <w:kern w:val="0"/>
                <w:sz w:val="24"/>
                <w:szCs w:val="24"/>
                <w:highlight w:val="none"/>
                <w:u w:val="singl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分（价格权值</w:t>
            </w:r>
            <w:r>
              <w:rPr>
                <w:rFonts w:hint="eastAsia" w:ascii="宋体" w:hAnsi="宋体" w:cs="宋体"/>
                <w:i w:val="0"/>
                <w:iCs w:val="0"/>
                <w:color w:val="auto"/>
                <w:kern w:val="0"/>
                <w:sz w:val="24"/>
                <w:szCs w:val="24"/>
                <w:highlight w:val="none"/>
                <w:u w:val="single"/>
                <w:lang w:val="en-US" w:eastAsia="zh-CN" w:bidi="ar"/>
              </w:rPr>
              <w:t>3</w:t>
            </w:r>
            <w:r>
              <w:rPr>
                <w:rFonts w:hint="eastAsia" w:ascii="宋体" w:hAnsi="宋体" w:eastAsia="宋体" w:cs="宋体"/>
                <w:i w:val="0"/>
                <w:iCs w:val="0"/>
                <w:color w:val="auto"/>
                <w:kern w:val="0"/>
                <w:sz w:val="24"/>
                <w:szCs w:val="24"/>
                <w:highlight w:val="none"/>
                <w:u w:val="singl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w:t>
            </w:r>
          </w:p>
        </w:tc>
      </w:tr>
      <w:tr w14:paraId="6860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14:paraId="1C8DE1A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595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商务技术评分标准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6D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评审因素</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BE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评审标准（分值）</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85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w:t>
            </w:r>
          </w:p>
        </w:tc>
        <w:tc>
          <w:tcPr>
            <w:tcW w:w="13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881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6E77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2F87BAD">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E754">
            <w:pPr>
              <w:jc w:val="center"/>
              <w:rPr>
                <w:rFonts w:hint="eastAsia" w:ascii="宋体" w:hAnsi="宋体" w:eastAsia="宋体" w:cs="宋体"/>
                <w:i w:val="0"/>
                <w:iCs w:val="0"/>
                <w:color w:val="auto"/>
                <w:sz w:val="24"/>
                <w:szCs w:val="24"/>
                <w:highlight w:val="none"/>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0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投标供应商综合实力、企业信用（8分）</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39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国家认证认可监督管理委员会官网可查的数据安全能力成熟度三级及以上认证证书得2分（认证范围需包含计算机及网络设备软硬件系统运维服务）</w:t>
            </w:r>
            <w:r>
              <w:rPr>
                <w:rFonts w:hint="eastAsia" w:ascii="宋体" w:hAnsi="宋体" w:eastAsia="宋体" w:cs="宋体"/>
                <w:color w:val="auto"/>
                <w:sz w:val="24"/>
                <w:szCs w:val="24"/>
                <w:highlight w:val="none"/>
              </w:rPr>
              <w:t>；</w:t>
            </w:r>
          </w:p>
          <w:p w14:paraId="401A395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具有信息安全服务资质认证证书的信息信息系统安全运维服务资质一级认证证书得1分，不提供不得分</w:t>
            </w:r>
            <w:r>
              <w:rPr>
                <w:rFonts w:hint="eastAsia" w:ascii="宋体" w:hAnsi="宋体" w:cs="宋体"/>
                <w:color w:val="auto"/>
                <w:sz w:val="24"/>
                <w:szCs w:val="24"/>
                <w:highlight w:val="none"/>
                <w:lang w:eastAsia="zh-CN"/>
              </w:rPr>
              <w:t>；</w:t>
            </w:r>
          </w:p>
          <w:p w14:paraId="151EDE7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具有信息安全服务资质认证证书的信息安全应急处理服务资质三级认证证书得1分，不提供不得分；</w:t>
            </w:r>
          </w:p>
          <w:p w14:paraId="42275B9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具有国家认证认可监督管理委员会官网可查的售后服务体系完善程度认证证书得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分，不提供不得分；</w:t>
            </w:r>
          </w:p>
          <w:p w14:paraId="6598EE5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投标人具有范围涉及运维服务的ISO20001质量管理体系认证证书的，得1分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p w14:paraId="2F32EFB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投标人具有范围涉及维护服务的ISO27001信息安全管理体系认证证书的，得1分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29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0-8</w:t>
            </w:r>
          </w:p>
        </w:tc>
        <w:tc>
          <w:tcPr>
            <w:tcW w:w="13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FD6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客</w:t>
            </w:r>
            <w:r>
              <w:rPr>
                <w:rFonts w:hint="eastAsia" w:ascii="宋体" w:hAnsi="宋体" w:eastAsia="宋体" w:cs="宋体"/>
                <w:i w:val="0"/>
                <w:iCs w:val="0"/>
                <w:color w:val="auto"/>
                <w:kern w:val="0"/>
                <w:sz w:val="24"/>
                <w:szCs w:val="24"/>
                <w:highlight w:val="none"/>
                <w:u w:val="none"/>
                <w:lang w:val="en-US" w:eastAsia="zh-CN" w:bidi="ar"/>
              </w:rPr>
              <w:t>观分</w:t>
            </w:r>
          </w:p>
        </w:tc>
      </w:tr>
      <w:tr w14:paraId="49ED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00BB6FE0">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7EDC">
            <w:pPr>
              <w:jc w:val="center"/>
              <w:rPr>
                <w:rFonts w:hint="eastAsia" w:ascii="宋体" w:hAnsi="宋体" w:eastAsia="宋体" w:cs="宋体"/>
                <w:i w:val="0"/>
                <w:iCs w:val="0"/>
                <w:color w:val="auto"/>
                <w:sz w:val="24"/>
                <w:szCs w:val="24"/>
                <w:highlight w:val="none"/>
                <w:u w:val="none"/>
              </w:rPr>
            </w:pPr>
          </w:p>
        </w:tc>
        <w:tc>
          <w:tcPr>
            <w:tcW w:w="1126" w:type="dxa"/>
            <w:vMerge w:val="restart"/>
            <w:tcBorders>
              <w:top w:val="single" w:color="000000" w:sz="4" w:space="0"/>
              <w:left w:val="single" w:color="000000" w:sz="4" w:space="0"/>
              <w:right w:val="single" w:color="000000" w:sz="4" w:space="0"/>
            </w:tcBorders>
            <w:shd w:val="clear" w:color="auto" w:fill="auto"/>
            <w:vAlign w:val="center"/>
          </w:tcPr>
          <w:p w14:paraId="126C4486">
            <w:pPr>
              <w:pStyle w:val="60"/>
              <w:tabs>
                <w:tab w:val="left" w:pos="482"/>
                <w:tab w:val="left" w:pos="2183"/>
                <w:tab w:val="left" w:pos="3884"/>
                <w:tab w:val="left" w:pos="5585"/>
              </w:tabs>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维保服务方案（2</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7EA6A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EB2">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根据投标人所提供的技术支持和维保服务内容的完整性，进行打分。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w:t>
            </w:r>
          </w:p>
          <w:p w14:paraId="3564A98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6A4170B">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内容较完整的得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72AFD0A">
            <w:pPr>
              <w:keepNext w:val="0"/>
              <w:keepLines w:val="0"/>
              <w:widowControl/>
              <w:suppressLineNumbers w:val="0"/>
              <w:jc w:val="left"/>
              <w:textAlignment w:val="center"/>
              <w:rPr>
                <w:rFonts w:hint="eastAsia"/>
                <w:color w:val="auto"/>
                <w:highlight w:val="none"/>
              </w:rPr>
            </w:pPr>
            <w:r>
              <w:rPr>
                <w:rFonts w:hint="eastAsia" w:ascii="宋体" w:hAnsi="宋体" w:eastAsia="宋体" w:cs="宋体"/>
                <w:color w:val="auto"/>
                <w:sz w:val="24"/>
                <w:szCs w:val="24"/>
                <w:highlight w:val="none"/>
                <w:lang w:val="en-US" w:eastAsia="zh-CN"/>
              </w:rPr>
              <w:t>内容不完整的得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1414" w:type="dxa"/>
            <w:vMerge w:val="restart"/>
            <w:tcBorders>
              <w:top w:val="single" w:color="000000" w:sz="4" w:space="0"/>
              <w:left w:val="single" w:color="000000" w:sz="4" w:space="0"/>
              <w:right w:val="single" w:color="000000" w:sz="4" w:space="0"/>
            </w:tcBorders>
            <w:shd w:val="clear" w:color="auto" w:fill="auto"/>
            <w:vAlign w:val="center"/>
          </w:tcPr>
          <w:p w14:paraId="2F976F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0-2</w:t>
            </w:r>
            <w:r>
              <w:rPr>
                <w:rFonts w:hint="eastAsia" w:ascii="宋体" w:hAnsi="宋体" w:cs="宋体"/>
                <w:i w:val="0"/>
                <w:iCs w:val="0"/>
                <w:color w:val="auto"/>
                <w:kern w:val="0"/>
                <w:sz w:val="24"/>
                <w:szCs w:val="24"/>
                <w:highlight w:val="none"/>
                <w:u w:val="none"/>
                <w:lang w:val="en-US" w:eastAsia="zh-CN" w:bidi="ar"/>
              </w:rPr>
              <w:t>6</w:t>
            </w:r>
          </w:p>
        </w:tc>
        <w:tc>
          <w:tcPr>
            <w:tcW w:w="1327" w:type="dxa"/>
            <w:vMerge w:val="restart"/>
            <w:tcBorders>
              <w:top w:val="single" w:color="000000" w:sz="4" w:space="0"/>
              <w:left w:val="single" w:color="000000" w:sz="4" w:space="0"/>
              <w:right w:val="single" w:color="000000" w:sz="8" w:space="0"/>
            </w:tcBorders>
            <w:shd w:val="clear" w:color="auto" w:fill="auto"/>
            <w:vAlign w:val="center"/>
          </w:tcPr>
          <w:p w14:paraId="38675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主</w:t>
            </w:r>
            <w:r>
              <w:rPr>
                <w:rFonts w:hint="eastAsia" w:ascii="宋体" w:hAnsi="宋体" w:eastAsia="宋体" w:cs="宋体"/>
                <w:i w:val="0"/>
                <w:iCs w:val="0"/>
                <w:color w:val="auto"/>
                <w:kern w:val="0"/>
                <w:sz w:val="24"/>
                <w:szCs w:val="24"/>
                <w:highlight w:val="none"/>
                <w:u w:val="none"/>
                <w:lang w:val="en-US" w:eastAsia="zh-CN" w:bidi="ar"/>
              </w:rPr>
              <w:t>观分</w:t>
            </w:r>
          </w:p>
        </w:tc>
      </w:tr>
      <w:tr w14:paraId="3FEA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5B66CD8E">
            <w:pPr>
              <w:keepNext w:val="0"/>
              <w:keepLines w:val="0"/>
              <w:widowControl/>
              <w:suppressLineNumbers w:val="0"/>
              <w:jc w:val="left"/>
              <w:textAlignment w:val="center"/>
              <w:rPr>
                <w:color w:val="auto"/>
                <w:highlight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968C">
            <w:pPr>
              <w:keepNext w:val="0"/>
              <w:keepLines w:val="0"/>
              <w:widowControl/>
              <w:suppressLineNumbers w:val="0"/>
              <w:jc w:val="left"/>
              <w:textAlignment w:val="center"/>
              <w:rPr>
                <w:color w:val="auto"/>
                <w:highlight w:val="none"/>
              </w:rPr>
            </w:pPr>
          </w:p>
        </w:tc>
        <w:tc>
          <w:tcPr>
            <w:tcW w:w="1126" w:type="dxa"/>
            <w:vMerge w:val="continue"/>
            <w:tcBorders>
              <w:left w:val="single" w:color="000000" w:sz="4" w:space="0"/>
              <w:right w:val="single" w:color="000000" w:sz="4" w:space="0"/>
            </w:tcBorders>
            <w:shd w:val="clear" w:color="auto" w:fill="auto"/>
            <w:vAlign w:val="center"/>
          </w:tcPr>
          <w:p w14:paraId="086EC9A8">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1D6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根据投标人维护文档管理的规范性和提供的各类维护表格的丰富性，进行打分。0-4分</w:t>
            </w:r>
          </w:p>
          <w:p w14:paraId="688A583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维护文档规范且各类维护表格丰富的得4分。</w:t>
            </w:r>
          </w:p>
          <w:p w14:paraId="7D8BB73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维护文档较规范且各类维护表格较丰富的得3分。</w:t>
            </w:r>
          </w:p>
          <w:p w14:paraId="23E963C5">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维护文档规范性一般或各类维护表格欠缺的得2分。</w:t>
            </w:r>
          </w:p>
        </w:tc>
        <w:tc>
          <w:tcPr>
            <w:tcW w:w="1414" w:type="dxa"/>
            <w:vMerge w:val="continue"/>
            <w:tcBorders>
              <w:left w:val="single" w:color="000000" w:sz="4" w:space="0"/>
              <w:right w:val="single" w:color="000000" w:sz="4" w:space="0"/>
            </w:tcBorders>
            <w:shd w:val="clear" w:color="auto" w:fill="auto"/>
            <w:vAlign w:val="center"/>
          </w:tcPr>
          <w:p w14:paraId="38E612E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7" w:type="dxa"/>
            <w:vMerge w:val="continue"/>
            <w:tcBorders>
              <w:left w:val="single" w:color="000000" w:sz="4" w:space="0"/>
              <w:right w:val="single" w:color="000000" w:sz="8" w:space="0"/>
            </w:tcBorders>
            <w:shd w:val="clear" w:color="auto" w:fill="auto"/>
            <w:vAlign w:val="center"/>
          </w:tcPr>
          <w:p w14:paraId="076D6941">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r>
      <w:tr w14:paraId="2052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16" w:type="dxa"/>
            <w:vMerge w:val="continue"/>
            <w:tcBorders>
              <w:left w:val="single" w:color="000000" w:sz="8" w:space="0"/>
              <w:bottom w:val="single" w:color="000000" w:sz="4" w:space="0"/>
              <w:right w:val="single" w:color="000000" w:sz="4" w:space="0"/>
            </w:tcBorders>
            <w:shd w:val="clear" w:color="auto" w:fill="auto"/>
            <w:vAlign w:val="bottom"/>
          </w:tcPr>
          <w:p w14:paraId="181C1F19">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2BE1788B">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c>
          <w:tcPr>
            <w:tcW w:w="1126" w:type="dxa"/>
            <w:vMerge w:val="continue"/>
            <w:tcBorders>
              <w:left w:val="single" w:color="000000" w:sz="4" w:space="0"/>
              <w:bottom w:val="single" w:color="000000" w:sz="4" w:space="0"/>
              <w:right w:val="single" w:color="000000" w:sz="4" w:space="0"/>
            </w:tcBorders>
            <w:shd w:val="clear" w:color="auto" w:fill="auto"/>
            <w:vAlign w:val="center"/>
          </w:tcPr>
          <w:p w14:paraId="55BD94A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7F2">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根据投标人所提供的维保操作规程、定期巡检流程、故障响应流程等各种流程的科学性及可操作性，进行打分。0-4分</w:t>
            </w:r>
          </w:p>
          <w:p w14:paraId="0DA5944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科学性及可操作性强得4分</w:t>
            </w:r>
          </w:p>
          <w:p w14:paraId="360C9C5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科学性及可操作性一般得3分</w:t>
            </w:r>
          </w:p>
          <w:p w14:paraId="12D99C35">
            <w:pPr>
              <w:keepNext w:val="0"/>
              <w:keepLines w:val="0"/>
              <w:widowControl/>
              <w:suppressLineNumbers w:val="0"/>
              <w:jc w:val="left"/>
              <w:textAlignment w:val="center"/>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科学性及可操作性差得2分</w:t>
            </w:r>
          </w:p>
        </w:tc>
        <w:tc>
          <w:tcPr>
            <w:tcW w:w="1414" w:type="dxa"/>
            <w:vMerge w:val="continue"/>
            <w:tcBorders>
              <w:left w:val="single" w:color="000000" w:sz="4" w:space="0"/>
              <w:bottom w:val="single" w:color="000000" w:sz="4" w:space="0"/>
              <w:right w:val="single" w:color="000000" w:sz="4" w:space="0"/>
            </w:tcBorders>
            <w:shd w:val="clear" w:color="auto" w:fill="auto"/>
            <w:vAlign w:val="center"/>
          </w:tcPr>
          <w:p w14:paraId="510E4B2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7" w:type="dxa"/>
            <w:vMerge w:val="continue"/>
            <w:tcBorders>
              <w:left w:val="single" w:color="000000" w:sz="4" w:space="0"/>
              <w:bottom w:val="single" w:color="000000" w:sz="4" w:space="0"/>
              <w:right w:val="single" w:color="000000" w:sz="8" w:space="0"/>
            </w:tcBorders>
            <w:shd w:val="clear" w:color="auto" w:fill="auto"/>
            <w:vAlign w:val="center"/>
          </w:tcPr>
          <w:p w14:paraId="2B7960C7">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r>
      <w:tr w14:paraId="124A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16" w:type="dxa"/>
            <w:vMerge w:val="continue"/>
            <w:tcBorders>
              <w:left w:val="single" w:color="000000" w:sz="8" w:space="0"/>
              <w:bottom w:val="single" w:color="000000" w:sz="4" w:space="0"/>
              <w:right w:val="single" w:color="000000" w:sz="4" w:space="0"/>
            </w:tcBorders>
            <w:shd w:val="clear" w:color="auto" w:fill="auto"/>
            <w:vAlign w:val="bottom"/>
          </w:tcPr>
          <w:p w14:paraId="23EB29BD">
            <w:pPr>
              <w:keepNext w:val="0"/>
              <w:keepLines w:val="0"/>
              <w:widowControl/>
              <w:suppressLineNumbers w:val="0"/>
              <w:jc w:val="left"/>
              <w:textAlignment w:val="center"/>
              <w:rPr>
                <w:color w:val="auto"/>
                <w:highlight w:val="none"/>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523A4421">
            <w:pPr>
              <w:keepNext w:val="0"/>
              <w:keepLines w:val="0"/>
              <w:widowControl/>
              <w:suppressLineNumbers w:val="0"/>
              <w:jc w:val="left"/>
              <w:textAlignment w:val="center"/>
              <w:rPr>
                <w:color w:val="auto"/>
                <w:highlight w:val="none"/>
              </w:rPr>
            </w:pPr>
          </w:p>
        </w:tc>
        <w:tc>
          <w:tcPr>
            <w:tcW w:w="1126" w:type="dxa"/>
            <w:vMerge w:val="continue"/>
            <w:tcBorders>
              <w:left w:val="single" w:color="000000" w:sz="4" w:space="0"/>
              <w:bottom w:val="single" w:color="000000" w:sz="4" w:space="0"/>
              <w:right w:val="single" w:color="000000" w:sz="4" w:space="0"/>
            </w:tcBorders>
            <w:shd w:val="clear" w:color="auto" w:fill="auto"/>
            <w:vAlign w:val="center"/>
          </w:tcPr>
          <w:p w14:paraId="4A0A792D">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2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机房主机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网络环境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数据库环境熟悉程度（0-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46259F7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对采购人机房主机、网络环境、数据库环境非常熟悉得8分。</w:t>
            </w:r>
          </w:p>
          <w:p w14:paraId="5C80A7A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对采购人机房主机、网络环境、数据库环境较熟悉得6分。</w:t>
            </w:r>
          </w:p>
          <w:p w14:paraId="0C1BBF10">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对采购人机房主机、网络环境、数据库环境不熟悉得3分</w:t>
            </w:r>
          </w:p>
          <w:p w14:paraId="3065B1A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rPr>
              <w:t>注：若潜在投标人若认为有必要，可自己前往现场踏勘</w:t>
            </w:r>
          </w:p>
        </w:tc>
        <w:tc>
          <w:tcPr>
            <w:tcW w:w="1414" w:type="dxa"/>
            <w:vMerge w:val="continue"/>
            <w:tcBorders>
              <w:left w:val="single" w:color="000000" w:sz="4" w:space="0"/>
              <w:bottom w:val="single" w:color="000000" w:sz="4" w:space="0"/>
              <w:right w:val="single" w:color="000000" w:sz="4" w:space="0"/>
            </w:tcBorders>
            <w:shd w:val="clear" w:color="auto" w:fill="auto"/>
            <w:vAlign w:val="center"/>
          </w:tcPr>
          <w:p w14:paraId="5ACCC87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7" w:type="dxa"/>
            <w:vMerge w:val="continue"/>
            <w:tcBorders>
              <w:left w:val="single" w:color="000000" w:sz="4" w:space="0"/>
              <w:bottom w:val="single" w:color="000000" w:sz="4" w:space="0"/>
              <w:right w:val="single" w:color="000000" w:sz="8" w:space="0"/>
            </w:tcBorders>
            <w:shd w:val="clear" w:color="auto" w:fill="auto"/>
            <w:vAlign w:val="center"/>
          </w:tcPr>
          <w:p w14:paraId="04C36F51">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r>
      <w:tr w14:paraId="5B02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816" w:type="dxa"/>
            <w:vMerge w:val="continue"/>
            <w:tcBorders>
              <w:left w:val="single" w:color="000000" w:sz="8" w:space="0"/>
              <w:bottom w:val="single" w:color="000000" w:sz="4" w:space="0"/>
              <w:right w:val="single" w:color="000000" w:sz="4" w:space="0"/>
            </w:tcBorders>
            <w:shd w:val="clear" w:color="auto" w:fill="auto"/>
            <w:vAlign w:val="bottom"/>
          </w:tcPr>
          <w:p w14:paraId="4A2901C9">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723B0F43">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c>
          <w:tcPr>
            <w:tcW w:w="1126" w:type="dxa"/>
            <w:vMerge w:val="continue"/>
            <w:tcBorders>
              <w:left w:val="single" w:color="000000" w:sz="4" w:space="0"/>
              <w:bottom w:val="single" w:color="000000" w:sz="4" w:space="0"/>
              <w:right w:val="single" w:color="000000" w:sz="4" w:space="0"/>
            </w:tcBorders>
            <w:shd w:val="clear" w:color="auto" w:fill="auto"/>
            <w:vAlign w:val="center"/>
          </w:tcPr>
          <w:p w14:paraId="29F6316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DCE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w:t>
            </w:r>
            <w:r>
              <w:rPr>
                <w:rFonts w:hint="eastAsia" w:ascii="宋体" w:hAnsi="宋体" w:eastAsia="宋体" w:cs="宋体"/>
                <w:b/>
                <w:bCs/>
                <w:color w:val="auto"/>
                <w:kern w:val="2"/>
                <w:sz w:val="24"/>
                <w:szCs w:val="24"/>
                <w:highlight w:val="none"/>
                <w:lang w:val="en-US" w:eastAsia="zh-CN" w:bidi="ar-SA"/>
              </w:rPr>
              <w:t>数据中心各类核心设备维保基础设施岗</w:t>
            </w:r>
            <w:r>
              <w:rPr>
                <w:rFonts w:hint="eastAsia" w:ascii="宋体" w:hAnsi="宋体" w:eastAsia="宋体" w:cs="宋体"/>
                <w:color w:val="auto"/>
                <w:sz w:val="24"/>
                <w:szCs w:val="24"/>
                <w:highlight w:val="none"/>
                <w:lang w:val="en-US" w:eastAsia="zh-CN"/>
              </w:rPr>
              <w:t>A/B岗驻场工程师，需具备5年以上驻场运维经历，须提供A/B岗驻点单位运维驻场工作证明，提供得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分，不提供不得分；</w:t>
            </w:r>
          </w:p>
          <w:p w14:paraId="73518E8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结合项目采购内容，驻场人员应具备承担维护工作能力的证明，维护内容包括各类操作系统、PC服务器（含国产化服务器）、</w:t>
            </w:r>
            <w:r>
              <w:rPr>
                <w:rFonts w:hint="eastAsia" w:ascii="宋体" w:hAnsi="宋体" w:cs="宋体"/>
                <w:color w:val="auto"/>
                <w:sz w:val="24"/>
                <w:szCs w:val="24"/>
                <w:highlight w:val="none"/>
                <w:lang w:val="en-US" w:eastAsia="zh-CN"/>
              </w:rPr>
              <w:t>应用软件、</w:t>
            </w:r>
            <w:r>
              <w:rPr>
                <w:rFonts w:hint="eastAsia" w:ascii="宋体" w:hAnsi="宋体" w:eastAsia="宋体" w:cs="宋体"/>
                <w:color w:val="auto"/>
                <w:sz w:val="24"/>
                <w:szCs w:val="24"/>
                <w:highlight w:val="none"/>
                <w:lang w:val="en-US" w:eastAsia="zh-CN"/>
              </w:rPr>
              <w:t>中间件、数据库</w:t>
            </w:r>
            <w:r>
              <w:rPr>
                <w:rFonts w:hint="eastAsia" w:ascii="宋体" w:hAnsi="宋体" w:cs="宋体"/>
                <w:color w:val="auto"/>
                <w:sz w:val="24"/>
                <w:szCs w:val="24"/>
                <w:highlight w:val="none"/>
                <w:lang w:val="en-US" w:eastAsia="zh-CN"/>
              </w:rPr>
              <w:t>（oracle及国产化数据库）、计算机弱电网络</w:t>
            </w:r>
            <w:r>
              <w:rPr>
                <w:rFonts w:hint="eastAsia" w:ascii="宋体" w:hAnsi="宋体" w:eastAsia="宋体" w:cs="宋体"/>
                <w:color w:val="auto"/>
                <w:sz w:val="24"/>
                <w:szCs w:val="24"/>
                <w:highlight w:val="none"/>
                <w:lang w:val="en-US" w:eastAsia="zh-CN"/>
              </w:rPr>
              <w:t>维护，要求A/B岗驻场工程师</w:t>
            </w:r>
            <w:r>
              <w:rPr>
                <w:rFonts w:hint="eastAsia" w:ascii="宋体" w:hAnsi="宋体" w:eastAsia="宋体" w:cs="宋体"/>
                <w:color w:val="auto"/>
                <w:sz w:val="24"/>
                <w:szCs w:val="24"/>
                <w:highlight w:val="none"/>
              </w:rPr>
              <w:t>具备计算机技术与软件专业</w:t>
            </w:r>
            <w:r>
              <w:rPr>
                <w:rFonts w:hint="eastAsia" w:ascii="宋体" w:hAnsi="宋体" w:eastAsia="宋体" w:cs="宋体"/>
                <w:color w:val="auto"/>
                <w:sz w:val="24"/>
                <w:szCs w:val="24"/>
                <w:highlight w:val="none"/>
                <w:lang w:val="en-US" w:eastAsia="zh-CN"/>
              </w:rPr>
              <w:t>技术资格（水平）中级软件设计师、工信部人才交流中心颁发的国产数据库认证专家证书、注册信息安全专业人员认证证书、智能弱电高级工程师证书、高级网络工程师证书。</w:t>
            </w:r>
          </w:p>
          <w:p w14:paraId="1F84CB9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人员持证情况完全符合得 4分；</w:t>
            </w:r>
          </w:p>
          <w:p w14:paraId="67C4B69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部分符合得2分。</w:t>
            </w:r>
          </w:p>
        </w:tc>
        <w:tc>
          <w:tcPr>
            <w:tcW w:w="1414" w:type="dxa"/>
            <w:vMerge w:val="continue"/>
            <w:tcBorders>
              <w:left w:val="single" w:color="000000" w:sz="4" w:space="0"/>
              <w:bottom w:val="single" w:color="000000" w:sz="4" w:space="0"/>
              <w:right w:val="single" w:color="000000" w:sz="4" w:space="0"/>
            </w:tcBorders>
            <w:shd w:val="clear" w:color="auto" w:fill="auto"/>
            <w:vAlign w:val="center"/>
          </w:tcPr>
          <w:p w14:paraId="15299F5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7" w:type="dxa"/>
            <w:vMerge w:val="continue"/>
            <w:tcBorders>
              <w:left w:val="single" w:color="000000" w:sz="4" w:space="0"/>
              <w:bottom w:val="single" w:color="000000" w:sz="4" w:space="0"/>
              <w:right w:val="single" w:color="000000" w:sz="8" w:space="0"/>
            </w:tcBorders>
            <w:shd w:val="clear" w:color="auto" w:fill="auto"/>
            <w:vAlign w:val="center"/>
          </w:tcPr>
          <w:p w14:paraId="438FA527">
            <w:pPr>
              <w:keepNext w:val="0"/>
              <w:keepLines w:val="0"/>
              <w:widowControl/>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p>
        </w:tc>
      </w:tr>
      <w:tr w14:paraId="12A8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57F5B782">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0D4A">
            <w:pPr>
              <w:jc w:val="center"/>
              <w:rPr>
                <w:rFonts w:hint="eastAsia" w:ascii="宋体" w:hAnsi="宋体" w:eastAsia="宋体" w:cs="宋体"/>
                <w:i w:val="0"/>
                <w:iCs w:val="0"/>
                <w:color w:val="auto"/>
                <w:sz w:val="24"/>
                <w:szCs w:val="24"/>
                <w:highlight w:val="none"/>
                <w:u w:val="none"/>
              </w:rPr>
            </w:pPr>
          </w:p>
        </w:tc>
        <w:tc>
          <w:tcPr>
            <w:tcW w:w="1126" w:type="dxa"/>
            <w:vMerge w:val="restart"/>
            <w:tcBorders>
              <w:top w:val="single" w:color="000000" w:sz="4" w:space="0"/>
              <w:left w:val="single" w:color="000000" w:sz="4" w:space="0"/>
              <w:right w:val="single" w:color="000000" w:sz="4" w:space="0"/>
            </w:tcBorders>
            <w:shd w:val="clear" w:color="auto" w:fill="auto"/>
            <w:vAlign w:val="center"/>
          </w:tcPr>
          <w:p w14:paraId="2DDD71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备品备件提供、配置、响应（10分）</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AB3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根据提供的备件库的规模和对本项目维保设备备件的覆盖情况，进行打分。0-5分</w:t>
            </w:r>
          </w:p>
          <w:p w14:paraId="0FF36B8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规模大，覆盖全面得5分</w:t>
            </w:r>
          </w:p>
          <w:p w14:paraId="669BA22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规模一般，覆盖较全面得3分</w:t>
            </w:r>
          </w:p>
          <w:p w14:paraId="69F0538F">
            <w:pPr>
              <w:keepNext w:val="0"/>
              <w:keepLines w:val="0"/>
              <w:widowControl/>
              <w:suppressLineNumbers w:val="0"/>
              <w:jc w:val="left"/>
              <w:textAlignment w:val="center"/>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规模小或覆盖不全面得1分</w:t>
            </w:r>
          </w:p>
        </w:tc>
        <w:tc>
          <w:tcPr>
            <w:tcW w:w="1414" w:type="dxa"/>
            <w:vMerge w:val="restart"/>
            <w:tcBorders>
              <w:top w:val="single" w:color="000000" w:sz="4" w:space="0"/>
              <w:left w:val="single" w:color="000000" w:sz="4" w:space="0"/>
              <w:right w:val="single" w:color="000000" w:sz="4" w:space="0"/>
            </w:tcBorders>
            <w:shd w:val="clear" w:color="auto" w:fill="auto"/>
            <w:vAlign w:val="center"/>
          </w:tcPr>
          <w:p w14:paraId="66328C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w:t>
            </w:r>
          </w:p>
        </w:tc>
        <w:tc>
          <w:tcPr>
            <w:tcW w:w="1327" w:type="dxa"/>
            <w:vMerge w:val="restart"/>
            <w:tcBorders>
              <w:top w:val="single" w:color="000000" w:sz="4" w:space="0"/>
              <w:left w:val="single" w:color="000000" w:sz="4" w:space="0"/>
              <w:right w:val="single" w:color="000000" w:sz="8" w:space="0"/>
            </w:tcBorders>
            <w:shd w:val="clear" w:color="auto" w:fill="auto"/>
            <w:vAlign w:val="center"/>
          </w:tcPr>
          <w:p w14:paraId="621DB7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主</w:t>
            </w:r>
            <w:r>
              <w:rPr>
                <w:rFonts w:hint="eastAsia" w:ascii="宋体" w:hAnsi="宋体" w:eastAsia="宋体" w:cs="宋体"/>
                <w:i w:val="0"/>
                <w:iCs w:val="0"/>
                <w:color w:val="auto"/>
                <w:kern w:val="0"/>
                <w:sz w:val="24"/>
                <w:szCs w:val="24"/>
                <w:highlight w:val="none"/>
                <w:u w:val="none"/>
                <w:lang w:val="en-US" w:eastAsia="zh-CN" w:bidi="ar"/>
              </w:rPr>
              <w:t>观分</w:t>
            </w:r>
          </w:p>
        </w:tc>
      </w:tr>
      <w:tr w14:paraId="3BE1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16" w:type="dxa"/>
            <w:vMerge w:val="continue"/>
            <w:tcBorders>
              <w:left w:val="single" w:color="000000" w:sz="8" w:space="0"/>
              <w:bottom w:val="single" w:color="000000" w:sz="4" w:space="0"/>
              <w:right w:val="single" w:color="000000" w:sz="4" w:space="0"/>
            </w:tcBorders>
            <w:shd w:val="clear" w:color="auto" w:fill="auto"/>
            <w:vAlign w:val="bottom"/>
          </w:tcPr>
          <w:p w14:paraId="7DC3AD0C">
            <w:pPr>
              <w:keepNext w:val="0"/>
              <w:keepLines w:val="0"/>
              <w:widowControl/>
              <w:suppressLineNumbers w:val="0"/>
              <w:jc w:val="left"/>
              <w:textAlignment w:val="center"/>
              <w:rPr>
                <w:color w:val="auto"/>
                <w:highlight w:val="none"/>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08FA43B0">
            <w:pPr>
              <w:keepNext w:val="0"/>
              <w:keepLines w:val="0"/>
              <w:widowControl/>
              <w:suppressLineNumbers w:val="0"/>
              <w:jc w:val="left"/>
              <w:textAlignment w:val="center"/>
              <w:rPr>
                <w:color w:val="auto"/>
                <w:highlight w:val="none"/>
              </w:rPr>
            </w:pPr>
          </w:p>
        </w:tc>
        <w:tc>
          <w:tcPr>
            <w:tcW w:w="1126" w:type="dxa"/>
            <w:vMerge w:val="continue"/>
            <w:tcBorders>
              <w:left w:val="single" w:color="000000" w:sz="4" w:space="0"/>
              <w:bottom w:val="single" w:color="000000" w:sz="4" w:space="0"/>
              <w:right w:val="single" w:color="000000" w:sz="4" w:space="0"/>
            </w:tcBorders>
            <w:shd w:val="clear" w:color="auto" w:fill="auto"/>
            <w:vAlign w:val="center"/>
          </w:tcPr>
          <w:p w14:paraId="567B24FC">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FA7A">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根据提供的备件库地址远近和备品备件到现场的响应时间，进行打分。</w:t>
            </w:r>
            <w:r>
              <w:rPr>
                <w:rFonts w:hint="eastAsia" w:ascii="宋体" w:hAnsi="宋体" w:cs="宋体"/>
                <w:color w:val="auto"/>
                <w:sz w:val="24"/>
                <w:szCs w:val="24"/>
                <w:highlight w:val="none"/>
                <w:lang w:val="en-US" w:eastAsia="zh-CN"/>
              </w:rPr>
              <w:t>0-5分</w:t>
            </w:r>
          </w:p>
          <w:p w14:paraId="10474C0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备件库地址近和备品备件到现场的响应时间非常快的5分；</w:t>
            </w:r>
          </w:p>
          <w:p w14:paraId="03EF6DB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备件库地址较近和备品备件到现场的响应时间较快的得3分；</w:t>
            </w:r>
          </w:p>
          <w:p w14:paraId="20A34CE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备件库地址较远和备品备件到现场的响应时间较慢的得1分。</w:t>
            </w:r>
          </w:p>
        </w:tc>
        <w:tc>
          <w:tcPr>
            <w:tcW w:w="1414" w:type="dxa"/>
            <w:vMerge w:val="continue"/>
            <w:tcBorders>
              <w:left w:val="single" w:color="000000" w:sz="4" w:space="0"/>
              <w:bottom w:val="single" w:color="000000" w:sz="4" w:space="0"/>
              <w:right w:val="single" w:color="000000" w:sz="4" w:space="0"/>
            </w:tcBorders>
            <w:shd w:val="clear" w:color="auto" w:fill="auto"/>
            <w:vAlign w:val="center"/>
          </w:tcPr>
          <w:p w14:paraId="627EDAA0">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1327" w:type="dxa"/>
            <w:vMerge w:val="continue"/>
            <w:tcBorders>
              <w:left w:val="single" w:color="000000" w:sz="4" w:space="0"/>
              <w:bottom w:val="single" w:color="000000" w:sz="4" w:space="0"/>
              <w:right w:val="single" w:color="000000" w:sz="8" w:space="0"/>
            </w:tcBorders>
            <w:shd w:val="clear" w:color="auto" w:fill="auto"/>
            <w:vAlign w:val="center"/>
          </w:tcPr>
          <w:p w14:paraId="5CFF19C4">
            <w:pPr>
              <w:keepNext w:val="0"/>
              <w:keepLines w:val="0"/>
              <w:widowControl/>
              <w:suppressLineNumbers w:val="0"/>
              <w:jc w:val="left"/>
              <w:textAlignment w:val="center"/>
              <w:rPr>
                <w:rFonts w:hint="eastAsia" w:ascii="宋体" w:hAnsi="宋体" w:eastAsia="宋体" w:cs="宋体"/>
                <w:color w:val="auto"/>
                <w:sz w:val="22"/>
                <w:szCs w:val="22"/>
                <w:highlight w:val="none"/>
              </w:rPr>
            </w:pPr>
          </w:p>
        </w:tc>
      </w:tr>
      <w:tr w14:paraId="06E2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2A93D13E">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334C">
            <w:pPr>
              <w:jc w:val="center"/>
              <w:rPr>
                <w:rFonts w:hint="eastAsia" w:ascii="宋体" w:hAnsi="宋体" w:eastAsia="宋体" w:cs="宋体"/>
                <w:i w:val="0"/>
                <w:iCs w:val="0"/>
                <w:color w:val="auto"/>
                <w:sz w:val="24"/>
                <w:szCs w:val="24"/>
                <w:highlight w:val="none"/>
                <w:u w:val="none"/>
              </w:rPr>
            </w:pPr>
          </w:p>
        </w:tc>
        <w:tc>
          <w:tcPr>
            <w:tcW w:w="1126" w:type="dxa"/>
            <w:vMerge w:val="restart"/>
            <w:tcBorders>
              <w:top w:val="single" w:color="000000" w:sz="4" w:space="0"/>
              <w:left w:val="single" w:color="000000" w:sz="4" w:space="0"/>
              <w:right w:val="single" w:color="000000" w:sz="4" w:space="0"/>
            </w:tcBorders>
            <w:shd w:val="clear" w:color="auto" w:fill="auto"/>
            <w:vAlign w:val="center"/>
          </w:tcPr>
          <w:p w14:paraId="5B05B2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zh-CN"/>
              </w:rPr>
              <w:t>服务质量保障（</w:t>
            </w:r>
            <w:r>
              <w:rPr>
                <w:rFonts w:hint="eastAsia" w:ascii="宋体" w:hAnsi="宋体" w:eastAsia="宋体" w:cs="宋体"/>
                <w:color w:val="auto"/>
                <w:sz w:val="24"/>
                <w:szCs w:val="24"/>
                <w:highlight w:val="none"/>
              </w:rPr>
              <w:t>11分</w:t>
            </w:r>
            <w:r>
              <w:rPr>
                <w:rFonts w:hint="eastAsia" w:ascii="宋体" w:hAnsi="宋体" w:eastAsia="宋体" w:cs="宋体"/>
                <w:color w:val="auto"/>
                <w:sz w:val="24"/>
                <w:szCs w:val="24"/>
                <w:highlight w:val="none"/>
                <w:lang w:val="zh-CN"/>
              </w:rPr>
              <w:t>）</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296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根据投标人是否有严格的服务管理制度、维保操作规程及切实可行的考核办法以及完善的服务保障体系进行</w:t>
            </w:r>
            <w:r>
              <w:rPr>
                <w:rFonts w:hint="eastAsia" w:ascii="宋体" w:hAnsi="宋体" w:eastAsia="宋体" w:cs="宋体"/>
                <w:color w:val="auto"/>
                <w:sz w:val="24"/>
                <w:szCs w:val="24"/>
                <w:highlight w:val="none"/>
                <w:lang w:val="zh-CN"/>
              </w:rPr>
              <w:t>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574051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内容完善、科学的得3分</w:t>
            </w:r>
          </w:p>
          <w:p w14:paraId="6B0F0485">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内容较完善、科学的得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12AE429">
            <w:pPr>
              <w:keepNext w:val="0"/>
              <w:keepLines w:val="0"/>
              <w:widowControl/>
              <w:suppressLineNumbers w:val="0"/>
              <w:jc w:val="left"/>
              <w:textAlignment w:val="cente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内容不完善、不科学的得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1414" w:type="dxa"/>
            <w:vMerge w:val="restart"/>
            <w:tcBorders>
              <w:top w:val="single" w:color="000000" w:sz="4" w:space="0"/>
              <w:left w:val="single" w:color="000000" w:sz="4" w:space="0"/>
              <w:right w:val="single" w:color="000000" w:sz="4" w:space="0"/>
            </w:tcBorders>
            <w:shd w:val="clear" w:color="auto" w:fill="auto"/>
            <w:vAlign w:val="center"/>
          </w:tcPr>
          <w:p w14:paraId="2DFA727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0-11</w:t>
            </w:r>
          </w:p>
        </w:tc>
        <w:tc>
          <w:tcPr>
            <w:tcW w:w="1327" w:type="dxa"/>
            <w:vMerge w:val="restart"/>
            <w:tcBorders>
              <w:top w:val="single" w:color="000000" w:sz="4" w:space="0"/>
              <w:left w:val="single" w:color="000000" w:sz="4" w:space="0"/>
              <w:right w:val="single" w:color="000000" w:sz="8" w:space="0"/>
            </w:tcBorders>
            <w:shd w:val="clear" w:color="auto" w:fill="auto"/>
            <w:vAlign w:val="center"/>
          </w:tcPr>
          <w:p w14:paraId="71B6A9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主</w:t>
            </w:r>
            <w:r>
              <w:rPr>
                <w:rFonts w:hint="eastAsia" w:ascii="宋体" w:hAnsi="宋体" w:eastAsia="宋体" w:cs="宋体"/>
                <w:i w:val="0"/>
                <w:iCs w:val="0"/>
                <w:color w:val="auto"/>
                <w:kern w:val="0"/>
                <w:sz w:val="24"/>
                <w:szCs w:val="24"/>
                <w:highlight w:val="none"/>
                <w:u w:val="none"/>
                <w:lang w:val="en-US" w:eastAsia="zh-CN" w:bidi="ar"/>
              </w:rPr>
              <w:t>观分</w:t>
            </w:r>
          </w:p>
        </w:tc>
      </w:tr>
      <w:tr w14:paraId="76C9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72AE3D31">
            <w:pPr>
              <w:keepNext w:val="0"/>
              <w:keepLines w:val="0"/>
              <w:widowControl/>
              <w:suppressLineNumbers w:val="0"/>
              <w:jc w:val="left"/>
              <w:textAlignment w:val="center"/>
              <w:rPr>
                <w:color w:val="auto"/>
                <w:highlight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1129">
            <w:pPr>
              <w:keepNext w:val="0"/>
              <w:keepLines w:val="0"/>
              <w:widowControl/>
              <w:suppressLineNumbers w:val="0"/>
              <w:jc w:val="left"/>
              <w:textAlignment w:val="center"/>
              <w:rPr>
                <w:color w:val="auto"/>
                <w:highlight w:val="none"/>
              </w:rPr>
            </w:pPr>
          </w:p>
        </w:tc>
        <w:tc>
          <w:tcPr>
            <w:tcW w:w="1126" w:type="dxa"/>
            <w:vMerge w:val="continue"/>
            <w:tcBorders>
              <w:left w:val="single" w:color="000000" w:sz="4" w:space="0"/>
              <w:right w:val="single" w:color="000000" w:sz="4" w:space="0"/>
            </w:tcBorders>
            <w:shd w:val="clear" w:color="auto" w:fill="auto"/>
            <w:vAlign w:val="center"/>
          </w:tcPr>
          <w:p w14:paraId="2FABEACC">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B0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根据供应商售后服务响应时间进行打分。</w:t>
            </w:r>
          </w:p>
          <w:p w14:paraId="7E0C4C6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响应时间快的3分；</w:t>
            </w:r>
          </w:p>
          <w:p w14:paraId="2C376A2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响应时间一般的2分；</w:t>
            </w:r>
          </w:p>
          <w:p w14:paraId="3CA65B1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响应时间较慢的1分。</w:t>
            </w:r>
          </w:p>
          <w:p w14:paraId="4DD369E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提供售后服务响应时间承诺书及其他</w:t>
            </w:r>
            <w:r>
              <w:rPr>
                <w:rFonts w:hint="eastAsia" w:ascii="宋体" w:hAnsi="宋体" w:cs="宋体"/>
                <w:color w:val="auto"/>
                <w:sz w:val="24"/>
                <w:szCs w:val="24"/>
                <w:highlight w:val="none"/>
                <w:lang w:val="en-US" w:eastAsia="zh-CN"/>
              </w:rPr>
              <w:t>如导航地图等</w:t>
            </w:r>
            <w:r>
              <w:rPr>
                <w:rFonts w:hint="eastAsia" w:ascii="宋体" w:hAnsi="宋体" w:eastAsia="宋体" w:cs="宋体"/>
                <w:color w:val="auto"/>
                <w:sz w:val="24"/>
                <w:szCs w:val="24"/>
                <w:highlight w:val="none"/>
                <w:lang w:val="en-US" w:eastAsia="zh-CN"/>
              </w:rPr>
              <w:t>证明材料（加盖公章），否则不得分。</w:t>
            </w:r>
          </w:p>
        </w:tc>
        <w:tc>
          <w:tcPr>
            <w:tcW w:w="1414" w:type="dxa"/>
            <w:vMerge w:val="continue"/>
            <w:tcBorders>
              <w:left w:val="single" w:color="000000" w:sz="4" w:space="0"/>
              <w:right w:val="single" w:color="000000" w:sz="4" w:space="0"/>
            </w:tcBorders>
            <w:shd w:val="clear" w:color="auto" w:fill="auto"/>
            <w:vAlign w:val="center"/>
          </w:tcPr>
          <w:p w14:paraId="705ADF8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27" w:type="dxa"/>
            <w:vMerge w:val="continue"/>
            <w:tcBorders>
              <w:left w:val="single" w:color="000000" w:sz="4" w:space="0"/>
              <w:right w:val="single" w:color="000000" w:sz="8" w:space="0"/>
            </w:tcBorders>
            <w:shd w:val="clear" w:color="auto" w:fill="auto"/>
            <w:vAlign w:val="center"/>
          </w:tcPr>
          <w:p w14:paraId="4DA8698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p>
        </w:tc>
      </w:tr>
      <w:tr w14:paraId="7069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16" w:type="dxa"/>
            <w:vMerge w:val="continue"/>
            <w:tcBorders>
              <w:left w:val="single" w:color="000000" w:sz="8" w:space="0"/>
              <w:bottom w:val="single" w:color="000000" w:sz="4" w:space="0"/>
              <w:right w:val="single" w:color="000000" w:sz="4" w:space="0"/>
            </w:tcBorders>
            <w:shd w:val="clear" w:color="auto" w:fill="auto"/>
            <w:vAlign w:val="bottom"/>
          </w:tcPr>
          <w:p w14:paraId="2A3F30D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3CBC0C9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p>
        </w:tc>
        <w:tc>
          <w:tcPr>
            <w:tcW w:w="1126" w:type="dxa"/>
            <w:vMerge w:val="continue"/>
            <w:tcBorders>
              <w:left w:val="single" w:color="000000" w:sz="4" w:space="0"/>
              <w:bottom w:val="single" w:color="000000" w:sz="4" w:space="0"/>
              <w:right w:val="single" w:color="000000" w:sz="4" w:space="0"/>
            </w:tcBorders>
            <w:shd w:val="clear" w:color="auto" w:fill="auto"/>
            <w:vAlign w:val="center"/>
          </w:tcPr>
          <w:p w14:paraId="0D0A6EF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999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设备故障解决时间等承诺的及时性，</w:t>
            </w:r>
          </w:p>
          <w:p w14:paraId="37C2829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高于招标文件要求的，得5分；</w:t>
            </w:r>
          </w:p>
          <w:p w14:paraId="073F548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完全满足招标文件要求的，得3分；</w:t>
            </w:r>
          </w:p>
          <w:p w14:paraId="227B4B0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不满足招标文件要求的，得1分。</w:t>
            </w:r>
          </w:p>
        </w:tc>
        <w:tc>
          <w:tcPr>
            <w:tcW w:w="1414" w:type="dxa"/>
            <w:vMerge w:val="continue"/>
            <w:tcBorders>
              <w:left w:val="single" w:color="000000" w:sz="4" w:space="0"/>
              <w:bottom w:val="single" w:color="000000" w:sz="4" w:space="0"/>
              <w:right w:val="single" w:color="000000" w:sz="4" w:space="0"/>
            </w:tcBorders>
            <w:shd w:val="clear" w:color="auto" w:fill="auto"/>
            <w:vAlign w:val="center"/>
          </w:tcPr>
          <w:p w14:paraId="4FE79B3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27" w:type="dxa"/>
            <w:vMerge w:val="continue"/>
            <w:tcBorders>
              <w:left w:val="single" w:color="000000" w:sz="4" w:space="0"/>
              <w:bottom w:val="single" w:color="000000" w:sz="4" w:space="0"/>
              <w:right w:val="single" w:color="000000" w:sz="8" w:space="0"/>
            </w:tcBorders>
            <w:shd w:val="clear" w:color="auto" w:fill="auto"/>
            <w:vAlign w:val="center"/>
          </w:tcPr>
          <w:p w14:paraId="325A4E6A">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p>
        </w:tc>
      </w:tr>
      <w:tr w14:paraId="1E09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6547F4B">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E4EAF">
            <w:pPr>
              <w:jc w:val="center"/>
              <w:rPr>
                <w:rFonts w:hint="eastAsia" w:ascii="宋体" w:hAnsi="宋体" w:eastAsia="宋体" w:cs="宋体"/>
                <w:i w:val="0"/>
                <w:iCs w:val="0"/>
                <w:color w:val="auto"/>
                <w:sz w:val="24"/>
                <w:szCs w:val="24"/>
                <w:highlight w:val="none"/>
                <w:u w:val="none"/>
              </w:rPr>
            </w:pPr>
          </w:p>
        </w:tc>
        <w:tc>
          <w:tcPr>
            <w:tcW w:w="1126" w:type="dxa"/>
            <w:vMerge w:val="restart"/>
            <w:tcBorders>
              <w:top w:val="single" w:color="000000" w:sz="4" w:space="0"/>
              <w:left w:val="single" w:color="000000" w:sz="4" w:space="0"/>
              <w:right w:val="single" w:color="000000" w:sz="4" w:space="0"/>
            </w:tcBorders>
            <w:shd w:val="clear" w:color="auto" w:fill="auto"/>
            <w:vAlign w:val="center"/>
          </w:tcPr>
          <w:p w14:paraId="67A027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项目服务人员（12分）</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DBB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投标人为本项目提供的</w:t>
            </w:r>
            <w:r>
              <w:rPr>
                <w:rFonts w:hint="eastAsia" w:ascii="宋体" w:hAnsi="宋体" w:eastAsia="宋体" w:cs="宋体"/>
                <w:snapToGrid/>
                <w:color w:val="auto"/>
                <w:kern w:val="2"/>
                <w:sz w:val="24"/>
                <w:szCs w:val="24"/>
                <w:highlight w:val="none"/>
                <w:lang w:val="en-US" w:eastAsia="zh-CN" w:bidi="ar-SA"/>
              </w:rPr>
              <w:t>项目经理，要求具备信息系统项目管理师（高级）认证证书、信息安全保障人员认证证书（应急）、国家信息安全测评注册信息安全专业人员证书，每具备一项证书得1分，最多得3分</w:t>
            </w:r>
            <w:r>
              <w:rPr>
                <w:rFonts w:hint="eastAsia" w:ascii="宋体" w:hAnsi="宋体" w:eastAsia="宋体" w:cs="宋体"/>
                <w:color w:val="auto"/>
                <w:sz w:val="24"/>
                <w:szCs w:val="24"/>
                <w:highlight w:val="none"/>
                <w:lang w:val="en-US" w:eastAsia="zh-CN"/>
              </w:rPr>
              <w:t>；</w:t>
            </w:r>
          </w:p>
          <w:p w14:paraId="2E2C71E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（以上需提供所在单位的社保缴费证明和证书复印件，否则不得分）</w:t>
            </w:r>
          </w:p>
        </w:tc>
        <w:tc>
          <w:tcPr>
            <w:tcW w:w="1414" w:type="dxa"/>
            <w:vMerge w:val="restart"/>
            <w:tcBorders>
              <w:top w:val="single" w:color="000000" w:sz="4" w:space="0"/>
              <w:left w:val="single" w:color="000000" w:sz="4" w:space="0"/>
              <w:right w:val="single" w:color="000000" w:sz="4" w:space="0"/>
            </w:tcBorders>
            <w:shd w:val="clear" w:color="auto" w:fill="auto"/>
            <w:vAlign w:val="center"/>
          </w:tcPr>
          <w:p w14:paraId="0553C40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0-12</w:t>
            </w:r>
          </w:p>
        </w:tc>
        <w:tc>
          <w:tcPr>
            <w:tcW w:w="1327" w:type="dxa"/>
            <w:vMerge w:val="restart"/>
            <w:tcBorders>
              <w:top w:val="single" w:color="000000" w:sz="4" w:space="0"/>
              <w:left w:val="single" w:color="000000" w:sz="4" w:space="0"/>
              <w:right w:val="single" w:color="000000" w:sz="8" w:space="0"/>
            </w:tcBorders>
            <w:shd w:val="clear" w:color="auto" w:fill="auto"/>
            <w:vAlign w:val="center"/>
          </w:tcPr>
          <w:p w14:paraId="07775E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客</w:t>
            </w:r>
            <w:r>
              <w:rPr>
                <w:rFonts w:hint="eastAsia" w:ascii="宋体" w:hAnsi="宋体" w:eastAsia="宋体" w:cs="宋体"/>
                <w:i w:val="0"/>
                <w:iCs w:val="0"/>
                <w:color w:val="auto"/>
                <w:kern w:val="0"/>
                <w:sz w:val="24"/>
                <w:szCs w:val="24"/>
                <w:highlight w:val="none"/>
                <w:u w:val="none"/>
                <w:lang w:val="en-US" w:eastAsia="zh-CN" w:bidi="ar"/>
              </w:rPr>
              <w:t>观分</w:t>
            </w:r>
          </w:p>
        </w:tc>
      </w:tr>
      <w:tr w14:paraId="3BBA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73F51B26">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1384">
            <w:pPr>
              <w:jc w:val="center"/>
              <w:rPr>
                <w:rFonts w:hint="eastAsia" w:ascii="宋体" w:hAnsi="宋体" w:eastAsia="宋体" w:cs="宋体"/>
                <w:i w:val="0"/>
                <w:iCs w:val="0"/>
                <w:color w:val="auto"/>
                <w:sz w:val="24"/>
                <w:szCs w:val="24"/>
                <w:highlight w:val="none"/>
                <w:u w:val="none"/>
              </w:rPr>
            </w:pPr>
          </w:p>
        </w:tc>
        <w:tc>
          <w:tcPr>
            <w:tcW w:w="1126" w:type="dxa"/>
            <w:vMerge w:val="continue"/>
            <w:tcBorders>
              <w:left w:val="single" w:color="000000" w:sz="4" w:space="0"/>
              <w:right w:val="single" w:color="000000" w:sz="4" w:space="0"/>
            </w:tcBorders>
            <w:shd w:val="clear" w:color="auto" w:fill="auto"/>
            <w:vAlign w:val="center"/>
          </w:tcPr>
          <w:p w14:paraId="0B656CDA">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28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本项目提供的项目技术负责人，要求具备系统分析师(高级)证书、信息技术(系统集成)高级工程师证书，提供一个得1分，满分2分，不提供不得分。</w:t>
            </w:r>
            <w:r>
              <w:rPr>
                <w:rFonts w:hint="eastAsia" w:ascii="宋体" w:hAnsi="宋体" w:eastAsia="宋体" w:cs="宋体"/>
                <w:color w:val="auto"/>
                <w:sz w:val="24"/>
                <w:szCs w:val="24"/>
                <w:highlight w:val="none"/>
                <w:lang w:val="en-US" w:eastAsia="zh-CN"/>
              </w:rPr>
              <w:t>（以上需提供所在单位的社保缴费证明和证书复印件，否则不得分）</w:t>
            </w:r>
          </w:p>
        </w:tc>
        <w:tc>
          <w:tcPr>
            <w:tcW w:w="1414" w:type="dxa"/>
            <w:vMerge w:val="continue"/>
            <w:tcBorders>
              <w:left w:val="single" w:color="000000" w:sz="4" w:space="0"/>
              <w:right w:val="single" w:color="000000" w:sz="4" w:space="0"/>
            </w:tcBorders>
            <w:shd w:val="clear" w:color="auto" w:fill="auto"/>
            <w:vAlign w:val="center"/>
          </w:tcPr>
          <w:p w14:paraId="0D64D1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7" w:type="dxa"/>
            <w:vMerge w:val="continue"/>
            <w:tcBorders>
              <w:left w:val="single" w:color="000000" w:sz="4" w:space="0"/>
              <w:right w:val="single" w:color="000000" w:sz="8" w:space="0"/>
            </w:tcBorders>
            <w:shd w:val="clear" w:color="auto" w:fill="auto"/>
            <w:vAlign w:val="center"/>
          </w:tcPr>
          <w:p w14:paraId="02D5EC4B">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r>
      <w:tr w14:paraId="4E39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816" w:type="dxa"/>
            <w:vMerge w:val="continue"/>
            <w:tcBorders>
              <w:left w:val="single" w:color="000000" w:sz="8" w:space="0"/>
              <w:bottom w:val="single" w:color="000000" w:sz="4" w:space="0"/>
              <w:right w:val="single" w:color="000000" w:sz="4" w:space="0"/>
            </w:tcBorders>
            <w:shd w:val="clear" w:color="auto" w:fill="auto"/>
            <w:vAlign w:val="bottom"/>
          </w:tcPr>
          <w:p w14:paraId="7C9BD153">
            <w:pPr>
              <w:keepNext w:val="0"/>
              <w:keepLines w:val="0"/>
              <w:widowControl/>
              <w:suppressLineNumbers w:val="0"/>
              <w:jc w:val="left"/>
              <w:textAlignment w:val="center"/>
              <w:rPr>
                <w:color w:val="auto"/>
                <w:highlight w:val="none"/>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223ACCA2">
            <w:pPr>
              <w:keepNext w:val="0"/>
              <w:keepLines w:val="0"/>
              <w:widowControl/>
              <w:suppressLineNumbers w:val="0"/>
              <w:jc w:val="left"/>
              <w:textAlignment w:val="center"/>
              <w:rPr>
                <w:color w:val="auto"/>
                <w:highlight w:val="none"/>
              </w:rPr>
            </w:pPr>
          </w:p>
        </w:tc>
        <w:tc>
          <w:tcPr>
            <w:tcW w:w="1126" w:type="dxa"/>
            <w:vMerge w:val="continue"/>
            <w:tcBorders>
              <w:left w:val="single" w:color="000000" w:sz="4" w:space="0"/>
              <w:bottom w:val="single" w:color="000000" w:sz="4" w:space="0"/>
              <w:right w:val="single" w:color="000000" w:sz="4" w:space="0"/>
            </w:tcBorders>
            <w:shd w:val="clear" w:color="auto" w:fill="auto"/>
            <w:vAlign w:val="center"/>
          </w:tcPr>
          <w:p w14:paraId="4B125A2D">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0A7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为本项目提供技术服务团队人员具备</w:t>
            </w:r>
            <w:r>
              <w:rPr>
                <w:rFonts w:hint="eastAsia" w:ascii="宋体" w:hAnsi="宋体" w:eastAsia="宋体" w:cs="宋体"/>
                <w:snapToGrid/>
                <w:color w:val="auto"/>
                <w:kern w:val="2"/>
                <w:sz w:val="24"/>
                <w:szCs w:val="24"/>
                <w:highlight w:val="none"/>
                <w:lang w:val="en-US" w:eastAsia="zh-CN" w:bidi="ar-SA"/>
              </w:rPr>
              <w:t>系统分析师认证证书、网络工程师认证证书、</w:t>
            </w:r>
            <w:r>
              <w:rPr>
                <w:rFonts w:hint="eastAsia" w:ascii="宋体" w:hAnsi="宋体" w:eastAsia="宋体" w:cs="宋体"/>
                <w:color w:val="auto"/>
                <w:sz w:val="24"/>
                <w:szCs w:val="24"/>
                <w:highlight w:val="none"/>
                <w:lang w:val="en-US" w:eastAsia="zh-CN"/>
              </w:rPr>
              <w:t>注册信息安全专业人员认证</w:t>
            </w:r>
            <w:r>
              <w:rPr>
                <w:rFonts w:hint="eastAsia" w:ascii="宋体" w:hAnsi="宋体" w:eastAsia="宋体" w:cs="宋体"/>
                <w:snapToGrid/>
                <w:color w:val="auto"/>
                <w:kern w:val="2"/>
                <w:sz w:val="24"/>
                <w:szCs w:val="24"/>
                <w:highlight w:val="none"/>
                <w:lang w:val="en-US" w:eastAsia="zh-CN" w:bidi="ar-SA"/>
              </w:rPr>
              <w:t>、信息系统项目管理师，二级建造师注册证书（机电工程）</w:t>
            </w:r>
            <w:r>
              <w:rPr>
                <w:rFonts w:hint="eastAsia" w:ascii="宋体" w:hAnsi="宋体" w:eastAsia="宋体" w:cs="宋体"/>
                <w:color w:val="auto"/>
                <w:sz w:val="24"/>
                <w:szCs w:val="24"/>
                <w:highlight w:val="none"/>
                <w:lang w:val="en-US" w:eastAsia="zh-CN"/>
              </w:rPr>
              <w:t>，每提供一名得1分，证书人员不能相互重合，最高得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3E4514B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（以上需提供所在单位的社保缴费证明和证书复印件，否则不得分）</w:t>
            </w:r>
          </w:p>
        </w:tc>
        <w:tc>
          <w:tcPr>
            <w:tcW w:w="1414" w:type="dxa"/>
            <w:vMerge w:val="continue"/>
            <w:tcBorders>
              <w:left w:val="single" w:color="000000" w:sz="4" w:space="0"/>
              <w:bottom w:val="single" w:color="000000" w:sz="4" w:space="0"/>
              <w:right w:val="single" w:color="000000" w:sz="4" w:space="0"/>
            </w:tcBorders>
            <w:shd w:val="clear" w:color="auto" w:fill="auto"/>
            <w:vAlign w:val="center"/>
          </w:tcPr>
          <w:p w14:paraId="6E907E2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7" w:type="dxa"/>
            <w:vMerge w:val="continue"/>
            <w:tcBorders>
              <w:left w:val="single" w:color="000000" w:sz="4" w:space="0"/>
              <w:bottom w:val="single" w:color="000000" w:sz="4" w:space="0"/>
              <w:right w:val="single" w:color="000000" w:sz="8" w:space="0"/>
            </w:tcBorders>
            <w:shd w:val="clear" w:color="auto" w:fill="auto"/>
            <w:vAlign w:val="center"/>
          </w:tcPr>
          <w:p w14:paraId="651D052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A5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8"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45F9C6D1">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BB63">
            <w:pPr>
              <w:jc w:val="center"/>
              <w:rPr>
                <w:rFonts w:hint="eastAsia" w:ascii="宋体" w:hAnsi="宋体" w:eastAsia="宋体" w:cs="宋体"/>
                <w:i w:val="0"/>
                <w:iCs w:val="0"/>
                <w:color w:val="auto"/>
                <w:sz w:val="24"/>
                <w:szCs w:val="24"/>
                <w:highlight w:val="none"/>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类似项目业绩（</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DEA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投标人的类似项目业绩，</w:t>
            </w:r>
            <w:r>
              <w:rPr>
                <w:rFonts w:hint="eastAsia" w:ascii="宋体" w:hAnsi="宋体" w:eastAsia="宋体" w:cs="宋体"/>
                <w:color w:val="auto"/>
                <w:sz w:val="24"/>
                <w:szCs w:val="24"/>
                <w:highlight w:val="none"/>
                <w:lang w:val="en-US" w:eastAsia="zh-CN"/>
              </w:rPr>
              <w:t>每个</w:t>
            </w:r>
            <w:r>
              <w:rPr>
                <w:rFonts w:hint="eastAsia" w:ascii="宋体" w:hAnsi="宋体" w:eastAsia="宋体" w:cs="宋体"/>
                <w:color w:val="auto"/>
                <w:sz w:val="24"/>
                <w:szCs w:val="24"/>
                <w:highlight w:val="none"/>
              </w:rPr>
              <w:t>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提供中标通知书及合同扫描件</w:t>
            </w:r>
            <w:r>
              <w:rPr>
                <w:rFonts w:hint="eastAsia" w:ascii="宋体" w:hAnsi="宋体" w:eastAsia="宋体" w:cs="宋体"/>
                <w:color w:val="auto"/>
                <w:sz w:val="24"/>
                <w:szCs w:val="24"/>
                <w:highlight w:val="none"/>
                <w:lang w:eastAsia="zh-CN"/>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4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3</w:t>
            </w:r>
          </w:p>
        </w:tc>
        <w:tc>
          <w:tcPr>
            <w:tcW w:w="13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025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客</w:t>
            </w:r>
            <w:r>
              <w:rPr>
                <w:rFonts w:hint="eastAsia" w:ascii="宋体" w:hAnsi="宋体" w:eastAsia="宋体" w:cs="宋体"/>
                <w:i w:val="0"/>
                <w:iCs w:val="0"/>
                <w:color w:val="auto"/>
                <w:kern w:val="0"/>
                <w:sz w:val="24"/>
                <w:szCs w:val="24"/>
                <w:highlight w:val="none"/>
                <w:u w:val="none"/>
                <w:lang w:val="en-US" w:eastAsia="zh-CN" w:bidi="ar"/>
              </w:rPr>
              <w:t>观分</w:t>
            </w:r>
          </w:p>
        </w:tc>
      </w:tr>
      <w:tr w14:paraId="6DD8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27F6C659">
            <w:pPr>
              <w:jc w:val="center"/>
              <w:rPr>
                <w:rFonts w:hint="eastAsia" w:ascii="宋体" w:hAnsi="宋体" w:eastAsia="宋体" w:cs="宋体"/>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2E19C">
            <w:pPr>
              <w:jc w:val="center"/>
              <w:rPr>
                <w:rFonts w:hint="eastAsia" w:ascii="宋体" w:hAnsi="宋体" w:eastAsia="宋体" w:cs="宋体"/>
                <w:i w:val="0"/>
                <w:iCs w:val="0"/>
                <w:color w:val="auto"/>
                <w:sz w:val="24"/>
                <w:szCs w:val="24"/>
                <w:highlight w:val="none"/>
                <w:u w:val="none"/>
              </w:rPr>
            </w:pPr>
          </w:p>
        </w:tc>
        <w:tc>
          <w:tcPr>
            <w:tcW w:w="808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18D7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说明：各评审因素注明“主观分”或“客观分”</w:t>
            </w:r>
          </w:p>
        </w:tc>
      </w:tr>
      <w:tr w14:paraId="609A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14:paraId="687BA65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31E35C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报价评分标准</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66A9F393">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（1）满足采购文件要求且报价最低的投标报价为评标基准价，其价格分为满分。</w:t>
            </w:r>
          </w:p>
        </w:tc>
      </w:tr>
      <w:tr w14:paraId="2F25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2DD921C6">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69FA17D">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6B3734C5">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（2）其他投标人的投标价格得分按以下公式计算：</w:t>
            </w:r>
          </w:p>
        </w:tc>
      </w:tr>
      <w:tr w14:paraId="1E34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AFA4FD8">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2E47CD">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0F46C570">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投标报价得分=（评标基准价/有效投标报价）× 价格权值 ×100（四舍五入，保留小数点后2位）</w:t>
            </w:r>
          </w:p>
        </w:tc>
      </w:tr>
      <w:tr w14:paraId="678B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0DFC58BC">
            <w:pPr>
              <w:jc w:val="center"/>
              <w:rPr>
                <w:rFonts w:hint="eastAsia" w:ascii="宋体" w:hAnsi="宋体" w:eastAsia="宋体" w:cs="宋体"/>
                <w:i w:val="0"/>
                <w:iCs w:val="0"/>
                <w:color w:val="auto"/>
                <w:sz w:val="24"/>
                <w:szCs w:val="24"/>
                <w:highlight w:val="none"/>
                <w:u w:val="none"/>
              </w:rPr>
            </w:pP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622C55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落实政府采购政策需进行的价格扣除</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0038AB2D">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1）小微企业（含监狱企业、残疾人福利性单位。）报价扣除</w:t>
            </w:r>
            <w:r>
              <w:rPr>
                <w:rFonts w:hint="eastAsia" w:ascii="宋体" w:hAnsi="宋体" w:eastAsia="宋体" w:cs="宋体"/>
                <w:i w:val="0"/>
                <w:iCs w:val="0"/>
                <w:color w:val="auto"/>
                <w:kern w:val="0"/>
                <w:sz w:val="24"/>
                <w:szCs w:val="24"/>
                <w:highlight w:val="none"/>
                <w:u w:val="singl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%，即评标价=投标报价×</w:t>
            </w:r>
            <w:r>
              <w:rPr>
                <w:rFonts w:hint="eastAsia" w:ascii="宋体" w:hAnsi="宋体" w:eastAsia="宋体" w:cs="宋体"/>
                <w:i w:val="0"/>
                <w:iCs w:val="0"/>
                <w:color w:val="auto"/>
                <w:kern w:val="0"/>
                <w:sz w:val="24"/>
                <w:szCs w:val="24"/>
                <w:highlight w:val="none"/>
                <w:u w:val="single"/>
                <w:lang w:val="en-US" w:eastAsia="zh-CN" w:bidi="ar"/>
              </w:rPr>
              <w:t>90</w:t>
            </w:r>
            <w:r>
              <w:rPr>
                <w:rFonts w:hint="eastAsia" w:ascii="宋体" w:hAnsi="宋体" w:eastAsia="宋体" w:cs="宋体"/>
                <w:i w:val="0"/>
                <w:iCs w:val="0"/>
                <w:color w:val="auto"/>
                <w:kern w:val="0"/>
                <w:sz w:val="24"/>
                <w:szCs w:val="24"/>
                <w:highlight w:val="none"/>
                <w:u w:val="none"/>
                <w:lang w:val="en-US" w:eastAsia="zh-CN" w:bidi="ar"/>
              </w:rPr>
              <w:t>%；</w:t>
            </w:r>
          </w:p>
        </w:tc>
      </w:tr>
      <w:tr w14:paraId="429A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09F69361">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3555790">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1D0D637E">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2）联合体协议或者分包意向协议约定小微企业的合同份额占到合同总金额30%以上的联合体或者大中型企业报价扣除</w:t>
            </w:r>
            <w:r>
              <w:rPr>
                <w:rFonts w:hint="eastAsia" w:ascii="宋体" w:hAnsi="宋体" w:eastAsia="宋体" w:cs="宋体"/>
                <w:i w:val="0"/>
                <w:iCs w:val="0"/>
                <w:color w:val="auto"/>
                <w:kern w:val="0"/>
                <w:sz w:val="24"/>
                <w:szCs w:val="24"/>
                <w:highlight w:val="none"/>
                <w:u w:val="singl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%，即评标价=投标报价×</w:t>
            </w:r>
            <w:r>
              <w:rPr>
                <w:rFonts w:hint="eastAsia" w:ascii="宋体" w:hAnsi="宋体" w:eastAsia="宋体" w:cs="宋体"/>
                <w:i w:val="0"/>
                <w:iCs w:val="0"/>
                <w:color w:val="auto"/>
                <w:kern w:val="0"/>
                <w:sz w:val="24"/>
                <w:szCs w:val="24"/>
                <w:highlight w:val="none"/>
                <w:u w:val="single"/>
                <w:lang w:val="en-US" w:eastAsia="zh-CN" w:bidi="ar"/>
              </w:rPr>
              <w:t>94</w:t>
            </w:r>
            <w:r>
              <w:rPr>
                <w:rFonts w:hint="eastAsia" w:ascii="宋体" w:hAnsi="宋体" w:eastAsia="宋体" w:cs="宋体"/>
                <w:i w:val="0"/>
                <w:iCs w:val="0"/>
                <w:color w:val="auto"/>
                <w:kern w:val="0"/>
                <w:sz w:val="24"/>
                <w:szCs w:val="24"/>
                <w:highlight w:val="none"/>
                <w:u w:val="none"/>
                <w:lang w:val="en-US" w:eastAsia="zh-CN" w:bidi="ar"/>
              </w:rPr>
              <w:t>%；</w:t>
            </w:r>
          </w:p>
        </w:tc>
      </w:tr>
      <w:tr w14:paraId="00C6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7154B924">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230398E">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0BB6972E">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%作为其价格分。</w:t>
            </w:r>
          </w:p>
        </w:tc>
      </w:tr>
      <w:tr w14:paraId="08D9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1FC16CC7">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EDD465B">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20A337A4">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4）价格扣除比例或者价格分加分比例对小型企业和微型企业同等对待，不作区分。小型、微型企业、监狱企业、残疾人福利性单位不重复享受价格扣除政策。</w:t>
            </w:r>
          </w:p>
        </w:tc>
      </w:tr>
      <w:tr w14:paraId="4E9E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57B2C8C4">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160443B">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21009E81">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5）组成联合体或者接受分包的小微企业与联合体内其他企业、分包企业之间存在直接控股、管理关系的，不享受价格扣除优惠政策。</w:t>
            </w:r>
          </w:p>
        </w:tc>
      </w:tr>
      <w:tr w14:paraId="5396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3824B34D">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7287AF3">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550394AC">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6）未提供完整证明材料的，不享受价格扣除优惠政策</w:t>
            </w:r>
          </w:p>
        </w:tc>
      </w:tr>
      <w:tr w14:paraId="5F9D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bottom"/>
          </w:tcPr>
          <w:p w14:paraId="7D626AB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6C25AEA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评标结果</w:t>
            </w: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52839818">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☐采购人委托直接确定的中标人</w:t>
            </w:r>
          </w:p>
        </w:tc>
      </w:tr>
      <w:tr w14:paraId="3C47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7704AC45">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222B12">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61149F77">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þ由评标委员会推荐</w:t>
            </w:r>
            <w:r>
              <w:rPr>
                <w:rFonts w:hint="eastAsia" w:ascii="宋体" w:hAnsi="宋体" w:eastAsia="宋体" w:cs="宋体"/>
                <w:i w:val="0"/>
                <w:iCs w:val="0"/>
                <w:color w:val="auto"/>
                <w:kern w:val="0"/>
                <w:sz w:val="24"/>
                <w:szCs w:val="24"/>
                <w:highlight w:val="none"/>
                <w:u w:val="single"/>
                <w:lang w:val="en-US" w:eastAsia="zh-CN" w:bidi="ar"/>
              </w:rPr>
              <w:t xml:space="preserve">  2 </w:t>
            </w:r>
            <w:r>
              <w:rPr>
                <w:rFonts w:hint="eastAsia" w:ascii="宋体" w:hAnsi="宋体" w:eastAsia="宋体" w:cs="宋体"/>
                <w:i w:val="0"/>
                <w:iCs w:val="0"/>
                <w:color w:val="auto"/>
                <w:kern w:val="0"/>
                <w:sz w:val="24"/>
                <w:szCs w:val="24"/>
                <w:highlight w:val="none"/>
                <w:u w:val="none"/>
                <w:lang w:val="en-US" w:eastAsia="zh-CN" w:bidi="ar"/>
              </w:rPr>
              <w:t>名中标候选人</w:t>
            </w:r>
          </w:p>
        </w:tc>
      </w:tr>
      <w:tr w14:paraId="29C3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bottom"/>
          </w:tcPr>
          <w:p w14:paraId="24A0D14C">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C4E2066">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4" w:space="0"/>
              <w:right w:val="single" w:color="000000" w:sz="8" w:space="0"/>
            </w:tcBorders>
            <w:shd w:val="clear" w:color="auto" w:fill="auto"/>
            <w:vAlign w:val="bottom"/>
          </w:tcPr>
          <w:p w14:paraId="248E0736">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þ采用综合评分法的，评标委员会按照投标人综合得分由高到低的顺序推荐；得分相同的，按投标报价由低到高顺序排列。得分且投标报价相同的并列，投标文件满足招标文件全部实质性要求，且按照评审因素的量化指标评审得分最高的投标人为排名第一的中标候选人。</w:t>
            </w:r>
          </w:p>
        </w:tc>
      </w:tr>
      <w:tr w14:paraId="388F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71"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bottom"/>
          </w:tcPr>
          <w:p w14:paraId="253093D1">
            <w:pPr>
              <w:jc w:val="center"/>
              <w:rPr>
                <w:rFonts w:hint="eastAsia" w:ascii="宋体" w:hAnsi="宋体" w:eastAsia="宋体" w:cs="宋体"/>
                <w:i w:val="0"/>
                <w:iCs w:val="0"/>
                <w:color w:val="auto"/>
                <w:sz w:val="24"/>
                <w:szCs w:val="24"/>
                <w:highlight w:val="none"/>
                <w:u w:val="none"/>
              </w:rPr>
            </w:pPr>
          </w:p>
        </w:tc>
        <w:tc>
          <w:tcPr>
            <w:tcW w:w="1126" w:type="dxa"/>
            <w:vMerge w:val="continue"/>
            <w:tcBorders>
              <w:top w:val="single" w:color="000000" w:sz="4" w:space="0"/>
              <w:left w:val="single" w:color="000000" w:sz="4" w:space="0"/>
              <w:bottom w:val="single" w:color="000000" w:sz="8" w:space="0"/>
              <w:right w:val="single" w:color="000000" w:sz="4" w:space="0"/>
            </w:tcBorders>
            <w:shd w:val="clear" w:color="auto" w:fill="auto"/>
            <w:vAlign w:val="bottom"/>
          </w:tcPr>
          <w:p w14:paraId="4C9C1C2D">
            <w:pPr>
              <w:jc w:val="center"/>
              <w:rPr>
                <w:rFonts w:hint="eastAsia" w:ascii="宋体" w:hAnsi="宋体" w:eastAsia="宋体" w:cs="宋体"/>
                <w:i w:val="0"/>
                <w:iCs w:val="0"/>
                <w:color w:val="auto"/>
                <w:sz w:val="24"/>
                <w:szCs w:val="24"/>
                <w:highlight w:val="none"/>
                <w:u w:val="none"/>
              </w:rPr>
            </w:pPr>
          </w:p>
        </w:tc>
        <w:tc>
          <w:tcPr>
            <w:tcW w:w="6963" w:type="dxa"/>
            <w:gridSpan w:val="3"/>
            <w:tcBorders>
              <w:top w:val="single" w:color="000000" w:sz="4" w:space="0"/>
              <w:left w:val="single" w:color="000000" w:sz="4" w:space="0"/>
              <w:bottom w:val="single" w:color="000000" w:sz="8" w:space="0"/>
              <w:right w:val="single" w:color="000000" w:sz="8" w:space="0"/>
            </w:tcBorders>
            <w:shd w:val="clear" w:color="auto" w:fill="auto"/>
            <w:vAlign w:val="bottom"/>
          </w:tcPr>
          <w:p w14:paraId="4F3A27F3">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☐采用最低评标价法的，评标委员会按评标价（投标报价）从低到高的排序。报价相同的并列，则由评标委员会抽签决定排名顺序。</w:t>
            </w:r>
          </w:p>
        </w:tc>
      </w:tr>
      <w:bookmarkEnd w:id="453"/>
    </w:tbl>
    <w:p w14:paraId="0D270A56">
      <w:pPr>
        <w:pStyle w:val="3"/>
        <w:rPr>
          <w:rStyle w:val="84"/>
          <w:rFonts w:ascii="仿宋" w:eastAsia="仿宋"/>
          <w:b/>
          <w:bCs w:val="0"/>
          <w:color w:val="auto"/>
          <w:kern w:val="2"/>
          <w:sz w:val="24"/>
          <w:szCs w:val="24"/>
          <w:highlight w:val="none"/>
        </w:rPr>
      </w:pPr>
      <w:bookmarkStart w:id="455" w:name="_Toc55302373"/>
      <w:bookmarkStart w:id="456" w:name="_Toc63189375"/>
      <w:bookmarkStart w:id="457" w:name="_Toc133499557"/>
      <w:bookmarkStart w:id="458" w:name="_Hlk93170489"/>
      <w:r>
        <w:rPr>
          <w:rStyle w:val="84"/>
          <w:rFonts w:hint="eastAsia" w:ascii="仿宋" w:eastAsia="仿宋"/>
          <w:b/>
          <w:bCs w:val="0"/>
          <w:color w:val="auto"/>
          <w:kern w:val="2"/>
          <w:sz w:val="24"/>
          <w:szCs w:val="24"/>
          <w:highlight w:val="none"/>
        </w:rPr>
        <w:t>1.评标方法</w:t>
      </w:r>
      <w:bookmarkEnd w:id="455"/>
      <w:bookmarkEnd w:id="456"/>
      <w:bookmarkEnd w:id="457"/>
    </w:p>
    <w:p w14:paraId="335406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14:paraId="29A1DB9A">
      <w:pPr>
        <w:pStyle w:val="3"/>
        <w:rPr>
          <w:rStyle w:val="84"/>
          <w:rFonts w:ascii="仿宋" w:eastAsia="仿宋"/>
          <w:b/>
          <w:bCs w:val="0"/>
          <w:color w:val="auto"/>
          <w:kern w:val="2"/>
          <w:sz w:val="24"/>
          <w:szCs w:val="24"/>
          <w:highlight w:val="none"/>
        </w:rPr>
      </w:pPr>
      <w:bookmarkStart w:id="459" w:name="_Toc55302374"/>
      <w:bookmarkStart w:id="460" w:name="_Toc63189376"/>
      <w:bookmarkStart w:id="461" w:name="_Toc133499558"/>
      <w:r>
        <w:rPr>
          <w:rStyle w:val="84"/>
          <w:rFonts w:hint="eastAsia" w:ascii="仿宋" w:eastAsia="仿宋"/>
          <w:b/>
          <w:bCs w:val="0"/>
          <w:color w:val="auto"/>
          <w:kern w:val="2"/>
          <w:sz w:val="24"/>
          <w:szCs w:val="24"/>
          <w:highlight w:val="none"/>
        </w:rPr>
        <w:t>2.评标程序</w:t>
      </w:r>
      <w:bookmarkEnd w:id="459"/>
      <w:bookmarkEnd w:id="460"/>
      <w:r>
        <w:rPr>
          <w:rStyle w:val="84"/>
          <w:rFonts w:hint="eastAsia" w:ascii="仿宋" w:eastAsia="仿宋"/>
          <w:b/>
          <w:bCs w:val="0"/>
          <w:color w:val="auto"/>
          <w:kern w:val="2"/>
          <w:sz w:val="24"/>
          <w:szCs w:val="24"/>
          <w:highlight w:val="none"/>
        </w:rPr>
        <w:t>及标准</w:t>
      </w:r>
      <w:bookmarkEnd w:id="461"/>
    </w:p>
    <w:p w14:paraId="152B418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701BDA8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14:paraId="1616218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w:t>
      </w:r>
      <w:r>
        <w:rPr>
          <w:rFonts w:hint="eastAsia" w:ascii="仿宋" w:hAnsi="仿宋" w:eastAsia="仿宋" w:cs="仿宋"/>
          <w:b/>
          <w:bCs/>
          <w:color w:val="auto"/>
          <w:sz w:val="24"/>
          <w:highlight w:val="none"/>
          <w:u w:val="single"/>
        </w:rPr>
        <w:t>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14:paraId="1B0C2EA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1232066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见第四部分的评标办法前附表</w:t>
      </w:r>
      <w:r>
        <w:rPr>
          <w:rFonts w:hint="eastAsia" w:ascii="仿宋" w:hAnsi="仿宋" w:eastAsia="仿宋" w:cs="仿宋"/>
          <w:color w:val="auto"/>
          <w:sz w:val="24"/>
          <w:highlight w:val="none"/>
        </w:rPr>
        <w:t>。</w:t>
      </w:r>
    </w:p>
    <w:p w14:paraId="5A02A0C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见第四部分的评标办法前附表</w:t>
      </w:r>
      <w:r>
        <w:rPr>
          <w:rFonts w:hint="eastAsia" w:ascii="仿宋" w:hAnsi="仿宋" w:eastAsia="仿宋" w:cs="仿宋"/>
          <w:color w:val="auto"/>
          <w:sz w:val="24"/>
          <w:highlight w:val="none"/>
        </w:rPr>
        <w:t>。</w:t>
      </w:r>
    </w:p>
    <w:p w14:paraId="5689587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2.1.4商业信誉审查要求：</w:t>
      </w:r>
      <w:r>
        <w:rPr>
          <w:rFonts w:hint="eastAsia" w:ascii="仿宋" w:hAnsi="仿宋" w:eastAsia="仿宋" w:cs="仿宋"/>
          <w:b/>
          <w:color w:val="auto"/>
          <w:sz w:val="24"/>
          <w:highlight w:val="none"/>
        </w:rPr>
        <w:t>见第四部分的评标办法前附表</w:t>
      </w:r>
      <w:r>
        <w:rPr>
          <w:rFonts w:hint="eastAsia" w:ascii="仿宋" w:hAnsi="仿宋" w:eastAsia="仿宋" w:cs="仿宋"/>
          <w:color w:val="auto"/>
          <w:sz w:val="24"/>
          <w:highlight w:val="none"/>
        </w:rPr>
        <w:t>。</w:t>
      </w:r>
    </w:p>
    <w:p w14:paraId="41AE2816">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318FD405">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14:paraId="2451D45D">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14:paraId="57C82CC6">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投标人仅提交备份投标文件，没有在电子交易平台传输递交投标文件的；</w:t>
      </w:r>
    </w:p>
    <w:p w14:paraId="761949F2">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（2）不具备招标文件中规定的资格要求的；</w:t>
      </w:r>
    </w:p>
    <w:p w14:paraId="0D488C56">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（3）投标文件未按招标文件要求签署、盖章的；</w:t>
      </w:r>
    </w:p>
    <w:p w14:paraId="0117125B">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（4）明显不符合招标文件中标注“▲”且加下划线的实质性要求和条件（主要技术规格、商务技术标准或服务要求）的；</w:t>
      </w:r>
    </w:p>
    <w:p w14:paraId="45F590B4">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（5）采购人拟采购的产品属于政府强制采购的节能产品品目清单范围的，投标人未按招标文件要求提供国家确定的认证机构出具的、处于有效期之内的节能产品认证证书的；</w:t>
      </w:r>
    </w:p>
    <w:p w14:paraId="1F796DB8">
      <w:pPr>
        <w:snapToGrid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（6）投标文件中承诺的投标有效期少于招标文件中载明的投标有效期的；</w:t>
      </w:r>
    </w:p>
    <w:p w14:paraId="0D522193">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（7）投标文件实质性内容不全或关键字迹模糊无法辨认的；</w:t>
      </w:r>
    </w:p>
    <w:p w14:paraId="0F5967FA">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sz w:val="24"/>
          <w:highlight w:val="none"/>
        </w:rPr>
        <w:t>（8）投标报价超过采购预算或最高限价；</w:t>
      </w:r>
    </w:p>
    <w:p w14:paraId="71944E4A">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（9）投标文件出现不是唯一的、有选择性投标报价的；</w:t>
      </w:r>
    </w:p>
    <w:p w14:paraId="0BA43E80">
      <w:pPr>
        <w:snapToGrid w:val="0"/>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（10）投标人对根据修正原则修正后的报价不确认的；</w:t>
      </w:r>
    </w:p>
    <w:p w14:paraId="2B5F8772">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（11）投标文件有采购人不能接受的附加条件的；</w:t>
      </w:r>
    </w:p>
    <w:p w14:paraId="3B1219FC">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（12）投标人提供虚假材料投标的；</w:t>
      </w:r>
    </w:p>
    <w:p w14:paraId="70D01C79">
      <w:pPr>
        <w:snapToGrid w:val="0"/>
        <w:spacing w:line="360" w:lineRule="auto"/>
        <w:ind w:firstLine="120" w:firstLineChars="50"/>
        <w:jc w:val="left"/>
        <w:rPr>
          <w:rFonts w:ascii="仿宋" w:hAnsi="仿宋" w:eastAsia="仿宋" w:cs="仿宋"/>
          <w:bCs/>
          <w:color w:val="auto"/>
          <w:sz w:val="24"/>
          <w:highlight w:val="none"/>
        </w:rPr>
      </w:pPr>
      <w:r>
        <w:rPr>
          <w:rFonts w:hint="eastAsia" w:ascii="仿宋" w:hAnsi="仿宋" w:eastAsia="仿宋" w:cs="仿宋"/>
          <w:bCs/>
          <w:color w:val="auto"/>
          <w:kern w:val="0"/>
          <w:sz w:val="24"/>
          <w:highlight w:val="none"/>
        </w:rPr>
        <w:t xml:space="preserve">   （13）商务技术文件中出现投标报价的；</w:t>
      </w:r>
    </w:p>
    <w:p w14:paraId="76A63DAF">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（14）报价明显低于其他通过符合性审查投标人的报价，有可能影响产品质量或者不能诚信履约的，未能按要求提供书面说明或者提交相关证明材料，不能证明其报价合理性的；</w:t>
      </w:r>
    </w:p>
    <w:p w14:paraId="5D4A58BE">
      <w:pPr>
        <w:spacing w:line="360" w:lineRule="auto"/>
        <w:ind w:firstLine="240" w:firstLineChars="1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（15）投标人有恶意串通、妨碍其他投标人的竞争行为、损害采购人或者其他投标人的合法权益情形的；</w:t>
      </w:r>
    </w:p>
    <w:p w14:paraId="626D844D">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（16）投标文件不满足采购文件的其它实质性要求的；</w:t>
      </w:r>
    </w:p>
    <w:p w14:paraId="394CAF66">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bCs/>
          <w:color w:val="auto"/>
          <w:kern w:val="0"/>
          <w:sz w:val="24"/>
          <w:highlight w:val="none"/>
        </w:rPr>
        <w:t>法律、法规、规章（适用本市的）及省级以上规范性文件（适用本市的）规定的其他无效情形。</w:t>
      </w:r>
    </w:p>
    <w:p w14:paraId="04C9A2C0">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14:paraId="3724BCB3">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（1）投标人直接或者间接从采购人或者采购代理机构处获得其他投标人的相关情况并修改其投标文件的；</w:t>
      </w:r>
    </w:p>
    <w:p w14:paraId="06FC73DF">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（2）投标人按照采购人或者采购代理机构的授意撤换、修改投标文件的；</w:t>
      </w:r>
    </w:p>
    <w:p w14:paraId="4D2A39E1">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（3）投标人之间协商报价、技术方案等投标文件或者响应文件的实质性内容；</w:t>
      </w:r>
    </w:p>
    <w:p w14:paraId="5F7B59F9">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（4）属于同一集团、协会、商会等组织成员的投标人按照该组织要求协同参加政府采购活动；</w:t>
      </w:r>
    </w:p>
    <w:p w14:paraId="1B952253">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（5）投标人之间事先约定由某一特定投标人中标、成交；</w:t>
      </w:r>
    </w:p>
    <w:p w14:paraId="041FDEE0">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（6）投标人之间商定部分投标人放弃参加政府采购活动或者放弃中标、成交；</w:t>
      </w:r>
    </w:p>
    <w:p w14:paraId="420365A5">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（7）投标人与采购人或者采购代理机构之间、投标人相互之间，为谋求特定投标人中标、成交或者排斥其他投标人的其他串通行为。</w:t>
      </w:r>
    </w:p>
    <w:p w14:paraId="36FBF31C">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▲有下列情形之一的，视为投标人串通投标，其投标无效，对投标人依照招标投标法实施条例第六十七条的规定追究其法律责任</w:t>
      </w:r>
      <w:r>
        <w:rPr>
          <w:rFonts w:hint="eastAsia" w:ascii="仿宋" w:hAnsi="仿宋" w:eastAsia="仿宋" w:cs="仿宋"/>
          <w:b/>
          <w:color w:val="auto"/>
          <w:sz w:val="24"/>
          <w:highlight w:val="none"/>
        </w:rPr>
        <w:t>：</w:t>
      </w:r>
    </w:p>
    <w:p w14:paraId="3CC01D51">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（1）不同投标人的投标文件由同一单位或者个人编制；</w:t>
      </w:r>
    </w:p>
    <w:p w14:paraId="7DB50067">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（2）不同投标人委托同一单位或者个人办理投标事宜；</w:t>
      </w:r>
    </w:p>
    <w:p w14:paraId="5D0A7B87">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（3）不同投标人的投标文件载明的项目管理成员或者联系人员为同一人；</w:t>
      </w:r>
    </w:p>
    <w:p w14:paraId="0D6BBFE2">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（4）不同投标人的投标文件异常一致或者投标报价呈规律性差异；</w:t>
      </w:r>
    </w:p>
    <w:p w14:paraId="54148425">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（5）不同投标人的投标文件相互混装；</w:t>
      </w:r>
    </w:p>
    <w:p w14:paraId="588CDB4B">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2.2.4符合性审查其他要求见评标办法前附表。</w:t>
      </w:r>
    </w:p>
    <w:p w14:paraId="77EEFA0B">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2.2.5实质上没有响应招标文件要求的投标将被否决，投标人不得通过修正或撤消不合要求的偏离或保留从而使其投标成为实质上响应的投标。</w:t>
      </w:r>
    </w:p>
    <w:p w14:paraId="238FE335">
      <w:pPr>
        <w:snapToGrid w:val="0"/>
        <w:spacing w:line="360" w:lineRule="auto"/>
        <w:ind w:firstLine="482" w:firstLineChars="200"/>
        <w:jc w:val="left"/>
        <w:rPr>
          <w:rFonts w:ascii="仿宋" w:hAnsi="仿宋" w:eastAsia="仿宋" w:cs="仿宋"/>
          <w:b/>
          <w:color w:val="auto"/>
          <w:sz w:val="24"/>
          <w:highlight w:val="none"/>
        </w:rPr>
      </w:pPr>
      <w:bookmarkStart w:id="462" w:name="_Toc31606"/>
      <w:bookmarkStart w:id="463" w:name="_Toc63189379"/>
      <w:bookmarkStart w:id="464" w:name="_Toc55375024"/>
      <w:bookmarkStart w:id="465" w:name="_Toc55302377"/>
      <w:bookmarkStart w:id="466" w:name="_Toc5724"/>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2.3比较与评价（适用于综合评分法）</w:t>
      </w:r>
      <w:bookmarkEnd w:id="462"/>
    </w:p>
    <w:bookmarkEnd w:id="463"/>
    <w:bookmarkEnd w:id="464"/>
    <w:bookmarkEnd w:id="465"/>
    <w:bookmarkEnd w:id="466"/>
    <w:p w14:paraId="3A7F6CD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14:paraId="5676B9A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14:paraId="6B76321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2.3.3报价评分标准，见评标办法前附表。</w:t>
      </w:r>
    </w:p>
    <w:p w14:paraId="78504B8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1AE5427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14:paraId="0EBB464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5CF077B8">
      <w:pPr>
        <w:snapToGrid w:val="0"/>
        <w:spacing w:line="360" w:lineRule="auto"/>
        <w:ind w:firstLine="480" w:firstLineChars="200"/>
        <w:jc w:val="left"/>
        <w:rPr>
          <w:rFonts w:ascii="仿宋" w:hAnsi="仿宋" w:eastAsia="仿宋" w:cs="仿宋"/>
          <w:color w:val="auto"/>
          <w:sz w:val="24"/>
          <w:highlight w:val="none"/>
        </w:rPr>
      </w:pPr>
      <w:bookmarkStart w:id="467" w:name="_Toc55375025"/>
      <w:bookmarkStart w:id="468" w:name="_Toc63189380"/>
      <w:bookmarkStart w:id="469" w:name="_Toc11195"/>
      <w:bookmarkStart w:id="470" w:name="_Toc55302378"/>
    </w:p>
    <w:p w14:paraId="78A765A7">
      <w:pPr>
        <w:snapToGrid w:val="0"/>
        <w:spacing w:line="360" w:lineRule="auto"/>
        <w:ind w:firstLine="482" w:firstLineChars="200"/>
        <w:jc w:val="left"/>
        <w:rPr>
          <w:rFonts w:ascii="仿宋" w:hAnsi="仿宋" w:eastAsia="仿宋" w:cs="仿宋"/>
          <w:b/>
          <w:color w:val="auto"/>
          <w:sz w:val="24"/>
          <w:highlight w:val="none"/>
        </w:rPr>
      </w:pPr>
      <w:bookmarkStart w:id="471" w:name="_Toc23092"/>
      <w:r>
        <w:rPr>
          <w:rFonts w:ascii="Segoe UI Symbol" w:hAnsi="Segoe UI Symbol" w:eastAsia="仿宋" w:cs="Segoe UI Symbol"/>
          <w:b/>
          <w:color w:val="auto"/>
          <w:sz w:val="24"/>
          <w:highlight w:val="none"/>
        </w:rPr>
        <w:t>☐</w:t>
      </w:r>
      <w:r>
        <w:rPr>
          <w:rFonts w:hint="eastAsia" w:ascii="仿宋" w:hAnsi="仿宋" w:eastAsia="仿宋" w:cs="仿宋"/>
          <w:b/>
          <w:color w:val="auto"/>
          <w:sz w:val="24"/>
          <w:highlight w:val="none"/>
        </w:rPr>
        <w:t>2.3比较与评价（适用于最低价法）</w:t>
      </w:r>
      <w:bookmarkEnd w:id="471"/>
    </w:p>
    <w:p w14:paraId="214F08A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2.3.1比较与评价标准，见评标办法前附表。</w:t>
      </w:r>
    </w:p>
    <w:p w14:paraId="2C47D1B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2.3.2投标人排名由评标委员会按评标价（投标报价）从低到高的排序。</w:t>
      </w:r>
    </w:p>
    <w:p w14:paraId="500B78C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2.3.3</w:t>
      </w:r>
      <w:r>
        <w:rPr>
          <w:rFonts w:hint="eastAsia" w:ascii="仿宋" w:hAnsi="仿宋" w:eastAsia="仿宋" w:cs="仿宋"/>
          <w:b/>
          <w:color w:val="auto"/>
          <w:sz w:val="24"/>
          <w:highlight w:val="non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38B91D7C">
      <w:pPr>
        <w:snapToGrid w:val="0"/>
        <w:spacing w:line="360" w:lineRule="auto"/>
        <w:ind w:firstLine="480" w:firstLineChars="200"/>
        <w:jc w:val="left"/>
        <w:rPr>
          <w:rFonts w:ascii="仿宋" w:hAnsi="仿宋" w:eastAsia="仿宋" w:cs="仿宋"/>
          <w:color w:val="auto"/>
          <w:sz w:val="24"/>
          <w:highlight w:val="none"/>
        </w:rPr>
      </w:pPr>
      <w:bookmarkStart w:id="472" w:name="_Toc5272"/>
      <w:r>
        <w:rPr>
          <w:rFonts w:hint="eastAsia" w:ascii="仿宋" w:hAnsi="仿宋" w:eastAsia="仿宋" w:cs="仿宋"/>
          <w:color w:val="auto"/>
          <w:sz w:val="24"/>
          <w:highlight w:val="none"/>
        </w:rPr>
        <w:t>2.4投标文件的澄清</w:t>
      </w:r>
      <w:bookmarkEnd w:id="467"/>
      <w:bookmarkEnd w:id="468"/>
      <w:bookmarkEnd w:id="469"/>
      <w:bookmarkEnd w:id="470"/>
      <w:bookmarkEnd w:id="472"/>
    </w:p>
    <w:p w14:paraId="610B8647">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B3DBC3A">
      <w:pPr>
        <w:pStyle w:val="36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14:paraId="4AB02525">
      <w:pPr>
        <w:pStyle w:val="36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14:paraId="1CCDEBF1">
      <w:pPr>
        <w:pStyle w:val="36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14:paraId="13FD3E17">
      <w:pPr>
        <w:pStyle w:val="36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32A3E28C">
      <w:pPr>
        <w:pStyle w:val="36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7E5ECE78">
      <w:pPr>
        <w:pStyle w:val="36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14:paraId="170DA28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14:paraId="0F32CD5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14:paraId="50723C56">
      <w:pPr>
        <w:pStyle w:val="3"/>
        <w:rPr>
          <w:rStyle w:val="84"/>
          <w:rFonts w:ascii="仿宋" w:eastAsia="仿宋"/>
          <w:b/>
          <w:bCs w:val="0"/>
          <w:color w:val="auto"/>
          <w:kern w:val="2"/>
          <w:sz w:val="24"/>
          <w:szCs w:val="24"/>
          <w:highlight w:val="none"/>
        </w:rPr>
      </w:pPr>
      <w:bookmarkStart w:id="473" w:name="_Toc55302379"/>
      <w:bookmarkStart w:id="474" w:name="_Toc133499559"/>
      <w:bookmarkStart w:id="475" w:name="_Toc63189381"/>
      <w:bookmarkStart w:id="476" w:name="_Toc11850"/>
      <w:r>
        <w:rPr>
          <w:rStyle w:val="84"/>
          <w:rFonts w:hint="eastAsia" w:ascii="仿宋" w:eastAsia="仿宋"/>
          <w:b/>
          <w:bCs w:val="0"/>
          <w:color w:val="auto"/>
          <w:kern w:val="2"/>
          <w:sz w:val="24"/>
          <w:szCs w:val="24"/>
          <w:highlight w:val="none"/>
        </w:rPr>
        <w:t>3.评标结果</w:t>
      </w:r>
      <w:bookmarkEnd w:id="473"/>
      <w:bookmarkEnd w:id="474"/>
      <w:bookmarkEnd w:id="475"/>
      <w:bookmarkEnd w:id="476"/>
    </w:p>
    <w:p w14:paraId="15CBF81E">
      <w:pPr>
        <w:snapToGrid w:val="0"/>
        <w:spacing w:line="360" w:lineRule="auto"/>
        <w:ind w:firstLine="504" w:firstLineChars="200"/>
        <w:jc w:val="left"/>
        <w:rPr>
          <w:rFonts w:ascii="仿宋" w:hAnsi="仿宋" w:eastAsia="仿宋" w:cs="仿宋"/>
          <w:color w:val="auto"/>
          <w:sz w:val="24"/>
          <w:highlight w:val="none"/>
        </w:rPr>
      </w:pPr>
      <w:r>
        <w:rPr>
          <w:rFonts w:hint="eastAsia" w:ascii="MS Mincho" w:hAnsi="MS Mincho" w:eastAsia="MS Mincho" w:cs="MS Mincho"/>
          <w:bCs/>
          <w:color w:val="auto"/>
          <w:spacing w:val="6"/>
          <w:sz w:val="24"/>
          <w:highlight w:val="none"/>
        </w:rPr>
        <w:t>☐</w:t>
      </w:r>
      <w:r>
        <w:rPr>
          <w:rFonts w:hint="eastAsia" w:ascii="仿宋" w:hAnsi="仿宋" w:eastAsia="仿宋" w:cs="仿宋"/>
          <w:color w:val="auto"/>
          <w:sz w:val="24"/>
          <w:highlight w:val="none"/>
        </w:rPr>
        <w:t>3.1采用最低评标价法的，评标委员会按评标价（投标报价）从低到高的排序推荐中标候选人。</w:t>
      </w:r>
    </w:p>
    <w:p w14:paraId="136AD507">
      <w:pPr>
        <w:snapToGrid w:val="0"/>
        <w:spacing w:line="360" w:lineRule="auto"/>
        <w:ind w:firstLine="504" w:firstLineChars="200"/>
        <w:jc w:val="left"/>
        <w:rPr>
          <w:rFonts w:ascii="仿宋" w:hAnsi="仿宋" w:eastAsia="仿宋" w:cs="仿宋"/>
          <w:color w:val="auto"/>
          <w:sz w:val="24"/>
          <w:highlight w:val="none"/>
        </w:rPr>
      </w:pPr>
      <w:r>
        <w:rPr>
          <w:rFonts w:hint="eastAsia" w:ascii="MS Mincho" w:hAnsi="MS Mincho" w:eastAsia="MS Mincho" w:cs="MS Mincho"/>
          <w:bCs/>
          <w:color w:val="auto"/>
          <w:spacing w:val="6"/>
          <w:sz w:val="24"/>
          <w:highlight w:val="none"/>
        </w:rPr>
        <w:sym w:font="Wingdings" w:char="00FE"/>
      </w:r>
      <w:r>
        <w:rPr>
          <w:rFonts w:hint="eastAsia" w:ascii="仿宋" w:hAnsi="仿宋" w:eastAsia="仿宋" w:cs="仿宋"/>
          <w:color w:val="auto"/>
          <w:sz w:val="24"/>
          <w:highlight w:val="none"/>
        </w:rPr>
        <w:t>3.1采用综合评分法的，评标委员会按照投标人综合得分由高到低的顺序推荐中标候选人。</w:t>
      </w:r>
    </w:p>
    <w:p w14:paraId="5286F5B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1620F0">
      <w:pPr>
        <w:snapToGrid w:val="0"/>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14:paraId="7EC26E4C">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625C9A">
      <w:pPr>
        <w:pStyle w:val="3"/>
        <w:rPr>
          <w:rStyle w:val="84"/>
          <w:rFonts w:ascii="仿宋" w:eastAsia="仿宋"/>
          <w:b/>
          <w:bCs w:val="0"/>
          <w:color w:val="auto"/>
          <w:kern w:val="2"/>
          <w:sz w:val="24"/>
          <w:szCs w:val="24"/>
          <w:highlight w:val="none"/>
        </w:rPr>
      </w:pPr>
      <w:bookmarkStart w:id="477" w:name="_Toc133499560"/>
      <w:r>
        <w:rPr>
          <w:rStyle w:val="84"/>
          <w:rFonts w:hint="eastAsia" w:ascii="仿宋" w:eastAsia="仿宋"/>
          <w:b/>
          <w:bCs w:val="0"/>
          <w:color w:val="auto"/>
          <w:kern w:val="2"/>
          <w:sz w:val="24"/>
          <w:szCs w:val="24"/>
          <w:highlight w:val="none"/>
        </w:rPr>
        <w:t>4.其他</w:t>
      </w:r>
      <w:bookmarkEnd w:id="477"/>
    </w:p>
    <w:p w14:paraId="63CEF04C">
      <w:pPr>
        <w:widowControl/>
        <w:shd w:val="clear" w:color="auto" w:fill="FFFFFF"/>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4.1废标</w:t>
      </w:r>
    </w:p>
    <w:p w14:paraId="32FA0082">
      <w:pPr>
        <w:widowControl/>
        <w:shd w:val="clear" w:color="auto" w:fill="FFFFFF"/>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7801C653">
      <w:pPr>
        <w:pStyle w:val="1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（1）符合专业条件的投标人或者对招标文件作实质响应的投标人不足3家的；</w:t>
      </w:r>
    </w:p>
    <w:p w14:paraId="65B4B1A5">
      <w:pPr>
        <w:pStyle w:val="1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56DD121A">
      <w:pPr>
        <w:pStyle w:val="1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14:paraId="6C2396EF">
      <w:pPr>
        <w:pStyle w:val="1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2A503C51">
      <w:pPr>
        <w:pStyle w:val="1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5861600E">
      <w:pPr>
        <w:pStyle w:val="1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14:paraId="46D85D1D">
      <w:pPr>
        <w:pStyle w:val="1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458"/>
    </w:p>
    <w:bookmarkEnd w:id="48"/>
    <w:bookmarkEnd w:id="454"/>
    <w:p w14:paraId="08AEB060">
      <w:pPr>
        <w:numPr>
          <w:ilvl w:val="0"/>
          <w:numId w:val="1"/>
        </w:numPr>
        <w:adjustRightInd/>
        <w:spacing w:line="360" w:lineRule="auto"/>
        <w:jc w:val="center"/>
        <w:outlineLvl w:val="0"/>
        <w:rPr>
          <w:rStyle w:val="84"/>
          <w:rFonts w:ascii="仿宋" w:eastAsia="仿宋" w:cs="仿宋"/>
          <w:color w:val="auto"/>
          <w:highlight w:val="none"/>
        </w:rPr>
      </w:pPr>
      <w:bookmarkStart w:id="478" w:name="第五部分"/>
      <w:bookmarkStart w:id="479" w:name="_Toc86217003"/>
      <w:r>
        <w:rPr>
          <w:rFonts w:hint="eastAsia" w:ascii="仿宋" w:eastAsia="仿宋" w:cs="仿宋"/>
          <w:color w:val="auto"/>
          <w:highlight w:val="none"/>
        </w:rPr>
        <w:br w:type="page"/>
      </w:r>
      <w:bookmarkStart w:id="480" w:name="_Toc133499561"/>
      <w:r>
        <w:rPr>
          <w:rStyle w:val="84"/>
          <w:rFonts w:hint="eastAsia" w:ascii="仿宋" w:eastAsia="仿宋" w:cs="仿宋"/>
          <w:color w:val="auto"/>
          <w:highlight w:val="none"/>
        </w:rPr>
        <w:t>拟签订的合同文本</w:t>
      </w:r>
      <w:bookmarkEnd w:id="480"/>
    </w:p>
    <w:p w14:paraId="2D6FB4F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highlight w:val="none"/>
        </w:rPr>
      </w:pPr>
    </w:p>
    <w:p w14:paraId="32A9F1D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highlight w:val="none"/>
        </w:rPr>
      </w:pPr>
    </w:p>
    <w:p w14:paraId="1B543336">
      <w:pPr>
        <w:pStyle w:val="16"/>
        <w:spacing w:line="460" w:lineRule="exact"/>
        <w:ind w:left="430" w:leftChars="205"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w:t>
      </w:r>
      <w:r>
        <w:rPr>
          <w:rFonts w:hint="eastAsia" w:ascii="新宋体" w:hAnsi="新宋体" w:eastAsia="新宋体"/>
          <w:b/>
          <w:color w:val="auto"/>
          <w:sz w:val="30"/>
          <w:highlight w:val="none"/>
          <w:lang w:val="en-US" w:eastAsia="zh-CN"/>
        </w:rPr>
        <w:t>一</w:t>
      </w:r>
      <w:r>
        <w:rPr>
          <w:rFonts w:hint="eastAsia" w:ascii="新宋体" w:hAnsi="新宋体" w:eastAsia="新宋体"/>
          <w:b/>
          <w:color w:val="auto"/>
          <w:sz w:val="30"/>
          <w:highlight w:val="none"/>
        </w:rPr>
        <w:t>部分    合同主要条款</w:t>
      </w:r>
    </w:p>
    <w:p w14:paraId="2BBC8FE5">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合同编号：</w:t>
      </w:r>
    </w:p>
    <w:p w14:paraId="0A8019A1">
      <w:pPr>
        <w:keepNext w:val="0"/>
        <w:keepLines w:val="0"/>
        <w:pageBreakBefore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p w14:paraId="625CCB8B">
      <w:pPr>
        <w:keepNext w:val="0"/>
        <w:keepLines w:val="0"/>
        <w:pageBreakBefore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p w14:paraId="4FAB55B9">
      <w:pPr>
        <w:keepNext w:val="0"/>
        <w:keepLines w:val="0"/>
        <w:pageBreakBefore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p w14:paraId="64E29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color w:val="auto"/>
          <w:sz w:val="72"/>
          <w:szCs w:val="72"/>
          <w:highlight w:val="none"/>
        </w:rPr>
      </w:pPr>
      <w:r>
        <w:rPr>
          <w:rFonts w:hint="eastAsia" w:ascii="新宋体" w:hAnsi="新宋体" w:eastAsia="新宋体" w:cs="新宋体"/>
          <w:b/>
          <w:color w:val="auto"/>
          <w:sz w:val="72"/>
          <w:szCs w:val="72"/>
          <w:highlight w:val="none"/>
          <w:u w:val="single"/>
          <w:lang w:val="en-US" w:eastAsia="zh-CN"/>
        </w:rPr>
        <w:t xml:space="preserve">             </w:t>
      </w:r>
      <w:r>
        <w:rPr>
          <w:rFonts w:hint="eastAsia" w:ascii="新宋体" w:hAnsi="新宋体" w:eastAsia="新宋体" w:cs="新宋体"/>
          <w:b/>
          <w:color w:val="auto"/>
          <w:sz w:val="72"/>
          <w:szCs w:val="72"/>
          <w:highlight w:val="none"/>
        </w:rPr>
        <w:t>服务合同</w:t>
      </w:r>
    </w:p>
    <w:p w14:paraId="1BAFED7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p>
    <w:p w14:paraId="1E4BF81E">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p>
    <w:p w14:paraId="7D52534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p>
    <w:p w14:paraId="7B1D7733">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p>
    <w:p w14:paraId="11282C4D">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p>
    <w:p w14:paraId="0E3880D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p>
    <w:p w14:paraId="5B258D50">
      <w:pPr>
        <w:keepNext w:val="0"/>
        <w:keepLines w:val="0"/>
        <w:pageBreakBefore w:val="0"/>
        <w:widowControl w:val="0"/>
        <w:kinsoku/>
        <w:wordWrap/>
        <w:overflowPunct/>
        <w:topLinePunct w:val="0"/>
        <w:autoSpaceDE/>
        <w:autoSpaceDN/>
        <w:bidi w:val="0"/>
        <w:adjustRightInd/>
        <w:snapToGrid/>
        <w:spacing w:line="900" w:lineRule="exact"/>
        <w:ind w:firstLine="420"/>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项目名称：</w:t>
      </w:r>
      <w:r>
        <w:rPr>
          <w:rFonts w:hint="eastAsia" w:ascii="新宋体" w:hAnsi="新宋体" w:eastAsia="新宋体" w:cs="新宋体"/>
          <w:color w:val="auto"/>
          <w:sz w:val="28"/>
          <w:szCs w:val="28"/>
          <w:highlight w:val="none"/>
          <w:u w:val="single"/>
        </w:rPr>
        <w:t xml:space="preserve">                                    </w:t>
      </w:r>
    </w:p>
    <w:p w14:paraId="45409C97">
      <w:pPr>
        <w:keepNext w:val="0"/>
        <w:keepLines w:val="0"/>
        <w:pageBreakBefore w:val="0"/>
        <w:widowControl w:val="0"/>
        <w:kinsoku/>
        <w:wordWrap/>
        <w:overflowPunct/>
        <w:topLinePunct w:val="0"/>
        <w:autoSpaceDE/>
        <w:autoSpaceDN/>
        <w:bidi w:val="0"/>
        <w:adjustRightInd/>
        <w:snapToGrid/>
        <w:spacing w:line="900" w:lineRule="exact"/>
        <w:ind w:firstLine="420"/>
        <w:textAlignment w:val="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委托方（甲方）：</w:t>
      </w:r>
      <w:r>
        <w:rPr>
          <w:rFonts w:hint="eastAsia" w:ascii="新宋体" w:hAnsi="新宋体" w:eastAsia="新宋体" w:cs="新宋体"/>
          <w:color w:val="auto"/>
          <w:sz w:val="28"/>
          <w:szCs w:val="28"/>
          <w:highlight w:val="none"/>
          <w:u w:val="single"/>
        </w:rPr>
        <w:t xml:space="preserve">                                 </w:t>
      </w:r>
    </w:p>
    <w:p w14:paraId="16F1B30F">
      <w:pPr>
        <w:keepNext w:val="0"/>
        <w:keepLines w:val="0"/>
        <w:pageBreakBefore w:val="0"/>
        <w:widowControl w:val="0"/>
        <w:kinsoku/>
        <w:wordWrap/>
        <w:overflowPunct/>
        <w:topLinePunct w:val="0"/>
        <w:autoSpaceDE/>
        <w:autoSpaceDN/>
        <w:bidi w:val="0"/>
        <w:adjustRightInd/>
        <w:snapToGrid/>
        <w:spacing w:line="900" w:lineRule="exact"/>
        <w:ind w:firstLine="420"/>
        <w:textAlignment w:val="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受托方（乙方）：</w:t>
      </w:r>
      <w:r>
        <w:rPr>
          <w:rFonts w:hint="eastAsia" w:ascii="新宋体" w:hAnsi="新宋体" w:eastAsia="新宋体" w:cs="新宋体"/>
          <w:color w:val="auto"/>
          <w:sz w:val="28"/>
          <w:szCs w:val="28"/>
          <w:highlight w:val="none"/>
          <w:u w:val="single"/>
        </w:rPr>
        <w:t xml:space="preserve">                                 </w:t>
      </w:r>
    </w:p>
    <w:p w14:paraId="1A261851">
      <w:pPr>
        <w:keepNext w:val="0"/>
        <w:keepLines w:val="0"/>
        <w:pageBreakBefore w:val="0"/>
        <w:widowControl w:val="0"/>
        <w:kinsoku/>
        <w:wordWrap/>
        <w:overflowPunct/>
        <w:topLinePunct w:val="0"/>
        <w:autoSpaceDE/>
        <w:autoSpaceDN/>
        <w:bidi w:val="0"/>
        <w:adjustRightInd/>
        <w:snapToGrid/>
        <w:spacing w:line="900" w:lineRule="exact"/>
        <w:ind w:firstLine="420"/>
        <w:textAlignment w:val="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签订时间：</w:t>
      </w:r>
      <w:r>
        <w:rPr>
          <w:rFonts w:hint="eastAsia" w:ascii="新宋体" w:hAnsi="新宋体" w:eastAsia="新宋体" w:cs="新宋体"/>
          <w:color w:val="auto"/>
          <w:sz w:val="28"/>
          <w:szCs w:val="28"/>
          <w:highlight w:val="none"/>
          <w:u w:val="single"/>
        </w:rPr>
        <w:t xml:space="preserve">                   年       月        </w:t>
      </w:r>
    </w:p>
    <w:p w14:paraId="05BC0861">
      <w:pPr>
        <w:keepNext w:val="0"/>
        <w:keepLines w:val="0"/>
        <w:pageBreakBefore w:val="0"/>
        <w:widowControl w:val="0"/>
        <w:kinsoku/>
        <w:wordWrap/>
        <w:overflowPunct/>
        <w:topLinePunct w:val="0"/>
        <w:autoSpaceDE/>
        <w:autoSpaceDN/>
        <w:bidi w:val="0"/>
        <w:adjustRightInd/>
        <w:snapToGrid/>
        <w:spacing w:line="900" w:lineRule="exact"/>
        <w:ind w:firstLine="420"/>
        <w:textAlignment w:val="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签订地点：</w:t>
      </w:r>
      <w:r>
        <w:rPr>
          <w:rFonts w:hint="eastAsia" w:ascii="新宋体" w:hAnsi="新宋体" w:eastAsia="新宋体" w:cs="新宋体"/>
          <w:color w:val="auto"/>
          <w:sz w:val="28"/>
          <w:szCs w:val="28"/>
          <w:highlight w:val="none"/>
          <w:u w:val="single"/>
        </w:rPr>
        <w:t xml:space="preserve">                                      </w:t>
      </w:r>
    </w:p>
    <w:p w14:paraId="7B33210B">
      <w:pPr>
        <w:keepNext w:val="0"/>
        <w:keepLines w:val="0"/>
        <w:pageBreakBefore w:val="0"/>
        <w:widowControl w:val="0"/>
        <w:kinsoku/>
        <w:wordWrap/>
        <w:overflowPunct/>
        <w:topLinePunct w:val="0"/>
        <w:autoSpaceDE/>
        <w:autoSpaceDN/>
        <w:bidi w:val="0"/>
        <w:adjustRightInd/>
        <w:snapToGrid/>
        <w:spacing w:line="900" w:lineRule="exact"/>
        <w:ind w:firstLine="420"/>
        <w:textAlignment w:val="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rPr>
        <w:t>有效期限：</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b/>
          <w:bCs/>
          <w:color w:val="auto"/>
          <w:sz w:val="28"/>
          <w:szCs w:val="28"/>
          <w:highlight w:val="none"/>
        </w:rPr>
        <w:t xml:space="preserve">                                      </w:t>
      </w:r>
      <w:r>
        <w:rPr>
          <w:rFonts w:hint="eastAsia" w:ascii="新宋体" w:hAnsi="新宋体" w:eastAsia="新宋体" w:cs="新宋体"/>
          <w:b/>
          <w:bCs/>
          <w:color w:val="auto"/>
          <w:sz w:val="28"/>
          <w:szCs w:val="28"/>
          <w:highlight w:val="none"/>
          <w:lang w:val="en-US" w:eastAsia="zh-CN"/>
        </w:rPr>
        <w:t xml:space="preserve"> </w:t>
      </w:r>
    </w:p>
    <w:p w14:paraId="3CCF3E96">
      <w:pPr>
        <w:pStyle w:val="28"/>
        <w:keepNext w:val="0"/>
        <w:keepLines w:val="0"/>
        <w:pageBreakBefore w:val="0"/>
        <w:kinsoku/>
        <w:wordWrap/>
        <w:overflowPunct/>
        <w:topLinePunct w:val="0"/>
        <w:autoSpaceDE/>
        <w:autoSpaceDN/>
        <w:bidi w:val="0"/>
        <w:adjustRightInd/>
        <w:spacing w:line="460" w:lineRule="exact"/>
        <w:ind w:left="0" w:leftChars="0" w:firstLine="0" w:firstLineChars="0"/>
        <w:textAlignment w:val="auto"/>
        <w:rPr>
          <w:rFonts w:hint="eastAsia" w:ascii="新宋体" w:hAnsi="新宋体" w:eastAsia="新宋体" w:cs="新宋体"/>
          <w:bCs/>
          <w:color w:val="auto"/>
          <w:sz w:val="22"/>
          <w:szCs w:val="22"/>
          <w:highlight w:val="none"/>
        </w:rPr>
      </w:pPr>
    </w:p>
    <w:p w14:paraId="4B3156A3">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EE1788D">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outlineLvl w:val="9"/>
        <w:rPr>
          <w:rFonts w:hint="eastAsia" w:ascii="仿宋" w:hAnsi="仿宋" w:eastAsia="仿宋" w:cs="仿宋"/>
          <w:b/>
          <w:color w:val="auto"/>
          <w:sz w:val="32"/>
          <w:szCs w:val="32"/>
          <w:highlight w:val="none"/>
        </w:rPr>
      </w:pPr>
    </w:p>
    <w:p w14:paraId="03FBA30C">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799D3AFF">
      <w:pPr>
        <w:keepNext w:val="0"/>
        <w:keepLines w:val="0"/>
        <w:pageBreakBefore w:val="0"/>
        <w:kinsoku/>
        <w:wordWrap/>
        <w:overflowPunct/>
        <w:topLinePunct w:val="0"/>
        <w:autoSpaceDE/>
        <w:autoSpaceDN/>
        <w:bidi w:val="0"/>
        <w:adjustRightInd/>
        <w:ind w:firstLine="590" w:firstLineChars="196"/>
        <w:jc w:val="center"/>
        <w:textAlignment w:val="auto"/>
        <w:outlineLvl w:val="9"/>
        <w:rPr>
          <w:rFonts w:hint="eastAsia" w:ascii="仿宋" w:hAnsi="仿宋" w:eastAsia="仿宋" w:cs="仿宋"/>
          <w:b/>
          <w:color w:val="auto"/>
          <w:sz w:val="30"/>
          <w:szCs w:val="30"/>
          <w:highlight w:val="none"/>
        </w:rPr>
      </w:pPr>
    </w:p>
    <w:p w14:paraId="110B2C1A">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运维目标、服务内容、范围与技术要求</w:t>
      </w:r>
    </w:p>
    <w:p w14:paraId="18D742C7">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服务期限与服务地点</w:t>
      </w:r>
    </w:p>
    <w:p w14:paraId="73A5B1DB">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维护确认与验收</w:t>
      </w:r>
    </w:p>
    <w:p w14:paraId="426D3EB3">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价格与付款方式</w:t>
      </w:r>
    </w:p>
    <w:p w14:paraId="770DC4EE">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义务与责任</w:t>
      </w:r>
    </w:p>
    <w:p w14:paraId="731CB82A">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所有权、知识产权和使用权</w:t>
      </w:r>
    </w:p>
    <w:p w14:paraId="58D52030">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保密与竞争限制</w:t>
      </w:r>
    </w:p>
    <w:p w14:paraId="446D7849">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服务变更</w:t>
      </w:r>
    </w:p>
    <w:p w14:paraId="5D30E6E7">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不可抗力</w:t>
      </w:r>
    </w:p>
    <w:p w14:paraId="409D979D">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违约责任</w:t>
      </w:r>
    </w:p>
    <w:p w14:paraId="55F7E5FE">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争议解决</w:t>
      </w:r>
    </w:p>
    <w:p w14:paraId="121BC302">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项目合同附件清单</w:t>
      </w:r>
    </w:p>
    <w:p w14:paraId="30CD8690">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合同的生效</w:t>
      </w:r>
    </w:p>
    <w:p w14:paraId="6BA35657">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w:t>
      </w:r>
    </w:p>
    <w:p w14:paraId="4378EBF6">
      <w:pPr>
        <w:keepNext w:val="0"/>
        <w:keepLines w:val="0"/>
        <w:pageBreakBefore w:val="0"/>
        <w:numPr>
          <w:ilvl w:val="0"/>
          <w:numId w:val="13"/>
        </w:numPr>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项目合同签章</w:t>
      </w:r>
    </w:p>
    <w:p w14:paraId="428C9FB6">
      <w:pPr>
        <w:keepNext w:val="0"/>
        <w:keepLines w:val="0"/>
        <w:pageBreakBefore w:val="0"/>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30"/>
          <w:szCs w:val="30"/>
          <w:highlight w:val="none"/>
        </w:rPr>
      </w:pPr>
    </w:p>
    <w:p w14:paraId="7997D7AD">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30"/>
          <w:szCs w:val="30"/>
          <w:highlight w:val="none"/>
        </w:rPr>
      </w:pPr>
    </w:p>
    <w:p w14:paraId="7A89A8AF">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30"/>
          <w:szCs w:val="30"/>
          <w:highlight w:val="none"/>
        </w:rPr>
      </w:pPr>
    </w:p>
    <w:p w14:paraId="454E0B94">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30"/>
          <w:szCs w:val="30"/>
          <w:highlight w:val="none"/>
        </w:rPr>
      </w:pPr>
    </w:p>
    <w:p w14:paraId="1636CD67">
      <w:pPr>
        <w:rPr>
          <w:rFonts w:hint="eastAsia" w:ascii="仿宋" w:hAnsi="仿宋" w:eastAsia="仿宋" w:cs="仿宋"/>
          <w:b/>
          <w:color w:val="auto"/>
          <w:sz w:val="30"/>
          <w:szCs w:val="30"/>
          <w:highlight w:val="none"/>
        </w:rPr>
      </w:pPr>
    </w:p>
    <w:p w14:paraId="20E256F0">
      <w:pPr>
        <w:keepNext w:val="0"/>
        <w:keepLines w:val="0"/>
        <w:pageBreakBefore w:val="0"/>
        <w:widowControl w:val="0"/>
        <w:kinsoku/>
        <w:wordWrap/>
        <w:overflowPunct/>
        <w:topLinePunct w:val="0"/>
        <w:autoSpaceDE/>
        <w:autoSpaceDN/>
        <w:bidi w:val="0"/>
        <w:adjustRightInd/>
        <w:snapToGrid/>
        <w:spacing w:before="312" w:beforeLines="100" w:after="312" w:afterLines="100"/>
        <w:ind w:firstLine="0" w:firstLineChars="0"/>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系统及设备维护服务合同</w:t>
      </w:r>
    </w:p>
    <w:p w14:paraId="0376F490">
      <w:pPr>
        <w:keepNext w:val="0"/>
        <w:keepLines w:val="0"/>
        <w:pageBreakBefore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仿宋" w:hAnsi="仿宋" w:eastAsia="仿宋" w:cs="仿宋"/>
          <w:color w:val="auto"/>
          <w:sz w:val="22"/>
          <w:szCs w:val="22"/>
          <w:highlight w:val="none"/>
        </w:rPr>
        <w:t>本合同甲方委托乙方就</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项目进行技术支持维护服务，并支付相应的技术服务报酬。双方经过平等协商，在真实、充分地表达各自意愿的基础上，根据《中华人民共和国民法典》、</w:t>
      </w:r>
      <w:r>
        <w:rPr>
          <w:rFonts w:hint="eastAsia" w:ascii="仿宋" w:hAnsi="仿宋" w:eastAsia="仿宋" w:cs="仿宋"/>
          <w:color w:val="auto"/>
          <w:kern w:val="0"/>
          <w:sz w:val="22"/>
          <w:szCs w:val="22"/>
          <w:highlight w:val="none"/>
        </w:rPr>
        <w:t>《中华人民共和国政府采</w:t>
      </w:r>
      <w:r>
        <w:rPr>
          <w:rFonts w:hint="eastAsia" w:ascii="仿宋" w:hAnsi="仿宋" w:eastAsia="仿宋" w:cs="仿宋"/>
          <w:color w:val="auto"/>
          <w:sz w:val="22"/>
          <w:szCs w:val="22"/>
          <w:highlight w:val="none"/>
        </w:rPr>
        <w:t>购法》等法律法规和本合同的</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lang w:eastAsia="zh-CN"/>
        </w:rPr>
        <w:t>文件</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投标</w:t>
      </w:r>
      <w:r>
        <w:rPr>
          <w:rFonts w:hint="eastAsia" w:ascii="仿宋" w:hAnsi="仿宋" w:eastAsia="仿宋" w:cs="仿宋"/>
          <w:color w:val="auto"/>
          <w:sz w:val="22"/>
          <w:szCs w:val="22"/>
          <w:highlight w:val="none"/>
          <w:lang w:eastAsia="zh-CN"/>
        </w:rPr>
        <w:t>响应文件</w:t>
      </w:r>
      <w:r>
        <w:rPr>
          <w:rFonts w:hint="eastAsia" w:ascii="仿宋" w:hAnsi="仿宋" w:eastAsia="仿宋" w:cs="仿宋"/>
          <w:color w:val="auto"/>
          <w:sz w:val="22"/>
          <w:szCs w:val="22"/>
          <w:highlight w:val="none"/>
        </w:rPr>
        <w:t>及其投标中的承诺，经双方协商，同意按下述条款和条件签订本合同，共同遵守。</w:t>
      </w:r>
    </w:p>
    <w:p w14:paraId="200BDF52">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bookmarkStart w:id="481" w:name="_Toc150225169"/>
      <w:bookmarkStart w:id="482" w:name="_Toc150068528"/>
      <w:bookmarkStart w:id="483" w:name="_Toc150068533"/>
      <w:bookmarkStart w:id="484" w:name="_Toc150225174"/>
      <w:r>
        <w:rPr>
          <w:rFonts w:hint="eastAsia" w:ascii="仿宋" w:hAnsi="仿宋" w:eastAsia="仿宋" w:cs="仿宋"/>
          <w:b/>
          <w:bCs/>
          <w:color w:val="auto"/>
          <w:sz w:val="22"/>
          <w:szCs w:val="22"/>
          <w:highlight w:val="none"/>
        </w:rPr>
        <w:t>一、</w:t>
      </w:r>
      <w:bookmarkEnd w:id="481"/>
      <w:bookmarkEnd w:id="482"/>
      <w:r>
        <w:rPr>
          <w:rFonts w:hint="eastAsia" w:ascii="仿宋" w:hAnsi="仿宋" w:eastAsia="仿宋" w:cs="仿宋"/>
          <w:b/>
          <w:bCs/>
          <w:color w:val="auto"/>
          <w:sz w:val="22"/>
          <w:szCs w:val="22"/>
          <w:highlight w:val="none"/>
        </w:rPr>
        <w:t>维护环境及对象</w:t>
      </w:r>
    </w:p>
    <w:p w14:paraId="002755D1">
      <w:pPr>
        <w:keepNext w:val="0"/>
        <w:keepLines w:val="0"/>
        <w:pageBreakBefore w:val="0"/>
        <w:kinsoku/>
        <w:wordWrap/>
        <w:overflowPunct/>
        <w:topLinePunct w:val="0"/>
        <w:autoSpaceDE/>
        <w:autoSpaceDN/>
        <w:bidi w:val="0"/>
        <w:adjustRightInd/>
        <w:spacing w:line="46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依据甲方指定内容（具体详见</w:t>
      </w:r>
      <w:r>
        <w:rPr>
          <w:rFonts w:hint="eastAsia" w:ascii="仿宋" w:hAnsi="仿宋" w:eastAsia="仿宋" w:cs="仿宋"/>
          <w:color w:val="auto"/>
          <w:kern w:val="0"/>
          <w:sz w:val="22"/>
          <w:szCs w:val="22"/>
          <w:highlight w:val="none"/>
          <w:lang w:val="en-US" w:eastAsia="zh-CN"/>
        </w:rPr>
        <w:t>招标</w:t>
      </w:r>
      <w:r>
        <w:rPr>
          <w:rFonts w:hint="eastAsia" w:ascii="仿宋" w:hAnsi="仿宋" w:eastAsia="仿宋" w:cs="仿宋"/>
          <w:color w:val="auto"/>
          <w:kern w:val="0"/>
          <w:sz w:val="22"/>
          <w:szCs w:val="22"/>
          <w:highlight w:val="none"/>
          <w:lang w:eastAsia="zh-CN"/>
        </w:rPr>
        <w:t>文件</w:t>
      </w:r>
      <w:r>
        <w:rPr>
          <w:rFonts w:hint="eastAsia" w:ascii="仿宋" w:hAnsi="仿宋" w:eastAsia="仿宋" w:cs="仿宋"/>
          <w:color w:val="auto"/>
          <w:kern w:val="0"/>
          <w:sz w:val="22"/>
          <w:szCs w:val="22"/>
          <w:highlight w:val="none"/>
        </w:rPr>
        <w:t>）。</w:t>
      </w:r>
    </w:p>
    <w:p w14:paraId="3B1BE24A">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二、服务期限</w:t>
      </w:r>
      <w:bookmarkEnd w:id="483"/>
      <w:bookmarkEnd w:id="484"/>
      <w:r>
        <w:rPr>
          <w:rFonts w:hint="eastAsia" w:ascii="仿宋" w:hAnsi="仿宋" w:eastAsia="仿宋" w:cs="仿宋"/>
          <w:b/>
          <w:bCs/>
          <w:color w:val="auto"/>
          <w:sz w:val="22"/>
          <w:szCs w:val="22"/>
          <w:highlight w:val="none"/>
        </w:rPr>
        <w:t>与服务地点</w:t>
      </w:r>
    </w:p>
    <w:p w14:paraId="23BD3AB6">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（一）服务期限</w:t>
      </w:r>
    </w:p>
    <w:p w14:paraId="661B2368">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本合同约定的维护服务期从</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日（含）起,至</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日止。</w:t>
      </w:r>
    </w:p>
    <w:p w14:paraId="6C31F145">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（二）服务地点</w:t>
      </w:r>
    </w:p>
    <w:p w14:paraId="1DB14C53">
      <w:pPr>
        <w:keepNext w:val="0"/>
        <w:keepLines w:val="0"/>
        <w:pageBreakBefore w:val="0"/>
        <w:kinsoku/>
        <w:wordWrap/>
        <w:overflowPunct/>
        <w:topLinePunct w:val="0"/>
        <w:autoSpaceDE/>
        <w:autoSpaceDN/>
        <w:bidi w:val="0"/>
        <w:adjustRightInd/>
        <w:spacing w:line="460" w:lineRule="exact"/>
        <w:ind w:firstLine="57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本合同约定的维护服务地点为：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w:t>
      </w:r>
    </w:p>
    <w:p w14:paraId="19A6C71D">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bookmarkStart w:id="485" w:name="_Toc150068535"/>
      <w:bookmarkStart w:id="486" w:name="_Toc150225176"/>
      <w:r>
        <w:rPr>
          <w:rFonts w:hint="eastAsia" w:ascii="仿宋" w:hAnsi="仿宋" w:eastAsia="仿宋" w:cs="仿宋"/>
          <w:b/>
          <w:bCs/>
          <w:color w:val="auto"/>
          <w:sz w:val="22"/>
          <w:szCs w:val="22"/>
          <w:highlight w:val="none"/>
        </w:rPr>
        <w:t>三、</w:t>
      </w:r>
      <w:bookmarkEnd w:id="485"/>
      <w:bookmarkEnd w:id="486"/>
      <w:bookmarkStart w:id="487" w:name="_Toc150225184"/>
      <w:bookmarkStart w:id="488" w:name="_Toc150068543"/>
      <w:r>
        <w:rPr>
          <w:rFonts w:hint="eastAsia" w:ascii="仿宋" w:hAnsi="仿宋" w:eastAsia="仿宋" w:cs="仿宋"/>
          <w:b/>
          <w:bCs/>
          <w:color w:val="auto"/>
          <w:sz w:val="22"/>
          <w:szCs w:val="22"/>
          <w:highlight w:val="none"/>
        </w:rPr>
        <w:t>维护确认与验收</w:t>
      </w:r>
      <w:bookmarkEnd w:id="487"/>
      <w:bookmarkEnd w:id="488"/>
    </w:p>
    <w:p w14:paraId="1B8AFB61">
      <w:pPr>
        <w:spacing w:line="460" w:lineRule="exact"/>
        <w:ind w:firstLine="440" w:firstLineChars="200"/>
        <w:rPr>
          <w:rFonts w:hint="eastAsia" w:ascii="仿宋" w:hAnsi="仿宋" w:eastAsia="仿宋" w:cs="仿宋"/>
          <w:color w:val="auto"/>
          <w:sz w:val="22"/>
          <w:szCs w:val="22"/>
          <w:highlight w:val="none"/>
        </w:rPr>
      </w:pPr>
      <w:bookmarkStart w:id="489" w:name="_Toc150068548"/>
      <w:bookmarkStart w:id="490" w:name="_Toc150225189"/>
      <w:r>
        <w:rPr>
          <w:rFonts w:hint="eastAsia" w:ascii="仿宋" w:hAnsi="仿宋" w:eastAsia="仿宋" w:cs="仿宋"/>
          <w:color w:val="auto"/>
          <w:sz w:val="22"/>
          <w:szCs w:val="22"/>
          <w:highlight w:val="none"/>
        </w:rPr>
        <w:t>1.维护确认每</w:t>
      </w:r>
      <w:r>
        <w:rPr>
          <w:rFonts w:hint="eastAsia" w:ascii="仿宋" w:hAnsi="仿宋" w:eastAsia="仿宋" w:cs="仿宋"/>
          <w:color w:val="auto"/>
          <w:sz w:val="22"/>
          <w:szCs w:val="22"/>
          <w:highlight w:val="none"/>
          <w:u w:val="single"/>
        </w:rPr>
        <w:t xml:space="preserve"> 月 </w:t>
      </w:r>
      <w:r>
        <w:rPr>
          <w:rFonts w:hint="eastAsia" w:ascii="仿宋" w:hAnsi="仿宋" w:eastAsia="仿宋" w:cs="仿宋"/>
          <w:color w:val="auto"/>
          <w:sz w:val="22"/>
          <w:szCs w:val="22"/>
          <w:highlight w:val="none"/>
        </w:rPr>
        <w:t>进行一次。维护确认前，乙方应当根据附件中的检验规格和标准，对维护项目进行功能和运行检验。乙方应当在每次维护确认前</w:t>
      </w:r>
      <w:r>
        <w:rPr>
          <w:rFonts w:hint="eastAsia" w:ascii="仿宋" w:hAnsi="仿宋" w:eastAsia="仿宋" w:cs="仿宋"/>
          <w:color w:val="auto"/>
          <w:sz w:val="22"/>
          <w:szCs w:val="22"/>
          <w:highlight w:val="none"/>
          <w:u w:val="single"/>
        </w:rPr>
        <w:t xml:space="preserve">  3 </w:t>
      </w:r>
      <w:r>
        <w:rPr>
          <w:rFonts w:hint="eastAsia" w:ascii="仿宋" w:hAnsi="仿宋" w:eastAsia="仿宋" w:cs="仿宋"/>
          <w:color w:val="auto"/>
          <w:sz w:val="22"/>
          <w:szCs w:val="22"/>
          <w:highlight w:val="none"/>
        </w:rPr>
        <w:t>个工作日内，以书面方式提请甲方按照合同及其附件所约定的内容进行维护确认。重大维护内容发生后，乙方应当及时以书面方式提请甲方进行维护确认。提请对应用软件维护项目进行维护确认的，乙方还应当提交相应的软件维护文档，所提交的文档应当包括纸质版和电子版各一份。</w:t>
      </w:r>
    </w:p>
    <w:p w14:paraId="23A2F2CC">
      <w:pPr>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2.甲方应当在接到乙方书面材料的</w:t>
      </w:r>
      <w:r>
        <w:rPr>
          <w:rFonts w:hint="eastAsia" w:ascii="仿宋" w:hAnsi="仿宋" w:eastAsia="仿宋" w:cs="仿宋"/>
          <w:color w:val="auto"/>
          <w:sz w:val="22"/>
          <w:szCs w:val="22"/>
          <w:highlight w:val="none"/>
          <w:u w:val="single"/>
        </w:rPr>
        <w:t xml:space="preserve">  3</w:t>
      </w:r>
      <w:r>
        <w:rPr>
          <w:rFonts w:hint="eastAsia" w:ascii="仿宋" w:hAnsi="仿宋" w:eastAsia="仿宋" w:cs="仿宋"/>
          <w:color w:val="auto"/>
          <w:sz w:val="22"/>
          <w:szCs w:val="22"/>
          <w:highlight w:val="none"/>
        </w:rPr>
        <w:t>个工作日内进行维护确认。如甲方无正当理由而不进行维护确认，则视为甲方已经确认，双方对此另有约定的除外。维护确认的内容包括但不限于系统故障现象、原因、故障排除过程、更换配件情况、恢复状况等。</w:t>
      </w:r>
    </w:p>
    <w:p w14:paraId="35A98592">
      <w:pPr>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（三）验收</w:t>
      </w:r>
    </w:p>
    <w:p w14:paraId="13877E74">
      <w:pPr>
        <w:spacing w:line="46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1.维护项目按合同规定完成后，甲方应当及时进行验收。乙方应当以书面方式向甲方递交维护项目验收申请书，甲方在收到验收申请书后的 5  个工作日内，确定具体日期，</w:t>
      </w:r>
      <w:r>
        <w:rPr>
          <w:rFonts w:hint="eastAsia" w:ascii="仿宋" w:hAnsi="仿宋" w:eastAsia="仿宋" w:cs="仿宋"/>
          <w:color w:val="auto"/>
          <w:sz w:val="22"/>
          <w:szCs w:val="22"/>
          <w:highlight w:val="none"/>
          <w:lang w:val="en-US" w:eastAsia="zh-CN"/>
        </w:rPr>
        <w:t>由双方</w:t>
      </w:r>
      <w:r>
        <w:rPr>
          <w:rFonts w:hint="eastAsia" w:ascii="仿宋" w:hAnsi="仿宋" w:eastAsia="仿宋" w:cs="仿宋"/>
          <w:color w:val="auto"/>
          <w:sz w:val="22"/>
          <w:szCs w:val="22"/>
          <w:highlight w:val="none"/>
        </w:rPr>
        <w:t>参照《温州市市本级党政机关信息化项目验收实施细则(暂行)》执行</w:t>
      </w:r>
      <w:r>
        <w:rPr>
          <w:rFonts w:hint="eastAsia" w:ascii="仿宋" w:hAnsi="仿宋" w:eastAsia="仿宋" w:cs="仿宋"/>
          <w:color w:val="auto"/>
          <w:sz w:val="22"/>
          <w:szCs w:val="22"/>
          <w:highlight w:val="none"/>
          <w:lang w:eastAsia="zh-CN"/>
        </w:rPr>
        <w:t>。</w:t>
      </w:r>
    </w:p>
    <w:p w14:paraId="68509244">
      <w:pPr>
        <w:spacing w:line="460" w:lineRule="exact"/>
        <w:ind w:firstLine="56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2.如属于乙方原因致使维护项目未能通过验收，乙方应当排除故障，并自行承担相关费用，同时延长</w:t>
      </w:r>
      <w:r>
        <w:rPr>
          <w:rFonts w:hint="eastAsia" w:ascii="仿宋" w:hAnsi="仿宋" w:eastAsia="仿宋" w:cs="仿宋"/>
          <w:color w:val="auto"/>
          <w:sz w:val="22"/>
          <w:szCs w:val="22"/>
          <w:highlight w:val="none"/>
          <w:u w:val="single"/>
        </w:rPr>
        <w:t xml:space="preserve"> 5 </w:t>
      </w:r>
      <w:r>
        <w:rPr>
          <w:rFonts w:hint="eastAsia" w:ascii="仿宋" w:hAnsi="仿宋" w:eastAsia="仿宋" w:cs="仿宋"/>
          <w:color w:val="auto"/>
          <w:sz w:val="22"/>
          <w:szCs w:val="22"/>
          <w:highlight w:val="none"/>
        </w:rPr>
        <w:t>个工作日，直至符合验收标准。</w:t>
      </w:r>
    </w:p>
    <w:p w14:paraId="5732462D">
      <w:pPr>
        <w:spacing w:line="460" w:lineRule="exact"/>
        <w:ind w:left="141" w:leftChars="6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3.如由于甲方的原因致使维护项目未能通过验收，甲方应当在</w:t>
      </w:r>
      <w:r>
        <w:rPr>
          <w:rFonts w:hint="eastAsia" w:ascii="仿宋" w:hAnsi="仿宋" w:eastAsia="仿宋" w:cs="仿宋"/>
          <w:color w:val="auto"/>
          <w:sz w:val="22"/>
          <w:szCs w:val="22"/>
          <w:highlight w:val="none"/>
          <w:u w:val="single"/>
        </w:rPr>
        <w:t xml:space="preserve"> 10   </w:t>
      </w:r>
      <w:r>
        <w:rPr>
          <w:rFonts w:hint="eastAsia" w:ascii="仿宋" w:hAnsi="仿宋" w:eastAsia="仿宋" w:cs="仿宋"/>
          <w:color w:val="auto"/>
          <w:sz w:val="22"/>
          <w:szCs w:val="22"/>
          <w:highlight w:val="none"/>
        </w:rPr>
        <w:t>个工作日内排除故障，</w:t>
      </w:r>
      <w:r>
        <w:rPr>
          <w:rFonts w:hint="eastAsia" w:ascii="仿宋" w:hAnsi="仿宋" w:eastAsia="仿宋" w:cs="仿宋"/>
          <w:color w:val="auto"/>
          <w:sz w:val="22"/>
          <w:szCs w:val="22"/>
          <w:highlight w:val="none"/>
          <w:u w:val="single"/>
        </w:rPr>
        <w:t xml:space="preserve">  15  </w:t>
      </w:r>
      <w:r>
        <w:rPr>
          <w:rFonts w:hint="eastAsia" w:ascii="仿宋" w:hAnsi="仿宋" w:eastAsia="仿宋" w:cs="仿宋"/>
          <w:color w:val="auto"/>
          <w:sz w:val="22"/>
          <w:szCs w:val="22"/>
          <w:highlight w:val="none"/>
        </w:rPr>
        <w:t>日内再次进行验收，直至通过验收为止。</w:t>
      </w:r>
    </w:p>
    <w:p w14:paraId="15DD1146">
      <w:pPr>
        <w:spacing w:line="460" w:lineRule="exact"/>
        <w:ind w:left="141" w:leftChars="6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4、履约验收费用（包含第三方检测及评审费用）由供应商承担，因供应商原因造成验收不通过的，再次验收的费用仍由供应商承担。</w:t>
      </w:r>
    </w:p>
    <w:bookmarkEnd w:id="489"/>
    <w:bookmarkEnd w:id="490"/>
    <w:p w14:paraId="5EB45F04">
      <w:pPr>
        <w:keepNext w:val="0"/>
        <w:keepLines w:val="0"/>
        <w:pageBreakBefore w:val="0"/>
        <w:kinsoku/>
        <w:wordWrap/>
        <w:overflowPunct/>
        <w:topLinePunct w:val="0"/>
        <w:autoSpaceDE/>
        <w:autoSpaceDN/>
        <w:bidi w:val="0"/>
        <w:adjustRightInd/>
        <w:spacing w:line="460" w:lineRule="exact"/>
        <w:ind w:left="420"/>
        <w:textAlignment w:val="auto"/>
        <w:outlineLvl w:val="9"/>
        <w:rPr>
          <w:rFonts w:hint="eastAsia" w:ascii="仿宋" w:hAnsi="仿宋" w:eastAsia="仿宋" w:cs="仿宋"/>
          <w:b/>
          <w:bCs/>
          <w:color w:val="auto"/>
          <w:sz w:val="22"/>
          <w:szCs w:val="22"/>
          <w:highlight w:val="none"/>
        </w:rPr>
      </w:pPr>
      <w:bookmarkStart w:id="491" w:name="_Toc150068549"/>
      <w:bookmarkStart w:id="492" w:name="_Toc150225190"/>
      <w:r>
        <w:rPr>
          <w:rFonts w:hint="eastAsia" w:ascii="仿宋" w:hAnsi="仿宋" w:eastAsia="仿宋" w:cs="仿宋"/>
          <w:b/>
          <w:bCs/>
          <w:color w:val="auto"/>
          <w:sz w:val="22"/>
          <w:szCs w:val="22"/>
          <w:highlight w:val="none"/>
        </w:rPr>
        <w:t>四、价格与付款方式</w:t>
      </w:r>
    </w:p>
    <w:p w14:paraId="0CC546C5">
      <w:pPr>
        <w:keepNext w:val="0"/>
        <w:keepLines w:val="0"/>
        <w:pageBreakBefore w:val="0"/>
        <w:widowControl/>
        <w:kinsoku/>
        <w:wordWrap/>
        <w:overflowPunct/>
        <w:topLinePunct w:val="0"/>
        <w:autoSpaceDE/>
        <w:autoSpaceDN/>
        <w:bidi w:val="0"/>
        <w:adjustRightInd/>
        <w:snapToGrid w:val="0"/>
        <w:spacing w:line="460" w:lineRule="exact"/>
        <w:ind w:firstLine="220" w:firstLineChars="100"/>
        <w:jc w:val="left"/>
        <w:textAlignment w:val="auto"/>
        <w:outlineLvl w:val="9"/>
        <w:rPr>
          <w:rFonts w:hint="eastAsia" w:ascii="仿宋" w:hAnsi="仿宋" w:eastAsia="仿宋" w:cs="仿宋"/>
          <w:color w:val="auto"/>
          <w:kern w:val="0"/>
          <w:sz w:val="22"/>
          <w:szCs w:val="22"/>
          <w:highlight w:val="none"/>
        </w:rPr>
      </w:pPr>
      <w:bookmarkStart w:id="493" w:name="_Hlk75268894"/>
      <w:r>
        <w:rPr>
          <w:rFonts w:hint="eastAsia" w:ascii="仿宋" w:hAnsi="仿宋" w:eastAsia="仿宋" w:cs="仿宋"/>
          <w:color w:val="auto"/>
          <w:kern w:val="0"/>
          <w:sz w:val="22"/>
          <w:szCs w:val="22"/>
          <w:highlight w:val="none"/>
        </w:rPr>
        <w:t>（一）本合同中提及金额均为含税价。</w:t>
      </w:r>
    </w:p>
    <w:p w14:paraId="2D9602A8">
      <w:pPr>
        <w:keepNext w:val="0"/>
        <w:keepLines w:val="0"/>
        <w:pageBreakBefore w:val="0"/>
        <w:widowControl/>
        <w:kinsoku/>
        <w:wordWrap/>
        <w:overflowPunct/>
        <w:topLinePunct w:val="0"/>
        <w:autoSpaceDE/>
        <w:autoSpaceDN/>
        <w:bidi w:val="0"/>
        <w:adjustRightInd/>
        <w:snapToGrid w:val="0"/>
        <w:spacing w:line="460" w:lineRule="exact"/>
        <w:ind w:firstLine="220" w:firstLineChars="100"/>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（二）合同总金额为：人民币：</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rPr>
        <w:t>元（大写：</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rPr>
        <w:t>元整）</w:t>
      </w:r>
    </w:p>
    <w:bookmarkEnd w:id="493"/>
    <w:p w14:paraId="454D54CD">
      <w:pPr>
        <w:keepNext w:val="0"/>
        <w:keepLines w:val="0"/>
        <w:pageBreakBefore w:val="0"/>
        <w:widowControl/>
        <w:kinsoku/>
        <w:wordWrap/>
        <w:overflowPunct/>
        <w:topLinePunct w:val="0"/>
        <w:autoSpaceDE/>
        <w:autoSpaceDN/>
        <w:bidi w:val="0"/>
        <w:adjustRightInd/>
        <w:snapToGrid w:val="0"/>
        <w:spacing w:line="460" w:lineRule="exact"/>
        <w:ind w:firstLine="220" w:firstLineChars="100"/>
        <w:jc w:val="left"/>
        <w:textAlignment w:val="auto"/>
        <w:outlineLvl w:val="9"/>
        <w:rPr>
          <w:rFonts w:hint="eastAsia" w:ascii="仿宋" w:hAnsi="仿宋" w:eastAsia="仿宋" w:cs="仿宋"/>
          <w:color w:val="auto"/>
          <w:kern w:val="0"/>
          <w:sz w:val="22"/>
          <w:szCs w:val="22"/>
          <w:highlight w:val="none"/>
        </w:rPr>
      </w:pPr>
      <w:bookmarkStart w:id="494" w:name="_Hlk75268919"/>
      <w:r>
        <w:rPr>
          <w:rFonts w:hint="eastAsia" w:ascii="仿宋" w:hAnsi="仿宋" w:eastAsia="仿宋" w:cs="仿宋"/>
          <w:color w:val="auto"/>
          <w:kern w:val="0"/>
          <w:sz w:val="22"/>
          <w:szCs w:val="22"/>
          <w:highlight w:val="none"/>
        </w:rPr>
        <w:t>（三）维护详细价格清单</w:t>
      </w:r>
    </w:p>
    <w:bookmarkEnd w:id="494"/>
    <w:p w14:paraId="7A68884A">
      <w:pPr>
        <w:keepNext w:val="0"/>
        <w:keepLines w:val="0"/>
        <w:pageBreakBefore w:val="0"/>
        <w:widowControl/>
        <w:kinsoku/>
        <w:wordWrap/>
        <w:overflowPunct/>
        <w:topLinePunct w:val="0"/>
        <w:autoSpaceDE/>
        <w:autoSpaceDN/>
        <w:bidi w:val="0"/>
        <w:adjustRightInd/>
        <w:snapToGrid w:val="0"/>
        <w:spacing w:line="460" w:lineRule="exact"/>
        <w:ind w:firstLine="220" w:firstLineChars="100"/>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（四）履约保函（或履约保证金）：</w:t>
      </w:r>
      <w:r>
        <w:rPr>
          <w:rFonts w:hint="eastAsia" w:ascii="仿宋" w:hAnsi="仿宋" w:eastAsia="仿宋" w:cs="仿宋"/>
          <w:color w:val="auto"/>
          <w:kern w:val="0"/>
          <w:sz w:val="22"/>
          <w:szCs w:val="22"/>
          <w:highlight w:val="none"/>
          <w:lang w:val="en-US" w:eastAsia="zh-CN"/>
        </w:rPr>
        <w:t>无</w:t>
      </w:r>
      <w:r>
        <w:rPr>
          <w:rFonts w:hint="eastAsia" w:ascii="仿宋" w:hAnsi="仿宋" w:eastAsia="仿宋" w:cs="仿宋"/>
          <w:color w:val="auto"/>
          <w:kern w:val="0"/>
          <w:sz w:val="22"/>
          <w:szCs w:val="22"/>
          <w:highlight w:val="none"/>
        </w:rPr>
        <w:t>；</w:t>
      </w:r>
    </w:p>
    <w:p w14:paraId="64B5D85F">
      <w:pPr>
        <w:keepNext w:val="0"/>
        <w:keepLines w:val="0"/>
        <w:pageBreakBefore w:val="0"/>
        <w:widowControl/>
        <w:kinsoku/>
        <w:wordWrap/>
        <w:overflowPunct/>
        <w:topLinePunct w:val="0"/>
        <w:autoSpaceDE/>
        <w:autoSpaceDN/>
        <w:bidi w:val="0"/>
        <w:adjustRightInd/>
        <w:snapToGrid w:val="0"/>
        <w:spacing w:line="460" w:lineRule="exact"/>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（五）款项支付：</w:t>
      </w:r>
    </w:p>
    <w:p w14:paraId="3733BFF9">
      <w:pPr>
        <w:keepNext w:val="0"/>
        <w:keepLines w:val="0"/>
        <w:pageBreakBefore w:val="0"/>
        <w:kinsoku/>
        <w:wordWrap/>
        <w:overflowPunct/>
        <w:topLinePunct w:val="0"/>
        <w:autoSpaceDE/>
        <w:autoSpaceDN/>
        <w:bidi w:val="0"/>
        <w:adjustRightInd/>
        <w:spacing w:line="46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（1）第一笔款：合同签订及乙方驻点人员到位后，乙方向甲方申请支付</w:t>
      </w:r>
      <w:r>
        <w:rPr>
          <w:rFonts w:hint="eastAsia" w:ascii="仿宋" w:hAnsi="仿宋" w:eastAsia="仿宋" w:cs="仿宋"/>
          <w:color w:val="auto"/>
          <w:kern w:val="0"/>
          <w:sz w:val="22"/>
          <w:szCs w:val="22"/>
          <w:highlight w:val="none"/>
          <w:lang w:val="en-US" w:eastAsia="zh-CN"/>
        </w:rPr>
        <w:t>并提供相应增值税发票</w:t>
      </w:r>
      <w:r>
        <w:rPr>
          <w:rFonts w:hint="eastAsia" w:ascii="仿宋" w:hAnsi="仿宋" w:eastAsia="仿宋" w:cs="仿宋"/>
          <w:color w:val="auto"/>
          <w:kern w:val="0"/>
          <w:sz w:val="22"/>
          <w:szCs w:val="22"/>
          <w:highlight w:val="none"/>
        </w:rPr>
        <w:t>，甲方</w:t>
      </w:r>
      <w:r>
        <w:rPr>
          <w:rFonts w:hint="eastAsia" w:ascii="仿宋" w:hAnsi="仿宋" w:eastAsia="仿宋" w:cs="仿宋"/>
          <w:color w:val="auto"/>
          <w:kern w:val="0"/>
          <w:sz w:val="22"/>
          <w:szCs w:val="22"/>
          <w:highlight w:val="none"/>
          <w:lang w:val="en-US" w:eastAsia="zh-CN"/>
        </w:rPr>
        <w:t>收到发票</w:t>
      </w:r>
      <w:r>
        <w:rPr>
          <w:rFonts w:hint="eastAsia" w:ascii="仿宋" w:hAnsi="仿宋" w:eastAsia="仿宋" w:cs="仿宋"/>
          <w:color w:val="auto"/>
          <w:kern w:val="0"/>
          <w:sz w:val="22"/>
          <w:szCs w:val="22"/>
          <w:highlight w:val="none"/>
        </w:rPr>
        <w:t>后7个工作日内向乙方支付合同金额的70%，即</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lang w:val="en-US" w:eastAsia="zh-CN"/>
        </w:rPr>
        <w:t>元</w:t>
      </w:r>
      <w:r>
        <w:rPr>
          <w:rFonts w:hint="eastAsia" w:ascii="仿宋" w:hAnsi="仿宋" w:eastAsia="仿宋" w:cs="仿宋"/>
          <w:color w:val="auto"/>
          <w:kern w:val="0"/>
          <w:sz w:val="22"/>
          <w:szCs w:val="22"/>
          <w:highlight w:val="none"/>
        </w:rPr>
        <w:t>款项；</w:t>
      </w:r>
    </w:p>
    <w:p w14:paraId="3FDC0DD2">
      <w:pPr>
        <w:keepNext w:val="0"/>
        <w:keepLines w:val="0"/>
        <w:pageBreakBefore w:val="0"/>
        <w:kinsoku/>
        <w:wordWrap/>
        <w:overflowPunct/>
        <w:topLinePunct w:val="0"/>
        <w:autoSpaceDE/>
        <w:autoSpaceDN/>
        <w:bidi w:val="0"/>
        <w:adjustRightInd/>
        <w:spacing w:line="460" w:lineRule="exact"/>
        <w:ind w:firstLine="440" w:firstLineChars="20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第二笔款：</w:t>
      </w:r>
      <w:r>
        <w:rPr>
          <w:rFonts w:hint="eastAsia" w:ascii="仿宋" w:hAnsi="仿宋" w:eastAsia="仿宋" w:cs="仿宋"/>
          <w:color w:val="auto"/>
          <w:kern w:val="0"/>
          <w:sz w:val="22"/>
          <w:szCs w:val="22"/>
          <w:highlight w:val="none"/>
          <w:lang w:val="en-US" w:eastAsia="zh-CN"/>
        </w:rPr>
        <w:t>运维期满6个月并在</w:t>
      </w:r>
      <w:r>
        <w:rPr>
          <w:rFonts w:hint="eastAsia" w:ascii="仿宋" w:hAnsi="仿宋" w:eastAsia="仿宋" w:cs="仿宋"/>
          <w:color w:val="auto"/>
          <w:kern w:val="0"/>
          <w:sz w:val="22"/>
          <w:szCs w:val="22"/>
          <w:highlight w:val="none"/>
        </w:rPr>
        <w:t>甲方</w:t>
      </w:r>
      <w:r>
        <w:rPr>
          <w:rFonts w:hint="eastAsia" w:ascii="仿宋" w:hAnsi="仿宋" w:eastAsia="仿宋" w:cs="仿宋"/>
          <w:color w:val="auto"/>
          <w:kern w:val="0"/>
          <w:sz w:val="22"/>
          <w:szCs w:val="22"/>
          <w:highlight w:val="none"/>
          <w:lang w:val="en-US" w:eastAsia="zh-CN"/>
        </w:rPr>
        <w:t>对项目进行阶段性</w:t>
      </w:r>
      <w:r>
        <w:rPr>
          <w:rFonts w:hint="eastAsia" w:ascii="仿宋" w:hAnsi="仿宋" w:eastAsia="仿宋" w:cs="仿宋"/>
          <w:color w:val="auto"/>
          <w:kern w:val="0"/>
          <w:sz w:val="22"/>
          <w:szCs w:val="22"/>
          <w:highlight w:val="none"/>
        </w:rPr>
        <w:t>考核</w:t>
      </w:r>
      <w:r>
        <w:rPr>
          <w:rFonts w:hint="eastAsia" w:ascii="仿宋" w:hAnsi="仿宋" w:eastAsia="仿宋" w:cs="仿宋"/>
          <w:color w:val="auto"/>
          <w:kern w:val="0"/>
          <w:sz w:val="22"/>
          <w:szCs w:val="22"/>
          <w:highlight w:val="none"/>
          <w:lang w:val="en-US" w:eastAsia="zh-CN"/>
        </w:rPr>
        <w:t>后</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乙方向甲方申请支付</w:t>
      </w:r>
      <w:r>
        <w:rPr>
          <w:rFonts w:hint="eastAsia" w:ascii="仿宋" w:hAnsi="仿宋" w:eastAsia="仿宋" w:cs="仿宋"/>
          <w:color w:val="auto"/>
          <w:kern w:val="0"/>
          <w:sz w:val="22"/>
          <w:szCs w:val="22"/>
          <w:highlight w:val="none"/>
          <w:lang w:val="en-US" w:eastAsia="zh-CN"/>
        </w:rPr>
        <w:t>并提供相应增值税发票</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甲方收到发票后</w:t>
      </w:r>
      <w:r>
        <w:rPr>
          <w:rFonts w:hint="eastAsia" w:ascii="仿宋" w:hAnsi="仿宋" w:eastAsia="仿宋" w:cs="仿宋"/>
          <w:color w:val="auto"/>
          <w:kern w:val="0"/>
          <w:sz w:val="22"/>
          <w:szCs w:val="22"/>
          <w:highlight w:val="none"/>
        </w:rPr>
        <w:t>7个工作日内向乙方支付合同金额的</w:t>
      </w:r>
      <w:r>
        <w:rPr>
          <w:rFonts w:hint="eastAsia" w:ascii="仿宋" w:hAnsi="仿宋" w:eastAsia="仿宋" w:cs="仿宋"/>
          <w:color w:val="auto"/>
          <w:kern w:val="0"/>
          <w:sz w:val="22"/>
          <w:szCs w:val="22"/>
          <w:highlight w:val="none"/>
          <w:lang w:val="en-US" w:eastAsia="zh-CN"/>
        </w:rPr>
        <w:t>29</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有考核扣款的予以核减</w:t>
      </w:r>
      <w:r>
        <w:rPr>
          <w:rFonts w:hint="eastAsia" w:ascii="仿宋" w:hAnsi="仿宋" w:eastAsia="仿宋" w:cs="仿宋"/>
          <w:color w:val="auto"/>
          <w:kern w:val="0"/>
          <w:sz w:val="22"/>
          <w:szCs w:val="22"/>
          <w:highlight w:val="none"/>
          <w:lang w:eastAsia="zh-CN"/>
        </w:rPr>
        <w:t>）；</w:t>
      </w:r>
    </w:p>
    <w:p w14:paraId="1A9034B8">
      <w:pPr>
        <w:keepNext w:val="0"/>
        <w:keepLines w:val="0"/>
        <w:pageBreakBefore w:val="0"/>
        <w:kinsoku/>
        <w:wordWrap/>
        <w:overflowPunct/>
        <w:topLinePunct w:val="0"/>
        <w:autoSpaceDE/>
        <w:autoSpaceDN/>
        <w:bidi w:val="0"/>
        <w:adjustRightInd/>
        <w:spacing w:line="46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（3）第三笔款:在项目履约</w:t>
      </w:r>
      <w:r>
        <w:rPr>
          <w:rFonts w:hint="eastAsia" w:ascii="仿宋" w:hAnsi="仿宋" w:eastAsia="仿宋" w:cs="仿宋"/>
          <w:color w:val="auto"/>
          <w:kern w:val="0"/>
          <w:sz w:val="22"/>
          <w:szCs w:val="22"/>
          <w:highlight w:val="none"/>
        </w:rPr>
        <w:t>经验收合格</w:t>
      </w:r>
      <w:r>
        <w:rPr>
          <w:rFonts w:hint="eastAsia" w:ascii="仿宋" w:hAnsi="仿宋" w:eastAsia="仿宋" w:cs="仿宋"/>
          <w:color w:val="auto"/>
          <w:kern w:val="0"/>
          <w:sz w:val="22"/>
          <w:szCs w:val="22"/>
          <w:highlight w:val="none"/>
          <w:lang w:val="en-US" w:eastAsia="zh-CN"/>
        </w:rPr>
        <w:t>并在</w:t>
      </w:r>
      <w:r>
        <w:rPr>
          <w:rFonts w:hint="eastAsia" w:ascii="仿宋" w:hAnsi="仿宋" w:eastAsia="仿宋" w:cs="仿宋"/>
          <w:color w:val="auto"/>
          <w:kern w:val="0"/>
          <w:sz w:val="22"/>
          <w:szCs w:val="22"/>
          <w:highlight w:val="none"/>
        </w:rPr>
        <w:t>甲方</w:t>
      </w:r>
      <w:r>
        <w:rPr>
          <w:rFonts w:hint="eastAsia" w:ascii="仿宋" w:hAnsi="仿宋" w:eastAsia="仿宋" w:cs="仿宋"/>
          <w:color w:val="auto"/>
          <w:kern w:val="0"/>
          <w:sz w:val="22"/>
          <w:szCs w:val="22"/>
          <w:highlight w:val="none"/>
          <w:lang w:val="en-US" w:eastAsia="zh-CN"/>
        </w:rPr>
        <w:t>对项目进行</w:t>
      </w:r>
      <w:r>
        <w:rPr>
          <w:rFonts w:hint="eastAsia" w:ascii="仿宋" w:hAnsi="仿宋" w:eastAsia="仿宋" w:cs="仿宋"/>
          <w:color w:val="auto"/>
          <w:kern w:val="0"/>
          <w:sz w:val="22"/>
          <w:szCs w:val="22"/>
          <w:highlight w:val="none"/>
        </w:rPr>
        <w:t>考核</w:t>
      </w:r>
      <w:r>
        <w:rPr>
          <w:rFonts w:hint="eastAsia" w:ascii="仿宋" w:hAnsi="仿宋" w:eastAsia="仿宋" w:cs="仿宋"/>
          <w:color w:val="auto"/>
          <w:kern w:val="0"/>
          <w:sz w:val="22"/>
          <w:szCs w:val="22"/>
          <w:highlight w:val="none"/>
          <w:lang w:val="en-US" w:eastAsia="zh-CN"/>
        </w:rPr>
        <w:t>后，</w:t>
      </w:r>
      <w:r>
        <w:rPr>
          <w:rFonts w:hint="eastAsia" w:ascii="仿宋" w:hAnsi="仿宋" w:eastAsia="仿宋" w:cs="仿宋"/>
          <w:color w:val="auto"/>
          <w:kern w:val="0"/>
          <w:sz w:val="22"/>
          <w:szCs w:val="22"/>
          <w:highlight w:val="none"/>
        </w:rPr>
        <w:t>乙方向甲方申请支付</w:t>
      </w:r>
      <w:r>
        <w:rPr>
          <w:rFonts w:hint="eastAsia" w:ascii="仿宋" w:hAnsi="仿宋" w:eastAsia="仿宋" w:cs="仿宋"/>
          <w:color w:val="auto"/>
          <w:kern w:val="0"/>
          <w:sz w:val="22"/>
          <w:szCs w:val="22"/>
          <w:highlight w:val="none"/>
          <w:lang w:val="en-US" w:eastAsia="zh-CN"/>
        </w:rPr>
        <w:t>并提供相应增值税发票</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甲方收到发票</w:t>
      </w:r>
      <w:r>
        <w:rPr>
          <w:rFonts w:hint="eastAsia" w:ascii="仿宋" w:hAnsi="仿宋" w:eastAsia="仿宋" w:cs="仿宋"/>
          <w:color w:val="auto"/>
          <w:kern w:val="0"/>
          <w:sz w:val="22"/>
          <w:szCs w:val="22"/>
          <w:highlight w:val="none"/>
        </w:rPr>
        <w:t>后7个工作日内向乙方支付合同金额的</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有考核扣款的予以核减</w:t>
      </w:r>
      <w:r>
        <w:rPr>
          <w:rFonts w:hint="eastAsia" w:ascii="仿宋" w:hAnsi="仿宋" w:eastAsia="仿宋" w:cs="仿宋"/>
          <w:color w:val="auto"/>
          <w:kern w:val="0"/>
          <w:sz w:val="22"/>
          <w:szCs w:val="22"/>
          <w:highlight w:val="none"/>
          <w:lang w:eastAsia="zh-CN"/>
        </w:rPr>
        <w:t>）。</w:t>
      </w:r>
    </w:p>
    <w:bookmarkEnd w:id="491"/>
    <w:bookmarkEnd w:id="492"/>
    <w:p w14:paraId="70BE3405">
      <w:pPr>
        <w:keepNext w:val="0"/>
        <w:keepLines w:val="0"/>
        <w:pageBreakBefore w:val="0"/>
        <w:kinsoku/>
        <w:wordWrap/>
        <w:overflowPunct/>
        <w:topLinePunct w:val="0"/>
        <w:autoSpaceDE/>
        <w:autoSpaceDN/>
        <w:bidi w:val="0"/>
        <w:adjustRightInd/>
        <w:spacing w:line="460" w:lineRule="exact"/>
        <w:ind w:firstLine="442" w:firstLineChars="200"/>
        <w:textAlignment w:val="auto"/>
        <w:outlineLvl w:val="9"/>
        <w:rPr>
          <w:rFonts w:hint="eastAsia" w:ascii="仿宋" w:hAnsi="仿宋" w:eastAsia="仿宋" w:cs="仿宋"/>
          <w:b/>
          <w:bCs/>
          <w:color w:val="auto"/>
          <w:sz w:val="22"/>
          <w:szCs w:val="22"/>
          <w:highlight w:val="none"/>
        </w:rPr>
      </w:pPr>
      <w:bookmarkStart w:id="495" w:name="_Toc150068552"/>
      <w:bookmarkStart w:id="496" w:name="_Toc150225193"/>
      <w:r>
        <w:rPr>
          <w:rFonts w:hint="eastAsia" w:ascii="仿宋" w:hAnsi="仿宋" w:eastAsia="仿宋" w:cs="仿宋"/>
          <w:b/>
          <w:bCs/>
          <w:color w:val="auto"/>
          <w:sz w:val="22"/>
          <w:szCs w:val="22"/>
          <w:highlight w:val="none"/>
        </w:rPr>
        <w:t>五、义务与责任</w:t>
      </w:r>
      <w:bookmarkEnd w:id="495"/>
      <w:bookmarkEnd w:id="496"/>
    </w:p>
    <w:p w14:paraId="555202DF">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（一）甲方</w:t>
      </w:r>
    </w:p>
    <w:p w14:paraId="569F6518">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1.甲方应当向乙方提供必要的工作条件，包括必要的技术资料、技术准备，协助乙方做好维护服务。</w:t>
      </w:r>
    </w:p>
    <w:p w14:paraId="30C9AB6C">
      <w:pPr>
        <w:keepNext w:val="0"/>
        <w:keepLines w:val="0"/>
        <w:pageBreakBefore w:val="0"/>
        <w:tabs>
          <w:tab w:val="left" w:pos="1346"/>
        </w:tabs>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2.甲方应当保证其要求乙方维护的软件、硬件以及相关的文档未侵犯第三方知识产权。</w:t>
      </w:r>
    </w:p>
    <w:p w14:paraId="2C3395EA">
      <w:pPr>
        <w:keepNext w:val="0"/>
        <w:keepLines w:val="0"/>
        <w:pageBreakBefore w:val="0"/>
        <w:widowControl/>
        <w:kinsoku/>
        <w:wordWrap/>
        <w:overflowPunct/>
        <w:topLinePunct w:val="0"/>
        <w:autoSpaceDE/>
        <w:autoSpaceDN/>
        <w:bidi w:val="0"/>
        <w:adjustRightInd/>
        <w:snapToGrid w:val="0"/>
        <w:spacing w:line="400" w:lineRule="exact"/>
        <w:ind w:firstLine="389" w:firstLineChars="177"/>
        <w:jc w:val="left"/>
        <w:textAlignment w:val="auto"/>
        <w:outlineLvl w:val="9"/>
        <w:rPr>
          <w:rFonts w:hint="eastAsia" w:ascii="仿宋" w:hAnsi="仿宋" w:eastAsia="仿宋" w:cs="仿宋"/>
          <w:color w:val="auto"/>
          <w:sz w:val="22"/>
          <w:szCs w:val="22"/>
          <w:highlight w:val="none"/>
        </w:rPr>
      </w:pPr>
      <w:bookmarkStart w:id="497" w:name="_Hlk101965495"/>
      <w:r>
        <w:rPr>
          <w:rFonts w:hint="eastAsia" w:ascii="仿宋" w:hAnsi="仿宋" w:eastAsia="仿宋" w:cs="仿宋"/>
          <w:color w:val="auto"/>
          <w:sz w:val="22"/>
          <w:szCs w:val="22"/>
          <w:highlight w:val="none"/>
        </w:rPr>
        <w:t>3.甲方应当配合由乙方提供的技术培训工作；</w:t>
      </w:r>
    </w:p>
    <w:bookmarkEnd w:id="497"/>
    <w:p w14:paraId="004857D0">
      <w:pPr>
        <w:keepNext w:val="0"/>
        <w:keepLines w:val="0"/>
        <w:pageBreakBefore w:val="0"/>
        <w:widowControl/>
        <w:kinsoku/>
        <w:wordWrap/>
        <w:overflowPunct/>
        <w:topLinePunct w:val="0"/>
        <w:autoSpaceDE/>
        <w:autoSpaceDN/>
        <w:bidi w:val="0"/>
        <w:adjustRightInd/>
        <w:snapToGrid w:val="0"/>
        <w:spacing w:line="400" w:lineRule="exact"/>
        <w:ind w:firstLine="389" w:firstLineChars="177"/>
        <w:jc w:val="lef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4.甲方负责协调最终甲方和乙方的关系，并提供最终甲方的联系方式；</w:t>
      </w:r>
    </w:p>
    <w:p w14:paraId="47A26869">
      <w:pPr>
        <w:keepNext w:val="0"/>
        <w:keepLines w:val="0"/>
        <w:pageBreakBefore w:val="0"/>
        <w:widowControl/>
        <w:kinsoku/>
        <w:wordWrap/>
        <w:overflowPunct/>
        <w:topLinePunct w:val="0"/>
        <w:autoSpaceDE/>
        <w:autoSpaceDN/>
        <w:bidi w:val="0"/>
        <w:adjustRightInd/>
        <w:snapToGrid w:val="0"/>
        <w:spacing w:line="400" w:lineRule="exact"/>
        <w:ind w:firstLine="389" w:firstLineChars="177"/>
        <w:jc w:val="lef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5.甲方</w:t>
      </w:r>
      <w:bookmarkStart w:id="498" w:name="_Hlk126742933"/>
      <w:r>
        <w:rPr>
          <w:rFonts w:hint="eastAsia" w:ascii="仿宋" w:hAnsi="仿宋" w:eastAsia="仿宋" w:cs="仿宋"/>
          <w:color w:val="auto"/>
          <w:sz w:val="22"/>
          <w:szCs w:val="22"/>
          <w:highlight w:val="none"/>
        </w:rPr>
        <w:t>在服务期内</w:t>
      </w:r>
      <w:bookmarkEnd w:id="498"/>
      <w:r>
        <w:rPr>
          <w:rFonts w:hint="eastAsia" w:ascii="仿宋" w:hAnsi="仿宋" w:eastAsia="仿宋" w:cs="仿宋"/>
          <w:color w:val="auto"/>
          <w:sz w:val="22"/>
          <w:szCs w:val="22"/>
          <w:highlight w:val="none"/>
        </w:rPr>
        <w:t>对乙方向甲方提供的内部资料予以保密，且不向任何第三方泄露乙方的商业机密和技术机密。</w:t>
      </w:r>
    </w:p>
    <w:p w14:paraId="793B9B68">
      <w:pPr>
        <w:keepNext w:val="0"/>
        <w:keepLines w:val="0"/>
        <w:pageBreakBefore w:val="0"/>
        <w:tabs>
          <w:tab w:val="left" w:pos="1346"/>
        </w:tabs>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（二）乙方</w:t>
      </w:r>
    </w:p>
    <w:p w14:paraId="7E4E5387">
      <w:pPr>
        <w:keepNext w:val="0"/>
        <w:keepLines w:val="0"/>
        <w:pageBreakBefore w:val="0"/>
        <w:tabs>
          <w:tab w:val="left" w:pos="1346"/>
        </w:tabs>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1.乙方保证维护工作的过程未侵犯第三方合法权益，如甲方因此而被追诉的，所有责任与损失均有乙方承担，如甲方先行承担的，有权向乙方追偿。</w:t>
      </w:r>
    </w:p>
    <w:p w14:paraId="26719A1F">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经乙方维护更新后的软件，其任何部分如被依法认定为侵犯第三方合法权利，或者任何由乙方授予的权利被认定为侵权，乙方应当承担相应的责任，并应当用相同功能的合法软件替换该软件，或者取得相关授权，确保甲方能够继续享有本合同所规定的各项权利，并且乙方应当赔偿甲方由此而造成的损失。</w:t>
      </w:r>
    </w:p>
    <w:p w14:paraId="7DCB3B6A">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乙方所承担的维护项目的质量标准应当符合国家标准、行业标准以及制造企业的标准。若无国家标准、行业标准或者制造企业的标准的，以符合合同目的的其他标准作为质量标准。除此之外还应当符合温州市有关安全、环保、卫生等地方性法规、政策有关规定。</w:t>
      </w:r>
    </w:p>
    <w:p w14:paraId="3EBD37BD">
      <w:pPr>
        <w:keepNext w:val="0"/>
        <w:keepLines w:val="0"/>
        <w:pageBreakBefore w:val="0"/>
        <w:kinsoku/>
        <w:wordWrap/>
        <w:overflowPunct/>
        <w:topLinePunct w:val="0"/>
        <w:autoSpaceDE/>
        <w:autoSpaceDN/>
        <w:bidi w:val="0"/>
        <w:adjustRightInd/>
        <w:spacing w:line="400" w:lineRule="exact"/>
        <w:ind w:firstLine="389" w:firstLineChars="177"/>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 </w:t>
      </w:r>
      <w:r>
        <w:rPr>
          <w:rFonts w:hint="eastAsia" w:ascii="仿宋" w:hAnsi="仿宋" w:eastAsia="仿宋" w:cs="仿宋"/>
          <w:color w:val="auto"/>
          <w:kern w:val="0"/>
          <w:sz w:val="22"/>
          <w:szCs w:val="22"/>
          <w:highlight w:val="none"/>
        </w:rPr>
        <w:t>在履行合同的过程中，</w:t>
      </w:r>
      <w:r>
        <w:rPr>
          <w:rFonts w:hint="eastAsia" w:ascii="仿宋" w:hAnsi="仿宋" w:eastAsia="仿宋" w:cs="仿宋"/>
          <w:color w:val="auto"/>
          <w:sz w:val="22"/>
          <w:szCs w:val="22"/>
          <w:highlight w:val="none"/>
        </w:rPr>
        <w:t>乙方不得转包项目，乙方</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（可以/不可以）分包该项目。（如果选择可以分包，分包仅对本项目的非主体、非关键性内容，本项目的主体、关键性内容是指</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，本项目可分包内容是指</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color w:val="auto"/>
          <w:sz w:val="22"/>
          <w:szCs w:val="22"/>
          <w:highlight w:val="none"/>
        </w:rPr>
        <w:t>。接受分包方应当具备相应的资格条件，并不得再次分包，且乙方应就分包项目向甲方负责，并与分包供应商就分包项目向甲方承担连带责任。否则甲方可以书面通知违约方解除本合同，并要求乙方支付本合同总价</w:t>
      </w:r>
      <w:r>
        <w:rPr>
          <w:rFonts w:hint="eastAsia" w:ascii="仿宋" w:hAnsi="仿宋" w:eastAsia="仿宋" w:cs="仿宋"/>
          <w:color w:val="auto"/>
          <w:sz w:val="22"/>
          <w:szCs w:val="22"/>
          <w:highlight w:val="none"/>
          <w:u w:val="single"/>
        </w:rPr>
        <w:t xml:space="preserve"> 20 </w:t>
      </w:r>
      <w:r>
        <w:rPr>
          <w:rFonts w:hint="eastAsia" w:ascii="仿宋" w:hAnsi="仿宋" w:eastAsia="仿宋" w:cs="仿宋"/>
          <w:color w:val="auto"/>
          <w:sz w:val="22"/>
          <w:szCs w:val="22"/>
          <w:highlight w:val="none"/>
        </w:rPr>
        <w:t>%赔偿损失。）。</w:t>
      </w:r>
    </w:p>
    <w:p w14:paraId="67579FE6">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5.乙方应对甲方提供的或系统运行中获取的包括但不限于甲方联系方式等内部资料采取必要的保密技术手段，不得运用于乙方任何研发、销售、技术分析等用途，且</w:t>
      </w:r>
      <w:bookmarkStart w:id="499" w:name="_Hlk126742954"/>
      <w:r>
        <w:rPr>
          <w:rFonts w:hint="eastAsia" w:ascii="仿宋" w:hAnsi="仿宋" w:eastAsia="仿宋" w:cs="仿宋"/>
          <w:color w:val="auto"/>
          <w:sz w:val="22"/>
          <w:szCs w:val="22"/>
          <w:highlight w:val="none"/>
        </w:rPr>
        <w:t>永久</w:t>
      </w:r>
      <w:bookmarkEnd w:id="499"/>
      <w:r>
        <w:rPr>
          <w:rFonts w:hint="eastAsia" w:ascii="仿宋" w:hAnsi="仿宋" w:eastAsia="仿宋" w:cs="仿宋"/>
          <w:color w:val="auto"/>
          <w:sz w:val="22"/>
          <w:szCs w:val="22"/>
          <w:highlight w:val="none"/>
        </w:rPr>
        <w:t>不得向任何第三方泄露甲方的任何内部资料。</w:t>
      </w:r>
    </w:p>
    <w:p w14:paraId="239ADDEE">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乙方派驻到甲方的人员安全问题（包含伤病），均由乙方自行负责配备符合工作、劳动条件的设备、装置、器具、保障其饮食起居等问题，乙方对此类人员的人身安全负全部责任。甲方概不负责，如甲方先行偿付的，有权向乙方追偿。</w:t>
      </w:r>
    </w:p>
    <w:p w14:paraId="20A824EA">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乙方在满足上述产品质量标准，并保证该软件硬件的运行不影响甲方内部网络信息安全性和保密性，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14:paraId="519F0313">
      <w:pPr>
        <w:adjustRightInd/>
        <w:spacing w:line="460" w:lineRule="exact"/>
        <w:ind w:firstLine="440" w:firstLineChars="200"/>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本项目中定制开发的软件知识产权及使用权归属甲方所有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项目实施及运维过程中产生的数据资产产权归属甲方所有。</w:t>
      </w:r>
    </w:p>
    <w:p w14:paraId="7915B727">
      <w:pPr>
        <w:tabs>
          <w:tab w:val="left" w:pos="1346"/>
        </w:tabs>
        <w:spacing w:line="460" w:lineRule="exact"/>
        <w:ind w:firstLine="440" w:firstLineChars="200"/>
        <w:outlineLvl w:val="1"/>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（三）逾</w:t>
      </w:r>
      <w:r>
        <w:rPr>
          <w:rFonts w:hint="eastAsia" w:ascii="仿宋" w:hAnsi="仿宋" w:eastAsia="仿宋" w:cs="仿宋"/>
          <w:color w:val="auto"/>
          <w:sz w:val="22"/>
          <w:szCs w:val="22"/>
          <w:highlight w:val="none"/>
        </w:rPr>
        <w:t>期支付资金</w:t>
      </w:r>
      <w:r>
        <w:rPr>
          <w:rFonts w:hint="eastAsia" w:ascii="仿宋" w:hAnsi="仿宋" w:eastAsia="仿宋" w:cs="仿宋"/>
          <w:color w:val="auto"/>
          <w:sz w:val="22"/>
          <w:szCs w:val="22"/>
          <w:highlight w:val="none"/>
          <w:lang w:val="en-US" w:eastAsia="zh-CN"/>
        </w:rPr>
        <w:t>违约责任</w:t>
      </w:r>
    </w:p>
    <w:p w14:paraId="61BEADD4">
      <w:pPr>
        <w:spacing w:line="460" w:lineRule="exact"/>
        <w:ind w:firstLine="440" w:firstLineChars="200"/>
        <w:rPr>
          <w:rFonts w:hint="eastAsia"/>
          <w:color w:val="auto"/>
          <w:highlight w:val="none"/>
        </w:rPr>
      </w:pPr>
      <w:r>
        <w:rPr>
          <w:rFonts w:hint="eastAsia" w:ascii="仿宋" w:hAnsi="仿宋" w:eastAsia="仿宋" w:cs="仿宋"/>
          <w:color w:val="auto"/>
          <w:sz w:val="22"/>
          <w:szCs w:val="22"/>
          <w:highlight w:val="none"/>
          <w:lang w:val="en-US" w:eastAsia="zh-CN"/>
        </w:rPr>
        <w:t>甲方要按照付款方式要求及时支付合同资金，甲方逾期支付的，乙方有权向甲方提出赔偿，赔偿金额按照中国人民银行规定的金融机构计收逾期利息的标准计算。</w:t>
      </w:r>
    </w:p>
    <w:p w14:paraId="161DB1F4">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bookmarkStart w:id="500" w:name="_Toc150068553"/>
      <w:bookmarkStart w:id="501" w:name="_Toc150225194"/>
      <w:r>
        <w:rPr>
          <w:rFonts w:hint="eastAsia" w:ascii="仿宋" w:hAnsi="仿宋" w:eastAsia="仿宋" w:cs="仿宋"/>
          <w:b/>
          <w:bCs/>
          <w:color w:val="auto"/>
          <w:sz w:val="22"/>
          <w:szCs w:val="22"/>
          <w:highlight w:val="none"/>
        </w:rPr>
        <w:t>六、所有权、知识产权和使用权</w:t>
      </w:r>
      <w:bookmarkEnd w:id="500"/>
      <w:bookmarkEnd w:id="501"/>
    </w:p>
    <w:p w14:paraId="5B1F32E7">
      <w:pPr>
        <w:keepNext w:val="0"/>
        <w:keepLines w:val="0"/>
        <w:pageBreakBefore w:val="0"/>
        <w:kinsoku/>
        <w:wordWrap/>
        <w:overflowPunct/>
        <w:topLinePunct w:val="0"/>
        <w:autoSpaceDE/>
        <w:autoSpaceDN/>
        <w:bidi w:val="0"/>
        <w:adjustRightInd/>
        <w:spacing w:line="460" w:lineRule="exact"/>
        <w:ind w:firstLine="431" w:firstLineChars="196"/>
        <w:textAlignment w:val="auto"/>
        <w:outlineLvl w:val="9"/>
        <w:rPr>
          <w:rFonts w:hint="eastAsia" w:ascii="仿宋" w:hAnsi="仿宋" w:eastAsia="仿宋" w:cs="仿宋"/>
          <w:color w:val="auto"/>
          <w:sz w:val="22"/>
          <w:szCs w:val="22"/>
          <w:highlight w:val="none"/>
        </w:rPr>
      </w:pPr>
      <w:bookmarkStart w:id="502" w:name="_Toc150068554"/>
      <w:bookmarkStart w:id="503" w:name="_Toc150225195"/>
      <w:r>
        <w:rPr>
          <w:rFonts w:hint="eastAsia" w:ascii="仿宋" w:hAnsi="仿宋" w:eastAsia="仿宋" w:cs="仿宋"/>
          <w:color w:val="auto"/>
          <w:sz w:val="22"/>
          <w:szCs w:val="22"/>
          <w:highlight w:val="none"/>
        </w:rPr>
        <w:t>（一）所有权</w:t>
      </w:r>
      <w:bookmarkEnd w:id="502"/>
      <w:bookmarkEnd w:id="503"/>
    </w:p>
    <w:p w14:paraId="4EE1C583">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本合同中所列设备，除</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外，不论维护前还是维护后，其所有权均归甲方所有，维护过程中所更换配件的所有权均归甲方所有。保密义务在本合同期满、变更、解除或终止后仍然有效。</w:t>
      </w:r>
    </w:p>
    <w:p w14:paraId="5DFD8FFC">
      <w:pPr>
        <w:keepNext w:val="0"/>
        <w:keepLines w:val="0"/>
        <w:pageBreakBefore w:val="0"/>
        <w:kinsoku/>
        <w:wordWrap/>
        <w:overflowPunct/>
        <w:topLinePunct w:val="0"/>
        <w:autoSpaceDE/>
        <w:autoSpaceDN/>
        <w:bidi w:val="0"/>
        <w:adjustRightInd/>
        <w:spacing w:line="460" w:lineRule="exact"/>
        <w:ind w:firstLine="431" w:firstLineChars="196"/>
        <w:textAlignment w:val="auto"/>
        <w:outlineLvl w:val="9"/>
        <w:rPr>
          <w:rFonts w:hint="eastAsia" w:ascii="仿宋" w:hAnsi="仿宋" w:eastAsia="仿宋" w:cs="仿宋"/>
          <w:color w:val="auto"/>
          <w:sz w:val="22"/>
          <w:szCs w:val="22"/>
          <w:highlight w:val="none"/>
        </w:rPr>
      </w:pPr>
      <w:bookmarkStart w:id="504" w:name="_Toc150068555"/>
      <w:bookmarkStart w:id="505" w:name="_Toc150225196"/>
      <w:r>
        <w:rPr>
          <w:rFonts w:hint="eastAsia" w:ascii="仿宋" w:hAnsi="仿宋" w:eastAsia="仿宋" w:cs="仿宋"/>
          <w:color w:val="auto"/>
          <w:sz w:val="22"/>
          <w:szCs w:val="22"/>
          <w:highlight w:val="none"/>
        </w:rPr>
        <w:t>（二）知识产权</w:t>
      </w:r>
      <w:bookmarkEnd w:id="504"/>
      <w:bookmarkEnd w:id="505"/>
    </w:p>
    <w:p w14:paraId="28092304">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本合同中维护的软件（定制开发类）知识产权归</w:t>
      </w:r>
      <w:r>
        <w:rPr>
          <w:rFonts w:hint="eastAsia" w:ascii="仿宋" w:hAnsi="仿宋" w:eastAsia="仿宋" w:cs="仿宋"/>
          <w:color w:val="auto"/>
          <w:sz w:val="22"/>
          <w:szCs w:val="22"/>
          <w:highlight w:val="none"/>
          <w:u w:val="single"/>
        </w:rPr>
        <w:t>甲</w:t>
      </w:r>
      <w:r>
        <w:rPr>
          <w:rFonts w:hint="eastAsia" w:ascii="仿宋" w:hAnsi="仿宋" w:eastAsia="仿宋" w:cs="仿宋"/>
          <w:color w:val="auto"/>
          <w:sz w:val="22"/>
          <w:szCs w:val="22"/>
          <w:highlight w:val="none"/>
        </w:rPr>
        <w:t>方所有，另一方非经对方同意，不得以任何方式向第三方披露、转让，</w:t>
      </w:r>
      <w:bookmarkStart w:id="506" w:name="_Hlk126743001"/>
      <w:r>
        <w:rPr>
          <w:rFonts w:hint="eastAsia" w:ascii="仿宋" w:hAnsi="仿宋" w:eastAsia="仿宋" w:cs="仿宋"/>
          <w:color w:val="auto"/>
          <w:sz w:val="22"/>
          <w:szCs w:val="22"/>
          <w:highlight w:val="none"/>
        </w:rPr>
        <w:t>不得以任何方式进行利用</w:t>
      </w:r>
      <w:bookmarkEnd w:id="506"/>
      <w:r>
        <w:rPr>
          <w:rFonts w:hint="eastAsia" w:ascii="仿宋" w:hAnsi="仿宋" w:eastAsia="仿宋" w:cs="仿宋"/>
          <w:color w:val="auto"/>
          <w:sz w:val="22"/>
          <w:szCs w:val="22"/>
          <w:highlight w:val="none"/>
        </w:rPr>
        <w:t>。</w:t>
      </w:r>
    </w:p>
    <w:p w14:paraId="17C23A19">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bookmarkStart w:id="507" w:name="_Toc150068556"/>
      <w:bookmarkStart w:id="508" w:name="_Toc150225197"/>
      <w:r>
        <w:rPr>
          <w:rFonts w:hint="eastAsia" w:ascii="仿宋" w:hAnsi="仿宋" w:eastAsia="仿宋" w:cs="仿宋"/>
          <w:color w:val="auto"/>
          <w:sz w:val="22"/>
          <w:szCs w:val="22"/>
          <w:highlight w:val="none"/>
        </w:rPr>
        <w:t>（三）使用权</w:t>
      </w:r>
      <w:bookmarkEnd w:id="507"/>
      <w:bookmarkEnd w:id="508"/>
    </w:p>
    <w:p w14:paraId="66CB86E5">
      <w:pPr>
        <w:keepNext w:val="0"/>
        <w:keepLines w:val="0"/>
        <w:pageBreakBefore w:val="0"/>
        <w:kinsoku/>
        <w:wordWrap/>
        <w:overflowPunct/>
        <w:topLinePunct w:val="0"/>
        <w:autoSpaceDE/>
        <w:autoSpaceDN/>
        <w:bidi w:val="0"/>
        <w:adjustRightInd/>
        <w:spacing w:line="460" w:lineRule="exact"/>
        <w:ind w:firstLine="495"/>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甲方拥有合同中所列产品的正版使用权，乙方仅可在与项目有关的维护工作中使用，任何情况下不得以复制或者其他方法供自己使用或者提供给第三方。</w:t>
      </w:r>
    </w:p>
    <w:p w14:paraId="6764FF09">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甲方使用乙方提供的第三方软件，应当依照乙方与第三方对该软件使用的约定进行。乙方应当将该约定的书面文件的原件交甲方核对，复印件交甲方存档。</w:t>
      </w:r>
    </w:p>
    <w:p w14:paraId="0D6DAAE8">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如乙方违反本条（二）、（三）款的，一经发现，甲方有权立即解除合同，要求乙方返还甲方已支付的全部合同款，并向甲方支付合同总价款的</w:t>
      </w:r>
      <w:r>
        <w:rPr>
          <w:rFonts w:hint="eastAsia" w:ascii="仿宋" w:hAnsi="仿宋" w:eastAsia="仿宋" w:cs="仿宋"/>
          <w:color w:val="auto"/>
          <w:sz w:val="22"/>
          <w:szCs w:val="22"/>
          <w:highlight w:val="none"/>
          <w:u w:val="single"/>
          <w:lang w:val="en-US" w:eastAsia="zh-CN"/>
        </w:rPr>
        <w:t>5</w:t>
      </w:r>
      <w:r>
        <w:rPr>
          <w:rFonts w:hint="eastAsia" w:ascii="仿宋" w:hAnsi="仿宋" w:eastAsia="仿宋" w:cs="仿宋"/>
          <w:color w:val="auto"/>
          <w:sz w:val="22"/>
          <w:szCs w:val="22"/>
          <w:highlight w:val="none"/>
        </w:rPr>
        <w:t>%作为违约金。若因乙方原因导致甲方被追索的，由乙方承担全部责任。</w:t>
      </w:r>
    </w:p>
    <w:p w14:paraId="6CBB5CDC">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bookmarkStart w:id="509" w:name="_Toc150225198"/>
      <w:bookmarkStart w:id="510" w:name="_Toc150068557"/>
      <w:r>
        <w:rPr>
          <w:rFonts w:hint="eastAsia" w:ascii="仿宋" w:hAnsi="仿宋" w:eastAsia="仿宋" w:cs="仿宋"/>
          <w:b/>
          <w:bCs/>
          <w:color w:val="auto"/>
          <w:sz w:val="22"/>
          <w:szCs w:val="22"/>
          <w:highlight w:val="none"/>
        </w:rPr>
        <w:t>七、保密</w:t>
      </w:r>
      <w:bookmarkEnd w:id="509"/>
      <w:bookmarkEnd w:id="510"/>
      <w:r>
        <w:rPr>
          <w:rFonts w:hint="eastAsia" w:ascii="仿宋" w:hAnsi="仿宋" w:eastAsia="仿宋" w:cs="仿宋"/>
          <w:b/>
          <w:bCs/>
          <w:color w:val="auto"/>
          <w:sz w:val="22"/>
          <w:szCs w:val="22"/>
          <w:highlight w:val="none"/>
        </w:rPr>
        <w:t>与竞争限制</w:t>
      </w:r>
    </w:p>
    <w:p w14:paraId="2FD801C6">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（一）信息传递</w:t>
      </w:r>
    </w:p>
    <w:p w14:paraId="16B968EA">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在本合同的履行期内，乙方获得与本项目有关甲方的保密信息，应谨慎接受并不得向第三方披露。</w:t>
      </w:r>
    </w:p>
    <w:p w14:paraId="4E046912">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（二）信息披露</w:t>
      </w:r>
    </w:p>
    <w:p w14:paraId="457D8A33">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获取甲方保密信息的一方仅可将该信息用于履行其在本合同项下的义务，且只能由相关的工程技术人员使用。乙方应当采取合理有效的方式保护所获取的信息，未经授权不得使用、传播或者公开。除非有甲方的书面许可，或者该信息已被拥有方认为不再是保密信息，或者已在社会上公开，否则该信息永远不得对外披露。</w:t>
      </w:r>
    </w:p>
    <w:p w14:paraId="2C674665">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（三）保密措施</w:t>
      </w:r>
    </w:p>
    <w:p w14:paraId="53892C99">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甲乙双方同意采取相应的安全措施，遵守和履行上述约定。经双方协商，甲方有权检查对方所采取的安全措施是否符合上述约定。乙方造成的泄失密事件，乙方应承担违约责任，向甲方支付违约金，违约金数额为本合同总价，若泄密事件造成甲方的实际经济损失大于违约金数额，则乙方应赔偿甲方实际经济损失；构成刑事犯罪的，还应依法追究刑事责任。</w:t>
      </w:r>
    </w:p>
    <w:p w14:paraId="5170F5FC">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（四）竞争限制</w:t>
      </w:r>
    </w:p>
    <w:p w14:paraId="151CEBC8">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pacing w:val="-4"/>
          <w:sz w:val="22"/>
          <w:szCs w:val="22"/>
          <w:highlight w:val="none"/>
        </w:rPr>
      </w:pPr>
      <w:r>
        <w:rPr>
          <w:rFonts w:hint="eastAsia" w:ascii="仿宋" w:hAnsi="仿宋" w:eastAsia="仿宋" w:cs="仿宋"/>
          <w:color w:val="auto"/>
          <w:sz w:val="22"/>
          <w:szCs w:val="22"/>
          <w:highlight w:val="none"/>
        </w:rPr>
        <w:t>乙方</w:t>
      </w:r>
      <w:r>
        <w:rPr>
          <w:rFonts w:hint="eastAsia" w:ascii="仿宋" w:hAnsi="仿宋" w:eastAsia="仿宋" w:cs="仿宋"/>
          <w:color w:val="auto"/>
          <w:spacing w:val="-4"/>
          <w:sz w:val="22"/>
          <w:szCs w:val="22"/>
          <w:highlight w:val="none"/>
        </w:rPr>
        <w:t>承诺，本合同履行过程中以及本合同履行完毕后，</w:t>
      </w:r>
      <w:r>
        <w:rPr>
          <w:rFonts w:hint="eastAsia" w:ascii="仿宋" w:hAnsi="仿宋" w:eastAsia="仿宋" w:cs="仿宋"/>
          <w:color w:val="auto"/>
          <w:sz w:val="22"/>
          <w:szCs w:val="22"/>
          <w:highlight w:val="none"/>
          <w:u w:val="single"/>
        </w:rPr>
        <w:t>永久</w:t>
      </w:r>
      <w:r>
        <w:rPr>
          <w:rFonts w:hint="eastAsia" w:ascii="仿宋" w:hAnsi="仿宋" w:eastAsia="仿宋" w:cs="仿宋"/>
          <w:color w:val="auto"/>
          <w:spacing w:val="-4"/>
          <w:sz w:val="22"/>
          <w:szCs w:val="22"/>
          <w:highlight w:val="none"/>
        </w:rPr>
        <w:t>不得使用在履行本项目过程中得到的甲方保密信息，从事与甲方有竞争性的业务，也不得采取任何方式聘用本项目中的对方相关技术或者管理人员。</w:t>
      </w:r>
    </w:p>
    <w:p w14:paraId="4925519E">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（五）乙方应与甲方签订安全保密协议（附件六），甲方有权对乙方进行资格审查，开展安全教育，落实安全监管措施，指派具有相应技术能力的人员对乙方操作行为全程监督、严格审计。</w:t>
      </w:r>
    </w:p>
    <w:p w14:paraId="163FE76C">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bookmarkStart w:id="511" w:name="_Toc150068558"/>
      <w:bookmarkStart w:id="512" w:name="_Toc150225199"/>
      <w:r>
        <w:rPr>
          <w:rFonts w:hint="eastAsia" w:ascii="仿宋" w:hAnsi="仿宋" w:eastAsia="仿宋" w:cs="仿宋"/>
          <w:b/>
          <w:bCs/>
          <w:color w:val="auto"/>
          <w:sz w:val="22"/>
          <w:szCs w:val="22"/>
          <w:highlight w:val="none"/>
        </w:rPr>
        <w:t>八、服务变更</w:t>
      </w:r>
      <w:bookmarkEnd w:id="511"/>
      <w:bookmarkEnd w:id="512"/>
    </w:p>
    <w:p w14:paraId="22B3B90B">
      <w:pPr>
        <w:keepNext w:val="0"/>
        <w:keepLines w:val="0"/>
        <w:pageBreakBefore w:val="0"/>
        <w:kinsoku/>
        <w:wordWrap/>
        <w:overflowPunct/>
        <w:topLinePunct w:val="0"/>
        <w:autoSpaceDE/>
        <w:autoSpaceDN/>
        <w:bidi w:val="0"/>
        <w:adjustRightInd/>
        <w:spacing w:line="460" w:lineRule="exact"/>
        <w:ind w:firstLine="424"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建设过程中原则上不能进行合同变更、修改和补充。若确需变更，经合同双方协商一致后，由项目建设部门向温州市公安局科技信息化局提交变更申请。并经警保、法制、审计等部门论证、审核。只有在双方授权的代表签署书面文件后才有效，并作为附件成为本合同不可分割的组成部分。</w:t>
      </w:r>
    </w:p>
    <w:p w14:paraId="5DB5BE40">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九、不可抗力</w:t>
      </w:r>
    </w:p>
    <w:p w14:paraId="6888785C">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（一）由于台风、水灾、火灾、地震等不可抗力因素，直接影响本合同的履行或者不能按照合同的约定履行时，可以免除遇有不可抗力的一方的相关合同责任。但遇有不可抗力的一方应当及时通知对方，并在 14 日之内提供不可抗力的详细情况及合同不能履行或者部分不能履行或者需要延期履行的理由和有效的证明文件。双方根据不可抗力因素对合同履行的影响程度，协商决定是否解除合同，或者部分免除履行合同的义务，或者延期履行合同。</w:t>
      </w:r>
    </w:p>
    <w:p w14:paraId="37F56C0A">
      <w:pPr>
        <w:spacing w:line="460" w:lineRule="exact"/>
        <w:ind w:firstLine="56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（二）遇有不可抗力的一方，应当尽可能地采取必要的措施减轻不可抗力对本合同的履行所造成的影响。由于未采取适当措施致使另一方损失扩大的，</w:t>
      </w:r>
      <w:r>
        <w:rPr>
          <w:rFonts w:hint="eastAsia" w:ascii="仿宋" w:hAnsi="仿宋" w:eastAsia="仿宋" w:cs="仿宋"/>
          <w:color w:val="auto"/>
          <w:sz w:val="22"/>
          <w:szCs w:val="22"/>
          <w:highlight w:val="none"/>
          <w:lang w:val="en-US" w:eastAsia="zh-CN"/>
        </w:rPr>
        <w:t>可以就扩大损失的部分要求责任方承担赔偿责任</w:t>
      </w:r>
      <w:r>
        <w:rPr>
          <w:rFonts w:hint="eastAsia" w:ascii="仿宋" w:hAnsi="仿宋" w:eastAsia="仿宋" w:cs="仿宋"/>
          <w:color w:val="auto"/>
          <w:sz w:val="22"/>
          <w:szCs w:val="22"/>
          <w:highlight w:val="none"/>
        </w:rPr>
        <w:t>。</w:t>
      </w:r>
    </w:p>
    <w:p w14:paraId="57D0C524">
      <w:pPr>
        <w:keepNext w:val="0"/>
        <w:keepLines w:val="0"/>
        <w:pageBreakBefore w:val="0"/>
        <w:kinsoku/>
        <w:wordWrap/>
        <w:overflowPunct/>
        <w:topLinePunct w:val="0"/>
        <w:autoSpaceDE/>
        <w:autoSpaceDN/>
        <w:bidi w:val="0"/>
        <w:adjustRightInd/>
        <w:spacing w:line="460" w:lineRule="exact"/>
        <w:ind w:firstLine="566"/>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一旦不可抗力事件的影响持续预计120天以上，双方应通过友好协商30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14:paraId="28C4DA52">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bookmarkStart w:id="513" w:name="_Toc150068560"/>
      <w:bookmarkStart w:id="514" w:name="_Toc150225201"/>
      <w:r>
        <w:rPr>
          <w:rFonts w:hint="eastAsia" w:ascii="仿宋" w:hAnsi="仿宋" w:eastAsia="仿宋" w:cs="仿宋"/>
          <w:b/>
          <w:bCs/>
          <w:color w:val="auto"/>
          <w:sz w:val="22"/>
          <w:szCs w:val="22"/>
          <w:highlight w:val="none"/>
        </w:rPr>
        <w:t>十、</w:t>
      </w:r>
      <w:bookmarkEnd w:id="513"/>
      <w:bookmarkEnd w:id="514"/>
      <w:r>
        <w:rPr>
          <w:rFonts w:hint="eastAsia" w:ascii="仿宋" w:hAnsi="仿宋" w:eastAsia="仿宋" w:cs="仿宋"/>
          <w:b/>
          <w:bCs/>
          <w:color w:val="auto"/>
          <w:sz w:val="22"/>
          <w:szCs w:val="22"/>
          <w:highlight w:val="none"/>
        </w:rPr>
        <w:t xml:space="preserve">违约责任                                                                                                                                                                                                                                                                       </w:t>
      </w:r>
    </w:p>
    <w:p w14:paraId="2196CAA1">
      <w:pPr>
        <w:keepNext w:val="0"/>
        <w:keepLines w:val="0"/>
        <w:pageBreakBefore w:val="0"/>
        <w:tabs>
          <w:tab w:val="left" w:pos="1346"/>
        </w:tabs>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bookmarkStart w:id="515" w:name="_Toc150068561"/>
      <w:bookmarkStart w:id="516" w:name="_Toc150225202"/>
      <w:r>
        <w:rPr>
          <w:rFonts w:hint="eastAsia" w:ascii="仿宋" w:hAnsi="仿宋" w:eastAsia="仿宋" w:cs="仿宋"/>
          <w:color w:val="auto"/>
          <w:sz w:val="22"/>
          <w:szCs w:val="22"/>
          <w:highlight w:val="none"/>
        </w:rPr>
        <w:t>（一）在履行合同的过程中，如果乙方遇到除不可抗力因素外的情形将不能按照合同规定的时间完成系统实施和提供服务时，应当在情况发生时</w:t>
      </w:r>
      <w:r>
        <w:rPr>
          <w:rFonts w:hint="eastAsia" w:ascii="仿宋" w:hAnsi="仿宋" w:eastAsia="仿宋" w:cs="仿宋"/>
          <w:color w:val="auto"/>
          <w:sz w:val="22"/>
          <w:szCs w:val="22"/>
          <w:highlight w:val="none"/>
          <w:u w:val="single"/>
          <w:lang w:val="en-US" w:eastAsia="zh-CN"/>
        </w:rPr>
        <w:t>24</w:t>
      </w:r>
      <w:r>
        <w:rPr>
          <w:rFonts w:hint="eastAsia" w:ascii="仿宋" w:hAnsi="仿宋" w:eastAsia="仿宋" w:cs="仿宋"/>
          <w:color w:val="auto"/>
          <w:sz w:val="22"/>
          <w:szCs w:val="22"/>
          <w:highlight w:val="none"/>
        </w:rPr>
        <w:t>小时内以书面形式将拖延的事实、可能拖延的时间和原因通知甲方。甲方在收到乙方通知后，应尽快对情况进行评价，并确定是否酌情延长交货时间和提供服务以及是否收取误期赔偿费。延期应通过书面方式由双方认可。</w:t>
      </w:r>
    </w:p>
    <w:p w14:paraId="428643E9">
      <w:pPr>
        <w:keepNext w:val="0"/>
        <w:keepLines w:val="0"/>
        <w:pageBreakBefore w:val="0"/>
        <w:kinsoku/>
        <w:wordWrap/>
        <w:overflowPunct/>
        <w:topLinePunct w:val="0"/>
        <w:autoSpaceDE/>
        <w:autoSpaceDN/>
        <w:bidi w:val="0"/>
        <w:adjustRightInd/>
        <w:spacing w:line="460" w:lineRule="exact"/>
        <w:ind w:firstLine="566"/>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（二）合同签订后，如乙方不支付履约保函（或履约保证金）或者拒绝履行合同或者不履行合同主要义务导致合同目的不能实现的。甲方除有权解除合同外，还有权向乙方收取合同总金额20%的赔偿金。</w:t>
      </w:r>
    </w:p>
    <w:p w14:paraId="275FC7BD">
      <w:pPr>
        <w:keepNext w:val="0"/>
        <w:keepLines w:val="0"/>
        <w:pageBreakBefore w:val="0"/>
        <w:kinsoku/>
        <w:wordWrap/>
        <w:overflowPunct/>
        <w:topLinePunct w:val="0"/>
        <w:autoSpaceDE/>
        <w:autoSpaceDN/>
        <w:bidi w:val="0"/>
        <w:adjustRightInd/>
        <w:spacing w:line="460" w:lineRule="exact"/>
        <w:ind w:firstLine="431" w:firstLineChars="196"/>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（三）如乙方违反本合同第七条保密与竞争限制条款造成的泄失密事件或违反竞争限制聘任对方人员，乙方应承担违约责任，向甲方</w:t>
      </w:r>
      <w:r>
        <w:rPr>
          <w:rFonts w:hint="eastAsia" w:ascii="仿宋" w:hAnsi="仿宋" w:eastAsia="仿宋" w:cs="仿宋"/>
          <w:color w:val="auto"/>
          <w:sz w:val="22"/>
          <w:szCs w:val="22"/>
          <w:highlight w:val="none"/>
          <w:lang w:val="en-US" w:eastAsia="zh-CN"/>
        </w:rPr>
        <w:t>赔偿损失</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赔偿</w:t>
      </w:r>
      <w:r>
        <w:rPr>
          <w:rFonts w:hint="eastAsia" w:ascii="仿宋" w:hAnsi="仿宋" w:eastAsia="仿宋" w:cs="仿宋"/>
          <w:color w:val="auto"/>
          <w:sz w:val="22"/>
          <w:szCs w:val="22"/>
          <w:highlight w:val="none"/>
        </w:rPr>
        <w:t>金额为本合同总价款，若泄密事件造成甲方的实际经济损失大于</w:t>
      </w:r>
      <w:r>
        <w:rPr>
          <w:rFonts w:hint="eastAsia" w:ascii="仿宋" w:hAnsi="仿宋" w:eastAsia="仿宋" w:cs="仿宋"/>
          <w:color w:val="auto"/>
          <w:sz w:val="22"/>
          <w:szCs w:val="22"/>
          <w:highlight w:val="none"/>
          <w:lang w:val="en-US" w:eastAsia="zh-CN"/>
        </w:rPr>
        <w:t>赔偿</w:t>
      </w:r>
      <w:r>
        <w:rPr>
          <w:rFonts w:hint="eastAsia" w:ascii="仿宋" w:hAnsi="仿宋" w:eastAsia="仿宋" w:cs="仿宋"/>
          <w:color w:val="auto"/>
          <w:sz w:val="22"/>
          <w:szCs w:val="22"/>
          <w:highlight w:val="none"/>
        </w:rPr>
        <w:t>金数额，则乙方应赔偿甲方实际经济损失；构成刑事犯罪的，还应依法追究刑事责任。</w:t>
      </w:r>
    </w:p>
    <w:p w14:paraId="1F125F72">
      <w:pPr>
        <w:keepNext w:val="0"/>
        <w:keepLines w:val="0"/>
        <w:pageBreakBefore w:val="0"/>
        <w:kinsoku/>
        <w:wordWrap/>
        <w:overflowPunct/>
        <w:topLinePunct w:val="0"/>
        <w:autoSpaceDE/>
        <w:autoSpaceDN/>
        <w:bidi w:val="0"/>
        <w:adjustRightInd/>
        <w:spacing w:line="460" w:lineRule="exact"/>
        <w:ind w:firstLine="566"/>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14:paraId="13B74FEB">
      <w:pPr>
        <w:keepNext w:val="0"/>
        <w:keepLines w:val="0"/>
        <w:pageBreakBefore w:val="0"/>
        <w:kinsoku/>
        <w:wordWrap/>
        <w:overflowPunct/>
        <w:topLinePunct w:val="0"/>
        <w:autoSpaceDE/>
        <w:autoSpaceDN/>
        <w:bidi w:val="0"/>
        <w:adjustRightInd/>
        <w:spacing w:line="460" w:lineRule="exact"/>
        <w:ind w:firstLine="566"/>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（五）甲方要按照付款方式要求及时支付合同资金，甲方逾期支付的，乙方有权向甲方提出赔偿，赔偿金额按照中国人民银行规定的金融机构计收逾期利息的标准计算。</w:t>
      </w:r>
    </w:p>
    <w:p w14:paraId="5B3A848C">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十一、争议解决</w:t>
      </w:r>
      <w:bookmarkEnd w:id="515"/>
      <w:bookmarkEnd w:id="516"/>
    </w:p>
    <w:p w14:paraId="69FB8574">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bookmarkStart w:id="517" w:name="_Toc150225203"/>
      <w:bookmarkStart w:id="518" w:name="_Toc150068562"/>
      <w:r>
        <w:rPr>
          <w:rFonts w:hint="eastAsia" w:ascii="仿宋" w:hAnsi="仿宋" w:eastAsia="仿宋" w:cs="仿宋"/>
          <w:color w:val="auto"/>
          <w:sz w:val="22"/>
          <w:szCs w:val="22"/>
          <w:highlight w:val="none"/>
        </w:rPr>
        <w:t>（一）合同的实施或与合同有关的一切争端应通过双方友好协商解决。如果友好协商自争端出现之日起60天后还不能解决，任何一方都可依法提交甲方所在地</w:t>
      </w:r>
      <w:r>
        <w:rPr>
          <w:rFonts w:hint="eastAsia" w:ascii="仿宋" w:hAnsi="仿宋" w:eastAsia="仿宋" w:cs="仿宋"/>
          <w:color w:val="auto"/>
          <w:kern w:val="0"/>
          <w:sz w:val="22"/>
          <w:szCs w:val="22"/>
          <w:highlight w:val="none"/>
        </w:rPr>
        <w:t>有管辖权的</w:t>
      </w:r>
      <w:r>
        <w:rPr>
          <w:rFonts w:hint="eastAsia" w:ascii="仿宋" w:hAnsi="仿宋" w:eastAsia="仿宋" w:cs="仿宋"/>
          <w:color w:val="auto"/>
          <w:sz w:val="22"/>
          <w:szCs w:val="22"/>
          <w:highlight w:val="none"/>
        </w:rPr>
        <w:t>人民法院解决。</w:t>
      </w:r>
    </w:p>
    <w:p w14:paraId="0EBC2705">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（二）由此产生的所有费用，包括但不限于诉讼费、律师费、公告费、保全费、差旅费等一切费用由败诉方承担。</w:t>
      </w:r>
    </w:p>
    <w:p w14:paraId="3F9099E7">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（三）在诉讼期间，除正在进行诉讼的部分以外，双方应继续执行合同的其余部分。</w:t>
      </w:r>
    </w:p>
    <w:p w14:paraId="17EBF090">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（四）本合同适用中华人民共和国法律。</w:t>
      </w:r>
    </w:p>
    <w:p w14:paraId="123AB26B">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十二、项目合同附件清单</w:t>
      </w:r>
    </w:p>
    <w:p w14:paraId="5593C6C7">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附件一：</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lang w:eastAsia="zh-CN"/>
        </w:rPr>
        <w:t>文件</w:t>
      </w:r>
    </w:p>
    <w:p w14:paraId="49305F63">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附件二：</w:t>
      </w:r>
      <w:r>
        <w:rPr>
          <w:rFonts w:hint="eastAsia" w:ascii="仿宋" w:hAnsi="仿宋" w:eastAsia="仿宋" w:cs="仿宋"/>
          <w:color w:val="auto"/>
          <w:sz w:val="22"/>
          <w:szCs w:val="22"/>
          <w:highlight w:val="none"/>
          <w:lang w:val="en-US" w:eastAsia="zh-CN"/>
        </w:rPr>
        <w:t>投标</w:t>
      </w:r>
      <w:r>
        <w:rPr>
          <w:rFonts w:hint="eastAsia" w:ascii="仿宋" w:hAnsi="仿宋" w:eastAsia="仿宋" w:cs="仿宋"/>
          <w:color w:val="auto"/>
          <w:sz w:val="22"/>
          <w:szCs w:val="22"/>
          <w:highlight w:val="none"/>
          <w:lang w:eastAsia="zh-CN"/>
        </w:rPr>
        <w:t>响应文件</w:t>
      </w:r>
    </w:p>
    <w:p w14:paraId="31193D02">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附件三：维护项目价格组成</w:t>
      </w:r>
    </w:p>
    <w:p w14:paraId="6164BF3E">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附件四：维护项目检验规格和验收标准 </w:t>
      </w:r>
    </w:p>
    <w:p w14:paraId="5FC73A33">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附件五：项目管理小组与驻场人员名单成员（包含但不限于驻场人员姓名、资质证书、身份证号码、联系方式、职务、社保证明等）</w:t>
      </w:r>
    </w:p>
    <w:p w14:paraId="266703C7">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附件六：温州市公安局系统建设、运维安全保密协议</w:t>
      </w:r>
    </w:p>
    <w:p w14:paraId="59EC5A03">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(根据项目实际情况可以</w:t>
      </w:r>
      <w:r>
        <w:rPr>
          <w:rFonts w:hint="eastAsia" w:ascii="仿宋" w:hAnsi="仿宋" w:eastAsia="仿宋" w:cs="仿宋"/>
          <w:b/>
          <w:bCs/>
          <w:color w:val="auto"/>
          <w:sz w:val="22"/>
          <w:szCs w:val="22"/>
          <w:highlight w:val="none"/>
        </w:rPr>
        <w:t>增加备品备件清单、培训计划，维保人员清单等</w:t>
      </w:r>
      <w:r>
        <w:rPr>
          <w:rFonts w:hint="eastAsia" w:ascii="仿宋" w:hAnsi="仿宋" w:eastAsia="仿宋" w:cs="仿宋"/>
          <w:color w:val="auto"/>
          <w:sz w:val="22"/>
          <w:szCs w:val="22"/>
          <w:highlight w:val="none"/>
        </w:rPr>
        <w:t>附件）</w:t>
      </w:r>
    </w:p>
    <w:p w14:paraId="04463879">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十三、合同的生效</w:t>
      </w:r>
      <w:bookmarkEnd w:id="517"/>
      <w:bookmarkEnd w:id="518"/>
    </w:p>
    <w:p w14:paraId="488B8188">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（一）本合同经双方各自指定的代表签字并加盖单位公章后生效。</w:t>
      </w:r>
    </w:p>
    <w:p w14:paraId="18B8AF16">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（二）本合同一经签署，未经双方同意，任何一方不得随意更改。本合同所列的附件加盖单位公章成为本合同的组成部分。</w:t>
      </w:r>
    </w:p>
    <w:p w14:paraId="181D275E">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（三）本合同一式</w:t>
      </w:r>
      <w:r>
        <w:rPr>
          <w:rFonts w:hint="eastAsia" w:ascii="仿宋" w:hAnsi="仿宋" w:eastAsia="仿宋" w:cs="仿宋"/>
          <w:color w:val="auto"/>
          <w:sz w:val="22"/>
          <w:szCs w:val="22"/>
          <w:highlight w:val="none"/>
          <w:u w:val="single"/>
        </w:rPr>
        <w:t>陆</w:t>
      </w:r>
      <w:r>
        <w:rPr>
          <w:rFonts w:hint="eastAsia" w:ascii="仿宋" w:hAnsi="仿宋" w:eastAsia="仿宋" w:cs="仿宋"/>
          <w:color w:val="auto"/>
          <w:sz w:val="22"/>
          <w:szCs w:val="22"/>
          <w:highlight w:val="none"/>
        </w:rPr>
        <w:t>份，甲方</w:t>
      </w:r>
      <w:r>
        <w:rPr>
          <w:rFonts w:hint="eastAsia" w:ascii="仿宋" w:hAnsi="仿宋" w:eastAsia="仿宋" w:cs="仿宋"/>
          <w:color w:val="auto"/>
          <w:sz w:val="22"/>
          <w:szCs w:val="22"/>
          <w:highlight w:val="none"/>
          <w:u w:val="single"/>
          <w:lang w:val="en-US" w:eastAsia="zh-CN"/>
        </w:rPr>
        <w:t>叁</w:t>
      </w:r>
      <w:r>
        <w:rPr>
          <w:rFonts w:hint="eastAsia" w:ascii="仿宋" w:hAnsi="仿宋" w:eastAsia="仿宋" w:cs="仿宋"/>
          <w:color w:val="auto"/>
          <w:sz w:val="22"/>
          <w:szCs w:val="22"/>
          <w:highlight w:val="none"/>
        </w:rPr>
        <w:t>份，乙方</w:t>
      </w:r>
      <w:r>
        <w:rPr>
          <w:rFonts w:hint="eastAsia" w:ascii="仿宋" w:hAnsi="仿宋" w:eastAsia="仿宋" w:cs="仿宋"/>
          <w:color w:val="auto"/>
          <w:sz w:val="22"/>
          <w:szCs w:val="22"/>
          <w:highlight w:val="none"/>
          <w:u w:val="single"/>
          <w:lang w:val="en-US" w:eastAsia="zh-CN"/>
        </w:rPr>
        <w:t>叁</w:t>
      </w:r>
      <w:r>
        <w:rPr>
          <w:rFonts w:hint="eastAsia" w:ascii="仿宋" w:hAnsi="仿宋" w:eastAsia="仿宋" w:cs="仿宋"/>
          <w:color w:val="auto"/>
          <w:sz w:val="22"/>
          <w:szCs w:val="22"/>
          <w:highlight w:val="none"/>
        </w:rPr>
        <w:t>份，具有同等法律效力。合同附件及</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、乙方</w:t>
      </w:r>
      <w:r>
        <w:rPr>
          <w:rFonts w:hint="eastAsia" w:ascii="仿宋" w:hAnsi="仿宋" w:eastAsia="仿宋" w:cs="仿宋"/>
          <w:color w:val="auto"/>
          <w:sz w:val="22"/>
          <w:szCs w:val="22"/>
          <w:highlight w:val="none"/>
          <w:lang w:eastAsia="zh-CN"/>
        </w:rPr>
        <w:t>磋商响应文件</w:t>
      </w:r>
      <w:r>
        <w:rPr>
          <w:rFonts w:hint="eastAsia" w:ascii="仿宋" w:hAnsi="仿宋" w:eastAsia="仿宋" w:cs="仿宋"/>
          <w:color w:val="auto"/>
          <w:sz w:val="22"/>
          <w:szCs w:val="22"/>
          <w:highlight w:val="none"/>
        </w:rPr>
        <w:t>等是合同不可分割的一部分，具有同等法律效力。</w:t>
      </w:r>
    </w:p>
    <w:p w14:paraId="36DA2581">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（四）送达条款</w:t>
      </w:r>
    </w:p>
    <w:p w14:paraId="6B45DE3A">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06C60AF">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14:paraId="7D998F66">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5213D3F6">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.4 合同送达条款与争议解决条款均为独立条款，不受合同整体或其他条款的效力的影响。</w:t>
      </w:r>
    </w:p>
    <w:p w14:paraId="1C874AB8">
      <w:pPr>
        <w:keepNext w:val="0"/>
        <w:keepLines w:val="0"/>
        <w:pageBreakBefore w:val="0"/>
        <w:kinsoku/>
        <w:wordWrap/>
        <w:overflowPunct/>
        <w:topLinePunct w:val="0"/>
        <w:autoSpaceDE/>
        <w:autoSpaceDN/>
        <w:bidi w:val="0"/>
        <w:adjustRightInd/>
        <w:spacing w:line="460" w:lineRule="exact"/>
        <w:ind w:firstLine="433" w:firstLineChars="196"/>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十四、其他</w:t>
      </w:r>
    </w:p>
    <w:p w14:paraId="7586A34C">
      <w:pPr>
        <w:keepNext w:val="0"/>
        <w:keepLines w:val="0"/>
        <w:pageBreakBefore w:val="0"/>
        <w:kinsoku/>
        <w:wordWrap/>
        <w:overflowPunct/>
        <w:topLinePunct w:val="0"/>
        <w:autoSpaceDE/>
        <w:autoSpaceDN/>
        <w:bidi w:val="0"/>
        <w:adjustRightInd/>
        <w:spacing w:line="460" w:lineRule="exact"/>
        <w:ind w:firstLine="442" w:firstLineChars="200"/>
        <w:textAlignment w:val="auto"/>
        <w:outlineLvl w:val="9"/>
        <w:rPr>
          <w:rFonts w:hint="eastAsia" w:ascii="仿宋" w:hAnsi="仿宋" w:eastAsia="仿宋" w:cs="仿宋"/>
          <w:color w:val="auto"/>
          <w:sz w:val="22"/>
          <w:szCs w:val="22"/>
          <w:highlight w:val="none"/>
          <w:lang w:eastAsia="zh-CN"/>
        </w:rPr>
      </w:pP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一</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rPr>
        <w:t>本项目的数据中心各类核心设备</w:t>
      </w:r>
      <w:r>
        <w:rPr>
          <w:rFonts w:hint="eastAsia" w:ascii="仿宋" w:hAnsi="仿宋" w:eastAsia="仿宋" w:cs="仿宋"/>
          <w:color w:val="auto"/>
          <w:sz w:val="22"/>
          <w:szCs w:val="22"/>
          <w:highlight w:val="none"/>
          <w:lang w:val="en-US" w:eastAsia="zh-CN"/>
        </w:rPr>
        <w:t>、大数据平台</w:t>
      </w:r>
      <w:r>
        <w:rPr>
          <w:rFonts w:hint="eastAsia" w:ascii="仿宋" w:hAnsi="仿宋" w:eastAsia="仿宋" w:cs="仿宋"/>
          <w:color w:val="auto"/>
          <w:sz w:val="22"/>
          <w:szCs w:val="22"/>
          <w:highlight w:val="none"/>
        </w:rPr>
        <w:t>维保</w:t>
      </w:r>
      <w:r>
        <w:rPr>
          <w:rFonts w:hint="eastAsia" w:ascii="仿宋" w:hAnsi="仿宋" w:eastAsia="仿宋" w:cs="仿宋"/>
          <w:color w:val="auto"/>
          <w:sz w:val="22"/>
          <w:szCs w:val="22"/>
          <w:highlight w:val="none"/>
          <w:lang w:val="en-US" w:eastAsia="zh-CN"/>
        </w:rPr>
        <w:t>及</w:t>
      </w:r>
      <w:r>
        <w:rPr>
          <w:rFonts w:hint="eastAsia" w:ascii="仿宋" w:hAnsi="仿宋" w:eastAsia="仿宋" w:cs="仿宋"/>
          <w:color w:val="auto"/>
          <w:sz w:val="22"/>
          <w:szCs w:val="22"/>
          <w:highlight w:val="none"/>
        </w:rPr>
        <w:t>运营商线路租赁在202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日已过维保期，为保障招标方交管局</w:t>
      </w:r>
      <w:r>
        <w:rPr>
          <w:rFonts w:hint="eastAsia" w:ascii="仿宋" w:hAnsi="仿宋" w:eastAsia="仿宋" w:cs="仿宋"/>
          <w:color w:val="auto"/>
          <w:sz w:val="22"/>
          <w:szCs w:val="22"/>
          <w:highlight w:val="none"/>
          <w:lang w:val="en-US" w:eastAsia="zh-CN"/>
        </w:rPr>
        <w:t>相关</w:t>
      </w:r>
      <w:r>
        <w:rPr>
          <w:rFonts w:hint="eastAsia" w:ascii="仿宋" w:hAnsi="仿宋" w:eastAsia="仿宋" w:cs="仿宋"/>
          <w:color w:val="auto"/>
          <w:sz w:val="22"/>
          <w:szCs w:val="22"/>
          <w:highlight w:val="none"/>
        </w:rPr>
        <w:t>设备的正常运行，202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日至本项目中标方履约前，</w:t>
      </w:r>
      <w:r>
        <w:rPr>
          <w:rFonts w:hint="eastAsia" w:ascii="仿宋" w:hAnsi="仿宋" w:eastAsia="仿宋" w:cs="仿宋"/>
          <w:color w:val="auto"/>
          <w:sz w:val="22"/>
          <w:szCs w:val="22"/>
          <w:highlight w:val="none"/>
          <w:lang w:val="en-US" w:eastAsia="zh-CN"/>
        </w:rPr>
        <w:t>相关设备</w:t>
      </w:r>
      <w:r>
        <w:rPr>
          <w:rFonts w:hint="eastAsia" w:ascii="仿宋" w:hAnsi="仿宋" w:eastAsia="仿宋" w:cs="仿宋"/>
          <w:color w:val="auto"/>
          <w:sz w:val="22"/>
          <w:szCs w:val="22"/>
          <w:highlight w:val="none"/>
        </w:rPr>
        <w:t>由原先在交管局进行维护保养（包括驻点维护）的公司（以下简称“原公司”）承担维保职责，中标单位的实际维保时间为履约后至202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年11月</w:t>
      </w:r>
      <w:r>
        <w:rPr>
          <w:rFonts w:hint="eastAsia" w:ascii="仿宋" w:hAnsi="仿宋" w:eastAsia="仿宋" w:cs="仿宋"/>
          <w:color w:val="auto"/>
          <w:sz w:val="22"/>
          <w:szCs w:val="22"/>
          <w:highlight w:val="none"/>
          <w:lang w:val="en-US" w:eastAsia="zh-CN"/>
        </w:rPr>
        <w:t>19</w:t>
      </w:r>
      <w:r>
        <w:rPr>
          <w:rFonts w:hint="eastAsia" w:ascii="仿宋" w:hAnsi="仿宋" w:eastAsia="仿宋" w:cs="仿宋"/>
          <w:color w:val="auto"/>
          <w:sz w:val="22"/>
          <w:szCs w:val="22"/>
          <w:highlight w:val="none"/>
        </w:rPr>
        <w:t>日，202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日至中标单位履约前的维保费用</w:t>
      </w:r>
      <w:r>
        <w:rPr>
          <w:rFonts w:hint="eastAsia" w:ascii="仿宋" w:hAnsi="仿宋" w:eastAsia="仿宋" w:cs="仿宋"/>
          <w:color w:val="auto"/>
          <w:sz w:val="22"/>
          <w:szCs w:val="22"/>
          <w:highlight w:val="none"/>
          <w:lang w:val="en-US" w:eastAsia="zh-CN"/>
        </w:rPr>
        <w:t>应</w:t>
      </w:r>
      <w:r>
        <w:rPr>
          <w:rFonts w:hint="eastAsia" w:ascii="仿宋" w:hAnsi="仿宋" w:eastAsia="仿宋" w:cs="仿宋"/>
          <w:color w:val="auto"/>
          <w:sz w:val="22"/>
          <w:szCs w:val="22"/>
          <w:highlight w:val="none"/>
        </w:rPr>
        <w:t>由中标单位按中标对应的报价按日进行并结合考核要求结算支付给“原公司”</w:t>
      </w:r>
      <w:r>
        <w:rPr>
          <w:rFonts w:hint="eastAsia" w:ascii="仿宋" w:hAnsi="仿宋" w:eastAsia="仿宋" w:cs="仿宋"/>
          <w:color w:val="auto"/>
          <w:sz w:val="22"/>
          <w:szCs w:val="22"/>
          <w:highlight w:val="none"/>
          <w:lang w:eastAsia="zh-CN"/>
        </w:rPr>
        <w:t>；</w:t>
      </w:r>
    </w:p>
    <w:p w14:paraId="60D6ED7F">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本项目的</w:t>
      </w:r>
      <w:r>
        <w:rPr>
          <w:rFonts w:hint="eastAsia" w:ascii="仿宋" w:hAnsi="仿宋" w:eastAsia="仿宋" w:cs="仿宋"/>
          <w:color w:val="auto"/>
          <w:sz w:val="22"/>
          <w:szCs w:val="22"/>
          <w:highlight w:val="none"/>
          <w:lang w:val="en-US" w:eastAsia="zh-CN"/>
        </w:rPr>
        <w:t>计算机综合运维保障服务、公安交通管理信息系统运维及公安网安全保障服务租赁在2025年1月1日</w:t>
      </w:r>
      <w:r>
        <w:rPr>
          <w:rFonts w:hint="eastAsia" w:ascii="仿宋" w:hAnsi="仿宋" w:eastAsia="仿宋" w:cs="仿宋"/>
          <w:color w:val="auto"/>
          <w:sz w:val="22"/>
          <w:szCs w:val="22"/>
          <w:highlight w:val="none"/>
        </w:rPr>
        <w:t>已过维保期，为保障招标方交管局</w:t>
      </w:r>
      <w:r>
        <w:rPr>
          <w:rFonts w:hint="eastAsia" w:ascii="仿宋" w:hAnsi="仿宋" w:eastAsia="仿宋" w:cs="仿宋"/>
          <w:color w:val="auto"/>
          <w:sz w:val="22"/>
          <w:szCs w:val="22"/>
          <w:highlight w:val="none"/>
          <w:lang w:val="en-US" w:eastAsia="zh-CN"/>
        </w:rPr>
        <w:t>相关</w:t>
      </w:r>
      <w:r>
        <w:rPr>
          <w:rFonts w:hint="eastAsia" w:ascii="仿宋" w:hAnsi="仿宋" w:eastAsia="仿宋" w:cs="仿宋"/>
          <w:color w:val="auto"/>
          <w:sz w:val="22"/>
          <w:szCs w:val="22"/>
          <w:highlight w:val="none"/>
        </w:rPr>
        <w:t>设备的正常运行，202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日至本项目中标方履约前，</w:t>
      </w:r>
      <w:r>
        <w:rPr>
          <w:rFonts w:hint="eastAsia" w:ascii="仿宋" w:hAnsi="仿宋" w:eastAsia="仿宋" w:cs="仿宋"/>
          <w:color w:val="auto"/>
          <w:sz w:val="22"/>
          <w:szCs w:val="22"/>
          <w:highlight w:val="none"/>
          <w:lang w:val="en-US" w:eastAsia="zh-CN"/>
        </w:rPr>
        <w:t>相关</w:t>
      </w:r>
      <w:r>
        <w:rPr>
          <w:rFonts w:hint="eastAsia" w:ascii="仿宋" w:hAnsi="仿宋" w:eastAsia="仿宋" w:cs="仿宋"/>
          <w:color w:val="auto"/>
          <w:sz w:val="22"/>
          <w:szCs w:val="22"/>
          <w:highlight w:val="none"/>
        </w:rPr>
        <w:t>设备由由原先在交管局进行维护保养（包括驻点维护）的公司</w:t>
      </w:r>
      <w:r>
        <w:rPr>
          <w:rFonts w:hint="eastAsia" w:ascii="仿宋" w:hAnsi="仿宋" w:eastAsia="仿宋" w:cs="仿宋"/>
          <w:color w:val="auto"/>
          <w:sz w:val="22"/>
          <w:szCs w:val="22"/>
          <w:highlight w:val="none"/>
          <w:lang w:val="en-US" w:eastAsia="zh-CN"/>
        </w:rPr>
        <w:t>承</w:t>
      </w:r>
      <w:r>
        <w:rPr>
          <w:rFonts w:hint="eastAsia" w:ascii="仿宋" w:hAnsi="仿宋" w:eastAsia="仿宋" w:cs="仿宋"/>
          <w:color w:val="auto"/>
          <w:sz w:val="22"/>
          <w:szCs w:val="22"/>
          <w:highlight w:val="none"/>
        </w:rPr>
        <w:t>担维保职责，中标单位的实际维保时间为履约后至202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31</w:t>
      </w:r>
      <w:r>
        <w:rPr>
          <w:rFonts w:hint="eastAsia" w:ascii="仿宋" w:hAnsi="仿宋" w:eastAsia="仿宋" w:cs="仿宋"/>
          <w:color w:val="auto"/>
          <w:sz w:val="22"/>
          <w:szCs w:val="22"/>
          <w:highlight w:val="none"/>
        </w:rPr>
        <w:t>日，202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日至中标单位履约前的维保费用</w:t>
      </w:r>
      <w:r>
        <w:rPr>
          <w:rFonts w:hint="eastAsia" w:ascii="仿宋" w:hAnsi="仿宋" w:eastAsia="仿宋" w:cs="仿宋"/>
          <w:color w:val="auto"/>
          <w:sz w:val="22"/>
          <w:szCs w:val="22"/>
          <w:highlight w:val="none"/>
          <w:lang w:val="en-US" w:eastAsia="zh-CN"/>
        </w:rPr>
        <w:t>应</w:t>
      </w:r>
      <w:r>
        <w:rPr>
          <w:rFonts w:hint="eastAsia" w:ascii="仿宋" w:hAnsi="仿宋" w:eastAsia="仿宋" w:cs="仿宋"/>
          <w:color w:val="auto"/>
          <w:sz w:val="22"/>
          <w:szCs w:val="22"/>
          <w:highlight w:val="none"/>
        </w:rPr>
        <w:t>由中标单位按中标对应的报价按日进行并结合考核要求结算支付给“原公司”</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交管局不保证原公司与现中标单位的衔接问题，如因此造成对交管局的损失，交管局依法追究。</w:t>
      </w:r>
    </w:p>
    <w:p w14:paraId="4049CA45">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二</w:t>
      </w:r>
      <w:r>
        <w:rPr>
          <w:rFonts w:hint="eastAsia" w:ascii="仿宋" w:hAnsi="仿宋" w:eastAsia="仿宋" w:cs="仿宋"/>
          <w:color w:val="auto"/>
          <w:sz w:val="22"/>
          <w:szCs w:val="22"/>
          <w:highlight w:val="none"/>
        </w:rPr>
        <w:t>）温州市公安局交通管理局采购项目在履约验收完毕后需由局相关部门进行“决（结）算前审计”，通过“决（结）算前审计”后，采购项目视为最终通过履约验收；“决（结）算前审计”不通过的，需根据审计意见整改并经审计确认后，再次开展履约验收直至合格，产生的履约验收费用均由供应商承担。</w:t>
      </w:r>
    </w:p>
    <w:p w14:paraId="72EE3B6B">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）如一方改变通讯地址，应当提前以书面方式通知另一方，本合同落款处地址为双方确认的接受文件通讯地址。</w:t>
      </w:r>
    </w:p>
    <w:p w14:paraId="3EA0DE96">
      <w:pPr>
        <w:keepNext w:val="0"/>
        <w:keepLines w:val="0"/>
        <w:pageBreakBefore w:val="0"/>
        <w:kinsoku/>
        <w:wordWrap/>
        <w:overflowPunct/>
        <w:topLinePunct w:val="0"/>
        <w:autoSpaceDE/>
        <w:autoSpaceDN/>
        <w:bidi w:val="0"/>
        <w:adjustRightInd/>
        <w:spacing w:line="460" w:lineRule="exact"/>
        <w:ind w:firstLine="440"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四</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本合同接受甲方法制部门审核，如出具合理修改意见，应予采纳。</w:t>
      </w:r>
      <w:r>
        <w:rPr>
          <w:rFonts w:hint="eastAsia" w:ascii="仿宋" w:hAnsi="仿宋" w:eastAsia="仿宋" w:cs="仿宋"/>
          <w:color w:val="auto"/>
          <w:sz w:val="22"/>
          <w:szCs w:val="22"/>
          <w:highlight w:val="none"/>
        </w:rPr>
        <w:t>本合同未尽事宜，双方可以另行协商，商定内容经双方代表签字并加盖单位公章与本合同具有同等效力。</w:t>
      </w:r>
    </w:p>
    <w:p w14:paraId="06BD3995">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b/>
          <w:bCs/>
          <w:color w:val="auto"/>
          <w:sz w:val="22"/>
          <w:szCs w:val="22"/>
          <w:highlight w:val="none"/>
        </w:rPr>
      </w:pPr>
    </w:p>
    <w:p w14:paraId="45E2764C">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b/>
          <w:bCs/>
          <w:color w:val="auto"/>
          <w:sz w:val="22"/>
          <w:szCs w:val="22"/>
          <w:highlight w:val="none"/>
        </w:rPr>
      </w:pPr>
    </w:p>
    <w:p w14:paraId="2DC0FCD5">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b/>
          <w:bCs/>
          <w:color w:val="auto"/>
          <w:sz w:val="22"/>
          <w:szCs w:val="22"/>
          <w:highlight w:val="none"/>
        </w:rPr>
      </w:pPr>
    </w:p>
    <w:p w14:paraId="10A02027">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b/>
          <w:bCs/>
          <w:color w:val="auto"/>
          <w:sz w:val="22"/>
          <w:szCs w:val="22"/>
          <w:highlight w:val="none"/>
        </w:rPr>
      </w:pPr>
    </w:p>
    <w:p w14:paraId="0A1DE321">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b/>
          <w:bCs/>
          <w:color w:val="auto"/>
          <w:sz w:val="22"/>
          <w:szCs w:val="22"/>
          <w:highlight w:val="none"/>
        </w:rPr>
      </w:pPr>
    </w:p>
    <w:p w14:paraId="4B7AAF79">
      <w:pPr>
        <w:keepNext w:val="0"/>
        <w:keepLines w:val="0"/>
        <w:pageBreakBefore w:val="0"/>
        <w:kinsoku/>
        <w:wordWrap/>
        <w:overflowPunct/>
        <w:topLinePunct w:val="0"/>
        <w:autoSpaceDE/>
        <w:autoSpaceDN/>
        <w:bidi w:val="0"/>
        <w:adjustRightInd/>
        <w:spacing w:line="460" w:lineRule="exact"/>
        <w:ind w:firstLine="331" w:firstLineChars="150"/>
        <w:textAlignment w:val="auto"/>
        <w:outlineLvl w:val="9"/>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十五、项目合同签章</w:t>
      </w:r>
    </w:p>
    <w:p w14:paraId="304D01A1">
      <w:pPr>
        <w:keepNext w:val="0"/>
        <w:keepLines w:val="0"/>
        <w:pageBreakBefore w:val="0"/>
        <w:kinsoku/>
        <w:wordWrap/>
        <w:overflowPunct/>
        <w:topLinePunct w:val="0"/>
        <w:autoSpaceDE/>
        <w:autoSpaceDN/>
        <w:bidi w:val="0"/>
        <w:adjustRightInd/>
        <w:spacing w:line="460" w:lineRule="exact"/>
        <w:textAlignment w:val="auto"/>
        <w:outlineLvl w:val="9"/>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甲方：温州市公安局</w:t>
      </w:r>
      <w:r>
        <w:rPr>
          <w:rFonts w:hint="eastAsia" w:ascii="仿宋" w:hAnsi="仿宋" w:eastAsia="仿宋" w:cs="仿宋"/>
          <w:color w:val="auto"/>
          <w:sz w:val="22"/>
          <w:szCs w:val="22"/>
          <w:highlight w:val="none"/>
          <w:lang w:val="en-US" w:eastAsia="zh-CN"/>
        </w:rPr>
        <w:t>交通管理局</w:t>
      </w:r>
    </w:p>
    <w:p w14:paraId="122E3293">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法定（委托）代表人（签字）：</w:t>
      </w:r>
    </w:p>
    <w:p w14:paraId="3F11691C">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电话：               </w:t>
      </w:r>
    </w:p>
    <w:p w14:paraId="69085E8D">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w:t>
      </w:r>
    </w:p>
    <w:p w14:paraId="1D712156">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p>
    <w:p w14:paraId="10394DA7">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日期：　  年 　 月　  日                      </w:t>
      </w:r>
    </w:p>
    <w:p w14:paraId="0C4318E9">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乙方：           </w:t>
      </w:r>
    </w:p>
    <w:p w14:paraId="2F936C0C">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法定（委托）代表人（签字）：</w:t>
      </w:r>
    </w:p>
    <w:p w14:paraId="4317B4C1">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电话：               </w:t>
      </w:r>
    </w:p>
    <w:p w14:paraId="699EE226">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w:t>
      </w:r>
    </w:p>
    <w:p w14:paraId="64E7063A">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p>
    <w:p w14:paraId="103BF716">
      <w:pPr>
        <w:keepNext w:val="0"/>
        <w:keepLines w:val="0"/>
        <w:pageBreakBefore w:val="0"/>
        <w:kinsoku/>
        <w:wordWrap/>
        <w:overflowPunct/>
        <w:topLinePunct w:val="0"/>
        <w:autoSpaceDE/>
        <w:autoSpaceDN/>
        <w:bidi w:val="0"/>
        <w:adjustRightInd/>
        <w:spacing w:line="460" w:lineRule="exac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22"/>
          <w:szCs w:val="22"/>
          <w:highlight w:val="none"/>
        </w:rPr>
        <w:t xml:space="preserve">日期：　  年 　 月　  日    </w:t>
      </w:r>
      <w:r>
        <w:rPr>
          <w:rFonts w:hint="eastAsia" w:ascii="仿宋" w:hAnsi="仿宋" w:eastAsia="仿宋" w:cs="仿宋"/>
          <w:color w:val="auto"/>
          <w:sz w:val="30"/>
          <w:szCs w:val="30"/>
          <w:highlight w:val="none"/>
        </w:rPr>
        <w:t xml:space="preserve">                  </w:t>
      </w:r>
    </w:p>
    <w:p w14:paraId="0DC911FA">
      <w:pPr>
        <w:widowControl/>
        <w:spacing w:line="460" w:lineRule="exact"/>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lang w:val="en-US" w:eastAsia="zh-CN"/>
        </w:rPr>
        <w:t>合同附件：</w:t>
      </w:r>
    </w:p>
    <w:p w14:paraId="0C4FBD0F">
      <w:pPr>
        <w:widowControl/>
        <w:spacing w:line="460" w:lineRule="exact"/>
        <w:jc w:val="left"/>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附件一</w:t>
      </w:r>
    </w:p>
    <w:p w14:paraId="0DA6412C">
      <w:pPr>
        <w:widowControl/>
        <w:spacing w:line="460" w:lineRule="exact"/>
        <w:jc w:val="center"/>
        <w:rPr>
          <w:rFonts w:hint="eastAsia" w:ascii="新宋体" w:hAnsi="新宋体" w:eastAsia="新宋体" w:cs="宋体"/>
          <w:color w:val="auto"/>
          <w:kern w:val="0"/>
          <w:sz w:val="22"/>
          <w:szCs w:val="22"/>
          <w:highlight w:val="none"/>
        </w:rPr>
      </w:pPr>
    </w:p>
    <w:p w14:paraId="60495180">
      <w:pPr>
        <w:widowControl/>
        <w:spacing w:line="460" w:lineRule="exact"/>
        <w:jc w:val="center"/>
        <w:outlineLvl w:val="0"/>
        <w:rPr>
          <w:rFonts w:hint="eastAsia" w:ascii="新宋体" w:hAnsi="新宋体" w:eastAsia="新宋体" w:cs="宋体"/>
          <w:b/>
          <w:bCs/>
          <w:color w:val="auto"/>
          <w:kern w:val="0"/>
          <w:sz w:val="22"/>
          <w:szCs w:val="22"/>
          <w:highlight w:val="none"/>
        </w:rPr>
      </w:pPr>
      <w:r>
        <w:rPr>
          <w:rFonts w:hint="eastAsia" w:ascii="新宋体" w:hAnsi="新宋体" w:eastAsia="新宋体" w:cs="宋体"/>
          <w:color w:val="auto"/>
          <w:kern w:val="0"/>
          <w:sz w:val="22"/>
          <w:szCs w:val="22"/>
          <w:highlight w:val="none"/>
          <w:lang w:val="en-US" w:eastAsia="zh-CN"/>
        </w:rPr>
        <w:t>招标</w:t>
      </w:r>
      <w:r>
        <w:rPr>
          <w:rFonts w:hint="eastAsia" w:ascii="新宋体" w:hAnsi="新宋体" w:eastAsia="新宋体" w:cs="宋体"/>
          <w:color w:val="auto"/>
          <w:kern w:val="0"/>
          <w:sz w:val="22"/>
          <w:szCs w:val="22"/>
          <w:highlight w:val="none"/>
        </w:rPr>
        <w:t>文件</w:t>
      </w:r>
    </w:p>
    <w:p w14:paraId="289FCC7B">
      <w:pPr>
        <w:widowControl/>
        <w:spacing w:line="460" w:lineRule="exact"/>
        <w:jc w:val="center"/>
        <w:rPr>
          <w:rFonts w:hint="eastAsia" w:ascii="新宋体" w:hAnsi="新宋体" w:eastAsia="新宋体" w:cs="宋体"/>
          <w:b/>
          <w:bCs/>
          <w:color w:val="auto"/>
          <w:kern w:val="0"/>
          <w:sz w:val="22"/>
          <w:szCs w:val="22"/>
          <w:highlight w:val="none"/>
        </w:rPr>
      </w:pPr>
    </w:p>
    <w:p w14:paraId="2D7AB606">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w:t>
      </w:r>
    </w:p>
    <w:p w14:paraId="37042881">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670F4493">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3235D69F">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1F2904D0">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2DBAE449">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52C26872">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2342FFD2">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54589803">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5693CD46">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6AC475D9">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0E78F943">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0281A1B4">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193AB3B1">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43316573">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0074DDD3">
      <w:pPr>
        <w:widowControl/>
        <w:spacing w:before="120" w:line="460" w:lineRule="exact"/>
        <w:ind w:firstLine="1320" w:firstLineChars="600"/>
        <w:jc w:val="center"/>
        <w:outlineLvl w:val="1"/>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＿＿＿＿＿＿＿公司（印章）</w:t>
      </w:r>
    </w:p>
    <w:p w14:paraId="2D9B4DF4">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0B11F503">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483964FF">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441BA2E8">
      <w:pPr>
        <w:widowControl/>
        <w:spacing w:before="120" w:line="460" w:lineRule="exact"/>
        <w:ind w:firstLine="1320" w:firstLineChars="600"/>
        <w:jc w:val="left"/>
        <w:outlineLvl w:val="1"/>
        <w:rPr>
          <w:rFonts w:ascii="新宋体" w:hAnsi="新宋体" w:eastAsia="新宋体" w:cs="宋体"/>
          <w:color w:val="auto"/>
          <w:kern w:val="0"/>
          <w:sz w:val="22"/>
          <w:szCs w:val="22"/>
          <w:highlight w:val="none"/>
        </w:rPr>
      </w:pPr>
    </w:p>
    <w:p w14:paraId="4BD61F67">
      <w:pPr>
        <w:widowControl/>
        <w:spacing w:line="460" w:lineRule="exact"/>
        <w:jc w:val="left"/>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附件二</w:t>
      </w:r>
    </w:p>
    <w:p w14:paraId="3128BEAF">
      <w:pPr>
        <w:widowControl/>
        <w:spacing w:line="460" w:lineRule="exact"/>
        <w:jc w:val="center"/>
        <w:rPr>
          <w:rFonts w:hint="eastAsia" w:ascii="新宋体" w:hAnsi="新宋体" w:eastAsia="新宋体" w:cs="宋体"/>
          <w:color w:val="auto"/>
          <w:kern w:val="0"/>
          <w:sz w:val="22"/>
          <w:szCs w:val="22"/>
          <w:highlight w:val="none"/>
        </w:rPr>
      </w:pPr>
    </w:p>
    <w:p w14:paraId="77C81534">
      <w:pPr>
        <w:widowControl/>
        <w:spacing w:line="460" w:lineRule="exact"/>
        <w:jc w:val="center"/>
        <w:rPr>
          <w:rFonts w:hint="default" w:ascii="新宋体" w:hAnsi="新宋体" w:eastAsia="新宋体" w:cs="宋体"/>
          <w:b/>
          <w:bCs/>
          <w:color w:val="auto"/>
          <w:kern w:val="0"/>
          <w:sz w:val="22"/>
          <w:szCs w:val="22"/>
          <w:highlight w:val="none"/>
          <w:lang w:val="en-US" w:eastAsia="zh-CN"/>
        </w:rPr>
      </w:pPr>
      <w:r>
        <w:rPr>
          <w:rFonts w:hint="eastAsia" w:ascii="新宋体" w:hAnsi="新宋体" w:eastAsia="新宋体" w:cs="宋体"/>
          <w:color w:val="auto"/>
          <w:kern w:val="0"/>
          <w:sz w:val="22"/>
          <w:szCs w:val="22"/>
          <w:highlight w:val="none"/>
          <w:lang w:val="en-US" w:eastAsia="zh-CN"/>
        </w:rPr>
        <w:t>投标响应文件</w:t>
      </w:r>
    </w:p>
    <w:p w14:paraId="0BA416CF">
      <w:pPr>
        <w:widowControl/>
        <w:spacing w:line="460" w:lineRule="exact"/>
        <w:jc w:val="center"/>
        <w:rPr>
          <w:rFonts w:ascii="新宋体" w:hAnsi="新宋体" w:eastAsia="新宋体" w:cs="宋体"/>
          <w:b/>
          <w:bCs/>
          <w:color w:val="auto"/>
          <w:kern w:val="0"/>
          <w:sz w:val="22"/>
          <w:szCs w:val="22"/>
          <w:highlight w:val="none"/>
        </w:rPr>
      </w:pPr>
    </w:p>
    <w:p w14:paraId="4A3F7829">
      <w:pPr>
        <w:widowControl/>
        <w:spacing w:line="460" w:lineRule="exact"/>
        <w:jc w:val="center"/>
        <w:rPr>
          <w:rFonts w:ascii="新宋体" w:hAnsi="新宋体" w:eastAsia="新宋体" w:cs="宋体"/>
          <w:b/>
          <w:bCs/>
          <w:color w:val="auto"/>
          <w:kern w:val="0"/>
          <w:sz w:val="22"/>
          <w:szCs w:val="22"/>
          <w:highlight w:val="none"/>
        </w:rPr>
      </w:pPr>
    </w:p>
    <w:p w14:paraId="09856929">
      <w:pPr>
        <w:widowControl/>
        <w:spacing w:line="460" w:lineRule="exact"/>
        <w:jc w:val="center"/>
        <w:rPr>
          <w:rFonts w:ascii="新宋体" w:hAnsi="新宋体" w:eastAsia="新宋体" w:cs="宋体"/>
          <w:b/>
          <w:bCs/>
          <w:color w:val="auto"/>
          <w:kern w:val="0"/>
          <w:sz w:val="22"/>
          <w:szCs w:val="22"/>
          <w:highlight w:val="none"/>
        </w:rPr>
      </w:pPr>
    </w:p>
    <w:p w14:paraId="74692B0C">
      <w:pPr>
        <w:widowControl/>
        <w:spacing w:line="460" w:lineRule="exact"/>
        <w:jc w:val="center"/>
        <w:rPr>
          <w:rFonts w:ascii="新宋体" w:hAnsi="新宋体" w:eastAsia="新宋体" w:cs="宋体"/>
          <w:b/>
          <w:bCs/>
          <w:color w:val="auto"/>
          <w:kern w:val="0"/>
          <w:sz w:val="22"/>
          <w:szCs w:val="22"/>
          <w:highlight w:val="none"/>
        </w:rPr>
      </w:pPr>
    </w:p>
    <w:p w14:paraId="0E1A0822">
      <w:pPr>
        <w:widowControl/>
        <w:spacing w:line="460" w:lineRule="exact"/>
        <w:jc w:val="center"/>
        <w:rPr>
          <w:rFonts w:ascii="新宋体" w:hAnsi="新宋体" w:eastAsia="新宋体" w:cs="宋体"/>
          <w:b/>
          <w:bCs/>
          <w:color w:val="auto"/>
          <w:kern w:val="0"/>
          <w:sz w:val="22"/>
          <w:szCs w:val="22"/>
          <w:highlight w:val="none"/>
        </w:rPr>
      </w:pPr>
    </w:p>
    <w:p w14:paraId="07BBF444">
      <w:pPr>
        <w:widowControl/>
        <w:spacing w:line="460" w:lineRule="exact"/>
        <w:jc w:val="center"/>
        <w:rPr>
          <w:rFonts w:ascii="新宋体" w:hAnsi="新宋体" w:eastAsia="新宋体" w:cs="宋体"/>
          <w:b/>
          <w:bCs/>
          <w:color w:val="auto"/>
          <w:kern w:val="0"/>
          <w:sz w:val="22"/>
          <w:szCs w:val="22"/>
          <w:highlight w:val="none"/>
        </w:rPr>
      </w:pPr>
    </w:p>
    <w:p w14:paraId="4FBDD915">
      <w:pPr>
        <w:widowControl/>
        <w:spacing w:line="460" w:lineRule="exact"/>
        <w:jc w:val="center"/>
        <w:rPr>
          <w:rFonts w:ascii="新宋体" w:hAnsi="新宋体" w:eastAsia="新宋体" w:cs="宋体"/>
          <w:b/>
          <w:bCs/>
          <w:color w:val="auto"/>
          <w:kern w:val="0"/>
          <w:sz w:val="22"/>
          <w:szCs w:val="22"/>
          <w:highlight w:val="none"/>
        </w:rPr>
      </w:pPr>
    </w:p>
    <w:p w14:paraId="351837DD">
      <w:pPr>
        <w:widowControl/>
        <w:spacing w:line="460" w:lineRule="exact"/>
        <w:jc w:val="center"/>
        <w:rPr>
          <w:rFonts w:ascii="新宋体" w:hAnsi="新宋体" w:eastAsia="新宋体" w:cs="宋体"/>
          <w:b/>
          <w:bCs/>
          <w:color w:val="auto"/>
          <w:kern w:val="0"/>
          <w:sz w:val="22"/>
          <w:szCs w:val="22"/>
          <w:highlight w:val="none"/>
        </w:rPr>
      </w:pPr>
    </w:p>
    <w:p w14:paraId="2C82CD1A">
      <w:pPr>
        <w:widowControl/>
        <w:spacing w:line="460" w:lineRule="exact"/>
        <w:jc w:val="center"/>
        <w:rPr>
          <w:rFonts w:ascii="新宋体" w:hAnsi="新宋体" w:eastAsia="新宋体" w:cs="宋体"/>
          <w:b/>
          <w:bCs/>
          <w:color w:val="auto"/>
          <w:kern w:val="0"/>
          <w:sz w:val="22"/>
          <w:szCs w:val="22"/>
          <w:highlight w:val="none"/>
        </w:rPr>
      </w:pPr>
    </w:p>
    <w:p w14:paraId="2200F7A9">
      <w:pPr>
        <w:widowControl/>
        <w:spacing w:line="460" w:lineRule="exact"/>
        <w:jc w:val="center"/>
        <w:rPr>
          <w:rFonts w:ascii="新宋体" w:hAnsi="新宋体" w:eastAsia="新宋体" w:cs="宋体"/>
          <w:b/>
          <w:bCs/>
          <w:color w:val="auto"/>
          <w:kern w:val="0"/>
          <w:sz w:val="22"/>
          <w:szCs w:val="22"/>
          <w:highlight w:val="none"/>
        </w:rPr>
      </w:pPr>
    </w:p>
    <w:p w14:paraId="3E46D8FC">
      <w:pPr>
        <w:widowControl/>
        <w:spacing w:line="460" w:lineRule="exact"/>
        <w:jc w:val="center"/>
        <w:rPr>
          <w:rFonts w:hint="eastAsia" w:ascii="新宋体" w:hAnsi="新宋体" w:eastAsia="新宋体" w:cs="宋体"/>
          <w:b/>
          <w:bCs/>
          <w:color w:val="auto"/>
          <w:kern w:val="0"/>
          <w:sz w:val="22"/>
          <w:szCs w:val="22"/>
          <w:highlight w:val="none"/>
        </w:rPr>
      </w:pPr>
    </w:p>
    <w:p w14:paraId="2538CECE">
      <w:pPr>
        <w:widowControl/>
        <w:spacing w:before="120" w:line="460" w:lineRule="exact"/>
        <w:ind w:firstLine="1870" w:firstLineChars="850"/>
        <w:jc w:val="center"/>
        <w:outlineLvl w:val="1"/>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＿＿＿＿＿＿＿公司（印章）</w:t>
      </w:r>
    </w:p>
    <w:p w14:paraId="2D5F9140">
      <w:pPr>
        <w:widowControl/>
        <w:spacing w:before="120" w:line="460" w:lineRule="exact"/>
        <w:jc w:val="left"/>
        <w:rPr>
          <w:rFonts w:ascii="新宋体" w:hAnsi="新宋体" w:eastAsia="新宋体" w:cs="宋体"/>
          <w:color w:val="auto"/>
          <w:kern w:val="0"/>
          <w:sz w:val="22"/>
          <w:szCs w:val="22"/>
          <w:highlight w:val="none"/>
        </w:rPr>
      </w:pPr>
    </w:p>
    <w:p w14:paraId="51ED7676">
      <w:pPr>
        <w:widowControl/>
        <w:spacing w:before="120" w:line="460" w:lineRule="exact"/>
        <w:jc w:val="left"/>
        <w:rPr>
          <w:rFonts w:ascii="新宋体" w:hAnsi="新宋体" w:eastAsia="新宋体" w:cs="宋体"/>
          <w:color w:val="auto"/>
          <w:kern w:val="0"/>
          <w:sz w:val="22"/>
          <w:szCs w:val="22"/>
          <w:highlight w:val="none"/>
        </w:rPr>
      </w:pPr>
    </w:p>
    <w:p w14:paraId="3960F361">
      <w:pPr>
        <w:widowControl/>
        <w:spacing w:before="120" w:line="460" w:lineRule="exact"/>
        <w:jc w:val="left"/>
        <w:rPr>
          <w:rFonts w:ascii="新宋体" w:hAnsi="新宋体" w:eastAsia="新宋体" w:cs="宋体"/>
          <w:color w:val="auto"/>
          <w:kern w:val="0"/>
          <w:sz w:val="22"/>
          <w:szCs w:val="22"/>
          <w:highlight w:val="none"/>
        </w:rPr>
      </w:pPr>
    </w:p>
    <w:p w14:paraId="5286BF41">
      <w:pPr>
        <w:widowControl/>
        <w:spacing w:before="120" w:line="460" w:lineRule="exact"/>
        <w:jc w:val="left"/>
        <w:rPr>
          <w:rFonts w:ascii="新宋体" w:hAnsi="新宋体" w:eastAsia="新宋体" w:cs="宋体"/>
          <w:color w:val="auto"/>
          <w:kern w:val="0"/>
          <w:sz w:val="22"/>
          <w:szCs w:val="22"/>
          <w:highlight w:val="none"/>
        </w:rPr>
      </w:pPr>
    </w:p>
    <w:p w14:paraId="0CEA7667">
      <w:pPr>
        <w:widowControl/>
        <w:spacing w:before="120" w:line="460" w:lineRule="exact"/>
        <w:jc w:val="left"/>
        <w:rPr>
          <w:rFonts w:hint="eastAsia" w:ascii="新宋体" w:hAnsi="新宋体" w:eastAsia="新宋体" w:cs="宋体"/>
          <w:color w:val="auto"/>
          <w:kern w:val="0"/>
          <w:sz w:val="22"/>
          <w:szCs w:val="22"/>
          <w:highlight w:val="none"/>
        </w:rPr>
      </w:pPr>
    </w:p>
    <w:p w14:paraId="3FD6F40C">
      <w:pPr>
        <w:widowControl/>
        <w:spacing w:before="120" w:line="460" w:lineRule="exact"/>
        <w:jc w:val="left"/>
        <w:rPr>
          <w:rFonts w:ascii="新宋体" w:hAnsi="新宋体" w:eastAsia="新宋体" w:cs="宋体"/>
          <w:color w:val="auto"/>
          <w:kern w:val="0"/>
          <w:sz w:val="22"/>
          <w:szCs w:val="22"/>
          <w:highlight w:val="none"/>
        </w:rPr>
      </w:pPr>
    </w:p>
    <w:p w14:paraId="23D080F5">
      <w:pPr>
        <w:widowControl/>
        <w:spacing w:before="120" w:line="460" w:lineRule="exact"/>
        <w:jc w:val="left"/>
        <w:rPr>
          <w:rFonts w:ascii="新宋体" w:hAnsi="新宋体" w:eastAsia="新宋体" w:cs="宋体"/>
          <w:color w:val="auto"/>
          <w:kern w:val="0"/>
          <w:sz w:val="22"/>
          <w:szCs w:val="22"/>
          <w:highlight w:val="none"/>
        </w:rPr>
      </w:pPr>
    </w:p>
    <w:p w14:paraId="5ECD7125">
      <w:pPr>
        <w:widowControl/>
        <w:spacing w:before="120" w:line="460" w:lineRule="exact"/>
        <w:jc w:val="left"/>
        <w:rPr>
          <w:rFonts w:ascii="新宋体" w:hAnsi="新宋体" w:eastAsia="新宋体" w:cs="宋体"/>
          <w:color w:val="auto"/>
          <w:kern w:val="0"/>
          <w:sz w:val="22"/>
          <w:szCs w:val="22"/>
          <w:highlight w:val="none"/>
        </w:rPr>
      </w:pPr>
    </w:p>
    <w:p w14:paraId="21F9C441">
      <w:pPr>
        <w:widowControl/>
        <w:spacing w:before="120" w:line="460" w:lineRule="exact"/>
        <w:jc w:val="left"/>
        <w:rPr>
          <w:rFonts w:ascii="新宋体" w:hAnsi="新宋体" w:eastAsia="新宋体" w:cs="宋体"/>
          <w:color w:val="auto"/>
          <w:kern w:val="0"/>
          <w:sz w:val="22"/>
          <w:szCs w:val="22"/>
          <w:highlight w:val="none"/>
        </w:rPr>
      </w:pPr>
    </w:p>
    <w:p w14:paraId="092E3F7B">
      <w:pPr>
        <w:spacing w:line="460" w:lineRule="exact"/>
        <w:outlineLvl w:val="1"/>
        <w:rPr>
          <w:rFonts w:hint="eastAsia" w:ascii="仿宋" w:hAnsi="仿宋" w:eastAsia="仿宋" w:cs="仿宋"/>
          <w:color w:val="auto"/>
          <w:sz w:val="22"/>
          <w:szCs w:val="22"/>
          <w:highlight w:val="none"/>
        </w:rPr>
      </w:pPr>
      <w:r>
        <w:rPr>
          <w:rFonts w:hint="eastAsia" w:ascii="新宋体" w:hAnsi="新宋体" w:eastAsia="新宋体"/>
          <w:color w:val="auto"/>
          <w:sz w:val="22"/>
          <w:szCs w:val="22"/>
          <w:highlight w:val="none"/>
        </w:rPr>
        <w:br w:type="page"/>
      </w:r>
      <w:r>
        <w:rPr>
          <w:rFonts w:hint="eastAsia" w:ascii="仿宋" w:hAnsi="仿宋" w:eastAsia="仿宋" w:cs="仿宋"/>
          <w:color w:val="auto"/>
          <w:sz w:val="22"/>
          <w:szCs w:val="22"/>
          <w:highlight w:val="none"/>
        </w:rPr>
        <w:t>附件三：维护项目价格组成</w:t>
      </w:r>
    </w:p>
    <w:p w14:paraId="36EF2271">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报价一览表：</w:t>
      </w:r>
    </w:p>
    <w:p w14:paraId="6AB937C9">
      <w:pPr>
        <w:spacing w:line="460" w:lineRule="exact"/>
        <w:outlineLvl w:val="1"/>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附件四：维护项目检验规格和验收标准</w:t>
      </w:r>
    </w:p>
    <w:p w14:paraId="06351C63">
      <w:pPr>
        <w:spacing w:line="460" w:lineRule="exact"/>
        <w:rPr>
          <w:rFonts w:hint="eastAsia" w:ascii="仿宋" w:hAnsi="仿宋" w:eastAsia="仿宋" w:cs="仿宋"/>
          <w:color w:val="auto"/>
          <w:sz w:val="22"/>
          <w:szCs w:val="22"/>
          <w:highlight w:val="none"/>
        </w:rPr>
      </w:pPr>
    </w:p>
    <w:p w14:paraId="5FD02937">
      <w:pPr>
        <w:spacing w:line="460" w:lineRule="exact"/>
        <w:ind w:firstLine="440" w:firstLineChars="200"/>
        <w:rPr>
          <w:rFonts w:hint="eastAsia" w:ascii="仿宋" w:hAnsi="仿宋" w:eastAsia="仿宋" w:cs="仿宋"/>
          <w:color w:val="auto"/>
          <w:sz w:val="22"/>
          <w:szCs w:val="22"/>
          <w:highlight w:val="none"/>
        </w:rPr>
      </w:pPr>
    </w:p>
    <w:p w14:paraId="02770C30">
      <w:pPr>
        <w:spacing w:line="460" w:lineRule="exact"/>
        <w:ind w:firstLine="440" w:firstLineChars="200"/>
        <w:rPr>
          <w:rFonts w:hint="eastAsia" w:ascii="仿宋" w:hAnsi="仿宋" w:eastAsia="仿宋" w:cs="仿宋"/>
          <w:color w:val="auto"/>
          <w:sz w:val="22"/>
          <w:szCs w:val="22"/>
          <w:highlight w:val="none"/>
        </w:rPr>
      </w:pPr>
    </w:p>
    <w:p w14:paraId="39D8C7D1">
      <w:pPr>
        <w:spacing w:line="460" w:lineRule="exact"/>
        <w:ind w:firstLine="440" w:firstLineChars="200"/>
        <w:rPr>
          <w:rFonts w:hint="eastAsia" w:ascii="仿宋" w:hAnsi="仿宋" w:eastAsia="仿宋" w:cs="仿宋"/>
          <w:color w:val="auto"/>
          <w:sz w:val="22"/>
          <w:szCs w:val="22"/>
          <w:highlight w:val="none"/>
        </w:rPr>
      </w:pPr>
    </w:p>
    <w:p w14:paraId="6BCAF951">
      <w:pPr>
        <w:spacing w:line="460" w:lineRule="exact"/>
        <w:ind w:firstLine="440" w:firstLineChars="200"/>
        <w:rPr>
          <w:rFonts w:hint="eastAsia" w:ascii="仿宋" w:hAnsi="仿宋" w:eastAsia="仿宋" w:cs="仿宋"/>
          <w:color w:val="auto"/>
          <w:sz w:val="22"/>
          <w:szCs w:val="22"/>
          <w:highlight w:val="none"/>
        </w:rPr>
      </w:pPr>
    </w:p>
    <w:p w14:paraId="1E0A63B9">
      <w:pPr>
        <w:spacing w:line="460" w:lineRule="exact"/>
        <w:ind w:firstLine="440" w:firstLineChars="200"/>
        <w:rPr>
          <w:rFonts w:hint="eastAsia" w:ascii="仿宋" w:hAnsi="仿宋" w:eastAsia="仿宋" w:cs="仿宋"/>
          <w:color w:val="auto"/>
          <w:sz w:val="22"/>
          <w:szCs w:val="22"/>
          <w:highlight w:val="none"/>
        </w:rPr>
      </w:pPr>
    </w:p>
    <w:p w14:paraId="31DAF946">
      <w:pP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r>
        <w:rPr>
          <w:rFonts w:hint="eastAsia" w:ascii="新宋体" w:hAnsi="新宋体" w:eastAsia="新宋体" w:cs="Times New Roman"/>
          <w:color w:val="auto"/>
          <w:sz w:val="22"/>
          <w:szCs w:val="22"/>
          <w:highlight w:val="none"/>
        </w:rPr>
        <w:t>附件五：项目管理小组成员</w:t>
      </w:r>
      <w:r>
        <w:rPr>
          <w:rFonts w:hint="eastAsia" w:ascii="仿宋" w:hAnsi="仿宋" w:eastAsia="仿宋" w:cs="仿宋"/>
          <w:b/>
          <w:bCs/>
          <w:color w:val="auto"/>
          <w:kern w:val="0"/>
          <w:sz w:val="32"/>
          <w:szCs w:val="32"/>
          <w:highlight w:val="none"/>
        </w:rPr>
        <w:t xml:space="preserve"> </w:t>
      </w:r>
    </w:p>
    <w:p w14:paraId="21FE79AC">
      <w:pPr>
        <w:spacing w:line="460" w:lineRule="exact"/>
        <w:rPr>
          <w:rFonts w:hint="eastAsia" w:ascii="仿宋" w:hAnsi="仿宋" w:eastAsia="仿宋" w:cs="仿宋"/>
          <w:color w:val="auto"/>
          <w:sz w:val="22"/>
          <w:szCs w:val="22"/>
          <w:highlight w:val="none"/>
        </w:rPr>
      </w:pPr>
    </w:p>
    <w:p w14:paraId="6232C73B">
      <w:pPr>
        <w:spacing w:line="460" w:lineRule="exact"/>
        <w:rPr>
          <w:rFonts w:hint="eastAsia" w:ascii="仿宋" w:hAnsi="仿宋" w:eastAsia="仿宋" w:cs="仿宋"/>
          <w:color w:val="auto"/>
          <w:sz w:val="22"/>
          <w:szCs w:val="22"/>
          <w:highlight w:val="none"/>
        </w:rPr>
      </w:pPr>
    </w:p>
    <w:p w14:paraId="18C9FA67">
      <w:pPr>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br w:type="page"/>
      </w:r>
    </w:p>
    <w:p w14:paraId="6DC11712">
      <w:pPr>
        <w:widowControl/>
        <w:snapToGrid w:val="0"/>
        <w:spacing w:line="400" w:lineRule="exact"/>
        <w:rPr>
          <w:rFonts w:hint="eastAsia" w:ascii="仿宋" w:hAnsi="仿宋" w:eastAsia="仿宋"/>
          <w:color w:val="auto"/>
          <w:sz w:val="24"/>
          <w:highlight w:val="none"/>
        </w:rPr>
      </w:pPr>
      <w:r>
        <w:rPr>
          <w:rFonts w:hint="eastAsia" w:ascii="仿宋" w:hAnsi="仿宋" w:eastAsia="仿宋" w:cs="宋体"/>
          <w:color w:val="auto"/>
          <w:kern w:val="0"/>
          <w:sz w:val="24"/>
          <w:highlight w:val="none"/>
        </w:rPr>
        <w:t>附件六</w:t>
      </w:r>
    </w:p>
    <w:p w14:paraId="3BE9CDBC">
      <w:pPr>
        <w:spacing w:line="500" w:lineRule="exact"/>
        <w:ind w:firstLine="643" w:firstLineChars="200"/>
        <w:jc w:val="center"/>
        <w:rPr>
          <w:rFonts w:hint="eastAsia" w:ascii="仿宋" w:hAnsi="仿宋" w:eastAsia="仿宋" w:cs="仿宋"/>
          <w:b/>
          <w:bCs/>
          <w:color w:val="auto"/>
          <w:sz w:val="32"/>
          <w:szCs w:val="32"/>
          <w:highlight w:val="none"/>
          <w:lang w:bidi="zh-CN"/>
        </w:rPr>
      </w:pPr>
      <w:r>
        <w:rPr>
          <w:rFonts w:hint="eastAsia" w:ascii="仿宋" w:hAnsi="仿宋" w:eastAsia="仿宋" w:cs="仿宋"/>
          <w:b/>
          <w:bCs/>
          <w:color w:val="auto"/>
          <w:sz w:val="32"/>
          <w:szCs w:val="32"/>
          <w:highlight w:val="none"/>
          <w:lang w:val="en-US" w:eastAsia="zh-CN" w:bidi="zh-CN"/>
        </w:rPr>
        <w:t>温州市公安局</w:t>
      </w:r>
      <w:r>
        <w:rPr>
          <w:rFonts w:hint="eastAsia" w:ascii="仿宋" w:hAnsi="仿宋" w:eastAsia="仿宋" w:cs="仿宋"/>
          <w:b/>
          <w:bCs/>
          <w:color w:val="auto"/>
          <w:sz w:val="32"/>
          <w:szCs w:val="32"/>
          <w:highlight w:val="none"/>
          <w:lang w:bidi="zh-CN"/>
        </w:rPr>
        <w:t>建设运维项目</w:t>
      </w:r>
    </w:p>
    <w:p w14:paraId="02FD5970">
      <w:pPr>
        <w:spacing w:line="500" w:lineRule="exact"/>
        <w:ind w:firstLine="643" w:firstLineChars="200"/>
        <w:jc w:val="center"/>
        <w:rPr>
          <w:rFonts w:hint="eastAsia" w:ascii="仿宋" w:hAnsi="仿宋" w:eastAsia="仿宋" w:cs="仿宋"/>
          <w:b/>
          <w:bCs/>
          <w:color w:val="auto"/>
          <w:sz w:val="32"/>
          <w:szCs w:val="32"/>
          <w:highlight w:val="none"/>
          <w:lang w:bidi="zh-CN"/>
        </w:rPr>
      </w:pPr>
      <w:r>
        <w:rPr>
          <w:rFonts w:hint="eastAsia" w:ascii="仿宋" w:hAnsi="仿宋" w:eastAsia="仿宋" w:cs="仿宋"/>
          <w:b/>
          <w:bCs/>
          <w:color w:val="auto"/>
          <w:sz w:val="32"/>
          <w:szCs w:val="32"/>
          <w:highlight w:val="none"/>
          <w:lang w:bidi="zh-CN"/>
        </w:rPr>
        <w:t>安全保密协议</w:t>
      </w:r>
    </w:p>
    <w:p w14:paraId="17548C83">
      <w:pPr>
        <w:spacing w:line="500" w:lineRule="exact"/>
        <w:ind w:firstLine="480" w:firstLineChars="200"/>
        <w:jc w:val="left"/>
        <w:rPr>
          <w:rFonts w:hint="eastAsia" w:ascii="仿宋" w:hAnsi="仿宋" w:eastAsia="仿宋" w:cs="仿宋"/>
          <w:color w:val="auto"/>
          <w:sz w:val="24"/>
          <w:highlight w:val="none"/>
          <w:lang w:bidi="zh-CN"/>
        </w:rPr>
      </w:pPr>
    </w:p>
    <w:p w14:paraId="5AF82638">
      <w:pPr>
        <w:spacing w:line="500" w:lineRule="exact"/>
        <w:ind w:firstLine="480" w:firstLineChars="200"/>
        <w:jc w:val="left"/>
        <w:rPr>
          <w:rFonts w:hint="default" w:ascii="仿宋" w:hAnsi="仿宋" w:eastAsia="仿宋" w:cs="仿宋"/>
          <w:color w:val="auto"/>
          <w:sz w:val="24"/>
          <w:highlight w:val="none"/>
          <w:lang w:val="en-US" w:eastAsia="zh-CN" w:bidi="zh-CN"/>
        </w:rPr>
      </w:pPr>
      <w:r>
        <w:rPr>
          <w:rFonts w:hint="eastAsia" w:ascii="仿宋" w:hAnsi="仿宋" w:eastAsia="仿宋" w:cs="仿宋"/>
          <w:color w:val="auto"/>
          <w:sz w:val="24"/>
          <w:highlight w:val="none"/>
          <w:lang w:bidi="zh-CN"/>
        </w:rPr>
        <w:t xml:space="preserve">甲方（项目责任单位）： </w:t>
      </w:r>
      <w:r>
        <w:rPr>
          <w:rFonts w:hint="eastAsia" w:ascii="仿宋" w:hAnsi="仿宋" w:eastAsia="仿宋" w:cs="仿宋"/>
          <w:color w:val="auto"/>
          <w:sz w:val="24"/>
          <w:highlight w:val="none"/>
          <w:lang w:val="en-US" w:eastAsia="zh-CN" w:bidi="zh-CN"/>
        </w:rPr>
        <w:t xml:space="preserve">温州市公安局 </w:t>
      </w:r>
      <w:r>
        <w:rPr>
          <w:rFonts w:hint="eastAsia" w:ascii="仿宋" w:hAnsi="仿宋" w:eastAsia="仿宋" w:cs="仿宋"/>
          <w:color w:val="auto"/>
          <w:sz w:val="24"/>
          <w:highlight w:val="none"/>
          <w:lang w:bidi="zh-CN"/>
        </w:rPr>
        <w:t xml:space="preserve">    </w:t>
      </w:r>
      <w:r>
        <w:rPr>
          <w:rFonts w:hint="eastAsia" w:ascii="仿宋" w:hAnsi="仿宋" w:eastAsia="仿宋" w:cs="仿宋"/>
          <w:color w:val="auto"/>
          <w:sz w:val="24"/>
          <w:highlight w:val="none"/>
          <w:lang w:val="en-US" w:eastAsia="zh-CN" w:bidi="zh-CN"/>
        </w:rPr>
        <w:t xml:space="preserve">（部门）   </w:t>
      </w:r>
    </w:p>
    <w:p w14:paraId="50D8155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乙方（项目建设运维单位）：                  公司</w:t>
      </w:r>
    </w:p>
    <w:p w14:paraId="3A45F05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为做好“                    项目”（以下简称项目）的安全保密工作，确保国家秘密和警务工作秘密的安全，根据《中华人民共和国保守国家秘密法》《中华人民共和国数据安全法》《中华人民共和国网络安全法》，公安部、国家保密局关于《公安工作国家秘密范围的规定》（公通字〔2019〕3号）《公安机关警务工作秘密范围的规定》（公通字〔2019〕2号）等相关文件规定，甲乙双方就本项目有关安全保密事宜达成如下协议：</w:t>
      </w:r>
    </w:p>
    <w:p w14:paraId="0577D7A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一、本项目涉密等级为</w:t>
      </w:r>
      <w:r>
        <w:rPr>
          <w:rFonts w:hint="eastAsia" w:ascii="仿宋" w:hAnsi="仿宋" w:eastAsia="仿宋" w:cs="仿宋"/>
          <w:color w:val="auto"/>
          <w:sz w:val="24"/>
          <w:highlight w:val="none"/>
          <w:lang w:val="en-US" w:eastAsia="zh-CN" w:bidi="zh-CN"/>
        </w:rPr>
        <w:t xml:space="preserve">               。</w:t>
      </w:r>
      <w:r>
        <w:rPr>
          <w:rFonts w:hint="eastAsia" w:ascii="仿宋" w:hAnsi="仿宋" w:eastAsia="仿宋" w:cs="仿宋"/>
          <w:color w:val="auto"/>
          <w:sz w:val="24"/>
          <w:highlight w:val="none"/>
          <w:lang w:bidi="zh-CN"/>
        </w:rPr>
        <w:t>保密内容包括：本项目的各类信息数据、文件资料，以及公安内部网络信息和工作中接触到的其他需保密的信息。（下划线部分，系涉密涉敏项目需视情写明的内容，且需根据具体情况作调整）</w:t>
      </w:r>
    </w:p>
    <w:p w14:paraId="49675D7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二、乙方应明确本项目的安全保密管理责任体系，公司法定代表人                 （姓名）为本项目安全保密管理第一责任人，具体承担项目事项的乙方部门主要负责人</w:t>
      </w:r>
    </w:p>
    <w:p w14:paraId="1D0D163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                （姓名）                （职务）为本项目的安全保密管理直接责任人。</w:t>
      </w:r>
    </w:p>
    <w:p w14:paraId="07C5215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三、乙方应遵守国家保密法律法规和公安机关有关信息化合作安全保密规定要求，履行安全保密义务与责任，并按年度提交本项目安全保密工作情况报告。</w:t>
      </w:r>
    </w:p>
    <w:p w14:paraId="6A4AFCA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四、甲方应当加强对乙方及参与本项目工作人员的安全保密监管和教育，及时督促乙方整改安全保密问题隐患。</w:t>
      </w:r>
    </w:p>
    <w:p w14:paraId="33C542B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五、乙方应派遣符合甲方要求的工作人员参加项目工作，对项目工作人员登记造册，并承担法律上的担保责任。</w:t>
      </w:r>
    </w:p>
    <w:p w14:paraId="3AC0D25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六、乙方应当建立安全保密管理制度，认真做好本项目建设运维期间的安全保密管理工作。</w:t>
      </w:r>
    </w:p>
    <w:p w14:paraId="4C925A44">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（一）工作人员管理方面</w:t>
      </w:r>
    </w:p>
    <w:p w14:paraId="58521A1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1.常态化开展工作人员的安全保密教育培训、安全保密检查、安全保密提醒谈话和保密岗位考核，掌握现实表现、思想动态，增强其安全保密法纪观念、责任意识、知识技能；</w:t>
      </w:r>
    </w:p>
    <w:p w14:paraId="165051D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2.集中登记保管工作人员的出国（境）证件，同时应在出国（境）前15个工作日报甲、监督方同意；</w:t>
      </w:r>
    </w:p>
    <w:p w14:paraId="033159F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3.工作人员中途更换（需经甲方同意）或因工作完成而离岗的，要落实账号注销、授权取消、证件、信息设备、文件资料等清退，并做好保密提醒谈话、签订离岗承诺书等工作；</w:t>
      </w:r>
    </w:p>
    <w:p w14:paraId="05846589">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4.参与涉密项目的工作人员，应为已向保密行政管理部门报备的涉密人员。（本条系涉密项目的要求）</w:t>
      </w:r>
    </w:p>
    <w:p w14:paraId="4F7FEA8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5.涉密项目应加强离岗的工作人员脱密期管理。（本条系涉密项目的要求）     </w:t>
      </w:r>
    </w:p>
    <w:p w14:paraId="72FFFCF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（二）场所载体管理方面</w:t>
      </w:r>
    </w:p>
    <w:p w14:paraId="7C4BFA3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1.工作人员应在甲方指定的工作场所和设备环境下开展工作，使用甲方提供或指定的计算机等设备；未经甲方许可，不得以任何形式将公安信息、数据等传输或复制到其它计算机、信息设备、存储介质中。</w:t>
      </w:r>
    </w:p>
    <w:p w14:paraId="1429492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未经甲方批准，不得擅自将计算机、信息设备、存储介质等带入甲方工作场所或者接入公安内部网络，确因工作需要经甲方审批而联入公安内部网络的计算机设备，应严格按照公安内部网络安全管理的要求，严禁“一机两用”，并不得擅自带离甲方工作场所。</w:t>
      </w:r>
    </w:p>
    <w:p w14:paraId="490098A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（三）网络及数据安全管理方面</w:t>
      </w:r>
    </w:p>
    <w:p w14:paraId="618A0F2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1.不得使用无正规版权、无安全保障的开发工具、基础软件等，不得交付留有系统后门或带有恶意代码的应用软件，不得侵犯公安机关知识产权，不得隐匿、篡改或拒不提供开发文档、软件源代码； （本条系科技建设运维项目的要求）</w:t>
      </w:r>
    </w:p>
    <w:p w14:paraId="303C02E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不得在互联网环境下测试开发公安信息系统，不得以任何方式将公安信息、数据提供给第三方或用于其他商业目的，同时应根据项目进展，及时主动向甲方清退文件资料，当甲方要求乙方交回文件资料时，乙方应当立即交回，不以任何形式保留或擅自处理，不得将项目的具体内容或案例信息作为公司业绩对外宣传；</w:t>
      </w:r>
    </w:p>
    <w:p w14:paraId="73901B89">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3.不得通过公共社交软件、通联工具谈论或处理、传输可能涉密涉敏的本项目情况；</w:t>
      </w:r>
    </w:p>
    <w:p w14:paraId="763CF9A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4.不得入侵、篡改、泄露或擅自使用公安信息系统，不得擅自浏览、下载、泄露公安内部网络信息；</w:t>
      </w:r>
    </w:p>
    <w:p w14:paraId="4B657D3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5.不得私接网络边界通道或者未经审批超范围使用边界通道，不得跨网进行运行维护操作；</w:t>
      </w:r>
    </w:p>
    <w:p w14:paraId="7EFC4784">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6.不得私自持有使用公安数据库权限，不得未经允许导出数据，不得在互联网、政务外网存储、处理未经脱密脱敏处理的公安信息数据；</w:t>
      </w:r>
    </w:p>
    <w:p w14:paraId="0FF6E76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7.在项目建设运维过程中，应制定本项目的网络安全保障方案和网络安全事件应急预案，严格遵守公安有关信息系统建设开发及数据安全的操作规范，采取必要的技术、管理措施，确保公安信息系统及数据安全。（非科技建设运维项目无需制定应急预案）</w:t>
      </w:r>
    </w:p>
    <w:p w14:paraId="667C5FB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（四）其他</w:t>
      </w:r>
    </w:p>
    <w:p w14:paraId="760DB03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1.在合同确定的服务范围内开展工作，不得涉及与本项目无关的业务及信息；</w:t>
      </w:r>
    </w:p>
    <w:p w14:paraId="3923B3D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2.自愿接受甲方安全保密监管及检查，对于检查中发现的问题，在限定期间内落实整改；</w:t>
      </w:r>
    </w:p>
    <w:p w14:paraId="2BDA62E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主动加强本项目的安全保密管理和技术管控措施，一旦发现网络安全事件或者存在失泄密风险隐患的，立即予以补救、整改，及时向甲方报告，为甲方提供查找失泄密原因的线索和证据，并开展批评教育、责任追究等工作；</w:t>
      </w:r>
    </w:p>
    <w:p w14:paraId="6DBA536B">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4.不得有其他影响安全保密的行为。</w:t>
      </w:r>
    </w:p>
    <w:p w14:paraId="53E9877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七、乙方单位及人员违反本协议的，由甲方责令其立即整改；导致严重后果的，依据有关规定追究经济、行政等责任；构成犯罪的，依法追究刑事责任。</w:t>
      </w:r>
    </w:p>
    <w:p w14:paraId="45D62F4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    八、本协议双方签字盖章后生效。本协议一式三份，甲乙双方各执一份，甲方保密工作机构一份。乙方不得将本协议向第三方展示或提供给第三方，不得通过互联网等进行处理、传输。</w:t>
      </w:r>
    </w:p>
    <w:p w14:paraId="0BBC8D99">
      <w:pPr>
        <w:spacing w:line="500" w:lineRule="exact"/>
        <w:ind w:firstLine="480" w:firstLineChars="200"/>
        <w:jc w:val="left"/>
        <w:rPr>
          <w:rFonts w:hint="eastAsia" w:ascii="仿宋" w:hAnsi="仿宋" w:eastAsia="仿宋" w:cs="仿宋"/>
          <w:color w:val="auto"/>
          <w:sz w:val="24"/>
          <w:highlight w:val="none"/>
          <w:lang w:bidi="zh-CN"/>
        </w:rPr>
      </w:pPr>
    </w:p>
    <w:p w14:paraId="5E7B20D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甲方代表签字：              乙方代表签字：</w:t>
      </w:r>
    </w:p>
    <w:p w14:paraId="6F12A0F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单位盖章                      单位盖章</w:t>
      </w:r>
    </w:p>
    <w:p w14:paraId="2C5E77F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日期：　　　　　　　　　　　　日期：</w:t>
      </w:r>
    </w:p>
    <w:p w14:paraId="5ED74CB8">
      <w:pPr>
        <w:spacing w:line="500" w:lineRule="exact"/>
        <w:ind w:firstLine="480" w:firstLineChars="200"/>
        <w:jc w:val="left"/>
        <w:rPr>
          <w:rFonts w:hint="eastAsia" w:ascii="仿宋" w:hAnsi="仿宋" w:eastAsia="仿宋" w:cs="仿宋"/>
          <w:color w:val="auto"/>
          <w:sz w:val="24"/>
          <w:highlight w:val="none"/>
          <w:lang w:bidi="zh-CN"/>
        </w:rPr>
      </w:pPr>
    </w:p>
    <w:p w14:paraId="74698036">
      <w:pPr>
        <w:spacing w:line="460" w:lineRule="exact"/>
        <w:ind w:firstLine="440" w:firstLineChars="200"/>
        <w:rPr>
          <w:rFonts w:hint="eastAsia" w:ascii="新宋体" w:hAnsi="新宋体" w:eastAsia="新宋体" w:cs="仿宋_GB2312"/>
          <w:color w:val="auto"/>
          <w:sz w:val="22"/>
          <w:szCs w:val="22"/>
          <w:highlight w:val="none"/>
        </w:rPr>
      </w:pPr>
    </w:p>
    <w:p w14:paraId="1BC3816B">
      <w:pPr>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br w:type="page"/>
      </w:r>
    </w:p>
    <w:p w14:paraId="3C8D50EF">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政府采购履约验收书</w:t>
      </w:r>
    </w:p>
    <w:p w14:paraId="5758F82C">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（参考模板）</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29"/>
        <w:gridCol w:w="1359"/>
        <w:gridCol w:w="228"/>
        <w:gridCol w:w="1207"/>
        <w:gridCol w:w="250"/>
        <w:gridCol w:w="653"/>
        <w:gridCol w:w="1374"/>
        <w:gridCol w:w="609"/>
        <w:gridCol w:w="768"/>
        <w:gridCol w:w="334"/>
        <w:gridCol w:w="743"/>
      </w:tblGrid>
      <w:tr w14:paraId="6364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6179DED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一、验收方案</w:t>
            </w:r>
          </w:p>
        </w:tc>
      </w:tr>
      <w:tr w14:paraId="482E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33CBA7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（一）项目基本情况</w:t>
            </w:r>
          </w:p>
        </w:tc>
      </w:tr>
      <w:tr w14:paraId="79C1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030D96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3697" w:type="dxa"/>
            <w:gridSpan w:val="5"/>
            <w:vAlign w:val="center"/>
          </w:tcPr>
          <w:p w14:paraId="2097251F">
            <w:pPr>
              <w:jc w:val="center"/>
              <w:rPr>
                <w:rFonts w:ascii="仿宋" w:hAnsi="仿宋" w:eastAsia="仿宋" w:cs="仿宋"/>
                <w:color w:val="auto"/>
                <w:sz w:val="24"/>
                <w:highlight w:val="none"/>
              </w:rPr>
            </w:pPr>
          </w:p>
        </w:tc>
        <w:tc>
          <w:tcPr>
            <w:tcW w:w="1374" w:type="dxa"/>
            <w:vAlign w:val="center"/>
          </w:tcPr>
          <w:p w14:paraId="216E0E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2454" w:type="dxa"/>
            <w:gridSpan w:val="4"/>
            <w:vAlign w:val="center"/>
          </w:tcPr>
          <w:p w14:paraId="2D686E1F">
            <w:pPr>
              <w:jc w:val="center"/>
              <w:rPr>
                <w:rFonts w:ascii="仿宋" w:hAnsi="仿宋" w:eastAsia="仿宋" w:cs="仿宋"/>
                <w:color w:val="auto"/>
                <w:sz w:val="24"/>
                <w:highlight w:val="none"/>
              </w:rPr>
            </w:pPr>
          </w:p>
        </w:tc>
      </w:tr>
      <w:tr w14:paraId="2BC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3758EE8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697" w:type="dxa"/>
            <w:gridSpan w:val="5"/>
            <w:vAlign w:val="center"/>
          </w:tcPr>
          <w:p w14:paraId="391BD0E5">
            <w:pPr>
              <w:jc w:val="center"/>
              <w:rPr>
                <w:rFonts w:ascii="仿宋" w:hAnsi="仿宋" w:eastAsia="仿宋" w:cs="仿宋"/>
                <w:color w:val="auto"/>
                <w:sz w:val="24"/>
                <w:highlight w:val="none"/>
              </w:rPr>
            </w:pPr>
          </w:p>
        </w:tc>
        <w:tc>
          <w:tcPr>
            <w:tcW w:w="1374" w:type="dxa"/>
            <w:vAlign w:val="center"/>
          </w:tcPr>
          <w:p w14:paraId="79639A3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合同编号</w:t>
            </w:r>
          </w:p>
        </w:tc>
        <w:tc>
          <w:tcPr>
            <w:tcW w:w="2454" w:type="dxa"/>
            <w:gridSpan w:val="4"/>
            <w:vAlign w:val="center"/>
          </w:tcPr>
          <w:p w14:paraId="306B6B0D">
            <w:pPr>
              <w:jc w:val="center"/>
              <w:rPr>
                <w:rFonts w:ascii="仿宋" w:hAnsi="仿宋" w:eastAsia="仿宋" w:cs="仿宋"/>
                <w:color w:val="auto"/>
                <w:sz w:val="24"/>
                <w:highlight w:val="none"/>
              </w:rPr>
            </w:pPr>
          </w:p>
        </w:tc>
      </w:tr>
      <w:tr w14:paraId="53A9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5D0890A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3697" w:type="dxa"/>
            <w:gridSpan w:val="5"/>
            <w:vAlign w:val="center"/>
          </w:tcPr>
          <w:p w14:paraId="7045DDBE">
            <w:pPr>
              <w:jc w:val="center"/>
              <w:rPr>
                <w:rFonts w:ascii="仿宋" w:hAnsi="仿宋" w:eastAsia="仿宋" w:cs="仿宋"/>
                <w:color w:val="auto"/>
                <w:sz w:val="24"/>
                <w:highlight w:val="none"/>
              </w:rPr>
            </w:pPr>
          </w:p>
        </w:tc>
        <w:tc>
          <w:tcPr>
            <w:tcW w:w="1374" w:type="dxa"/>
            <w:vAlign w:val="center"/>
          </w:tcPr>
          <w:p w14:paraId="0FBF35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合同规定验收时间</w:t>
            </w:r>
          </w:p>
        </w:tc>
        <w:tc>
          <w:tcPr>
            <w:tcW w:w="2454" w:type="dxa"/>
            <w:gridSpan w:val="4"/>
            <w:vAlign w:val="center"/>
          </w:tcPr>
          <w:p w14:paraId="3EFE3456">
            <w:pPr>
              <w:jc w:val="center"/>
              <w:rPr>
                <w:rFonts w:ascii="仿宋" w:hAnsi="仿宋" w:eastAsia="仿宋" w:cs="仿宋"/>
                <w:color w:val="auto"/>
                <w:sz w:val="24"/>
                <w:highlight w:val="none"/>
              </w:rPr>
            </w:pPr>
          </w:p>
        </w:tc>
      </w:tr>
      <w:tr w14:paraId="46FE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6AA109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项目类型</w:t>
            </w:r>
          </w:p>
        </w:tc>
        <w:tc>
          <w:tcPr>
            <w:tcW w:w="3697" w:type="dxa"/>
            <w:gridSpan w:val="5"/>
            <w:vAlign w:val="center"/>
          </w:tcPr>
          <w:p w14:paraId="6F5965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服务</w:t>
            </w:r>
          </w:p>
        </w:tc>
        <w:tc>
          <w:tcPr>
            <w:tcW w:w="1374" w:type="dxa"/>
            <w:vAlign w:val="center"/>
          </w:tcPr>
          <w:p w14:paraId="4D3D989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2454" w:type="dxa"/>
            <w:gridSpan w:val="4"/>
            <w:vAlign w:val="center"/>
          </w:tcPr>
          <w:p w14:paraId="6A2B2593">
            <w:pPr>
              <w:jc w:val="center"/>
              <w:rPr>
                <w:rFonts w:ascii="仿宋" w:hAnsi="仿宋" w:eastAsia="仿宋" w:cs="仿宋"/>
                <w:color w:val="auto"/>
                <w:sz w:val="24"/>
                <w:highlight w:val="none"/>
              </w:rPr>
            </w:pPr>
          </w:p>
        </w:tc>
      </w:tr>
      <w:tr w14:paraId="28FD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3C4C16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（二）验收方式与方法</w:t>
            </w:r>
          </w:p>
        </w:tc>
      </w:tr>
      <w:tr w14:paraId="5DDF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583F61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验收组织方式</w:t>
            </w:r>
          </w:p>
        </w:tc>
        <w:tc>
          <w:tcPr>
            <w:tcW w:w="3697" w:type="dxa"/>
            <w:gridSpan w:val="5"/>
            <w:vAlign w:val="center"/>
          </w:tcPr>
          <w:p w14:paraId="4922911B">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自行组织/</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委托代理</w:t>
            </w:r>
          </w:p>
        </w:tc>
        <w:tc>
          <w:tcPr>
            <w:tcW w:w="1374" w:type="dxa"/>
            <w:vAlign w:val="center"/>
          </w:tcPr>
          <w:p w14:paraId="262C126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代理机构名称</w:t>
            </w:r>
          </w:p>
        </w:tc>
        <w:tc>
          <w:tcPr>
            <w:tcW w:w="2454" w:type="dxa"/>
            <w:gridSpan w:val="4"/>
            <w:vAlign w:val="center"/>
          </w:tcPr>
          <w:p w14:paraId="2249956E">
            <w:pPr>
              <w:jc w:val="center"/>
              <w:rPr>
                <w:rFonts w:ascii="仿宋" w:hAnsi="仿宋" w:eastAsia="仿宋" w:cs="仿宋"/>
                <w:color w:val="auto"/>
                <w:sz w:val="24"/>
                <w:highlight w:val="none"/>
              </w:rPr>
            </w:pPr>
          </w:p>
        </w:tc>
      </w:tr>
      <w:tr w14:paraId="4A37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45" w:type="dxa"/>
            <w:gridSpan w:val="2"/>
            <w:vAlign w:val="center"/>
          </w:tcPr>
          <w:p w14:paraId="3D4E51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验收方式</w:t>
            </w:r>
          </w:p>
        </w:tc>
        <w:tc>
          <w:tcPr>
            <w:tcW w:w="3697" w:type="dxa"/>
            <w:gridSpan w:val="5"/>
            <w:vAlign w:val="center"/>
          </w:tcPr>
          <w:p w14:paraId="78DCD6D4">
            <w:pPr>
              <w:jc w:val="left"/>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一般验收程序/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简易验收程序</w:t>
            </w:r>
          </w:p>
        </w:tc>
        <w:tc>
          <w:tcPr>
            <w:tcW w:w="1374" w:type="dxa"/>
            <w:vAlign w:val="center"/>
          </w:tcPr>
          <w:p w14:paraId="7ACC04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选择简易验收理由</w:t>
            </w:r>
          </w:p>
        </w:tc>
        <w:tc>
          <w:tcPr>
            <w:tcW w:w="2454" w:type="dxa"/>
            <w:gridSpan w:val="4"/>
            <w:vAlign w:val="center"/>
          </w:tcPr>
          <w:p w14:paraId="3351CBBE">
            <w:pPr>
              <w:jc w:val="center"/>
              <w:rPr>
                <w:rFonts w:ascii="仿宋" w:hAnsi="仿宋" w:eastAsia="仿宋" w:cs="仿宋"/>
                <w:color w:val="auto"/>
                <w:sz w:val="24"/>
                <w:highlight w:val="none"/>
              </w:rPr>
            </w:pPr>
          </w:p>
        </w:tc>
      </w:tr>
      <w:tr w14:paraId="2103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45" w:type="dxa"/>
            <w:gridSpan w:val="2"/>
            <w:vAlign w:val="center"/>
          </w:tcPr>
          <w:p w14:paraId="76A376D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验收方法</w:t>
            </w:r>
          </w:p>
        </w:tc>
        <w:tc>
          <w:tcPr>
            <w:tcW w:w="3697" w:type="dxa"/>
            <w:gridSpan w:val="5"/>
            <w:vAlign w:val="center"/>
          </w:tcPr>
          <w:p w14:paraId="40B85F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tc>
        <w:tc>
          <w:tcPr>
            <w:tcW w:w="1374" w:type="dxa"/>
            <w:vAlign w:val="center"/>
          </w:tcPr>
          <w:p w14:paraId="1765941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选择非一次性验收理由</w:t>
            </w:r>
          </w:p>
        </w:tc>
        <w:tc>
          <w:tcPr>
            <w:tcW w:w="2454" w:type="dxa"/>
            <w:gridSpan w:val="4"/>
            <w:vAlign w:val="center"/>
          </w:tcPr>
          <w:p w14:paraId="36E941D5">
            <w:pPr>
              <w:jc w:val="center"/>
              <w:rPr>
                <w:rFonts w:ascii="仿宋" w:hAnsi="仿宋" w:eastAsia="仿宋" w:cs="仿宋"/>
                <w:color w:val="auto"/>
                <w:sz w:val="24"/>
                <w:highlight w:val="none"/>
              </w:rPr>
            </w:pPr>
          </w:p>
        </w:tc>
      </w:tr>
      <w:tr w14:paraId="3DF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45" w:type="dxa"/>
            <w:gridSpan w:val="2"/>
            <w:vMerge w:val="restart"/>
            <w:vAlign w:val="center"/>
          </w:tcPr>
          <w:p w14:paraId="0A146E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大型或复杂项目</w:t>
            </w:r>
          </w:p>
        </w:tc>
        <w:tc>
          <w:tcPr>
            <w:tcW w:w="3697" w:type="dxa"/>
            <w:gridSpan w:val="5"/>
            <w:vAlign w:val="center"/>
          </w:tcPr>
          <w:p w14:paraId="648EAB3D">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374" w:type="dxa"/>
            <w:vMerge w:val="restart"/>
            <w:vAlign w:val="center"/>
          </w:tcPr>
          <w:p w14:paraId="732CE39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邀请本项目其他供应商</w:t>
            </w:r>
          </w:p>
        </w:tc>
        <w:tc>
          <w:tcPr>
            <w:tcW w:w="2454" w:type="dxa"/>
            <w:gridSpan w:val="4"/>
            <w:vAlign w:val="center"/>
          </w:tcPr>
          <w:p w14:paraId="0F77E4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14:paraId="7B95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45" w:type="dxa"/>
            <w:gridSpan w:val="2"/>
            <w:vMerge w:val="continue"/>
            <w:vAlign w:val="center"/>
          </w:tcPr>
          <w:p w14:paraId="0A70E3E7">
            <w:pPr>
              <w:jc w:val="center"/>
              <w:rPr>
                <w:rFonts w:ascii="仿宋" w:hAnsi="仿宋" w:eastAsia="仿宋" w:cs="仿宋"/>
                <w:color w:val="auto"/>
                <w:sz w:val="24"/>
                <w:highlight w:val="none"/>
              </w:rPr>
            </w:pPr>
          </w:p>
        </w:tc>
        <w:tc>
          <w:tcPr>
            <w:tcW w:w="1587" w:type="dxa"/>
            <w:gridSpan w:val="2"/>
            <w:vAlign w:val="center"/>
          </w:tcPr>
          <w:p w14:paraId="7268C05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参与验收监测机构名称</w:t>
            </w:r>
          </w:p>
        </w:tc>
        <w:tc>
          <w:tcPr>
            <w:tcW w:w="2110" w:type="dxa"/>
            <w:gridSpan w:val="3"/>
            <w:vAlign w:val="center"/>
          </w:tcPr>
          <w:p w14:paraId="1EB3490C">
            <w:pPr>
              <w:jc w:val="center"/>
              <w:rPr>
                <w:rFonts w:ascii="仿宋" w:hAnsi="仿宋" w:eastAsia="仿宋" w:cs="仿宋"/>
                <w:color w:val="auto"/>
                <w:sz w:val="24"/>
                <w:highlight w:val="none"/>
              </w:rPr>
            </w:pPr>
          </w:p>
        </w:tc>
        <w:tc>
          <w:tcPr>
            <w:tcW w:w="1374" w:type="dxa"/>
            <w:vMerge w:val="continue"/>
            <w:vAlign w:val="center"/>
          </w:tcPr>
          <w:p w14:paraId="6CF6DC8D">
            <w:pPr>
              <w:jc w:val="center"/>
              <w:rPr>
                <w:rFonts w:ascii="仿宋" w:hAnsi="仿宋" w:eastAsia="仿宋" w:cs="仿宋"/>
                <w:color w:val="auto"/>
                <w:sz w:val="24"/>
                <w:highlight w:val="none"/>
              </w:rPr>
            </w:pPr>
          </w:p>
        </w:tc>
        <w:tc>
          <w:tcPr>
            <w:tcW w:w="1377" w:type="dxa"/>
            <w:gridSpan w:val="2"/>
            <w:vAlign w:val="center"/>
          </w:tcPr>
          <w:p w14:paraId="1A47580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参与验收供应商名称</w:t>
            </w:r>
          </w:p>
        </w:tc>
        <w:tc>
          <w:tcPr>
            <w:tcW w:w="1077" w:type="dxa"/>
            <w:gridSpan w:val="2"/>
            <w:vAlign w:val="center"/>
          </w:tcPr>
          <w:p w14:paraId="7B0BFF30">
            <w:pPr>
              <w:jc w:val="center"/>
              <w:rPr>
                <w:rFonts w:ascii="仿宋" w:hAnsi="仿宋" w:eastAsia="仿宋" w:cs="仿宋"/>
                <w:color w:val="auto"/>
                <w:sz w:val="24"/>
                <w:highlight w:val="none"/>
              </w:rPr>
            </w:pPr>
          </w:p>
        </w:tc>
      </w:tr>
      <w:tr w14:paraId="0804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45" w:type="dxa"/>
            <w:gridSpan w:val="2"/>
            <w:vMerge w:val="restart"/>
            <w:vAlign w:val="center"/>
          </w:tcPr>
          <w:p w14:paraId="029D1D0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向社会公众提供的公共服务项目方式</w:t>
            </w:r>
          </w:p>
        </w:tc>
        <w:tc>
          <w:tcPr>
            <w:tcW w:w="3697" w:type="dxa"/>
            <w:gridSpan w:val="5"/>
            <w:vAlign w:val="center"/>
          </w:tcPr>
          <w:p w14:paraId="2EA500FC">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374" w:type="dxa"/>
            <w:vMerge w:val="restart"/>
            <w:vAlign w:val="center"/>
          </w:tcPr>
          <w:p w14:paraId="1F49BBC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采购人、使用人分离项目</w:t>
            </w:r>
          </w:p>
        </w:tc>
        <w:tc>
          <w:tcPr>
            <w:tcW w:w="2454" w:type="dxa"/>
            <w:gridSpan w:val="4"/>
            <w:vAlign w:val="center"/>
          </w:tcPr>
          <w:p w14:paraId="5FC61087">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14:paraId="22C5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45" w:type="dxa"/>
            <w:gridSpan w:val="2"/>
            <w:vMerge w:val="continue"/>
            <w:vAlign w:val="center"/>
          </w:tcPr>
          <w:p w14:paraId="381684FA">
            <w:pPr>
              <w:jc w:val="center"/>
              <w:rPr>
                <w:rFonts w:ascii="仿宋" w:hAnsi="仿宋" w:eastAsia="仿宋" w:cs="仿宋"/>
                <w:color w:val="auto"/>
                <w:sz w:val="24"/>
                <w:highlight w:val="none"/>
              </w:rPr>
            </w:pPr>
          </w:p>
        </w:tc>
        <w:tc>
          <w:tcPr>
            <w:tcW w:w="1587" w:type="dxa"/>
            <w:gridSpan w:val="2"/>
            <w:vAlign w:val="center"/>
          </w:tcPr>
          <w:p w14:paraId="4CC1CE7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参与验收服务对象</w:t>
            </w:r>
          </w:p>
        </w:tc>
        <w:tc>
          <w:tcPr>
            <w:tcW w:w="2110" w:type="dxa"/>
            <w:gridSpan w:val="3"/>
            <w:vAlign w:val="center"/>
          </w:tcPr>
          <w:p w14:paraId="24BE42D1">
            <w:pPr>
              <w:jc w:val="center"/>
              <w:rPr>
                <w:rFonts w:ascii="仿宋" w:hAnsi="仿宋" w:eastAsia="仿宋" w:cs="仿宋"/>
                <w:color w:val="auto"/>
                <w:sz w:val="24"/>
                <w:highlight w:val="none"/>
              </w:rPr>
            </w:pPr>
          </w:p>
        </w:tc>
        <w:tc>
          <w:tcPr>
            <w:tcW w:w="1374" w:type="dxa"/>
            <w:vMerge w:val="continue"/>
            <w:vAlign w:val="center"/>
          </w:tcPr>
          <w:p w14:paraId="7B5D36D0">
            <w:pPr>
              <w:jc w:val="center"/>
              <w:rPr>
                <w:rFonts w:ascii="仿宋" w:hAnsi="仿宋" w:eastAsia="仿宋" w:cs="仿宋"/>
                <w:color w:val="auto"/>
                <w:sz w:val="24"/>
                <w:highlight w:val="none"/>
              </w:rPr>
            </w:pPr>
          </w:p>
        </w:tc>
        <w:tc>
          <w:tcPr>
            <w:tcW w:w="1377" w:type="dxa"/>
            <w:gridSpan w:val="2"/>
            <w:vAlign w:val="center"/>
          </w:tcPr>
          <w:p w14:paraId="4ABC4ED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使用单位名称</w:t>
            </w:r>
          </w:p>
        </w:tc>
        <w:tc>
          <w:tcPr>
            <w:tcW w:w="1077" w:type="dxa"/>
            <w:gridSpan w:val="2"/>
            <w:vAlign w:val="center"/>
          </w:tcPr>
          <w:p w14:paraId="2CB91F03">
            <w:pPr>
              <w:jc w:val="center"/>
              <w:rPr>
                <w:rFonts w:ascii="仿宋" w:hAnsi="仿宋" w:eastAsia="仿宋" w:cs="仿宋"/>
                <w:color w:val="auto"/>
                <w:sz w:val="24"/>
                <w:highlight w:val="none"/>
              </w:rPr>
            </w:pPr>
          </w:p>
        </w:tc>
      </w:tr>
      <w:tr w14:paraId="453C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279827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（三）验收人员组成</w:t>
            </w:r>
          </w:p>
        </w:tc>
      </w:tr>
      <w:tr w14:paraId="008F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676A5A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验收小组总人数</w:t>
            </w:r>
          </w:p>
        </w:tc>
        <w:tc>
          <w:tcPr>
            <w:tcW w:w="1359" w:type="dxa"/>
            <w:vAlign w:val="center"/>
          </w:tcPr>
          <w:p w14:paraId="4886DF01">
            <w:pPr>
              <w:jc w:val="center"/>
              <w:rPr>
                <w:rFonts w:ascii="仿宋" w:hAnsi="仿宋" w:eastAsia="仿宋" w:cs="仿宋"/>
                <w:color w:val="auto"/>
                <w:sz w:val="24"/>
                <w:highlight w:val="none"/>
              </w:rPr>
            </w:pPr>
          </w:p>
        </w:tc>
        <w:tc>
          <w:tcPr>
            <w:tcW w:w="1435" w:type="dxa"/>
            <w:gridSpan w:val="2"/>
            <w:vAlign w:val="center"/>
          </w:tcPr>
          <w:p w14:paraId="3240DB2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专业技术人员人数</w:t>
            </w:r>
          </w:p>
        </w:tc>
        <w:tc>
          <w:tcPr>
            <w:tcW w:w="903" w:type="dxa"/>
            <w:gridSpan w:val="2"/>
            <w:vAlign w:val="center"/>
          </w:tcPr>
          <w:p w14:paraId="0646F5A3">
            <w:pPr>
              <w:jc w:val="center"/>
              <w:rPr>
                <w:rFonts w:ascii="仿宋" w:hAnsi="仿宋" w:eastAsia="仿宋" w:cs="仿宋"/>
                <w:color w:val="auto"/>
                <w:sz w:val="24"/>
                <w:highlight w:val="none"/>
              </w:rPr>
            </w:pPr>
          </w:p>
        </w:tc>
        <w:tc>
          <w:tcPr>
            <w:tcW w:w="1374" w:type="dxa"/>
            <w:vAlign w:val="center"/>
          </w:tcPr>
          <w:p w14:paraId="5DD978C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实际使用人人数（如有）</w:t>
            </w:r>
          </w:p>
        </w:tc>
        <w:tc>
          <w:tcPr>
            <w:tcW w:w="609" w:type="dxa"/>
            <w:vAlign w:val="center"/>
          </w:tcPr>
          <w:p w14:paraId="7B594872">
            <w:pPr>
              <w:jc w:val="center"/>
              <w:rPr>
                <w:rFonts w:ascii="仿宋" w:hAnsi="仿宋" w:eastAsia="仿宋" w:cs="仿宋"/>
                <w:color w:val="auto"/>
                <w:sz w:val="24"/>
                <w:highlight w:val="none"/>
              </w:rPr>
            </w:pPr>
          </w:p>
        </w:tc>
        <w:tc>
          <w:tcPr>
            <w:tcW w:w="1102" w:type="dxa"/>
            <w:gridSpan w:val="2"/>
            <w:vAlign w:val="center"/>
          </w:tcPr>
          <w:p w14:paraId="6EC2172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其他验收人员数量</w:t>
            </w:r>
          </w:p>
        </w:tc>
        <w:tc>
          <w:tcPr>
            <w:tcW w:w="743" w:type="dxa"/>
            <w:vAlign w:val="center"/>
          </w:tcPr>
          <w:p w14:paraId="7888FE77">
            <w:pPr>
              <w:jc w:val="center"/>
              <w:rPr>
                <w:rFonts w:ascii="仿宋" w:hAnsi="仿宋" w:eastAsia="仿宋" w:cs="仿宋"/>
                <w:color w:val="auto"/>
                <w:sz w:val="24"/>
                <w:highlight w:val="none"/>
              </w:rPr>
            </w:pPr>
          </w:p>
        </w:tc>
      </w:tr>
      <w:tr w14:paraId="5DD7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1BE919F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验收人员姓名</w:t>
            </w:r>
          </w:p>
        </w:tc>
        <w:tc>
          <w:tcPr>
            <w:tcW w:w="3697" w:type="dxa"/>
            <w:gridSpan w:val="5"/>
            <w:vAlign w:val="center"/>
          </w:tcPr>
          <w:p w14:paraId="1266D3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工作单位</w:t>
            </w:r>
          </w:p>
        </w:tc>
        <w:tc>
          <w:tcPr>
            <w:tcW w:w="1374" w:type="dxa"/>
            <w:vAlign w:val="center"/>
          </w:tcPr>
          <w:p w14:paraId="57782AC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职称（专业）</w:t>
            </w:r>
          </w:p>
        </w:tc>
        <w:tc>
          <w:tcPr>
            <w:tcW w:w="1377" w:type="dxa"/>
            <w:gridSpan w:val="2"/>
            <w:vAlign w:val="center"/>
          </w:tcPr>
          <w:p w14:paraId="718283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077" w:type="dxa"/>
            <w:gridSpan w:val="2"/>
            <w:vAlign w:val="center"/>
          </w:tcPr>
          <w:p w14:paraId="693F083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23B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249BA689">
            <w:pPr>
              <w:jc w:val="center"/>
              <w:rPr>
                <w:rFonts w:ascii="仿宋" w:hAnsi="仿宋" w:eastAsia="仿宋" w:cs="仿宋"/>
                <w:color w:val="auto"/>
                <w:sz w:val="24"/>
                <w:highlight w:val="none"/>
              </w:rPr>
            </w:pPr>
          </w:p>
        </w:tc>
        <w:tc>
          <w:tcPr>
            <w:tcW w:w="3697" w:type="dxa"/>
            <w:gridSpan w:val="5"/>
            <w:vAlign w:val="center"/>
          </w:tcPr>
          <w:p w14:paraId="0AD66422">
            <w:pPr>
              <w:jc w:val="center"/>
              <w:rPr>
                <w:rFonts w:ascii="仿宋" w:hAnsi="仿宋" w:eastAsia="仿宋" w:cs="仿宋"/>
                <w:color w:val="auto"/>
                <w:sz w:val="24"/>
                <w:highlight w:val="none"/>
              </w:rPr>
            </w:pPr>
          </w:p>
        </w:tc>
        <w:tc>
          <w:tcPr>
            <w:tcW w:w="1374" w:type="dxa"/>
            <w:vAlign w:val="center"/>
          </w:tcPr>
          <w:p w14:paraId="1D968C39">
            <w:pPr>
              <w:jc w:val="center"/>
              <w:rPr>
                <w:rFonts w:ascii="仿宋" w:hAnsi="仿宋" w:eastAsia="仿宋" w:cs="仿宋"/>
                <w:color w:val="auto"/>
                <w:sz w:val="24"/>
                <w:highlight w:val="none"/>
              </w:rPr>
            </w:pPr>
          </w:p>
        </w:tc>
        <w:tc>
          <w:tcPr>
            <w:tcW w:w="1377" w:type="dxa"/>
            <w:gridSpan w:val="2"/>
            <w:vAlign w:val="center"/>
          </w:tcPr>
          <w:p w14:paraId="21320D4A">
            <w:pPr>
              <w:jc w:val="center"/>
              <w:rPr>
                <w:rFonts w:ascii="仿宋" w:hAnsi="仿宋" w:eastAsia="仿宋" w:cs="仿宋"/>
                <w:color w:val="auto"/>
                <w:sz w:val="24"/>
                <w:highlight w:val="none"/>
              </w:rPr>
            </w:pPr>
          </w:p>
        </w:tc>
        <w:tc>
          <w:tcPr>
            <w:tcW w:w="1077" w:type="dxa"/>
            <w:gridSpan w:val="2"/>
            <w:vAlign w:val="center"/>
          </w:tcPr>
          <w:p w14:paraId="78DFAF2F">
            <w:pPr>
              <w:jc w:val="center"/>
              <w:rPr>
                <w:rFonts w:ascii="仿宋" w:hAnsi="仿宋" w:eastAsia="仿宋" w:cs="仿宋"/>
                <w:color w:val="auto"/>
                <w:sz w:val="24"/>
                <w:highlight w:val="none"/>
              </w:rPr>
            </w:pPr>
          </w:p>
        </w:tc>
      </w:tr>
      <w:tr w14:paraId="3990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Align w:val="center"/>
          </w:tcPr>
          <w:p w14:paraId="7F92DD7B">
            <w:pPr>
              <w:jc w:val="center"/>
              <w:rPr>
                <w:rFonts w:ascii="仿宋" w:hAnsi="仿宋" w:eastAsia="仿宋" w:cs="仿宋"/>
                <w:color w:val="auto"/>
                <w:sz w:val="24"/>
                <w:highlight w:val="none"/>
              </w:rPr>
            </w:pPr>
          </w:p>
        </w:tc>
        <w:tc>
          <w:tcPr>
            <w:tcW w:w="3697" w:type="dxa"/>
            <w:gridSpan w:val="5"/>
            <w:vAlign w:val="center"/>
          </w:tcPr>
          <w:p w14:paraId="4252F422">
            <w:pPr>
              <w:jc w:val="center"/>
              <w:rPr>
                <w:rFonts w:ascii="仿宋" w:hAnsi="仿宋" w:eastAsia="仿宋" w:cs="仿宋"/>
                <w:color w:val="auto"/>
                <w:sz w:val="24"/>
                <w:highlight w:val="none"/>
              </w:rPr>
            </w:pPr>
          </w:p>
        </w:tc>
        <w:tc>
          <w:tcPr>
            <w:tcW w:w="1374" w:type="dxa"/>
            <w:vAlign w:val="center"/>
          </w:tcPr>
          <w:p w14:paraId="4C126E41">
            <w:pPr>
              <w:jc w:val="center"/>
              <w:rPr>
                <w:rFonts w:ascii="仿宋" w:hAnsi="仿宋" w:eastAsia="仿宋" w:cs="仿宋"/>
                <w:color w:val="auto"/>
                <w:sz w:val="24"/>
                <w:highlight w:val="none"/>
              </w:rPr>
            </w:pPr>
          </w:p>
        </w:tc>
        <w:tc>
          <w:tcPr>
            <w:tcW w:w="1377" w:type="dxa"/>
            <w:gridSpan w:val="2"/>
            <w:vAlign w:val="center"/>
          </w:tcPr>
          <w:p w14:paraId="66A07908">
            <w:pPr>
              <w:jc w:val="center"/>
              <w:rPr>
                <w:rFonts w:ascii="仿宋" w:hAnsi="仿宋" w:eastAsia="仿宋" w:cs="仿宋"/>
                <w:color w:val="auto"/>
                <w:sz w:val="24"/>
                <w:highlight w:val="none"/>
              </w:rPr>
            </w:pPr>
          </w:p>
        </w:tc>
        <w:tc>
          <w:tcPr>
            <w:tcW w:w="1077" w:type="dxa"/>
            <w:gridSpan w:val="2"/>
            <w:vAlign w:val="center"/>
          </w:tcPr>
          <w:p w14:paraId="7C375561">
            <w:pPr>
              <w:jc w:val="center"/>
              <w:rPr>
                <w:rFonts w:ascii="仿宋" w:hAnsi="仿宋" w:eastAsia="仿宋" w:cs="仿宋"/>
                <w:color w:val="auto"/>
                <w:sz w:val="24"/>
                <w:highlight w:val="none"/>
              </w:rPr>
            </w:pPr>
          </w:p>
        </w:tc>
      </w:tr>
      <w:tr w14:paraId="6A99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12D82AD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（四）验收主要指标和标准</w:t>
            </w:r>
          </w:p>
        </w:tc>
      </w:tr>
      <w:tr w14:paraId="64CE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14:paraId="212630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29" w:type="dxa"/>
            <w:vAlign w:val="center"/>
          </w:tcPr>
          <w:p w14:paraId="660E9FF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587" w:type="dxa"/>
            <w:gridSpan w:val="2"/>
            <w:vAlign w:val="center"/>
          </w:tcPr>
          <w:p w14:paraId="673682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2110" w:type="dxa"/>
            <w:gridSpan w:val="3"/>
            <w:vAlign w:val="center"/>
          </w:tcPr>
          <w:p w14:paraId="5DEFA7F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货物型号规格、标准及配置等（或服务内容、标准）</w:t>
            </w:r>
          </w:p>
        </w:tc>
        <w:tc>
          <w:tcPr>
            <w:tcW w:w="1374" w:type="dxa"/>
            <w:vAlign w:val="center"/>
          </w:tcPr>
          <w:p w14:paraId="5D7890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377" w:type="dxa"/>
            <w:gridSpan w:val="2"/>
            <w:vAlign w:val="center"/>
          </w:tcPr>
          <w:p w14:paraId="74307AA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077" w:type="dxa"/>
            <w:gridSpan w:val="2"/>
            <w:vAlign w:val="center"/>
          </w:tcPr>
          <w:p w14:paraId="0FDC18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金额</w:t>
            </w:r>
          </w:p>
        </w:tc>
      </w:tr>
      <w:tr w14:paraId="56AB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14:paraId="493D4B58">
            <w:pPr>
              <w:jc w:val="center"/>
              <w:rPr>
                <w:rFonts w:ascii="仿宋" w:hAnsi="仿宋" w:eastAsia="仿宋" w:cs="仿宋"/>
                <w:color w:val="auto"/>
                <w:sz w:val="24"/>
                <w:highlight w:val="none"/>
              </w:rPr>
            </w:pPr>
          </w:p>
        </w:tc>
        <w:tc>
          <w:tcPr>
            <w:tcW w:w="929" w:type="dxa"/>
            <w:vAlign w:val="center"/>
          </w:tcPr>
          <w:p w14:paraId="080F8FF6">
            <w:pPr>
              <w:jc w:val="center"/>
              <w:rPr>
                <w:rFonts w:ascii="仿宋" w:hAnsi="仿宋" w:eastAsia="仿宋" w:cs="仿宋"/>
                <w:color w:val="auto"/>
                <w:sz w:val="24"/>
                <w:highlight w:val="none"/>
              </w:rPr>
            </w:pPr>
          </w:p>
        </w:tc>
        <w:tc>
          <w:tcPr>
            <w:tcW w:w="1587" w:type="dxa"/>
            <w:gridSpan w:val="2"/>
            <w:vAlign w:val="center"/>
          </w:tcPr>
          <w:p w14:paraId="368A7635">
            <w:pPr>
              <w:jc w:val="center"/>
              <w:rPr>
                <w:rFonts w:ascii="仿宋" w:hAnsi="仿宋" w:eastAsia="仿宋" w:cs="仿宋"/>
                <w:color w:val="auto"/>
                <w:sz w:val="24"/>
                <w:highlight w:val="none"/>
              </w:rPr>
            </w:pPr>
          </w:p>
        </w:tc>
        <w:tc>
          <w:tcPr>
            <w:tcW w:w="2110" w:type="dxa"/>
            <w:gridSpan w:val="3"/>
            <w:vAlign w:val="center"/>
          </w:tcPr>
          <w:p w14:paraId="02439380">
            <w:pPr>
              <w:jc w:val="center"/>
              <w:rPr>
                <w:rFonts w:ascii="仿宋" w:hAnsi="仿宋" w:eastAsia="仿宋" w:cs="仿宋"/>
                <w:color w:val="auto"/>
                <w:sz w:val="24"/>
                <w:highlight w:val="none"/>
              </w:rPr>
            </w:pPr>
          </w:p>
        </w:tc>
        <w:tc>
          <w:tcPr>
            <w:tcW w:w="1374" w:type="dxa"/>
            <w:vAlign w:val="center"/>
          </w:tcPr>
          <w:p w14:paraId="039CAE10">
            <w:pPr>
              <w:jc w:val="center"/>
              <w:rPr>
                <w:rFonts w:ascii="仿宋" w:hAnsi="仿宋" w:eastAsia="仿宋" w:cs="仿宋"/>
                <w:color w:val="auto"/>
                <w:sz w:val="24"/>
                <w:highlight w:val="none"/>
              </w:rPr>
            </w:pPr>
          </w:p>
        </w:tc>
        <w:tc>
          <w:tcPr>
            <w:tcW w:w="1377" w:type="dxa"/>
            <w:gridSpan w:val="2"/>
            <w:vAlign w:val="center"/>
          </w:tcPr>
          <w:p w14:paraId="1B0870B8">
            <w:pPr>
              <w:jc w:val="center"/>
              <w:rPr>
                <w:rFonts w:ascii="仿宋" w:hAnsi="仿宋" w:eastAsia="仿宋" w:cs="仿宋"/>
                <w:color w:val="auto"/>
                <w:sz w:val="24"/>
                <w:highlight w:val="none"/>
              </w:rPr>
            </w:pPr>
          </w:p>
        </w:tc>
        <w:tc>
          <w:tcPr>
            <w:tcW w:w="1077" w:type="dxa"/>
            <w:gridSpan w:val="2"/>
            <w:vAlign w:val="center"/>
          </w:tcPr>
          <w:p w14:paraId="0FD429C7">
            <w:pPr>
              <w:jc w:val="center"/>
              <w:rPr>
                <w:rFonts w:ascii="仿宋" w:hAnsi="仿宋" w:eastAsia="仿宋" w:cs="仿宋"/>
                <w:color w:val="auto"/>
                <w:sz w:val="24"/>
                <w:highlight w:val="none"/>
              </w:rPr>
            </w:pPr>
          </w:p>
        </w:tc>
      </w:tr>
      <w:tr w14:paraId="4564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14:paraId="09999C49">
            <w:pPr>
              <w:jc w:val="center"/>
              <w:rPr>
                <w:rFonts w:ascii="仿宋" w:hAnsi="仿宋" w:eastAsia="仿宋" w:cs="仿宋"/>
                <w:color w:val="auto"/>
                <w:sz w:val="24"/>
                <w:highlight w:val="none"/>
              </w:rPr>
            </w:pPr>
          </w:p>
        </w:tc>
        <w:tc>
          <w:tcPr>
            <w:tcW w:w="929" w:type="dxa"/>
            <w:vAlign w:val="center"/>
          </w:tcPr>
          <w:p w14:paraId="4C84FB53">
            <w:pPr>
              <w:jc w:val="center"/>
              <w:rPr>
                <w:rFonts w:ascii="仿宋" w:hAnsi="仿宋" w:eastAsia="仿宋" w:cs="仿宋"/>
                <w:color w:val="auto"/>
                <w:sz w:val="24"/>
                <w:highlight w:val="none"/>
              </w:rPr>
            </w:pPr>
          </w:p>
        </w:tc>
        <w:tc>
          <w:tcPr>
            <w:tcW w:w="1587" w:type="dxa"/>
            <w:gridSpan w:val="2"/>
            <w:vAlign w:val="center"/>
          </w:tcPr>
          <w:p w14:paraId="7B2B443F">
            <w:pPr>
              <w:jc w:val="center"/>
              <w:rPr>
                <w:rFonts w:ascii="仿宋" w:hAnsi="仿宋" w:eastAsia="仿宋" w:cs="仿宋"/>
                <w:color w:val="auto"/>
                <w:sz w:val="24"/>
                <w:highlight w:val="none"/>
              </w:rPr>
            </w:pPr>
          </w:p>
        </w:tc>
        <w:tc>
          <w:tcPr>
            <w:tcW w:w="2110" w:type="dxa"/>
            <w:gridSpan w:val="3"/>
            <w:vAlign w:val="center"/>
          </w:tcPr>
          <w:p w14:paraId="158F7A88">
            <w:pPr>
              <w:jc w:val="center"/>
              <w:rPr>
                <w:rFonts w:ascii="仿宋" w:hAnsi="仿宋" w:eastAsia="仿宋" w:cs="仿宋"/>
                <w:color w:val="auto"/>
                <w:sz w:val="24"/>
                <w:highlight w:val="none"/>
              </w:rPr>
            </w:pPr>
          </w:p>
        </w:tc>
        <w:tc>
          <w:tcPr>
            <w:tcW w:w="1374" w:type="dxa"/>
            <w:vAlign w:val="center"/>
          </w:tcPr>
          <w:p w14:paraId="5325E462">
            <w:pPr>
              <w:jc w:val="center"/>
              <w:rPr>
                <w:rFonts w:ascii="仿宋" w:hAnsi="仿宋" w:eastAsia="仿宋" w:cs="仿宋"/>
                <w:color w:val="auto"/>
                <w:sz w:val="24"/>
                <w:highlight w:val="none"/>
              </w:rPr>
            </w:pPr>
          </w:p>
        </w:tc>
        <w:tc>
          <w:tcPr>
            <w:tcW w:w="1377" w:type="dxa"/>
            <w:gridSpan w:val="2"/>
            <w:vAlign w:val="center"/>
          </w:tcPr>
          <w:p w14:paraId="3437C7CE">
            <w:pPr>
              <w:jc w:val="center"/>
              <w:rPr>
                <w:rFonts w:ascii="仿宋" w:hAnsi="仿宋" w:eastAsia="仿宋" w:cs="仿宋"/>
                <w:color w:val="auto"/>
                <w:sz w:val="24"/>
                <w:highlight w:val="none"/>
              </w:rPr>
            </w:pPr>
          </w:p>
        </w:tc>
        <w:tc>
          <w:tcPr>
            <w:tcW w:w="1077" w:type="dxa"/>
            <w:gridSpan w:val="2"/>
            <w:vAlign w:val="center"/>
          </w:tcPr>
          <w:p w14:paraId="09C39ABB">
            <w:pPr>
              <w:jc w:val="center"/>
              <w:rPr>
                <w:rFonts w:ascii="仿宋" w:hAnsi="仿宋" w:eastAsia="仿宋" w:cs="仿宋"/>
                <w:color w:val="auto"/>
                <w:sz w:val="24"/>
                <w:highlight w:val="none"/>
              </w:rPr>
            </w:pPr>
          </w:p>
        </w:tc>
      </w:tr>
      <w:tr w14:paraId="1F3F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6" w:type="dxa"/>
            <w:vAlign w:val="center"/>
          </w:tcPr>
          <w:p w14:paraId="2719450E">
            <w:pPr>
              <w:jc w:val="center"/>
              <w:rPr>
                <w:rFonts w:ascii="仿宋" w:hAnsi="仿宋" w:eastAsia="仿宋" w:cs="仿宋"/>
                <w:color w:val="auto"/>
                <w:sz w:val="24"/>
                <w:highlight w:val="none"/>
              </w:rPr>
            </w:pPr>
          </w:p>
        </w:tc>
        <w:tc>
          <w:tcPr>
            <w:tcW w:w="929" w:type="dxa"/>
            <w:vAlign w:val="center"/>
          </w:tcPr>
          <w:p w14:paraId="2C88E093">
            <w:pPr>
              <w:jc w:val="center"/>
              <w:rPr>
                <w:rFonts w:ascii="仿宋" w:hAnsi="仿宋" w:eastAsia="仿宋" w:cs="仿宋"/>
                <w:color w:val="auto"/>
                <w:sz w:val="24"/>
                <w:highlight w:val="none"/>
              </w:rPr>
            </w:pPr>
          </w:p>
        </w:tc>
        <w:tc>
          <w:tcPr>
            <w:tcW w:w="1587" w:type="dxa"/>
            <w:gridSpan w:val="2"/>
            <w:vAlign w:val="center"/>
          </w:tcPr>
          <w:p w14:paraId="003C882C">
            <w:pPr>
              <w:jc w:val="center"/>
              <w:rPr>
                <w:rFonts w:ascii="仿宋" w:hAnsi="仿宋" w:eastAsia="仿宋" w:cs="仿宋"/>
                <w:color w:val="auto"/>
                <w:sz w:val="24"/>
                <w:highlight w:val="none"/>
              </w:rPr>
            </w:pPr>
          </w:p>
        </w:tc>
        <w:tc>
          <w:tcPr>
            <w:tcW w:w="2110" w:type="dxa"/>
            <w:gridSpan w:val="3"/>
            <w:vAlign w:val="center"/>
          </w:tcPr>
          <w:p w14:paraId="02CF5CEE">
            <w:pPr>
              <w:jc w:val="center"/>
              <w:rPr>
                <w:rFonts w:ascii="仿宋" w:hAnsi="仿宋" w:eastAsia="仿宋" w:cs="仿宋"/>
                <w:color w:val="auto"/>
                <w:sz w:val="24"/>
                <w:highlight w:val="none"/>
              </w:rPr>
            </w:pPr>
          </w:p>
        </w:tc>
        <w:tc>
          <w:tcPr>
            <w:tcW w:w="1374" w:type="dxa"/>
            <w:vAlign w:val="center"/>
          </w:tcPr>
          <w:p w14:paraId="08F562DC">
            <w:pPr>
              <w:jc w:val="center"/>
              <w:rPr>
                <w:rFonts w:ascii="仿宋" w:hAnsi="仿宋" w:eastAsia="仿宋" w:cs="仿宋"/>
                <w:color w:val="auto"/>
                <w:sz w:val="24"/>
                <w:highlight w:val="none"/>
              </w:rPr>
            </w:pPr>
          </w:p>
        </w:tc>
        <w:tc>
          <w:tcPr>
            <w:tcW w:w="1377" w:type="dxa"/>
            <w:gridSpan w:val="2"/>
            <w:vAlign w:val="center"/>
          </w:tcPr>
          <w:p w14:paraId="36AA67F0">
            <w:pPr>
              <w:jc w:val="center"/>
              <w:rPr>
                <w:rFonts w:ascii="仿宋" w:hAnsi="仿宋" w:eastAsia="仿宋" w:cs="仿宋"/>
                <w:color w:val="auto"/>
                <w:sz w:val="24"/>
                <w:highlight w:val="none"/>
              </w:rPr>
            </w:pPr>
          </w:p>
        </w:tc>
        <w:tc>
          <w:tcPr>
            <w:tcW w:w="1077" w:type="dxa"/>
            <w:gridSpan w:val="2"/>
            <w:vAlign w:val="center"/>
          </w:tcPr>
          <w:p w14:paraId="09B65000">
            <w:pPr>
              <w:jc w:val="center"/>
              <w:rPr>
                <w:rFonts w:ascii="仿宋" w:hAnsi="仿宋" w:eastAsia="仿宋" w:cs="仿宋"/>
                <w:color w:val="auto"/>
                <w:sz w:val="24"/>
                <w:highlight w:val="none"/>
              </w:rPr>
            </w:pPr>
          </w:p>
        </w:tc>
      </w:tr>
      <w:tr w14:paraId="6A68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19DB36F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二、验收情况</w:t>
            </w:r>
          </w:p>
        </w:tc>
      </w:tr>
      <w:tr w14:paraId="361D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045" w:type="dxa"/>
            <w:gridSpan w:val="2"/>
            <w:vAlign w:val="center"/>
          </w:tcPr>
          <w:p w14:paraId="66EF8F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分期情况</w:t>
            </w:r>
          </w:p>
        </w:tc>
        <w:tc>
          <w:tcPr>
            <w:tcW w:w="3697" w:type="dxa"/>
            <w:gridSpan w:val="5"/>
            <w:vAlign w:val="center"/>
          </w:tcPr>
          <w:p w14:paraId="6B9FD8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共分 期，此为第  期验收</w:t>
            </w:r>
          </w:p>
        </w:tc>
        <w:tc>
          <w:tcPr>
            <w:tcW w:w="1374" w:type="dxa"/>
            <w:vAlign w:val="center"/>
          </w:tcPr>
          <w:p w14:paraId="29E010EF">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分段情况     </w:t>
            </w:r>
          </w:p>
        </w:tc>
        <w:tc>
          <w:tcPr>
            <w:tcW w:w="2454" w:type="dxa"/>
            <w:gridSpan w:val="4"/>
            <w:vAlign w:val="center"/>
          </w:tcPr>
          <w:p w14:paraId="7572DD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共分  段，此为   阶段</w:t>
            </w:r>
          </w:p>
        </w:tc>
      </w:tr>
      <w:tr w14:paraId="0A3D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14:paraId="078F41F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第三方参考情况说明</w:t>
            </w:r>
          </w:p>
        </w:tc>
        <w:tc>
          <w:tcPr>
            <w:tcW w:w="1587" w:type="dxa"/>
            <w:gridSpan w:val="2"/>
            <w:vAlign w:val="center"/>
          </w:tcPr>
          <w:p w14:paraId="7C034B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评价对象</w:t>
            </w:r>
          </w:p>
        </w:tc>
        <w:tc>
          <w:tcPr>
            <w:tcW w:w="2110" w:type="dxa"/>
            <w:gridSpan w:val="3"/>
            <w:vAlign w:val="center"/>
          </w:tcPr>
          <w:p w14:paraId="27A78578">
            <w:pPr>
              <w:rPr>
                <w:rFonts w:ascii="仿宋" w:hAnsi="仿宋" w:eastAsia="仿宋" w:cs="仿宋"/>
                <w:color w:val="auto"/>
                <w:sz w:val="24"/>
                <w:highlight w:val="none"/>
              </w:rPr>
            </w:pPr>
            <w:r>
              <w:rPr>
                <w:rFonts w:hint="eastAsia" w:ascii="仿宋" w:hAnsi="仿宋" w:eastAsia="仿宋" w:cs="仿宋"/>
                <w:color w:val="auto"/>
                <w:sz w:val="24"/>
                <w:highlight w:val="none"/>
              </w:rPr>
              <w:t>评价结果</w:t>
            </w:r>
          </w:p>
        </w:tc>
        <w:tc>
          <w:tcPr>
            <w:tcW w:w="2751" w:type="dxa"/>
            <w:gridSpan w:val="3"/>
            <w:vAlign w:val="center"/>
          </w:tcPr>
          <w:p w14:paraId="03545B3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077" w:type="dxa"/>
            <w:gridSpan w:val="2"/>
            <w:vAlign w:val="center"/>
          </w:tcPr>
          <w:p w14:paraId="2E5340A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签字</w:t>
            </w:r>
          </w:p>
        </w:tc>
      </w:tr>
      <w:tr w14:paraId="2121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14:paraId="6E302603">
            <w:pPr>
              <w:jc w:val="center"/>
              <w:rPr>
                <w:rFonts w:ascii="仿宋" w:hAnsi="仿宋" w:eastAsia="仿宋" w:cs="仿宋"/>
                <w:color w:val="auto"/>
                <w:sz w:val="24"/>
                <w:highlight w:val="none"/>
              </w:rPr>
            </w:pPr>
          </w:p>
        </w:tc>
        <w:tc>
          <w:tcPr>
            <w:tcW w:w="1587" w:type="dxa"/>
            <w:gridSpan w:val="2"/>
            <w:vAlign w:val="center"/>
          </w:tcPr>
          <w:p w14:paraId="72615B8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检测机构</w:t>
            </w:r>
          </w:p>
        </w:tc>
        <w:tc>
          <w:tcPr>
            <w:tcW w:w="2110" w:type="dxa"/>
            <w:gridSpan w:val="3"/>
            <w:vAlign w:val="center"/>
          </w:tcPr>
          <w:p w14:paraId="1EFA66BB">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751" w:type="dxa"/>
            <w:gridSpan w:val="3"/>
            <w:vAlign w:val="center"/>
          </w:tcPr>
          <w:p w14:paraId="5D9D2C0C">
            <w:pPr>
              <w:jc w:val="center"/>
              <w:rPr>
                <w:rFonts w:ascii="仿宋" w:hAnsi="仿宋" w:eastAsia="仿宋" w:cs="仿宋"/>
                <w:color w:val="auto"/>
                <w:sz w:val="24"/>
                <w:highlight w:val="none"/>
              </w:rPr>
            </w:pPr>
          </w:p>
        </w:tc>
        <w:tc>
          <w:tcPr>
            <w:tcW w:w="1077" w:type="dxa"/>
            <w:gridSpan w:val="2"/>
            <w:vAlign w:val="center"/>
          </w:tcPr>
          <w:p w14:paraId="2234902E">
            <w:pPr>
              <w:jc w:val="center"/>
              <w:rPr>
                <w:rFonts w:ascii="仿宋" w:hAnsi="仿宋" w:eastAsia="仿宋" w:cs="仿宋"/>
                <w:color w:val="auto"/>
                <w:sz w:val="24"/>
                <w:highlight w:val="none"/>
              </w:rPr>
            </w:pPr>
          </w:p>
        </w:tc>
      </w:tr>
      <w:tr w14:paraId="7CEC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14:paraId="66CAD15B">
            <w:pPr>
              <w:jc w:val="center"/>
              <w:rPr>
                <w:rFonts w:ascii="仿宋" w:hAnsi="仿宋" w:eastAsia="仿宋" w:cs="仿宋"/>
                <w:color w:val="auto"/>
                <w:sz w:val="24"/>
                <w:highlight w:val="none"/>
              </w:rPr>
            </w:pPr>
          </w:p>
        </w:tc>
        <w:tc>
          <w:tcPr>
            <w:tcW w:w="1587" w:type="dxa"/>
            <w:gridSpan w:val="2"/>
            <w:vAlign w:val="center"/>
          </w:tcPr>
          <w:p w14:paraId="2E707D5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其他供应商</w:t>
            </w:r>
          </w:p>
        </w:tc>
        <w:tc>
          <w:tcPr>
            <w:tcW w:w="2110" w:type="dxa"/>
            <w:gridSpan w:val="3"/>
            <w:vAlign w:val="center"/>
          </w:tcPr>
          <w:p w14:paraId="4FE3BB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751" w:type="dxa"/>
            <w:gridSpan w:val="3"/>
            <w:vAlign w:val="center"/>
          </w:tcPr>
          <w:p w14:paraId="64E0731D">
            <w:pPr>
              <w:jc w:val="center"/>
              <w:rPr>
                <w:rFonts w:ascii="仿宋" w:hAnsi="仿宋" w:eastAsia="仿宋" w:cs="仿宋"/>
                <w:color w:val="auto"/>
                <w:sz w:val="24"/>
                <w:highlight w:val="none"/>
              </w:rPr>
            </w:pPr>
          </w:p>
        </w:tc>
        <w:tc>
          <w:tcPr>
            <w:tcW w:w="1077" w:type="dxa"/>
            <w:gridSpan w:val="2"/>
            <w:vAlign w:val="center"/>
          </w:tcPr>
          <w:p w14:paraId="768D6D40">
            <w:pPr>
              <w:jc w:val="center"/>
              <w:rPr>
                <w:rFonts w:ascii="仿宋" w:hAnsi="仿宋" w:eastAsia="仿宋" w:cs="仿宋"/>
                <w:color w:val="auto"/>
                <w:sz w:val="24"/>
                <w:highlight w:val="none"/>
              </w:rPr>
            </w:pPr>
          </w:p>
        </w:tc>
      </w:tr>
      <w:tr w14:paraId="4F8E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14:paraId="6BD48F22">
            <w:pPr>
              <w:jc w:val="center"/>
              <w:rPr>
                <w:rFonts w:ascii="仿宋" w:hAnsi="仿宋" w:eastAsia="仿宋" w:cs="仿宋"/>
                <w:color w:val="auto"/>
                <w:sz w:val="24"/>
                <w:highlight w:val="none"/>
              </w:rPr>
            </w:pPr>
          </w:p>
        </w:tc>
        <w:tc>
          <w:tcPr>
            <w:tcW w:w="1587" w:type="dxa"/>
            <w:gridSpan w:val="2"/>
            <w:vAlign w:val="center"/>
          </w:tcPr>
          <w:p w14:paraId="779AB01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服务对象</w:t>
            </w:r>
          </w:p>
        </w:tc>
        <w:tc>
          <w:tcPr>
            <w:tcW w:w="2110" w:type="dxa"/>
            <w:gridSpan w:val="3"/>
            <w:vAlign w:val="center"/>
          </w:tcPr>
          <w:p w14:paraId="1FD878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751" w:type="dxa"/>
            <w:gridSpan w:val="3"/>
            <w:vAlign w:val="center"/>
          </w:tcPr>
          <w:p w14:paraId="0A303992">
            <w:pPr>
              <w:jc w:val="center"/>
              <w:rPr>
                <w:rFonts w:ascii="仿宋" w:hAnsi="仿宋" w:eastAsia="仿宋" w:cs="仿宋"/>
                <w:color w:val="auto"/>
                <w:sz w:val="24"/>
                <w:highlight w:val="none"/>
              </w:rPr>
            </w:pPr>
          </w:p>
        </w:tc>
        <w:tc>
          <w:tcPr>
            <w:tcW w:w="1077" w:type="dxa"/>
            <w:gridSpan w:val="2"/>
            <w:vAlign w:val="center"/>
          </w:tcPr>
          <w:p w14:paraId="03F27BC8">
            <w:pPr>
              <w:jc w:val="center"/>
              <w:rPr>
                <w:rFonts w:ascii="仿宋" w:hAnsi="仿宋" w:eastAsia="仿宋" w:cs="仿宋"/>
                <w:color w:val="auto"/>
                <w:sz w:val="24"/>
                <w:highlight w:val="none"/>
              </w:rPr>
            </w:pPr>
          </w:p>
        </w:tc>
      </w:tr>
      <w:tr w14:paraId="428E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14:paraId="33CCD33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货物类验收内容及验收情况</w:t>
            </w:r>
          </w:p>
        </w:tc>
        <w:tc>
          <w:tcPr>
            <w:tcW w:w="1587" w:type="dxa"/>
            <w:gridSpan w:val="2"/>
            <w:vAlign w:val="center"/>
          </w:tcPr>
          <w:p w14:paraId="3BACFBE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07" w:type="dxa"/>
            <w:vAlign w:val="center"/>
          </w:tcPr>
          <w:p w14:paraId="7CD75E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03" w:type="dxa"/>
            <w:gridSpan w:val="2"/>
            <w:vAlign w:val="center"/>
          </w:tcPr>
          <w:p w14:paraId="728995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374" w:type="dxa"/>
            <w:vAlign w:val="center"/>
          </w:tcPr>
          <w:p w14:paraId="7F54DA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377" w:type="dxa"/>
            <w:gridSpan w:val="2"/>
            <w:vAlign w:val="center"/>
          </w:tcPr>
          <w:p w14:paraId="5C9FBF2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077" w:type="dxa"/>
            <w:gridSpan w:val="2"/>
            <w:vAlign w:val="center"/>
          </w:tcPr>
          <w:p w14:paraId="554C4E6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理由</w:t>
            </w:r>
          </w:p>
        </w:tc>
      </w:tr>
      <w:tr w14:paraId="213B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045" w:type="dxa"/>
            <w:gridSpan w:val="2"/>
            <w:vMerge w:val="continue"/>
            <w:vAlign w:val="center"/>
          </w:tcPr>
          <w:p w14:paraId="0E939821">
            <w:pPr>
              <w:jc w:val="center"/>
              <w:rPr>
                <w:rFonts w:ascii="仿宋" w:hAnsi="仿宋" w:eastAsia="仿宋" w:cs="仿宋"/>
                <w:color w:val="auto"/>
                <w:sz w:val="24"/>
                <w:highlight w:val="none"/>
              </w:rPr>
            </w:pPr>
          </w:p>
        </w:tc>
        <w:tc>
          <w:tcPr>
            <w:tcW w:w="1587" w:type="dxa"/>
            <w:gridSpan w:val="2"/>
            <w:vAlign w:val="center"/>
          </w:tcPr>
          <w:p w14:paraId="1452DAC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货物清单</w:t>
            </w:r>
          </w:p>
        </w:tc>
        <w:tc>
          <w:tcPr>
            <w:tcW w:w="1207" w:type="dxa"/>
            <w:vAlign w:val="center"/>
          </w:tcPr>
          <w:p w14:paraId="2F979EFD">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5EEE4E0C">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03" w:type="dxa"/>
            <w:gridSpan w:val="2"/>
            <w:vAlign w:val="center"/>
          </w:tcPr>
          <w:p w14:paraId="1655FBFE">
            <w:pPr>
              <w:jc w:val="center"/>
              <w:rPr>
                <w:rFonts w:ascii="仿宋" w:hAnsi="仿宋" w:eastAsia="仿宋" w:cs="仿宋"/>
                <w:color w:val="auto"/>
                <w:sz w:val="24"/>
                <w:highlight w:val="none"/>
              </w:rPr>
            </w:pPr>
          </w:p>
        </w:tc>
        <w:tc>
          <w:tcPr>
            <w:tcW w:w="1374" w:type="dxa"/>
            <w:vAlign w:val="center"/>
          </w:tcPr>
          <w:p w14:paraId="3F2489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品牌、型号、规格、数量、及外观数量</w:t>
            </w:r>
          </w:p>
        </w:tc>
        <w:tc>
          <w:tcPr>
            <w:tcW w:w="1377" w:type="dxa"/>
            <w:gridSpan w:val="2"/>
            <w:vAlign w:val="center"/>
          </w:tcPr>
          <w:p w14:paraId="6533C5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46A54D38">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077" w:type="dxa"/>
            <w:gridSpan w:val="2"/>
            <w:vAlign w:val="center"/>
          </w:tcPr>
          <w:p w14:paraId="739B7EDB">
            <w:pPr>
              <w:jc w:val="center"/>
              <w:rPr>
                <w:rFonts w:ascii="仿宋" w:hAnsi="仿宋" w:eastAsia="仿宋" w:cs="仿宋"/>
                <w:color w:val="auto"/>
                <w:sz w:val="24"/>
                <w:highlight w:val="none"/>
              </w:rPr>
            </w:pPr>
          </w:p>
        </w:tc>
      </w:tr>
      <w:tr w14:paraId="355C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045" w:type="dxa"/>
            <w:gridSpan w:val="2"/>
            <w:vMerge w:val="continue"/>
            <w:vAlign w:val="center"/>
          </w:tcPr>
          <w:p w14:paraId="23401551">
            <w:pPr>
              <w:jc w:val="center"/>
              <w:rPr>
                <w:rFonts w:ascii="仿宋" w:hAnsi="仿宋" w:eastAsia="仿宋" w:cs="仿宋"/>
                <w:color w:val="auto"/>
                <w:sz w:val="24"/>
                <w:highlight w:val="none"/>
              </w:rPr>
            </w:pPr>
          </w:p>
        </w:tc>
        <w:tc>
          <w:tcPr>
            <w:tcW w:w="1587" w:type="dxa"/>
            <w:gridSpan w:val="2"/>
            <w:vAlign w:val="center"/>
          </w:tcPr>
          <w:p w14:paraId="584538A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技术、性能指标</w:t>
            </w:r>
          </w:p>
        </w:tc>
        <w:tc>
          <w:tcPr>
            <w:tcW w:w="1207" w:type="dxa"/>
            <w:vAlign w:val="center"/>
          </w:tcPr>
          <w:p w14:paraId="65629C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3ED57B05">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03" w:type="dxa"/>
            <w:gridSpan w:val="2"/>
            <w:vAlign w:val="center"/>
          </w:tcPr>
          <w:p w14:paraId="52F515D7">
            <w:pPr>
              <w:jc w:val="center"/>
              <w:rPr>
                <w:rFonts w:ascii="仿宋" w:hAnsi="仿宋" w:eastAsia="仿宋" w:cs="仿宋"/>
                <w:color w:val="auto"/>
                <w:sz w:val="24"/>
                <w:highlight w:val="none"/>
              </w:rPr>
            </w:pPr>
          </w:p>
        </w:tc>
        <w:tc>
          <w:tcPr>
            <w:tcW w:w="1374" w:type="dxa"/>
            <w:vAlign w:val="center"/>
          </w:tcPr>
          <w:p w14:paraId="32A870C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运行状况及安装调试</w:t>
            </w:r>
          </w:p>
        </w:tc>
        <w:tc>
          <w:tcPr>
            <w:tcW w:w="1377" w:type="dxa"/>
            <w:gridSpan w:val="2"/>
            <w:vAlign w:val="center"/>
          </w:tcPr>
          <w:p w14:paraId="240E288B">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0D4A1E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077" w:type="dxa"/>
            <w:gridSpan w:val="2"/>
            <w:vAlign w:val="center"/>
          </w:tcPr>
          <w:p w14:paraId="1C0D3BB6">
            <w:pPr>
              <w:jc w:val="center"/>
              <w:rPr>
                <w:rFonts w:ascii="仿宋" w:hAnsi="仿宋" w:eastAsia="仿宋" w:cs="仿宋"/>
                <w:color w:val="auto"/>
                <w:sz w:val="24"/>
                <w:highlight w:val="none"/>
              </w:rPr>
            </w:pPr>
          </w:p>
        </w:tc>
      </w:tr>
      <w:tr w14:paraId="17B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45" w:type="dxa"/>
            <w:gridSpan w:val="2"/>
            <w:vMerge w:val="continue"/>
            <w:vAlign w:val="center"/>
          </w:tcPr>
          <w:p w14:paraId="200B04EC">
            <w:pPr>
              <w:jc w:val="center"/>
              <w:rPr>
                <w:rFonts w:ascii="仿宋" w:hAnsi="仿宋" w:eastAsia="仿宋" w:cs="仿宋"/>
                <w:color w:val="auto"/>
                <w:sz w:val="24"/>
                <w:highlight w:val="none"/>
              </w:rPr>
            </w:pPr>
          </w:p>
        </w:tc>
        <w:tc>
          <w:tcPr>
            <w:tcW w:w="1587" w:type="dxa"/>
            <w:gridSpan w:val="2"/>
            <w:vAlign w:val="center"/>
          </w:tcPr>
          <w:p w14:paraId="5B77DE8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质量证明文件</w:t>
            </w:r>
          </w:p>
        </w:tc>
        <w:tc>
          <w:tcPr>
            <w:tcW w:w="1207" w:type="dxa"/>
            <w:vAlign w:val="center"/>
          </w:tcPr>
          <w:p w14:paraId="23AF0E91">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6EE34B3F">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03" w:type="dxa"/>
            <w:gridSpan w:val="2"/>
            <w:vAlign w:val="center"/>
          </w:tcPr>
          <w:p w14:paraId="17674299">
            <w:pPr>
              <w:jc w:val="center"/>
              <w:rPr>
                <w:rFonts w:ascii="仿宋" w:hAnsi="仿宋" w:eastAsia="仿宋" w:cs="仿宋"/>
                <w:color w:val="auto"/>
                <w:sz w:val="24"/>
                <w:highlight w:val="none"/>
              </w:rPr>
            </w:pPr>
          </w:p>
        </w:tc>
        <w:tc>
          <w:tcPr>
            <w:tcW w:w="1374" w:type="dxa"/>
            <w:vAlign w:val="center"/>
          </w:tcPr>
          <w:p w14:paraId="7D3E30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售后服务承诺</w:t>
            </w:r>
          </w:p>
        </w:tc>
        <w:tc>
          <w:tcPr>
            <w:tcW w:w="1377" w:type="dxa"/>
            <w:gridSpan w:val="2"/>
            <w:vAlign w:val="center"/>
          </w:tcPr>
          <w:p w14:paraId="42A41B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599CBD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077" w:type="dxa"/>
            <w:gridSpan w:val="2"/>
            <w:vAlign w:val="center"/>
          </w:tcPr>
          <w:p w14:paraId="12D7D95E">
            <w:pPr>
              <w:jc w:val="center"/>
              <w:rPr>
                <w:rFonts w:ascii="仿宋" w:hAnsi="仿宋" w:eastAsia="仿宋" w:cs="仿宋"/>
                <w:color w:val="auto"/>
                <w:sz w:val="24"/>
                <w:highlight w:val="none"/>
              </w:rPr>
            </w:pPr>
          </w:p>
        </w:tc>
      </w:tr>
      <w:tr w14:paraId="417A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14:paraId="7CE7F4DF">
            <w:pPr>
              <w:jc w:val="center"/>
              <w:rPr>
                <w:rFonts w:ascii="仿宋" w:hAnsi="仿宋" w:eastAsia="仿宋" w:cs="仿宋"/>
                <w:color w:val="auto"/>
                <w:sz w:val="24"/>
                <w:highlight w:val="none"/>
              </w:rPr>
            </w:pPr>
          </w:p>
        </w:tc>
        <w:tc>
          <w:tcPr>
            <w:tcW w:w="1587" w:type="dxa"/>
            <w:gridSpan w:val="2"/>
            <w:vAlign w:val="center"/>
          </w:tcPr>
          <w:p w14:paraId="119BC71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207" w:type="dxa"/>
            <w:vAlign w:val="center"/>
          </w:tcPr>
          <w:p w14:paraId="425E1214">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627C83E0">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03" w:type="dxa"/>
            <w:gridSpan w:val="2"/>
            <w:vAlign w:val="center"/>
          </w:tcPr>
          <w:p w14:paraId="6C85AB96">
            <w:pPr>
              <w:jc w:val="center"/>
              <w:rPr>
                <w:rFonts w:ascii="仿宋" w:hAnsi="仿宋" w:eastAsia="仿宋" w:cs="仿宋"/>
                <w:color w:val="auto"/>
                <w:sz w:val="24"/>
                <w:highlight w:val="none"/>
              </w:rPr>
            </w:pPr>
          </w:p>
        </w:tc>
        <w:tc>
          <w:tcPr>
            <w:tcW w:w="1374" w:type="dxa"/>
            <w:vAlign w:val="center"/>
          </w:tcPr>
          <w:p w14:paraId="26704F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377" w:type="dxa"/>
            <w:gridSpan w:val="2"/>
            <w:vAlign w:val="center"/>
          </w:tcPr>
          <w:p w14:paraId="4EFE2C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0FA3AE5D">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077" w:type="dxa"/>
            <w:gridSpan w:val="2"/>
            <w:vAlign w:val="center"/>
          </w:tcPr>
          <w:p w14:paraId="084FA7A9">
            <w:pPr>
              <w:jc w:val="center"/>
              <w:rPr>
                <w:rFonts w:ascii="仿宋" w:hAnsi="仿宋" w:eastAsia="仿宋" w:cs="仿宋"/>
                <w:color w:val="auto"/>
                <w:sz w:val="24"/>
                <w:highlight w:val="none"/>
              </w:rPr>
            </w:pPr>
          </w:p>
        </w:tc>
      </w:tr>
      <w:tr w14:paraId="3D34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14:paraId="47633D6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服务类验收内容及结果</w:t>
            </w:r>
          </w:p>
        </w:tc>
        <w:tc>
          <w:tcPr>
            <w:tcW w:w="1587" w:type="dxa"/>
            <w:gridSpan w:val="2"/>
            <w:vAlign w:val="center"/>
          </w:tcPr>
          <w:p w14:paraId="2A02715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07" w:type="dxa"/>
            <w:vAlign w:val="center"/>
          </w:tcPr>
          <w:p w14:paraId="0DB1B6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03" w:type="dxa"/>
            <w:gridSpan w:val="2"/>
            <w:vAlign w:val="center"/>
          </w:tcPr>
          <w:p w14:paraId="0F81DA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374" w:type="dxa"/>
            <w:vAlign w:val="center"/>
          </w:tcPr>
          <w:p w14:paraId="0D38F20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377" w:type="dxa"/>
            <w:gridSpan w:val="2"/>
            <w:vAlign w:val="center"/>
          </w:tcPr>
          <w:p w14:paraId="5FFB36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077" w:type="dxa"/>
            <w:gridSpan w:val="2"/>
            <w:vAlign w:val="center"/>
          </w:tcPr>
          <w:p w14:paraId="294554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理由</w:t>
            </w:r>
          </w:p>
        </w:tc>
      </w:tr>
      <w:tr w14:paraId="1BA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45" w:type="dxa"/>
            <w:gridSpan w:val="2"/>
            <w:vMerge w:val="continue"/>
            <w:vAlign w:val="center"/>
          </w:tcPr>
          <w:p w14:paraId="56927127">
            <w:pPr>
              <w:jc w:val="center"/>
              <w:rPr>
                <w:rFonts w:ascii="仿宋" w:hAnsi="仿宋" w:eastAsia="仿宋" w:cs="仿宋"/>
                <w:color w:val="auto"/>
                <w:sz w:val="24"/>
                <w:highlight w:val="none"/>
              </w:rPr>
            </w:pPr>
          </w:p>
        </w:tc>
        <w:tc>
          <w:tcPr>
            <w:tcW w:w="1587" w:type="dxa"/>
            <w:gridSpan w:val="2"/>
            <w:vAlign w:val="center"/>
          </w:tcPr>
          <w:p w14:paraId="2836945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服务质量</w:t>
            </w:r>
          </w:p>
        </w:tc>
        <w:tc>
          <w:tcPr>
            <w:tcW w:w="1207" w:type="dxa"/>
            <w:vAlign w:val="center"/>
          </w:tcPr>
          <w:p w14:paraId="4AC84E32">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7B5CBEF7">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03" w:type="dxa"/>
            <w:gridSpan w:val="2"/>
            <w:vAlign w:val="center"/>
          </w:tcPr>
          <w:p w14:paraId="2E935920">
            <w:pPr>
              <w:jc w:val="center"/>
              <w:rPr>
                <w:rFonts w:ascii="仿宋" w:hAnsi="仿宋" w:eastAsia="仿宋" w:cs="仿宋"/>
                <w:color w:val="auto"/>
                <w:sz w:val="24"/>
                <w:highlight w:val="none"/>
              </w:rPr>
            </w:pPr>
          </w:p>
        </w:tc>
        <w:tc>
          <w:tcPr>
            <w:tcW w:w="1374" w:type="dxa"/>
            <w:vAlign w:val="center"/>
          </w:tcPr>
          <w:p w14:paraId="4E7193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服务进度</w:t>
            </w:r>
          </w:p>
        </w:tc>
        <w:tc>
          <w:tcPr>
            <w:tcW w:w="1377" w:type="dxa"/>
            <w:gridSpan w:val="2"/>
            <w:vAlign w:val="center"/>
          </w:tcPr>
          <w:p w14:paraId="2CEB9AAC">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32FA576D">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077" w:type="dxa"/>
            <w:gridSpan w:val="2"/>
            <w:vAlign w:val="center"/>
          </w:tcPr>
          <w:p w14:paraId="359D77BF">
            <w:pPr>
              <w:jc w:val="center"/>
              <w:rPr>
                <w:rFonts w:ascii="仿宋" w:hAnsi="仿宋" w:eastAsia="仿宋" w:cs="仿宋"/>
                <w:color w:val="auto"/>
                <w:sz w:val="24"/>
                <w:highlight w:val="none"/>
              </w:rPr>
            </w:pPr>
          </w:p>
        </w:tc>
      </w:tr>
      <w:tr w14:paraId="6757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45" w:type="dxa"/>
            <w:gridSpan w:val="2"/>
            <w:vMerge w:val="continue"/>
            <w:vAlign w:val="center"/>
          </w:tcPr>
          <w:p w14:paraId="137A21A4">
            <w:pPr>
              <w:jc w:val="center"/>
              <w:rPr>
                <w:rFonts w:ascii="仿宋" w:hAnsi="仿宋" w:eastAsia="仿宋" w:cs="仿宋"/>
                <w:color w:val="auto"/>
                <w:sz w:val="24"/>
                <w:highlight w:val="none"/>
              </w:rPr>
            </w:pPr>
          </w:p>
        </w:tc>
        <w:tc>
          <w:tcPr>
            <w:tcW w:w="1587" w:type="dxa"/>
            <w:gridSpan w:val="2"/>
            <w:vAlign w:val="center"/>
          </w:tcPr>
          <w:p w14:paraId="121ACF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人员、设备配备情况</w:t>
            </w:r>
          </w:p>
        </w:tc>
        <w:tc>
          <w:tcPr>
            <w:tcW w:w="1207" w:type="dxa"/>
            <w:vAlign w:val="center"/>
          </w:tcPr>
          <w:p w14:paraId="635BBB25">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1D914BC3">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03" w:type="dxa"/>
            <w:gridSpan w:val="2"/>
            <w:vAlign w:val="center"/>
          </w:tcPr>
          <w:p w14:paraId="41303162">
            <w:pPr>
              <w:jc w:val="center"/>
              <w:rPr>
                <w:rFonts w:ascii="仿宋" w:hAnsi="仿宋" w:eastAsia="仿宋" w:cs="仿宋"/>
                <w:color w:val="auto"/>
                <w:sz w:val="24"/>
                <w:highlight w:val="none"/>
              </w:rPr>
            </w:pPr>
          </w:p>
        </w:tc>
        <w:tc>
          <w:tcPr>
            <w:tcW w:w="1374" w:type="dxa"/>
            <w:vAlign w:val="center"/>
          </w:tcPr>
          <w:p w14:paraId="6866C09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377" w:type="dxa"/>
            <w:gridSpan w:val="2"/>
            <w:vAlign w:val="center"/>
          </w:tcPr>
          <w:p w14:paraId="4647DB84">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3281C59E">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077" w:type="dxa"/>
            <w:gridSpan w:val="2"/>
            <w:vAlign w:val="center"/>
          </w:tcPr>
          <w:p w14:paraId="7239FC4C">
            <w:pPr>
              <w:jc w:val="center"/>
              <w:rPr>
                <w:rFonts w:ascii="仿宋" w:hAnsi="仿宋" w:eastAsia="仿宋" w:cs="仿宋"/>
                <w:color w:val="auto"/>
                <w:sz w:val="24"/>
                <w:highlight w:val="none"/>
              </w:rPr>
            </w:pPr>
          </w:p>
        </w:tc>
      </w:tr>
      <w:tr w14:paraId="392C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14:paraId="486FEDA1">
            <w:pPr>
              <w:jc w:val="center"/>
              <w:rPr>
                <w:rFonts w:ascii="仿宋" w:hAnsi="仿宋" w:eastAsia="仿宋" w:cs="仿宋"/>
                <w:color w:val="auto"/>
                <w:sz w:val="24"/>
                <w:highlight w:val="none"/>
              </w:rPr>
            </w:pPr>
          </w:p>
        </w:tc>
        <w:tc>
          <w:tcPr>
            <w:tcW w:w="1587" w:type="dxa"/>
            <w:gridSpan w:val="2"/>
            <w:vAlign w:val="center"/>
          </w:tcPr>
          <w:p w14:paraId="079D386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服务承诺时限</w:t>
            </w:r>
          </w:p>
        </w:tc>
        <w:tc>
          <w:tcPr>
            <w:tcW w:w="1207" w:type="dxa"/>
            <w:vAlign w:val="center"/>
          </w:tcPr>
          <w:p w14:paraId="4AC3CD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5B54122F">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03" w:type="dxa"/>
            <w:gridSpan w:val="2"/>
            <w:vAlign w:val="center"/>
          </w:tcPr>
          <w:p w14:paraId="1F418948">
            <w:pPr>
              <w:jc w:val="center"/>
              <w:rPr>
                <w:rFonts w:ascii="仿宋" w:hAnsi="仿宋" w:eastAsia="仿宋" w:cs="仿宋"/>
                <w:color w:val="auto"/>
                <w:sz w:val="24"/>
                <w:highlight w:val="none"/>
              </w:rPr>
            </w:pPr>
          </w:p>
        </w:tc>
        <w:tc>
          <w:tcPr>
            <w:tcW w:w="1374" w:type="dxa"/>
            <w:vAlign w:val="center"/>
          </w:tcPr>
          <w:p w14:paraId="2384BE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377" w:type="dxa"/>
            <w:gridSpan w:val="2"/>
            <w:vAlign w:val="center"/>
          </w:tcPr>
          <w:p w14:paraId="3CAF90A1">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04254CB0">
            <w:pPr>
              <w:jc w:val="center"/>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077" w:type="dxa"/>
            <w:gridSpan w:val="2"/>
            <w:vAlign w:val="center"/>
          </w:tcPr>
          <w:p w14:paraId="7F7906FB">
            <w:pPr>
              <w:jc w:val="center"/>
              <w:rPr>
                <w:rFonts w:ascii="仿宋" w:hAnsi="仿宋" w:eastAsia="仿宋" w:cs="仿宋"/>
                <w:color w:val="auto"/>
                <w:sz w:val="24"/>
                <w:highlight w:val="none"/>
              </w:rPr>
            </w:pPr>
          </w:p>
        </w:tc>
      </w:tr>
      <w:tr w14:paraId="28AA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7E73DEF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三、验收结论</w:t>
            </w:r>
          </w:p>
        </w:tc>
      </w:tr>
      <w:tr w14:paraId="46EA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2045" w:type="dxa"/>
            <w:gridSpan w:val="2"/>
            <w:vAlign w:val="center"/>
          </w:tcPr>
          <w:p w14:paraId="14E7CFC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存在问题和改进意见</w:t>
            </w:r>
          </w:p>
        </w:tc>
        <w:tc>
          <w:tcPr>
            <w:tcW w:w="7525" w:type="dxa"/>
            <w:gridSpan w:val="10"/>
            <w:vAlign w:val="center"/>
          </w:tcPr>
          <w:p w14:paraId="092C07B4">
            <w:pPr>
              <w:jc w:val="center"/>
              <w:rPr>
                <w:rFonts w:ascii="仿宋" w:hAnsi="仿宋" w:eastAsia="仿宋" w:cs="仿宋"/>
                <w:color w:val="auto"/>
                <w:sz w:val="24"/>
                <w:highlight w:val="none"/>
              </w:rPr>
            </w:pPr>
          </w:p>
        </w:tc>
      </w:tr>
      <w:tr w14:paraId="421A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restart"/>
            <w:vAlign w:val="center"/>
          </w:tcPr>
          <w:p w14:paraId="00BEAAB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验收小组意见</w:t>
            </w:r>
          </w:p>
        </w:tc>
        <w:tc>
          <w:tcPr>
            <w:tcW w:w="7525" w:type="dxa"/>
            <w:gridSpan w:val="10"/>
            <w:vAlign w:val="center"/>
          </w:tcPr>
          <w:p w14:paraId="6295B927">
            <w:pPr>
              <w:jc w:val="left"/>
              <w:rPr>
                <w:rFonts w:ascii="仿宋" w:hAnsi="仿宋" w:eastAsia="仿宋" w:cs="仿宋"/>
                <w:color w:val="auto"/>
                <w:sz w:val="24"/>
                <w:highlight w:val="none"/>
              </w:rPr>
            </w:pPr>
          </w:p>
          <w:p w14:paraId="3B231399">
            <w:pPr>
              <w:jc w:val="left"/>
              <w:rPr>
                <w:rFonts w:ascii="仿宋" w:hAnsi="仿宋" w:eastAsia="仿宋" w:cs="仿宋"/>
                <w:color w:val="auto"/>
                <w:sz w:val="24"/>
                <w:highlight w:val="none"/>
              </w:rPr>
            </w:pPr>
            <w:r>
              <w:rPr>
                <w:rFonts w:hint="eastAsia" w:ascii="仿宋" w:hAnsi="仿宋" w:eastAsia="仿宋" w:cs="仿宋"/>
                <w:color w:val="auto"/>
                <w:sz w:val="24"/>
                <w:highlight w:val="none"/>
              </w:rPr>
              <w:t>验收结论性意见：</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p w14:paraId="28BF02B3">
            <w:pPr>
              <w:jc w:val="left"/>
              <w:rPr>
                <w:rFonts w:ascii="仿宋" w:hAnsi="仿宋" w:eastAsia="仿宋" w:cs="仿宋"/>
                <w:color w:val="auto"/>
                <w:sz w:val="24"/>
                <w:highlight w:val="none"/>
              </w:rPr>
            </w:pPr>
          </w:p>
          <w:p w14:paraId="4A3E3846">
            <w:pPr>
              <w:jc w:val="left"/>
              <w:rPr>
                <w:rFonts w:ascii="仿宋" w:hAnsi="仿宋" w:eastAsia="仿宋" w:cs="仿宋"/>
                <w:color w:val="auto"/>
                <w:sz w:val="24"/>
                <w:highlight w:val="none"/>
              </w:rPr>
            </w:pPr>
            <w:r>
              <w:rPr>
                <w:rFonts w:hint="eastAsia" w:ascii="仿宋" w:hAnsi="仿宋" w:eastAsia="仿宋" w:cs="仿宋"/>
                <w:color w:val="auto"/>
                <w:sz w:val="24"/>
                <w:highlight w:val="none"/>
              </w:rPr>
              <w:t>其他需要说明的事项：</w:t>
            </w:r>
          </w:p>
          <w:p w14:paraId="3679B326">
            <w:pPr>
              <w:jc w:val="left"/>
              <w:rPr>
                <w:rFonts w:ascii="仿宋" w:hAnsi="仿宋" w:eastAsia="仿宋" w:cs="仿宋"/>
                <w:color w:val="auto"/>
                <w:sz w:val="24"/>
                <w:highlight w:val="none"/>
              </w:rPr>
            </w:pPr>
          </w:p>
          <w:p w14:paraId="2C236058">
            <w:pPr>
              <w:jc w:val="left"/>
              <w:rPr>
                <w:rFonts w:ascii="仿宋" w:hAnsi="仿宋" w:eastAsia="仿宋" w:cs="仿宋"/>
                <w:color w:val="auto"/>
                <w:sz w:val="24"/>
                <w:highlight w:val="none"/>
              </w:rPr>
            </w:pPr>
          </w:p>
          <w:p w14:paraId="2A5C53B0">
            <w:pPr>
              <w:jc w:val="left"/>
              <w:rPr>
                <w:rFonts w:ascii="仿宋" w:hAnsi="仿宋" w:eastAsia="仿宋" w:cs="仿宋"/>
                <w:color w:val="auto"/>
                <w:sz w:val="24"/>
                <w:highlight w:val="none"/>
              </w:rPr>
            </w:pPr>
          </w:p>
        </w:tc>
      </w:tr>
      <w:tr w14:paraId="1460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5" w:type="dxa"/>
            <w:gridSpan w:val="2"/>
            <w:vMerge w:val="continue"/>
            <w:vAlign w:val="center"/>
          </w:tcPr>
          <w:p w14:paraId="7C4DCA2F">
            <w:pPr>
              <w:jc w:val="center"/>
              <w:rPr>
                <w:rFonts w:ascii="仿宋" w:hAnsi="仿宋" w:eastAsia="仿宋" w:cs="仿宋"/>
                <w:color w:val="auto"/>
                <w:sz w:val="24"/>
                <w:highlight w:val="none"/>
              </w:rPr>
            </w:pPr>
          </w:p>
        </w:tc>
        <w:tc>
          <w:tcPr>
            <w:tcW w:w="7525" w:type="dxa"/>
            <w:gridSpan w:val="10"/>
            <w:vAlign w:val="center"/>
          </w:tcPr>
          <w:p w14:paraId="1CB00751">
            <w:pPr>
              <w:jc w:val="left"/>
              <w:rPr>
                <w:rFonts w:ascii="仿宋" w:hAnsi="仿宋" w:eastAsia="仿宋" w:cs="仿宋"/>
                <w:color w:val="auto"/>
                <w:sz w:val="24"/>
                <w:highlight w:val="none"/>
              </w:rPr>
            </w:pPr>
          </w:p>
          <w:p w14:paraId="50E8DF69">
            <w:pPr>
              <w:jc w:val="left"/>
              <w:rPr>
                <w:rFonts w:ascii="仿宋" w:hAnsi="仿宋" w:eastAsia="仿宋" w:cs="仿宋"/>
                <w:color w:val="auto"/>
                <w:sz w:val="24"/>
                <w:highlight w:val="none"/>
              </w:rPr>
            </w:pPr>
            <w:r>
              <w:rPr>
                <w:rFonts w:hint="eastAsia" w:ascii="仿宋" w:hAnsi="仿宋" w:eastAsia="仿宋" w:cs="仿宋"/>
                <w:color w:val="auto"/>
                <w:sz w:val="24"/>
                <w:highlight w:val="none"/>
              </w:rPr>
              <w:t>有异议的意见和说明理由：</w:t>
            </w:r>
          </w:p>
          <w:p w14:paraId="31C583B1">
            <w:pPr>
              <w:jc w:val="left"/>
              <w:rPr>
                <w:rFonts w:ascii="仿宋" w:hAnsi="仿宋" w:eastAsia="仿宋" w:cs="仿宋"/>
                <w:color w:val="auto"/>
                <w:sz w:val="24"/>
                <w:highlight w:val="none"/>
              </w:rPr>
            </w:pPr>
          </w:p>
          <w:p w14:paraId="4D14ADD1">
            <w:pPr>
              <w:jc w:val="left"/>
              <w:rPr>
                <w:rFonts w:ascii="仿宋" w:hAnsi="仿宋" w:eastAsia="仿宋" w:cs="仿宋"/>
                <w:color w:val="auto"/>
                <w:sz w:val="24"/>
                <w:highlight w:val="none"/>
              </w:rPr>
            </w:pPr>
          </w:p>
          <w:p w14:paraId="7C9548DB">
            <w:pPr>
              <w:jc w:val="left"/>
              <w:rPr>
                <w:rFonts w:ascii="仿宋" w:hAnsi="仿宋" w:eastAsia="仿宋" w:cs="仿宋"/>
                <w:color w:val="auto"/>
                <w:sz w:val="24"/>
                <w:highlight w:val="none"/>
              </w:rPr>
            </w:pPr>
          </w:p>
          <w:p w14:paraId="32A15912">
            <w:pPr>
              <w:wordWrap w:val="0"/>
              <w:ind w:right="315"/>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          </w:t>
            </w:r>
          </w:p>
        </w:tc>
      </w:tr>
      <w:tr w14:paraId="418D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0" w:type="dxa"/>
            <w:gridSpan w:val="12"/>
            <w:vAlign w:val="center"/>
          </w:tcPr>
          <w:p w14:paraId="22C1C91E">
            <w:pPr>
              <w:jc w:val="left"/>
              <w:rPr>
                <w:rFonts w:ascii="仿宋" w:hAnsi="仿宋" w:eastAsia="仿宋" w:cs="仿宋"/>
                <w:color w:val="auto"/>
                <w:sz w:val="24"/>
                <w:highlight w:val="none"/>
              </w:rPr>
            </w:pPr>
          </w:p>
          <w:p w14:paraId="201F64AB">
            <w:pPr>
              <w:jc w:val="left"/>
              <w:rPr>
                <w:rFonts w:ascii="仿宋" w:hAnsi="仿宋" w:eastAsia="仿宋" w:cs="仿宋"/>
                <w:color w:val="auto"/>
                <w:sz w:val="24"/>
                <w:highlight w:val="none"/>
              </w:rPr>
            </w:pPr>
            <w:r>
              <w:rPr>
                <w:rFonts w:hint="eastAsia" w:ascii="仿宋" w:hAnsi="仿宋" w:eastAsia="仿宋" w:cs="仿宋"/>
                <w:color w:val="auto"/>
                <w:sz w:val="24"/>
                <w:highlight w:val="none"/>
              </w:rPr>
              <w:t>验收小组成员签字：</w:t>
            </w:r>
          </w:p>
          <w:p w14:paraId="6E21F4FB">
            <w:pPr>
              <w:jc w:val="left"/>
              <w:rPr>
                <w:rFonts w:ascii="仿宋" w:hAnsi="仿宋" w:eastAsia="仿宋" w:cs="仿宋"/>
                <w:color w:val="auto"/>
                <w:sz w:val="24"/>
                <w:highlight w:val="none"/>
              </w:rPr>
            </w:pPr>
          </w:p>
          <w:p w14:paraId="72B13E56">
            <w:pPr>
              <w:jc w:val="left"/>
              <w:rPr>
                <w:rFonts w:ascii="仿宋" w:hAnsi="仿宋" w:eastAsia="仿宋" w:cs="仿宋"/>
                <w:color w:val="auto"/>
                <w:sz w:val="24"/>
                <w:highlight w:val="none"/>
              </w:rPr>
            </w:pPr>
          </w:p>
          <w:p w14:paraId="3C162CAD">
            <w:pPr>
              <w:jc w:val="left"/>
              <w:rPr>
                <w:rFonts w:ascii="仿宋" w:hAnsi="仿宋" w:eastAsia="仿宋" w:cs="仿宋"/>
                <w:color w:val="auto"/>
                <w:sz w:val="24"/>
                <w:highlight w:val="none"/>
              </w:rPr>
            </w:pPr>
          </w:p>
        </w:tc>
      </w:tr>
      <w:tr w14:paraId="42D4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089" w:type="dxa"/>
            <w:gridSpan w:val="6"/>
          </w:tcPr>
          <w:p w14:paraId="5B07624B">
            <w:pPr>
              <w:rPr>
                <w:rFonts w:ascii="仿宋" w:hAnsi="仿宋" w:eastAsia="仿宋" w:cs="仿宋"/>
                <w:color w:val="auto"/>
                <w:sz w:val="24"/>
                <w:highlight w:val="none"/>
              </w:rPr>
            </w:pPr>
          </w:p>
          <w:p w14:paraId="696CD8D6">
            <w:pPr>
              <w:rPr>
                <w:rFonts w:ascii="仿宋" w:hAnsi="仿宋" w:eastAsia="仿宋" w:cs="仿宋"/>
                <w:color w:val="auto"/>
                <w:sz w:val="24"/>
                <w:highlight w:val="none"/>
              </w:rPr>
            </w:pPr>
            <w:r>
              <w:rPr>
                <w:rFonts w:hint="eastAsia" w:ascii="仿宋" w:hAnsi="仿宋" w:eastAsia="仿宋" w:cs="仿宋"/>
                <w:color w:val="auto"/>
                <w:sz w:val="24"/>
                <w:highlight w:val="none"/>
              </w:rPr>
              <w:t>采购人意见：</w:t>
            </w:r>
          </w:p>
          <w:p w14:paraId="53870421">
            <w:pPr>
              <w:rPr>
                <w:rFonts w:ascii="仿宋" w:hAnsi="仿宋" w:eastAsia="仿宋" w:cs="仿宋"/>
                <w:color w:val="auto"/>
                <w:sz w:val="24"/>
                <w:highlight w:val="none"/>
              </w:rPr>
            </w:pPr>
          </w:p>
          <w:p w14:paraId="08C4A2FA">
            <w:pPr>
              <w:rPr>
                <w:rFonts w:ascii="仿宋" w:hAnsi="仿宋" w:eastAsia="仿宋" w:cs="仿宋"/>
                <w:color w:val="auto"/>
                <w:sz w:val="24"/>
                <w:highlight w:val="none"/>
              </w:rPr>
            </w:pPr>
          </w:p>
          <w:p w14:paraId="16C08B0B">
            <w:pPr>
              <w:rPr>
                <w:rFonts w:ascii="仿宋" w:hAnsi="仿宋" w:eastAsia="仿宋" w:cs="仿宋"/>
                <w:color w:val="auto"/>
                <w:sz w:val="24"/>
                <w:highlight w:val="none"/>
              </w:rPr>
            </w:pPr>
          </w:p>
          <w:p w14:paraId="64AFBCC4">
            <w:pPr>
              <w:pStyle w:val="24"/>
              <w:rPr>
                <w:rFonts w:ascii="仿宋" w:hAnsi="仿宋" w:eastAsia="仿宋" w:cs="仿宋"/>
                <w:color w:val="auto"/>
                <w:szCs w:val="24"/>
                <w:highlight w:val="none"/>
              </w:rPr>
            </w:pPr>
          </w:p>
          <w:p w14:paraId="2CCDA68B">
            <w:pPr>
              <w:rPr>
                <w:rFonts w:ascii="仿宋" w:hAnsi="仿宋" w:eastAsia="仿宋" w:cs="仿宋"/>
                <w:color w:val="auto"/>
                <w:sz w:val="24"/>
                <w:highlight w:val="none"/>
              </w:rPr>
            </w:pPr>
          </w:p>
          <w:p w14:paraId="10A400ED">
            <w:pPr>
              <w:rPr>
                <w:rFonts w:ascii="仿宋" w:hAnsi="仿宋" w:eastAsia="仿宋" w:cs="仿宋"/>
                <w:color w:val="auto"/>
                <w:sz w:val="24"/>
                <w:highlight w:val="none"/>
              </w:rPr>
            </w:pPr>
          </w:p>
          <w:p w14:paraId="3AD5B524">
            <w:pPr>
              <w:rPr>
                <w:rFonts w:ascii="仿宋" w:hAnsi="仿宋" w:eastAsia="仿宋" w:cs="仿宋"/>
                <w:color w:val="auto"/>
                <w:sz w:val="24"/>
                <w:highlight w:val="none"/>
              </w:rPr>
            </w:pPr>
            <w:r>
              <w:rPr>
                <w:rFonts w:hint="eastAsia" w:ascii="仿宋" w:hAnsi="仿宋" w:eastAsia="仿宋" w:cs="仿宋"/>
                <w:color w:val="auto"/>
                <w:sz w:val="24"/>
                <w:highlight w:val="none"/>
              </w:rPr>
              <w:t>经办人：       负责人：       （盖章）</w:t>
            </w:r>
          </w:p>
          <w:p w14:paraId="21D0560C">
            <w:pPr>
              <w:rPr>
                <w:rFonts w:ascii="仿宋" w:hAnsi="仿宋" w:eastAsia="仿宋" w:cs="仿宋"/>
                <w:color w:val="auto"/>
                <w:sz w:val="24"/>
                <w:highlight w:val="none"/>
              </w:rPr>
            </w:pPr>
          </w:p>
          <w:p w14:paraId="0A0D9B87">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6E1A435">
            <w:pPr>
              <w:rPr>
                <w:rFonts w:ascii="仿宋" w:hAnsi="仿宋" w:eastAsia="仿宋" w:cs="仿宋"/>
                <w:color w:val="auto"/>
                <w:sz w:val="24"/>
                <w:highlight w:val="none"/>
              </w:rPr>
            </w:pPr>
          </w:p>
        </w:tc>
        <w:tc>
          <w:tcPr>
            <w:tcW w:w="4481" w:type="dxa"/>
            <w:gridSpan w:val="6"/>
          </w:tcPr>
          <w:p w14:paraId="3BD2D761">
            <w:pPr>
              <w:rPr>
                <w:rFonts w:ascii="仿宋" w:hAnsi="仿宋" w:eastAsia="仿宋" w:cs="仿宋"/>
                <w:color w:val="auto"/>
                <w:sz w:val="24"/>
                <w:highlight w:val="none"/>
              </w:rPr>
            </w:pPr>
          </w:p>
          <w:p w14:paraId="3CAB6596">
            <w:pPr>
              <w:rPr>
                <w:rFonts w:ascii="仿宋" w:hAnsi="仿宋" w:eastAsia="仿宋" w:cs="仿宋"/>
                <w:color w:val="auto"/>
                <w:sz w:val="24"/>
                <w:highlight w:val="none"/>
              </w:rPr>
            </w:pPr>
            <w:r>
              <w:rPr>
                <w:rFonts w:hint="eastAsia" w:ascii="仿宋" w:hAnsi="仿宋" w:eastAsia="仿宋" w:cs="仿宋"/>
                <w:color w:val="auto"/>
                <w:sz w:val="24"/>
                <w:highlight w:val="none"/>
              </w:rPr>
              <w:t>供应商确认：</w:t>
            </w:r>
          </w:p>
          <w:p w14:paraId="131C375E">
            <w:pPr>
              <w:rPr>
                <w:rFonts w:ascii="仿宋" w:hAnsi="仿宋" w:eastAsia="仿宋" w:cs="仿宋"/>
                <w:color w:val="auto"/>
                <w:sz w:val="24"/>
                <w:highlight w:val="none"/>
              </w:rPr>
            </w:pPr>
          </w:p>
          <w:p w14:paraId="48FEA575">
            <w:pPr>
              <w:rPr>
                <w:rFonts w:ascii="仿宋" w:hAnsi="仿宋" w:eastAsia="仿宋" w:cs="仿宋"/>
                <w:color w:val="auto"/>
                <w:sz w:val="24"/>
                <w:highlight w:val="none"/>
              </w:rPr>
            </w:pPr>
          </w:p>
          <w:p w14:paraId="01257162">
            <w:pPr>
              <w:rPr>
                <w:rFonts w:ascii="仿宋" w:hAnsi="仿宋" w:eastAsia="仿宋" w:cs="仿宋"/>
                <w:color w:val="auto"/>
                <w:sz w:val="24"/>
                <w:highlight w:val="none"/>
              </w:rPr>
            </w:pPr>
          </w:p>
          <w:p w14:paraId="1DAA96CD">
            <w:pPr>
              <w:pStyle w:val="24"/>
              <w:rPr>
                <w:rFonts w:ascii="仿宋" w:hAnsi="仿宋" w:eastAsia="仿宋" w:cs="仿宋"/>
                <w:color w:val="auto"/>
                <w:szCs w:val="24"/>
                <w:highlight w:val="none"/>
              </w:rPr>
            </w:pPr>
          </w:p>
          <w:p w14:paraId="71D45B21">
            <w:pPr>
              <w:rPr>
                <w:rFonts w:ascii="仿宋" w:hAnsi="仿宋" w:eastAsia="仿宋" w:cs="仿宋"/>
                <w:color w:val="auto"/>
                <w:sz w:val="24"/>
                <w:highlight w:val="none"/>
              </w:rPr>
            </w:pPr>
          </w:p>
          <w:p w14:paraId="534F4C26">
            <w:pPr>
              <w:rPr>
                <w:rFonts w:ascii="仿宋" w:hAnsi="仿宋" w:eastAsia="仿宋" w:cs="仿宋"/>
                <w:color w:val="auto"/>
                <w:sz w:val="24"/>
                <w:highlight w:val="none"/>
              </w:rPr>
            </w:pPr>
            <w:r>
              <w:rPr>
                <w:rFonts w:hint="eastAsia" w:ascii="仿宋" w:hAnsi="仿宋" w:eastAsia="仿宋" w:cs="仿宋"/>
                <w:color w:val="auto"/>
                <w:sz w:val="24"/>
                <w:highlight w:val="none"/>
              </w:rPr>
              <w:t>供应商盖章或授权代表签字：</w:t>
            </w:r>
          </w:p>
          <w:p w14:paraId="462BFF76">
            <w:pPr>
              <w:rPr>
                <w:rFonts w:ascii="仿宋" w:hAnsi="仿宋" w:eastAsia="仿宋" w:cs="仿宋"/>
                <w:color w:val="auto"/>
                <w:sz w:val="24"/>
                <w:highlight w:val="none"/>
              </w:rPr>
            </w:pPr>
          </w:p>
          <w:p w14:paraId="3E6359E4">
            <w:pPr>
              <w:ind w:firstLine="44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5548BB96">
            <w:pPr>
              <w:ind w:firstLine="44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tc>
      </w:tr>
    </w:tbl>
    <w:p w14:paraId="58FDDF16">
      <w:pPr>
        <w:numPr>
          <w:ilvl w:val="0"/>
          <w:numId w:val="1"/>
        </w:numPr>
        <w:adjustRightInd/>
        <w:spacing w:line="360" w:lineRule="auto"/>
        <w:jc w:val="center"/>
        <w:outlineLvl w:val="0"/>
        <w:rPr>
          <w:rStyle w:val="84"/>
          <w:rFonts w:ascii="仿宋" w:eastAsia="仿宋"/>
          <w:color w:val="auto"/>
          <w:highlight w:val="none"/>
        </w:rPr>
      </w:pPr>
      <w:r>
        <w:rPr>
          <w:rFonts w:hint="eastAsia" w:ascii="仿宋" w:eastAsia="仿宋" w:cs="仿宋"/>
          <w:color w:val="auto"/>
          <w:highlight w:val="none"/>
        </w:rPr>
        <w:br w:type="page"/>
      </w:r>
      <w:bookmarkEnd w:id="478"/>
      <w:bookmarkEnd w:id="479"/>
      <w:bookmarkStart w:id="519" w:name="_Toc133499562"/>
      <w:r>
        <w:rPr>
          <w:rStyle w:val="84"/>
          <w:rFonts w:hint="eastAsia" w:ascii="仿宋" w:eastAsia="仿宋"/>
          <w:color w:val="auto"/>
          <w:highlight w:val="none"/>
        </w:rPr>
        <w:t>应提交的有关格式范例</w:t>
      </w:r>
      <w:bookmarkEnd w:id="519"/>
    </w:p>
    <w:p w14:paraId="0B0F96B6">
      <w:pPr>
        <w:pStyle w:val="3"/>
        <w:jc w:val="center"/>
        <w:rPr>
          <w:rFonts w:ascii="仿宋" w:eastAsia="仿宋" w:cs="仿宋"/>
          <w:b w:val="0"/>
          <w:color w:val="auto"/>
          <w:szCs w:val="36"/>
          <w:highlight w:val="none"/>
        </w:rPr>
      </w:pPr>
      <w:bookmarkStart w:id="520" w:name="_Toc133499563"/>
      <w:r>
        <w:rPr>
          <w:rFonts w:hint="eastAsia" w:ascii="仿宋" w:eastAsia="仿宋" w:cs="仿宋"/>
          <w:color w:val="auto"/>
          <w:highlight w:val="none"/>
        </w:rPr>
        <w:t>资格文件部分</w:t>
      </w:r>
      <w:bookmarkEnd w:id="520"/>
    </w:p>
    <w:p w14:paraId="2253F07B">
      <w:pPr>
        <w:snapToGrid w:val="0"/>
        <w:spacing w:line="360" w:lineRule="auto"/>
        <w:ind w:right="480"/>
        <w:jc w:val="center"/>
        <w:rPr>
          <w:rFonts w:ascii="仿宋" w:hAnsi="仿宋" w:eastAsia="仿宋" w:cs="仿宋"/>
          <w:b/>
          <w:color w:val="auto"/>
          <w:kern w:val="0"/>
          <w:sz w:val="28"/>
          <w:szCs w:val="28"/>
          <w:highlight w:val="none"/>
        </w:rPr>
      </w:pPr>
      <w:bookmarkStart w:id="521" w:name="_Toc19552"/>
      <w:bookmarkStart w:id="522" w:name="_Toc3652"/>
      <w:bookmarkStart w:id="523" w:name="_Toc22497"/>
      <w:r>
        <w:rPr>
          <w:rFonts w:hint="eastAsia" w:ascii="仿宋" w:hAnsi="仿宋" w:eastAsia="仿宋" w:cs="仿宋"/>
          <w:b/>
          <w:color w:val="auto"/>
          <w:kern w:val="0"/>
          <w:sz w:val="28"/>
          <w:szCs w:val="28"/>
          <w:highlight w:val="none"/>
        </w:rPr>
        <w:t>目录</w:t>
      </w:r>
      <w:bookmarkEnd w:id="521"/>
      <w:bookmarkEnd w:id="522"/>
      <w:bookmarkEnd w:id="523"/>
    </w:p>
    <w:p w14:paraId="0A1D836B">
      <w:pPr>
        <w:pStyle w:val="83"/>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（1）符合《中华人民共和国政府采购法》第二十二条规定的相关证明材料；</w:t>
      </w:r>
    </w:p>
    <w:p w14:paraId="066D15C5">
      <w:pPr>
        <w:pStyle w:val="83"/>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各投标人须在投标文件中出具对应证明材料。（商业信誉可提前自查，投标文件中可不提供）</w:t>
      </w:r>
    </w:p>
    <w:p w14:paraId="08E6CC16">
      <w:pPr>
        <w:pStyle w:val="83"/>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a.具有独立承担民事责任能力的证明材料；</w:t>
      </w:r>
    </w:p>
    <w:p w14:paraId="542540D4">
      <w:pPr>
        <w:pStyle w:val="83"/>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b.符合参与政府采购活动资格条件的承诺函；</w:t>
      </w:r>
    </w:p>
    <w:p w14:paraId="2ABE0210">
      <w:pPr>
        <w:pStyle w:val="83"/>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c.商业信誉：</w:t>
      </w:r>
    </w:p>
    <w:p w14:paraId="7213EE77">
      <w:pPr>
        <w:pStyle w:val="83"/>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5CCED4A">
      <w:pPr>
        <w:pStyle w:val="83"/>
        <w:spacing w:line="360" w:lineRule="auto"/>
        <w:ind w:firstLine="420"/>
        <w:rPr>
          <w:rFonts w:ascii="仿宋" w:hAnsi="仿宋" w:eastAsia="仿宋" w:cs="仿宋"/>
          <w:color w:val="auto"/>
          <w:highlight w:val="none"/>
        </w:rPr>
      </w:pPr>
      <w:r>
        <w:rPr>
          <w:rFonts w:hint="eastAsia" w:ascii="仿宋" w:hAnsi="仿宋" w:eastAsia="仿宋" w:cs="仿宋"/>
          <w:color w:val="auto"/>
          <w:highlight w:val="none"/>
        </w:rPr>
        <w:t>对列入失信被执行人、重大税收违法案件当事人名单、政府采购严重违法失信行为记录名单的投标人，其投标将作无效标处理。</w:t>
      </w:r>
    </w:p>
    <w:p w14:paraId="55ADEF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rPr>
        <w:t>；</w:t>
      </w:r>
    </w:p>
    <w:p w14:paraId="36FB79F8">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(3)本项目的特定资格</w:t>
      </w:r>
      <w:r>
        <w:rPr>
          <w:rFonts w:hint="eastAsia" w:ascii="仿宋" w:hAnsi="仿宋" w:eastAsia="仿宋" w:cs="仿宋"/>
          <w:color w:val="auto"/>
          <w:sz w:val="24"/>
          <w:highlight w:val="none"/>
          <w:lang w:val="zh-CN"/>
        </w:rPr>
        <w:t>证明材料。</w:t>
      </w:r>
    </w:p>
    <w:p w14:paraId="54CB7CC8">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highlight w:val="none"/>
          <w:lang w:val="zh-CN"/>
        </w:rPr>
        <w:br w:type="page"/>
      </w:r>
      <w:r>
        <w:rPr>
          <w:rFonts w:hint="eastAsia" w:ascii="仿宋" w:hAnsi="仿宋" w:eastAsia="仿宋" w:cs="仿宋"/>
          <w:b/>
          <w:color w:val="auto"/>
          <w:kern w:val="0"/>
          <w:sz w:val="32"/>
          <w:szCs w:val="32"/>
          <w:highlight w:val="none"/>
        </w:rPr>
        <w:t>一、符合参与政府采购活动资格条件的承诺函：</w:t>
      </w:r>
    </w:p>
    <w:p w14:paraId="1048AC73">
      <w:pPr>
        <w:shd w:val="clear" w:color="auto" w:fill="FFFFFF"/>
        <w:snapToGrid w:val="0"/>
        <w:spacing w:line="440" w:lineRule="exact"/>
        <w:jc w:val="center"/>
        <w:rPr>
          <w:rFonts w:ascii="仿宋" w:hAnsi="仿宋" w:eastAsia="仿宋" w:cs="仿宋"/>
          <w:color w:val="auto"/>
          <w:sz w:val="28"/>
          <w:szCs w:val="36"/>
          <w:highlight w:val="none"/>
        </w:rPr>
      </w:pPr>
      <w:r>
        <w:rPr>
          <w:rFonts w:hint="eastAsia" w:ascii="仿宋" w:hAnsi="仿宋" w:eastAsia="仿宋" w:cs="仿宋"/>
          <w:color w:val="auto"/>
          <w:sz w:val="28"/>
          <w:szCs w:val="36"/>
          <w:highlight w:val="none"/>
        </w:rPr>
        <w:t>资格条件承诺函</w:t>
      </w:r>
    </w:p>
    <w:p w14:paraId="4545765B">
      <w:pPr>
        <w:shd w:val="clear" w:color="auto" w:fill="FFFFFF"/>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温州市公安局交通管理局</w:t>
      </w:r>
    </w:p>
    <w:p w14:paraId="090D17B0">
      <w:pPr>
        <w:shd w:val="clear" w:color="auto" w:fill="FFFFFF"/>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温州市华越招标代理有限公司：</w:t>
      </w:r>
    </w:p>
    <w:p w14:paraId="7BE39DD4">
      <w:pPr>
        <w:widowControl/>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（采购项目名称、编号）投标，现郑重承诺：</w:t>
      </w:r>
    </w:p>
    <w:p w14:paraId="2AE34EFF">
      <w:pPr>
        <w:widowControl/>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1、我方符合《中华人民共和国政府采购法》第22条规定的资格条件，即</w:t>
      </w:r>
    </w:p>
    <w:p w14:paraId="6CB5E2A0">
      <w:pPr>
        <w:widowControl/>
        <w:snapToGrid w:val="0"/>
        <w:spacing w:line="440" w:lineRule="exact"/>
        <w:ind w:left="420" w:left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（1）我方具有独立承担民事责任的能力；</w:t>
      </w:r>
    </w:p>
    <w:p w14:paraId="53467BD1">
      <w:pPr>
        <w:widowControl/>
        <w:snapToGrid w:val="0"/>
        <w:spacing w:line="440" w:lineRule="exact"/>
        <w:ind w:left="420" w:left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（2）我方具有良好的商业信誉和健全的财务会计制度；</w:t>
      </w:r>
    </w:p>
    <w:p w14:paraId="6052C2D6">
      <w:pPr>
        <w:widowControl/>
        <w:snapToGrid w:val="0"/>
        <w:spacing w:line="440" w:lineRule="exact"/>
        <w:ind w:left="420" w:left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（3）我方具有履行合同所必需的设备和专业技术能力；</w:t>
      </w:r>
    </w:p>
    <w:p w14:paraId="046DC91B">
      <w:pPr>
        <w:widowControl/>
        <w:snapToGrid w:val="0"/>
        <w:spacing w:line="440" w:lineRule="exact"/>
        <w:ind w:left="420" w:left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（4）我方有依法缴纳税收和社会保障资金的良好记录；</w:t>
      </w:r>
    </w:p>
    <w:p w14:paraId="18E56480">
      <w:pPr>
        <w:widowControl/>
        <w:snapToGrid w:val="0"/>
        <w:spacing w:line="440" w:lineRule="exact"/>
        <w:ind w:left="1020" w:leftChars="200" w:hanging="600" w:hanging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4127403">
      <w:pPr>
        <w:widowControl/>
        <w:spacing w:line="440" w:lineRule="exact"/>
        <w:ind w:left="283" w:hanging="283" w:hangingChars="11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6"/>
          <w:rFonts w:hint="eastAsia" w:ascii="仿宋" w:hAnsi="仿宋" w:eastAsia="仿宋" w:cs="仿宋"/>
          <w:color w:val="auto"/>
          <w:sz w:val="24"/>
          <w:highlight w:val="none"/>
        </w:rPr>
        <w:t>www.creditchina.gov.cn）、</w:t>
      </w:r>
      <w:r>
        <w:rPr>
          <w:rStyle w:val="76"/>
          <w:rFonts w:hint="eastAsia" w:ascii="仿宋" w:hAnsi="仿宋" w:eastAsia="仿宋" w:cs="仿宋"/>
          <w:color w:val="auto"/>
          <w:sz w:val="24"/>
          <w:highlight w:val="none"/>
        </w:rPr>
        <w:fldChar w:fldCharType="end"/>
      </w:r>
      <w:r>
        <w:rPr>
          <w:rFonts w:hint="eastAsia" w:ascii="仿宋" w:hAnsi="仿宋" w:eastAsia="仿宋" w:cs="仿宋"/>
          <w:color w:val="auto"/>
          <w:kern w:val="0"/>
          <w:sz w:val="24"/>
          <w:highlight w:val="none"/>
        </w:rPr>
        <w:t xml:space="preserve"> 中国政府采购网（www.ccgp.gov.cn）列入失信被执行人名单、重大税收违法案件当事人名单、政府采购严重违法失信行为记录名单。</w:t>
      </w:r>
    </w:p>
    <w:p w14:paraId="3272681A">
      <w:pPr>
        <w:widowControl/>
        <w:snapToGrid w:val="0"/>
        <w:spacing w:line="440" w:lineRule="exact"/>
        <w:ind w:firstLine="480" w:firstLineChars="200"/>
        <w:jc w:val="left"/>
        <w:rPr>
          <w:rFonts w:ascii="仿宋" w:hAnsi="仿宋" w:eastAsia="仿宋" w:cs="仿宋"/>
          <w:color w:val="auto"/>
          <w:kern w:val="0"/>
          <w:sz w:val="24"/>
          <w:highlight w:val="none"/>
        </w:rPr>
      </w:pPr>
    </w:p>
    <w:p w14:paraId="20A3C34E">
      <w:pPr>
        <w:widowControl/>
        <w:snapToGrid w:val="0"/>
        <w:spacing w:line="440" w:lineRule="exact"/>
        <w:ind w:left="210" w:left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以上承诺如有虚假，</w:t>
      </w:r>
      <w:r>
        <w:rPr>
          <w:rFonts w:hint="eastAsia" w:ascii="仿宋" w:hAnsi="仿宋" w:eastAsia="仿宋" w:cs="仿宋"/>
          <w:color w:val="auto"/>
          <w:sz w:val="24"/>
          <w:highlight w:val="none"/>
        </w:rPr>
        <w:t>愿接受取消</w:t>
      </w:r>
      <w:r>
        <w:rPr>
          <w:rFonts w:hint="eastAsia" w:ascii="仿宋" w:hAnsi="仿宋" w:eastAsia="仿宋" w:cs="仿宋"/>
          <w:color w:val="auto"/>
          <w:kern w:val="0"/>
          <w:sz w:val="24"/>
          <w:highlight w:val="none"/>
        </w:rPr>
        <w:t>我方任何资格（投标/成交/签订合同）</w:t>
      </w:r>
      <w:r>
        <w:rPr>
          <w:rFonts w:hint="eastAsia" w:ascii="仿宋" w:hAnsi="仿宋" w:eastAsia="仿宋" w:cs="仿宋"/>
          <w:color w:val="auto"/>
          <w:sz w:val="24"/>
          <w:highlight w:val="none"/>
        </w:rPr>
        <w:t>及其他任何形式的处理。</w:t>
      </w:r>
    </w:p>
    <w:p w14:paraId="0573B009">
      <w:pPr>
        <w:widowControl/>
        <w:snapToGrid w:val="0"/>
        <w:spacing w:line="440" w:lineRule="exact"/>
        <w:ind w:firstLine="480" w:firstLineChars="200"/>
        <w:jc w:val="left"/>
        <w:rPr>
          <w:rFonts w:ascii="仿宋" w:hAnsi="仿宋" w:eastAsia="仿宋" w:cs="仿宋"/>
          <w:color w:val="auto"/>
          <w:kern w:val="0"/>
          <w:sz w:val="24"/>
          <w:highlight w:val="none"/>
        </w:rPr>
      </w:pPr>
    </w:p>
    <w:p w14:paraId="09C7D880">
      <w:pPr>
        <w:snapToGrid w:val="0"/>
        <w:spacing w:line="360" w:lineRule="auto"/>
        <w:ind w:firstLine="5520" w:firstLineChars="2300"/>
        <w:rPr>
          <w:rFonts w:ascii="仿宋" w:hAnsi="仿宋" w:eastAsia="仿宋" w:cs="仿宋"/>
          <w:color w:val="auto"/>
          <w:kern w:val="0"/>
          <w:sz w:val="24"/>
          <w:highlight w:val="none"/>
          <w:lang w:val="zh-CN"/>
        </w:rPr>
      </w:pPr>
    </w:p>
    <w:p w14:paraId="68AD5A05">
      <w:pPr>
        <w:tabs>
          <w:tab w:val="left" w:pos="5454"/>
        </w:tabs>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E9CA553">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6941714">
      <w:pPr>
        <w:snapToGrid w:val="0"/>
        <w:spacing w:line="360" w:lineRule="auto"/>
        <w:ind w:right="480"/>
        <w:rPr>
          <w:rFonts w:ascii="仿宋" w:hAnsi="仿宋" w:eastAsia="仿宋" w:cs="仿宋"/>
          <w:b/>
          <w:color w:val="auto"/>
          <w:kern w:val="0"/>
          <w:sz w:val="32"/>
          <w:szCs w:val="32"/>
          <w:highlight w:val="none"/>
        </w:rPr>
      </w:pPr>
    </w:p>
    <w:p w14:paraId="46ABC848">
      <w:pPr>
        <w:pStyle w:val="57"/>
        <w:tabs>
          <w:tab w:val="left" w:pos="630"/>
          <w:tab w:val="left" w:pos="840"/>
          <w:tab w:val="left" w:pos="1050"/>
        </w:tabs>
        <w:snapToGrid w:val="0"/>
        <w:spacing w:before="0" w:beforeAutospacing="0" w:after="0" w:afterAutospacing="0" w:line="360" w:lineRule="auto"/>
        <w:ind w:left="420"/>
        <w:rPr>
          <w:rFonts w:ascii="仿宋" w:hAnsi="仿宋" w:eastAsia="仿宋" w:cs="仿宋"/>
          <w:bCs/>
          <w:color w:val="auto"/>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highlight w:val="none"/>
        </w:rPr>
        <w:t>投标人须在投标文件中出具符合以下情况的证明材料复印件（五选一）：</w:t>
      </w:r>
    </w:p>
    <w:p w14:paraId="112399F0">
      <w:pPr>
        <w:pStyle w:val="57"/>
        <w:numPr>
          <w:ilvl w:val="0"/>
          <w:numId w:val="14"/>
        </w:numPr>
        <w:tabs>
          <w:tab w:val="left" w:pos="312"/>
        </w:tabs>
        <w:snapToGrid w:val="0"/>
        <w:spacing w:before="0" w:beforeAutospacing="0" w:after="0" w:afterAutospacing="0" w:line="360" w:lineRule="auto"/>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如投标人是企业（包括合伙企业），提供在工商部门注册的有效“企业法人营业执照”或“营业执照”；</w:t>
      </w:r>
    </w:p>
    <w:p w14:paraId="3664DCD2">
      <w:pPr>
        <w:pStyle w:val="57"/>
        <w:numPr>
          <w:ilvl w:val="0"/>
          <w:numId w:val="14"/>
        </w:numPr>
        <w:tabs>
          <w:tab w:val="left" w:pos="312"/>
        </w:tabs>
        <w:snapToGrid w:val="0"/>
        <w:spacing w:before="0" w:beforeAutospacing="0" w:after="0" w:afterAutospacing="0" w:line="360" w:lineRule="auto"/>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如投标人是事业单位，提供有效的“事业单位法人证书”；</w:t>
      </w:r>
    </w:p>
    <w:p w14:paraId="2BB2BF5C">
      <w:pPr>
        <w:pStyle w:val="57"/>
        <w:numPr>
          <w:ilvl w:val="0"/>
          <w:numId w:val="14"/>
        </w:numPr>
        <w:tabs>
          <w:tab w:val="left" w:pos="312"/>
        </w:tabs>
        <w:snapToGrid w:val="0"/>
        <w:spacing w:before="0" w:beforeAutospacing="0" w:after="0" w:afterAutospacing="0" w:line="360" w:lineRule="auto"/>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如投标人是非企业专业服务机构的，提供执业许可证等证明文件；</w:t>
      </w:r>
    </w:p>
    <w:p w14:paraId="79CEC241">
      <w:pPr>
        <w:pStyle w:val="57"/>
        <w:numPr>
          <w:ilvl w:val="0"/>
          <w:numId w:val="14"/>
        </w:numPr>
        <w:tabs>
          <w:tab w:val="left" w:pos="312"/>
        </w:tabs>
        <w:snapToGrid w:val="0"/>
        <w:spacing w:before="0" w:beforeAutospacing="0" w:after="0" w:afterAutospacing="0" w:line="360" w:lineRule="auto"/>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如投标人是个体工商户，提供有效的“个体工商户营业执照”；</w:t>
      </w:r>
    </w:p>
    <w:p w14:paraId="31BDB156">
      <w:pPr>
        <w:pStyle w:val="57"/>
        <w:numPr>
          <w:ilvl w:val="0"/>
          <w:numId w:val="14"/>
        </w:numPr>
        <w:tabs>
          <w:tab w:val="left" w:pos="312"/>
        </w:tabs>
        <w:snapToGrid w:val="0"/>
        <w:spacing w:before="0" w:beforeAutospacing="0" w:after="0" w:afterAutospacing="0" w:line="360" w:lineRule="auto"/>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如投标人是自然人，提供有效的自然人身份证明（居民身份证正反面或公安机关出具的临时居民身份证正反面或港澳台胞证或护照）。</w:t>
      </w:r>
    </w:p>
    <w:p w14:paraId="17EA8849">
      <w:pPr>
        <w:pStyle w:val="57"/>
        <w:tabs>
          <w:tab w:val="left" w:pos="312"/>
        </w:tabs>
        <w:snapToGrid w:val="0"/>
        <w:spacing w:before="0" w:beforeAutospacing="0" w:after="0" w:afterAutospacing="0" w:line="360" w:lineRule="auto"/>
        <w:rPr>
          <w:rFonts w:ascii="仿宋" w:hAnsi="仿宋" w:eastAsia="仿宋" w:cs="仿宋"/>
          <w:bCs/>
          <w:color w:val="auto"/>
          <w:sz w:val="21"/>
          <w:szCs w:val="21"/>
          <w:highlight w:val="none"/>
        </w:rPr>
      </w:pPr>
    </w:p>
    <w:p w14:paraId="1599B2C2">
      <w:pPr>
        <w:pStyle w:val="83"/>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366DEC0">
      <w:pPr>
        <w:snapToGrid w:val="0"/>
        <w:spacing w:line="360" w:lineRule="auto"/>
        <w:jc w:val="left"/>
        <w:rPr>
          <w:rFonts w:ascii="仿宋" w:hAnsi="仿宋" w:eastAsia="仿宋" w:cs="仿宋"/>
          <w:b/>
          <w:color w:val="auto"/>
          <w:kern w:val="0"/>
          <w:sz w:val="32"/>
          <w:szCs w:val="32"/>
          <w:highlight w:val="none"/>
        </w:rPr>
      </w:pPr>
    </w:p>
    <w:p w14:paraId="2EA474E0">
      <w:pPr>
        <w:snapToGrid w:val="0"/>
        <w:spacing w:line="360" w:lineRule="auto"/>
        <w:ind w:right="480"/>
        <w:jc w:val="center"/>
        <w:rPr>
          <w:rFonts w:ascii="仿宋" w:hAnsi="仿宋" w:eastAsia="仿宋" w:cs="仿宋"/>
          <w:b/>
          <w:color w:val="auto"/>
          <w:kern w:val="0"/>
          <w:sz w:val="32"/>
          <w:szCs w:val="32"/>
          <w:highlight w:val="none"/>
        </w:rPr>
      </w:pPr>
    </w:p>
    <w:p w14:paraId="7E2F08C1">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二、落实政府采购政策需满足的资格要求证明材料</w:t>
      </w:r>
    </w:p>
    <w:p w14:paraId="0C0DF3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6EFA0DD">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505A2191">
      <w:pPr>
        <w:widowControl/>
        <w:spacing w:line="360" w:lineRule="auto"/>
        <w:ind w:firstLine="480"/>
        <w:jc w:val="left"/>
        <w:rPr>
          <w:rFonts w:ascii="仿宋" w:hAnsi="仿宋" w:eastAsia="仿宋" w:cs="仿宋"/>
          <w:color w:val="auto"/>
          <w:sz w:val="24"/>
          <w:highlight w:val="none"/>
        </w:rPr>
      </w:pPr>
    </w:p>
    <w:p w14:paraId="4D949B10">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303B9D2">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704DECDA">
      <w:pPr>
        <w:snapToGrid w:val="0"/>
        <w:spacing w:before="50" w:after="5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br w:type="page"/>
      </w:r>
      <w:r>
        <w:rPr>
          <w:rFonts w:hint="eastAsia" w:ascii="仿宋" w:hAnsi="仿宋" w:eastAsia="仿宋" w:cs="仿宋"/>
          <w:b/>
          <w:color w:val="auto"/>
          <w:kern w:val="0"/>
          <w:sz w:val="32"/>
          <w:szCs w:val="32"/>
          <w:highlight w:val="none"/>
          <w:lang w:val="zh-CN"/>
        </w:rPr>
        <w:t>联合协议</w:t>
      </w:r>
    </w:p>
    <w:p w14:paraId="26100E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C854B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7FCA3D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1F53EC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4A9ABC5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B3F94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2EC854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BF32BE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1FDB65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23BD10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EE6F301">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3B487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1DF7686">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CFA745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4B807C">
      <w:pPr>
        <w:spacing w:line="360" w:lineRule="auto"/>
        <w:ind w:firstLine="480" w:firstLineChars="200"/>
        <w:rPr>
          <w:rFonts w:ascii="仿宋" w:hAnsi="仿宋" w:eastAsia="仿宋" w:cs="仿宋"/>
          <w:color w:val="auto"/>
          <w:sz w:val="24"/>
          <w:highlight w:val="none"/>
        </w:rPr>
      </w:pPr>
    </w:p>
    <w:p w14:paraId="0C1E2BB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7E6D12A">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分包意向协议</w:t>
      </w:r>
    </w:p>
    <w:p w14:paraId="0D381F34">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5C4652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037ECE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5D7A2C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6F48675">
      <w:pPr>
        <w:snapToGrid w:val="0"/>
        <w:spacing w:line="360" w:lineRule="auto"/>
        <w:ind w:firstLine="576"/>
        <w:rPr>
          <w:rFonts w:ascii="仿宋" w:hAnsi="仿宋" w:eastAsia="仿宋" w:cs="仿宋"/>
          <w:color w:val="auto"/>
          <w:kern w:val="0"/>
          <w:sz w:val="24"/>
          <w:highlight w:val="none"/>
          <w:lang w:val="zh-CN"/>
        </w:rPr>
      </w:pPr>
      <w:bookmarkStart w:id="524" w:name="_Toc17331"/>
      <w:bookmarkStart w:id="525" w:name="_Toc8168"/>
      <w:bookmarkStart w:id="526" w:name="_Toc17715"/>
      <w:r>
        <w:rPr>
          <w:rFonts w:hint="eastAsia" w:ascii="仿宋" w:hAnsi="仿宋" w:eastAsia="仿宋" w:cs="仿宋"/>
          <w:color w:val="auto"/>
          <w:kern w:val="0"/>
          <w:sz w:val="24"/>
          <w:highlight w:val="none"/>
          <w:lang w:val="zh-CN"/>
        </w:rPr>
        <w:t>……</w:t>
      </w:r>
      <w:bookmarkEnd w:id="524"/>
      <w:bookmarkEnd w:id="525"/>
      <w:bookmarkEnd w:id="526"/>
    </w:p>
    <w:p w14:paraId="566F2A8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0C30AD8F">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7C7A04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5C8E14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F38EF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297C912">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EFC748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77C68F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C7E2B1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4683C7C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D4E5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64657A99">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88823F1">
      <w:pPr>
        <w:snapToGrid w:val="0"/>
        <w:spacing w:line="360" w:lineRule="auto"/>
        <w:ind w:firstLine="5880" w:firstLineChars="24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08693ABF">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14:paraId="72D07D46">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三、本项目的特定资格要求</w:t>
      </w:r>
    </w:p>
    <w:p w14:paraId="2F38D38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0800F47">
      <w:pPr>
        <w:rPr>
          <w:rFonts w:ascii="仿宋" w:hAnsi="仿宋" w:eastAsia="仿宋" w:cs="仿宋"/>
          <w:color w:val="auto"/>
          <w:highlight w:val="none"/>
        </w:rPr>
      </w:pPr>
    </w:p>
    <w:p w14:paraId="084F5640">
      <w:pPr>
        <w:snapToGrid w:val="0"/>
        <w:spacing w:line="360" w:lineRule="auto"/>
        <w:ind w:right="480"/>
        <w:jc w:val="center"/>
        <w:rPr>
          <w:rFonts w:ascii="仿宋" w:hAnsi="仿宋" w:eastAsia="仿宋" w:cs="仿宋"/>
          <w:b/>
          <w:color w:val="auto"/>
          <w:kern w:val="0"/>
          <w:sz w:val="32"/>
          <w:szCs w:val="32"/>
          <w:highlight w:val="none"/>
        </w:rPr>
      </w:pPr>
    </w:p>
    <w:p w14:paraId="209C6DB0">
      <w:pPr>
        <w:snapToGrid w:val="0"/>
        <w:spacing w:line="360" w:lineRule="auto"/>
        <w:ind w:right="480"/>
        <w:jc w:val="center"/>
        <w:rPr>
          <w:rFonts w:ascii="仿宋" w:hAnsi="仿宋" w:eastAsia="仿宋" w:cs="仿宋"/>
          <w:b/>
          <w:color w:val="auto"/>
          <w:kern w:val="0"/>
          <w:sz w:val="32"/>
          <w:szCs w:val="32"/>
          <w:highlight w:val="none"/>
        </w:rPr>
      </w:pPr>
    </w:p>
    <w:p w14:paraId="0B86AB61">
      <w:pPr>
        <w:snapToGrid w:val="0"/>
        <w:spacing w:line="360" w:lineRule="auto"/>
        <w:ind w:right="480"/>
        <w:jc w:val="center"/>
        <w:rPr>
          <w:rFonts w:ascii="仿宋" w:hAnsi="仿宋" w:eastAsia="仿宋" w:cs="仿宋"/>
          <w:b/>
          <w:color w:val="auto"/>
          <w:kern w:val="0"/>
          <w:sz w:val="32"/>
          <w:szCs w:val="32"/>
          <w:highlight w:val="none"/>
        </w:rPr>
      </w:pPr>
    </w:p>
    <w:p w14:paraId="343D87F3">
      <w:pPr>
        <w:snapToGrid w:val="0"/>
        <w:spacing w:line="360" w:lineRule="auto"/>
        <w:ind w:right="480"/>
        <w:jc w:val="center"/>
        <w:rPr>
          <w:rFonts w:ascii="仿宋" w:hAnsi="仿宋" w:eastAsia="仿宋" w:cs="仿宋"/>
          <w:b/>
          <w:color w:val="auto"/>
          <w:kern w:val="0"/>
          <w:sz w:val="32"/>
          <w:szCs w:val="32"/>
          <w:highlight w:val="none"/>
        </w:rPr>
      </w:pPr>
    </w:p>
    <w:p w14:paraId="6F4E0816">
      <w:pPr>
        <w:snapToGrid w:val="0"/>
        <w:spacing w:line="360" w:lineRule="auto"/>
        <w:ind w:right="480"/>
        <w:jc w:val="center"/>
        <w:rPr>
          <w:rFonts w:ascii="仿宋" w:hAnsi="仿宋" w:eastAsia="仿宋" w:cs="仿宋"/>
          <w:b/>
          <w:color w:val="auto"/>
          <w:kern w:val="0"/>
          <w:sz w:val="32"/>
          <w:szCs w:val="32"/>
          <w:highlight w:val="none"/>
        </w:rPr>
      </w:pPr>
    </w:p>
    <w:p w14:paraId="3C08EA94">
      <w:pPr>
        <w:snapToGrid w:val="0"/>
        <w:spacing w:line="360" w:lineRule="auto"/>
        <w:ind w:right="480"/>
        <w:jc w:val="center"/>
        <w:rPr>
          <w:rFonts w:ascii="仿宋" w:hAnsi="仿宋" w:eastAsia="仿宋" w:cs="仿宋"/>
          <w:b/>
          <w:color w:val="auto"/>
          <w:kern w:val="0"/>
          <w:sz w:val="32"/>
          <w:szCs w:val="32"/>
          <w:highlight w:val="none"/>
        </w:rPr>
      </w:pPr>
    </w:p>
    <w:p w14:paraId="5FAD5B61">
      <w:pPr>
        <w:snapToGrid w:val="0"/>
        <w:spacing w:line="360" w:lineRule="auto"/>
        <w:ind w:right="480"/>
        <w:jc w:val="center"/>
        <w:rPr>
          <w:rFonts w:ascii="仿宋" w:hAnsi="仿宋" w:eastAsia="仿宋" w:cs="仿宋"/>
          <w:b/>
          <w:color w:val="auto"/>
          <w:kern w:val="0"/>
          <w:sz w:val="32"/>
          <w:szCs w:val="32"/>
          <w:highlight w:val="none"/>
        </w:rPr>
      </w:pPr>
    </w:p>
    <w:p w14:paraId="3E4184F0">
      <w:pPr>
        <w:snapToGrid w:val="0"/>
        <w:spacing w:line="360" w:lineRule="auto"/>
        <w:ind w:right="480"/>
        <w:jc w:val="center"/>
        <w:rPr>
          <w:rFonts w:ascii="仿宋" w:hAnsi="仿宋" w:eastAsia="仿宋" w:cs="仿宋"/>
          <w:b/>
          <w:color w:val="auto"/>
          <w:kern w:val="0"/>
          <w:sz w:val="32"/>
          <w:szCs w:val="32"/>
          <w:highlight w:val="none"/>
        </w:rPr>
      </w:pPr>
    </w:p>
    <w:p w14:paraId="76FAA709">
      <w:pPr>
        <w:snapToGrid w:val="0"/>
        <w:spacing w:line="360" w:lineRule="auto"/>
        <w:ind w:right="480"/>
        <w:jc w:val="center"/>
        <w:rPr>
          <w:rFonts w:ascii="仿宋" w:hAnsi="仿宋" w:eastAsia="仿宋" w:cs="仿宋"/>
          <w:b/>
          <w:color w:val="auto"/>
          <w:kern w:val="0"/>
          <w:sz w:val="32"/>
          <w:szCs w:val="32"/>
          <w:highlight w:val="none"/>
        </w:rPr>
      </w:pPr>
    </w:p>
    <w:p w14:paraId="070C9B59">
      <w:pPr>
        <w:snapToGrid w:val="0"/>
        <w:spacing w:line="360" w:lineRule="auto"/>
        <w:ind w:right="480"/>
        <w:jc w:val="center"/>
        <w:rPr>
          <w:rFonts w:ascii="仿宋" w:hAnsi="仿宋" w:eastAsia="仿宋" w:cs="仿宋"/>
          <w:b/>
          <w:color w:val="auto"/>
          <w:kern w:val="0"/>
          <w:sz w:val="32"/>
          <w:szCs w:val="32"/>
          <w:highlight w:val="none"/>
        </w:rPr>
      </w:pPr>
    </w:p>
    <w:p w14:paraId="0F97B3F7">
      <w:pPr>
        <w:snapToGrid w:val="0"/>
        <w:spacing w:line="360" w:lineRule="auto"/>
        <w:ind w:right="480"/>
        <w:jc w:val="center"/>
        <w:rPr>
          <w:rFonts w:ascii="仿宋" w:hAnsi="仿宋" w:eastAsia="仿宋" w:cs="仿宋"/>
          <w:b/>
          <w:color w:val="auto"/>
          <w:kern w:val="0"/>
          <w:sz w:val="32"/>
          <w:szCs w:val="32"/>
          <w:highlight w:val="none"/>
        </w:rPr>
      </w:pPr>
    </w:p>
    <w:p w14:paraId="24A44E41">
      <w:pPr>
        <w:pStyle w:val="3"/>
        <w:jc w:val="center"/>
        <w:rPr>
          <w:rFonts w:ascii="仿宋" w:eastAsia="仿宋"/>
          <w:color w:val="auto"/>
          <w:highlight w:val="none"/>
        </w:rPr>
      </w:pPr>
      <w:r>
        <w:rPr>
          <w:rFonts w:hint="eastAsia" w:ascii="仿宋" w:eastAsia="仿宋" w:cs="仿宋"/>
          <w:b w:val="0"/>
          <w:color w:val="auto"/>
          <w:sz w:val="36"/>
          <w:szCs w:val="36"/>
          <w:highlight w:val="none"/>
        </w:rPr>
        <w:br w:type="page"/>
      </w:r>
      <w:bookmarkStart w:id="527" w:name="_Toc133499564"/>
      <w:r>
        <w:rPr>
          <w:rFonts w:hint="eastAsia" w:ascii="仿宋" w:eastAsia="仿宋"/>
          <w:color w:val="auto"/>
          <w:highlight w:val="none"/>
        </w:rPr>
        <w:t>商务技术文件部分</w:t>
      </w:r>
      <w:bookmarkEnd w:id="527"/>
    </w:p>
    <w:p w14:paraId="1C284BD9">
      <w:pPr>
        <w:snapToGrid w:val="0"/>
        <w:spacing w:line="360" w:lineRule="auto"/>
        <w:ind w:right="480"/>
        <w:jc w:val="center"/>
        <w:rPr>
          <w:rFonts w:ascii="仿宋" w:hAnsi="仿宋" w:eastAsia="仿宋" w:cs="仿宋"/>
          <w:b/>
          <w:color w:val="auto"/>
          <w:kern w:val="0"/>
          <w:sz w:val="28"/>
          <w:szCs w:val="28"/>
          <w:highlight w:val="none"/>
        </w:rPr>
      </w:pPr>
    </w:p>
    <w:p w14:paraId="668B8950">
      <w:pPr>
        <w:snapToGrid w:val="0"/>
        <w:spacing w:line="360" w:lineRule="auto"/>
        <w:ind w:right="480"/>
        <w:jc w:val="center"/>
        <w:rPr>
          <w:rFonts w:ascii="仿宋" w:hAnsi="仿宋" w:eastAsia="仿宋" w:cs="仿宋"/>
          <w:b/>
          <w:color w:val="auto"/>
          <w:kern w:val="0"/>
          <w:sz w:val="32"/>
          <w:szCs w:val="32"/>
          <w:highlight w:val="none"/>
        </w:rPr>
      </w:pPr>
      <w:bookmarkStart w:id="528" w:name="_Toc23620"/>
      <w:bookmarkStart w:id="529" w:name="_Toc23572"/>
      <w:bookmarkStart w:id="530" w:name="_Toc11049"/>
      <w:r>
        <w:rPr>
          <w:rFonts w:hint="eastAsia" w:ascii="仿宋" w:hAnsi="仿宋" w:eastAsia="仿宋" w:cs="仿宋"/>
          <w:b/>
          <w:color w:val="auto"/>
          <w:kern w:val="0"/>
          <w:sz w:val="32"/>
          <w:szCs w:val="32"/>
          <w:highlight w:val="none"/>
        </w:rPr>
        <w:t>目录</w:t>
      </w:r>
      <w:bookmarkEnd w:id="528"/>
      <w:bookmarkEnd w:id="529"/>
      <w:bookmarkEnd w:id="530"/>
    </w:p>
    <w:p w14:paraId="13156BA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776C6DD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B5A1B7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14:paraId="48B63035">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76782C27">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……………………………………………………（页码）</w:t>
      </w:r>
    </w:p>
    <w:p w14:paraId="6283B01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7C1ABCBB">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F767F13">
      <w:pPr>
        <w:snapToGrid w:val="0"/>
        <w:spacing w:line="360" w:lineRule="auto"/>
        <w:ind w:right="480"/>
        <w:jc w:val="center"/>
        <w:rPr>
          <w:rFonts w:ascii="仿宋" w:hAnsi="仿宋" w:eastAsia="仿宋" w:cs="仿宋"/>
          <w:b/>
          <w:color w:val="auto"/>
          <w:kern w:val="0"/>
          <w:sz w:val="28"/>
          <w:szCs w:val="28"/>
          <w:highlight w:val="none"/>
        </w:rPr>
      </w:pPr>
    </w:p>
    <w:p w14:paraId="3D3BD05C">
      <w:pPr>
        <w:snapToGrid w:val="0"/>
        <w:spacing w:line="360" w:lineRule="auto"/>
        <w:ind w:right="480"/>
        <w:jc w:val="center"/>
        <w:rPr>
          <w:rFonts w:ascii="仿宋" w:hAnsi="仿宋" w:eastAsia="仿宋" w:cs="仿宋"/>
          <w:b/>
          <w:color w:val="auto"/>
          <w:kern w:val="0"/>
          <w:sz w:val="28"/>
          <w:szCs w:val="28"/>
          <w:highlight w:val="none"/>
        </w:rPr>
      </w:pPr>
    </w:p>
    <w:p w14:paraId="7F7D71F5">
      <w:pPr>
        <w:snapToGrid w:val="0"/>
        <w:spacing w:line="360" w:lineRule="auto"/>
        <w:ind w:right="480"/>
        <w:jc w:val="center"/>
        <w:rPr>
          <w:rFonts w:ascii="仿宋" w:hAnsi="仿宋" w:eastAsia="仿宋" w:cs="仿宋"/>
          <w:b/>
          <w:color w:val="auto"/>
          <w:kern w:val="0"/>
          <w:sz w:val="28"/>
          <w:szCs w:val="28"/>
          <w:highlight w:val="none"/>
        </w:rPr>
      </w:pPr>
    </w:p>
    <w:p w14:paraId="2936A6FF">
      <w:pPr>
        <w:snapToGrid w:val="0"/>
        <w:spacing w:line="360" w:lineRule="auto"/>
        <w:ind w:right="480"/>
        <w:jc w:val="center"/>
        <w:rPr>
          <w:rFonts w:ascii="仿宋" w:hAnsi="仿宋" w:eastAsia="仿宋" w:cs="仿宋"/>
          <w:b/>
          <w:color w:val="auto"/>
          <w:kern w:val="0"/>
          <w:sz w:val="28"/>
          <w:szCs w:val="28"/>
          <w:highlight w:val="none"/>
        </w:rPr>
      </w:pPr>
    </w:p>
    <w:p w14:paraId="24A362C8">
      <w:pPr>
        <w:snapToGrid w:val="0"/>
        <w:spacing w:line="360" w:lineRule="auto"/>
        <w:ind w:right="480"/>
        <w:jc w:val="center"/>
        <w:rPr>
          <w:rFonts w:ascii="仿宋" w:hAnsi="仿宋" w:eastAsia="仿宋" w:cs="仿宋"/>
          <w:b/>
          <w:color w:val="auto"/>
          <w:kern w:val="0"/>
          <w:sz w:val="28"/>
          <w:szCs w:val="28"/>
          <w:highlight w:val="none"/>
        </w:rPr>
      </w:pPr>
    </w:p>
    <w:p w14:paraId="0ED7BB18">
      <w:pPr>
        <w:snapToGrid w:val="0"/>
        <w:spacing w:line="360" w:lineRule="auto"/>
        <w:ind w:right="480"/>
        <w:jc w:val="center"/>
        <w:rPr>
          <w:rFonts w:ascii="仿宋" w:hAnsi="仿宋" w:eastAsia="仿宋" w:cs="仿宋"/>
          <w:b/>
          <w:color w:val="auto"/>
          <w:kern w:val="0"/>
          <w:sz w:val="28"/>
          <w:szCs w:val="28"/>
          <w:highlight w:val="none"/>
        </w:rPr>
      </w:pPr>
    </w:p>
    <w:p w14:paraId="39BCB048">
      <w:pPr>
        <w:snapToGrid w:val="0"/>
        <w:spacing w:line="360" w:lineRule="auto"/>
        <w:ind w:right="480"/>
        <w:jc w:val="center"/>
        <w:rPr>
          <w:rFonts w:ascii="仿宋" w:hAnsi="仿宋" w:eastAsia="仿宋" w:cs="仿宋"/>
          <w:b/>
          <w:color w:val="auto"/>
          <w:kern w:val="0"/>
          <w:sz w:val="28"/>
          <w:szCs w:val="28"/>
          <w:highlight w:val="none"/>
        </w:rPr>
      </w:pPr>
    </w:p>
    <w:p w14:paraId="65B2C10B">
      <w:pPr>
        <w:snapToGrid w:val="0"/>
        <w:spacing w:line="360" w:lineRule="auto"/>
        <w:ind w:right="480"/>
        <w:jc w:val="center"/>
        <w:rPr>
          <w:rFonts w:ascii="仿宋" w:hAnsi="仿宋" w:eastAsia="仿宋" w:cs="仿宋"/>
          <w:b/>
          <w:color w:val="auto"/>
          <w:kern w:val="0"/>
          <w:sz w:val="28"/>
          <w:szCs w:val="28"/>
          <w:highlight w:val="none"/>
        </w:rPr>
      </w:pPr>
    </w:p>
    <w:p w14:paraId="6048FA2C">
      <w:pPr>
        <w:snapToGrid w:val="0"/>
        <w:spacing w:line="360" w:lineRule="auto"/>
        <w:ind w:right="480"/>
        <w:jc w:val="center"/>
        <w:rPr>
          <w:rFonts w:ascii="仿宋" w:hAnsi="仿宋" w:eastAsia="仿宋" w:cs="仿宋"/>
          <w:b/>
          <w:color w:val="auto"/>
          <w:kern w:val="0"/>
          <w:sz w:val="28"/>
          <w:szCs w:val="28"/>
          <w:highlight w:val="none"/>
        </w:rPr>
      </w:pPr>
    </w:p>
    <w:p w14:paraId="45AC709A">
      <w:pPr>
        <w:snapToGrid w:val="0"/>
        <w:spacing w:line="360" w:lineRule="auto"/>
        <w:ind w:right="480"/>
        <w:jc w:val="center"/>
        <w:rPr>
          <w:rFonts w:ascii="仿宋" w:hAnsi="仿宋" w:eastAsia="仿宋" w:cs="仿宋"/>
          <w:b/>
          <w:color w:val="auto"/>
          <w:sz w:val="32"/>
          <w:szCs w:val="32"/>
          <w:highlight w:val="none"/>
        </w:rPr>
      </w:pPr>
      <w:bookmarkStart w:id="531" w:name="_Toc21536"/>
      <w:bookmarkStart w:id="532" w:name="_Toc25202"/>
      <w:bookmarkStart w:id="533" w:name="_Toc26161"/>
      <w:r>
        <w:rPr>
          <w:rFonts w:ascii="仿宋" w:hAnsi="仿宋" w:eastAsia="仿宋" w:cs="仿宋"/>
          <w:b/>
          <w:color w:val="auto"/>
          <w:kern w:val="0"/>
          <w:sz w:val="28"/>
          <w:szCs w:val="28"/>
          <w:highlight w:val="none"/>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531"/>
      <w:bookmarkEnd w:id="532"/>
      <w:bookmarkEnd w:id="533"/>
    </w:p>
    <w:p w14:paraId="61AB16B9">
      <w:pPr>
        <w:snapToGrid w:val="0"/>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温州市公安局交通管理局、温州市华越招标代理有限公司：</w:t>
      </w:r>
    </w:p>
    <w:p w14:paraId="432A7F89">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08E76FF">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BD2DF36">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01CF233">
      <w:pPr>
        <w:snapToGrid w:val="0"/>
        <w:spacing w:line="42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64BCAE0">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BB34A7E">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2F100502">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1F72941D">
      <w:pPr>
        <w:snapToGrid w:val="0"/>
        <w:spacing w:line="42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9D528D6">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988D863">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A6E8481">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70BD2646">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6C8278BB">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4BEF3778">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72C853E1">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524DEEE">
      <w:pPr>
        <w:snapToGrid w:val="0"/>
        <w:spacing w:line="42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0D59D67">
      <w:pPr>
        <w:snapToGrid w:val="0"/>
        <w:spacing w:line="42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00253D4">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w:t>
      </w:r>
    </w:p>
    <w:p w14:paraId="078CCC44">
      <w:pPr>
        <w:snapToGrid w:val="0"/>
        <w:spacing w:line="42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689D316">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C768CEB">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C5BBA13">
      <w:pPr>
        <w:snapToGrid w:val="0"/>
        <w:spacing w:line="42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B3A1329">
      <w:pPr>
        <w:snapToGrid w:val="0"/>
        <w:spacing w:line="42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18DEE36">
      <w:pPr>
        <w:snapToGrid w:val="0"/>
        <w:spacing w:line="42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BF5AE7F">
      <w:pPr>
        <w:snapToGrid w:val="0"/>
        <w:spacing w:line="42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EC32D58">
      <w:pPr>
        <w:snapToGrid w:val="0"/>
        <w:spacing w:line="42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3061A9">
      <w:pPr>
        <w:spacing w:line="42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E83A630">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4128A5A">
      <w:pPr>
        <w:spacing w:line="360" w:lineRule="auto"/>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B8D581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79F2332">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399F59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温州市公安局交通管理局、温州市华越招标代理有限公司</w:t>
      </w:r>
      <w:r>
        <w:rPr>
          <w:rFonts w:hint="eastAsia" w:ascii="仿宋" w:hAnsi="仿宋" w:eastAsia="仿宋" w:cs="仿宋"/>
          <w:color w:val="auto"/>
          <w:kern w:val="0"/>
          <w:sz w:val="24"/>
          <w:highlight w:val="none"/>
          <w:lang w:val="zh-CN"/>
        </w:rPr>
        <w:t>：</w:t>
      </w:r>
    </w:p>
    <w:p w14:paraId="5E5A3650">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39AAF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F8E806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9BC8B8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EBA6337">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A483FB3">
      <w:pPr>
        <w:snapToGrid w:val="0"/>
        <w:spacing w:line="360" w:lineRule="auto"/>
        <w:rPr>
          <w:rFonts w:ascii="仿宋" w:hAnsi="仿宋" w:eastAsia="仿宋" w:cs="仿宋"/>
          <w:color w:val="auto"/>
          <w:sz w:val="24"/>
          <w:highlight w:val="none"/>
        </w:rPr>
      </w:pPr>
    </w:p>
    <w:p w14:paraId="3A90E84A">
      <w:pPr>
        <w:snapToGrid w:val="0"/>
        <w:spacing w:line="360" w:lineRule="auto"/>
        <w:rPr>
          <w:rFonts w:ascii="仿宋" w:hAnsi="仿宋" w:eastAsia="仿宋" w:cs="仿宋"/>
          <w:color w:val="auto"/>
          <w:sz w:val="24"/>
          <w:highlight w:val="none"/>
        </w:rPr>
      </w:pPr>
    </w:p>
    <w:p w14:paraId="1454D609">
      <w:pPr>
        <w:snapToGrid w:val="0"/>
        <w:spacing w:line="360" w:lineRule="auto"/>
        <w:rPr>
          <w:rFonts w:ascii="仿宋" w:hAnsi="仿宋" w:eastAsia="仿宋" w:cs="仿宋"/>
          <w:color w:val="auto"/>
          <w:sz w:val="24"/>
          <w:highlight w:val="none"/>
        </w:rPr>
      </w:pPr>
    </w:p>
    <w:p w14:paraId="740B4A8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916625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温州市公安局交通管理局、温州市华越招标代理有限公司</w:t>
      </w:r>
      <w:r>
        <w:rPr>
          <w:rFonts w:hint="eastAsia" w:ascii="仿宋" w:hAnsi="仿宋" w:eastAsia="仿宋" w:cs="仿宋"/>
          <w:color w:val="auto"/>
          <w:kern w:val="0"/>
          <w:sz w:val="24"/>
          <w:highlight w:val="none"/>
          <w:lang w:val="zh-CN"/>
        </w:rPr>
        <w:t>：</w:t>
      </w:r>
    </w:p>
    <w:p w14:paraId="7723475B">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494B8C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B0A7E5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CD9743D">
      <w:pPr>
        <w:jc w:val="center"/>
        <w:rPr>
          <w:rFonts w:ascii="仿宋" w:hAnsi="仿宋" w:eastAsia="仿宋" w:cs="仿宋"/>
          <w:b/>
          <w:color w:val="auto"/>
          <w:kern w:val="0"/>
          <w:sz w:val="32"/>
          <w:szCs w:val="32"/>
          <w:highlight w:val="none"/>
        </w:rPr>
      </w:pPr>
    </w:p>
    <w:p w14:paraId="4FC9CB6D">
      <w:pPr>
        <w:jc w:val="center"/>
        <w:rPr>
          <w:rFonts w:ascii="仿宋" w:hAnsi="仿宋" w:eastAsia="仿宋" w:cs="仿宋"/>
          <w:b/>
          <w:color w:val="auto"/>
          <w:kern w:val="0"/>
          <w:sz w:val="32"/>
          <w:szCs w:val="32"/>
          <w:highlight w:val="none"/>
        </w:rPr>
      </w:pPr>
    </w:p>
    <w:p w14:paraId="4D632CFB">
      <w:pPr>
        <w:jc w:val="center"/>
        <w:rPr>
          <w:rFonts w:ascii="仿宋" w:hAnsi="仿宋" w:eastAsia="仿宋" w:cs="仿宋"/>
          <w:b/>
          <w:color w:val="auto"/>
          <w:kern w:val="0"/>
          <w:sz w:val="32"/>
          <w:szCs w:val="32"/>
          <w:highlight w:val="none"/>
        </w:rPr>
      </w:pPr>
    </w:p>
    <w:p w14:paraId="6A62830D">
      <w:pPr>
        <w:rPr>
          <w:rFonts w:ascii="仿宋" w:hAnsi="仿宋" w:eastAsia="仿宋" w:cs="仿宋"/>
          <w:color w:val="auto"/>
          <w:highlight w:val="none"/>
        </w:rPr>
      </w:pPr>
    </w:p>
    <w:p w14:paraId="28E9F2F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4CF873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0B37EA">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F83DCB7">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7E9BF1B">
      <w:pPr>
        <w:autoSpaceDE w:val="0"/>
        <w:autoSpaceDN w:val="0"/>
        <w:spacing w:line="360" w:lineRule="auto"/>
        <w:jc w:val="center"/>
        <w:rPr>
          <w:rFonts w:ascii="仿宋" w:hAnsi="仿宋" w:eastAsia="仿宋" w:cs="仿宋"/>
          <w:b/>
          <w:color w:val="auto"/>
          <w:sz w:val="24"/>
          <w:highlight w:val="none"/>
        </w:rPr>
      </w:pPr>
      <w:r>
        <w:rPr>
          <w:rFonts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FCB4CE4">
      <w:pPr>
        <w:pStyle w:val="37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0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D98984">
            <w:pPr>
              <w:pStyle w:val="372"/>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99A6CDC">
            <w:pPr>
              <w:pStyle w:val="372"/>
              <w:adjustRightInd w:val="0"/>
              <w:spacing w:line="360" w:lineRule="auto"/>
              <w:rPr>
                <w:rFonts w:ascii="仿宋" w:hAnsi="仿宋" w:eastAsia="仿宋" w:cs="仿宋"/>
                <w:bCs/>
                <w:color w:val="auto"/>
                <w:sz w:val="24"/>
                <w:highlight w:val="none"/>
              </w:rPr>
            </w:pPr>
          </w:p>
        </w:tc>
      </w:tr>
    </w:tbl>
    <w:p w14:paraId="68C6F7CE">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7B4224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85D03A5">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14:paraId="428D0E8F">
      <w:pPr>
        <w:spacing w:line="360" w:lineRule="auto"/>
        <w:jc w:val="center"/>
        <w:rPr>
          <w:rFonts w:ascii="仿宋" w:hAnsi="仿宋" w:eastAsia="仿宋" w:cs="仿宋"/>
          <w:b/>
          <w:color w:val="auto"/>
          <w:kern w:val="0"/>
          <w:sz w:val="32"/>
          <w:szCs w:val="32"/>
          <w:highlight w:val="none"/>
          <w:lang w:val="zh-CN"/>
        </w:rPr>
      </w:pPr>
      <w:r>
        <w:rPr>
          <w:rFonts w:ascii="仿宋" w:hAnsi="仿宋" w:eastAsia="仿宋" w:cs="仿宋"/>
          <w:color w:val="auto"/>
          <w:sz w:val="24"/>
          <w:highlight w:val="none"/>
          <w:u w:val="single"/>
        </w:rPr>
        <w:br w:type="page"/>
      </w:r>
      <w:r>
        <w:rPr>
          <w:rFonts w:hint="eastAsia" w:ascii="仿宋" w:hAnsi="仿宋" w:eastAsia="仿宋" w:cs="仿宋"/>
          <w:b/>
          <w:color w:val="auto"/>
          <w:kern w:val="0"/>
          <w:sz w:val="32"/>
          <w:szCs w:val="32"/>
          <w:highlight w:val="none"/>
          <w:lang w:val="zh-CN"/>
        </w:rPr>
        <w:t>三、联合协议</w:t>
      </w:r>
    </w:p>
    <w:p w14:paraId="4B1FEC3C">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6582E3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0C038C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0933D4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CCA2F7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9040534">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48F2067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43CB82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E23FAE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E9CCAC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AE6C0A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85F91D1">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DAE38D">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70E2F5">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58FEF2F">
      <w:pPr>
        <w:snapToGrid w:val="0"/>
        <w:spacing w:line="360" w:lineRule="auto"/>
        <w:ind w:right="480"/>
        <w:rPr>
          <w:rFonts w:ascii="仿宋" w:hAnsi="仿宋" w:eastAsia="仿宋" w:cs="仿宋"/>
          <w:b/>
          <w:color w:val="auto"/>
          <w:kern w:val="0"/>
          <w:sz w:val="32"/>
          <w:szCs w:val="32"/>
          <w:highlight w:val="none"/>
          <w:lang w:val="zh-CN"/>
        </w:rPr>
        <w:sectPr>
          <w:headerReference r:id="rId6" w:type="first"/>
          <w:footerReference r:id="rId8" w:type="first"/>
          <w:headerReference r:id="rId5" w:type="default"/>
          <w:footerReference r:id="rId7" w:type="default"/>
          <w:pgSz w:w="11906" w:h="16838"/>
          <w:pgMar w:top="1276" w:right="1276" w:bottom="1247"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5DC7E8">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四、分包意向协议</w:t>
      </w:r>
    </w:p>
    <w:p w14:paraId="00373AB4">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EC4CC0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DABC45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AEAD68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7FA44CA">
      <w:pPr>
        <w:snapToGrid w:val="0"/>
        <w:spacing w:line="360" w:lineRule="auto"/>
        <w:ind w:firstLine="576"/>
        <w:rPr>
          <w:rFonts w:ascii="仿宋" w:hAnsi="仿宋" w:eastAsia="仿宋" w:cs="仿宋"/>
          <w:color w:val="auto"/>
          <w:kern w:val="0"/>
          <w:sz w:val="24"/>
          <w:highlight w:val="none"/>
          <w:lang w:val="zh-CN"/>
        </w:rPr>
      </w:pPr>
      <w:bookmarkStart w:id="534" w:name="_Toc24093"/>
      <w:bookmarkStart w:id="535" w:name="_Toc785"/>
      <w:bookmarkStart w:id="536" w:name="_Toc18280"/>
      <w:r>
        <w:rPr>
          <w:rFonts w:hint="eastAsia" w:ascii="仿宋" w:hAnsi="仿宋" w:eastAsia="仿宋" w:cs="仿宋"/>
          <w:color w:val="auto"/>
          <w:kern w:val="0"/>
          <w:sz w:val="24"/>
          <w:highlight w:val="none"/>
          <w:lang w:val="zh-CN"/>
        </w:rPr>
        <w:t>……</w:t>
      </w:r>
      <w:bookmarkEnd w:id="534"/>
      <w:bookmarkEnd w:id="535"/>
      <w:bookmarkEnd w:id="536"/>
    </w:p>
    <w:p w14:paraId="03426EF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0C2576A6">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B751A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6B4AC0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6C7348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7F8462DF">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D99CBCC">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3F72154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A5624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D19BB2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D2415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7C1B3481">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6C9CDBD1">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CC14A61">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8E4A0F5">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5FD10E8">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kern w:val="0"/>
          <w:sz w:val="24"/>
          <w:highlight w:val="none"/>
          <w:lang w:val="zh-CN"/>
        </w:rPr>
        <w:t>日期：  年  月   日</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五、评标标准相应的商务技术资料</w:t>
      </w:r>
    </w:p>
    <w:p w14:paraId="65EDEEB9">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CC710C5">
      <w:pPr>
        <w:jc w:val="center"/>
        <w:rPr>
          <w:rFonts w:ascii="仿宋" w:hAnsi="仿宋" w:eastAsia="仿宋" w:cs="仿宋"/>
          <w:b/>
          <w:color w:val="auto"/>
          <w:kern w:val="0"/>
          <w:sz w:val="32"/>
          <w:szCs w:val="32"/>
          <w:highlight w:val="none"/>
        </w:rPr>
      </w:pPr>
    </w:p>
    <w:p w14:paraId="0634E9EC">
      <w:pPr>
        <w:jc w:val="center"/>
        <w:rPr>
          <w:rFonts w:ascii="仿宋" w:hAnsi="仿宋" w:eastAsia="仿宋" w:cs="仿宋"/>
          <w:b/>
          <w:color w:val="auto"/>
          <w:kern w:val="0"/>
          <w:sz w:val="32"/>
          <w:szCs w:val="32"/>
          <w:highlight w:val="none"/>
        </w:rPr>
      </w:pPr>
    </w:p>
    <w:p w14:paraId="7F384DD8">
      <w:pPr>
        <w:jc w:val="center"/>
        <w:rPr>
          <w:rFonts w:ascii="仿宋" w:hAnsi="仿宋" w:eastAsia="仿宋" w:cs="仿宋"/>
          <w:b/>
          <w:color w:val="auto"/>
          <w:kern w:val="0"/>
          <w:sz w:val="32"/>
          <w:szCs w:val="32"/>
          <w:highlight w:val="none"/>
        </w:rPr>
      </w:pPr>
    </w:p>
    <w:p w14:paraId="221D1CE0">
      <w:pPr>
        <w:jc w:val="center"/>
        <w:rPr>
          <w:rFonts w:ascii="仿宋" w:hAnsi="仿宋" w:eastAsia="仿宋" w:cs="仿宋"/>
          <w:b/>
          <w:color w:val="auto"/>
          <w:kern w:val="0"/>
          <w:sz w:val="32"/>
          <w:szCs w:val="32"/>
          <w:highlight w:val="none"/>
        </w:rPr>
      </w:pPr>
    </w:p>
    <w:p w14:paraId="46978019">
      <w:pPr>
        <w:jc w:val="center"/>
        <w:rPr>
          <w:rFonts w:ascii="仿宋" w:hAnsi="仿宋" w:eastAsia="仿宋" w:cs="仿宋"/>
          <w:b/>
          <w:color w:val="auto"/>
          <w:kern w:val="0"/>
          <w:sz w:val="32"/>
          <w:szCs w:val="32"/>
          <w:highlight w:val="none"/>
        </w:rPr>
      </w:pPr>
    </w:p>
    <w:p w14:paraId="5C6EE289">
      <w:pPr>
        <w:jc w:val="center"/>
        <w:rPr>
          <w:rFonts w:ascii="仿宋" w:hAnsi="仿宋" w:eastAsia="仿宋" w:cs="仿宋"/>
          <w:b/>
          <w:color w:val="auto"/>
          <w:kern w:val="0"/>
          <w:sz w:val="32"/>
          <w:szCs w:val="32"/>
          <w:highlight w:val="none"/>
        </w:rPr>
      </w:pPr>
    </w:p>
    <w:p w14:paraId="74454FEF">
      <w:pPr>
        <w:jc w:val="center"/>
        <w:rPr>
          <w:rFonts w:ascii="仿宋" w:hAnsi="仿宋" w:eastAsia="仿宋" w:cs="仿宋"/>
          <w:b/>
          <w:color w:val="auto"/>
          <w:kern w:val="0"/>
          <w:sz w:val="32"/>
          <w:szCs w:val="32"/>
          <w:highlight w:val="none"/>
        </w:rPr>
      </w:pPr>
    </w:p>
    <w:p w14:paraId="0E9D9480">
      <w:pPr>
        <w:jc w:val="center"/>
        <w:rPr>
          <w:rFonts w:ascii="仿宋" w:hAnsi="仿宋" w:eastAsia="仿宋" w:cs="仿宋"/>
          <w:b/>
          <w:color w:val="auto"/>
          <w:kern w:val="0"/>
          <w:sz w:val="32"/>
          <w:szCs w:val="32"/>
          <w:highlight w:val="none"/>
        </w:rPr>
      </w:pPr>
    </w:p>
    <w:p w14:paraId="1DCCE3F6">
      <w:pPr>
        <w:jc w:val="center"/>
        <w:rPr>
          <w:rFonts w:ascii="仿宋" w:hAnsi="仿宋" w:eastAsia="仿宋" w:cs="仿宋"/>
          <w:b/>
          <w:color w:val="auto"/>
          <w:kern w:val="0"/>
          <w:sz w:val="32"/>
          <w:szCs w:val="32"/>
          <w:highlight w:val="none"/>
        </w:rPr>
      </w:pPr>
    </w:p>
    <w:p w14:paraId="64643D4C">
      <w:pPr>
        <w:jc w:val="center"/>
        <w:rPr>
          <w:rFonts w:ascii="仿宋" w:hAnsi="仿宋" w:eastAsia="仿宋" w:cs="仿宋"/>
          <w:b/>
          <w:color w:val="auto"/>
          <w:kern w:val="0"/>
          <w:sz w:val="32"/>
          <w:szCs w:val="32"/>
          <w:highlight w:val="none"/>
        </w:rPr>
      </w:pPr>
    </w:p>
    <w:p w14:paraId="3B58806E">
      <w:pPr>
        <w:rPr>
          <w:rFonts w:ascii="仿宋" w:hAnsi="仿宋" w:eastAsia="仿宋" w:cs="仿宋"/>
          <w:b/>
          <w:color w:val="auto"/>
          <w:kern w:val="0"/>
          <w:sz w:val="32"/>
          <w:szCs w:val="32"/>
          <w:highlight w:val="none"/>
        </w:rPr>
      </w:pPr>
    </w:p>
    <w:p w14:paraId="39835201">
      <w:pPr>
        <w:jc w:val="center"/>
        <w:rPr>
          <w:rFonts w:ascii="仿宋" w:hAnsi="仿宋" w:eastAsia="仿宋" w:cs="仿宋"/>
          <w:b/>
          <w:color w:val="auto"/>
          <w:kern w:val="0"/>
          <w:sz w:val="32"/>
          <w:szCs w:val="32"/>
          <w:highlight w:val="none"/>
        </w:rPr>
      </w:pPr>
    </w:p>
    <w:p w14:paraId="66AF12FF">
      <w:pPr>
        <w:rPr>
          <w:rFonts w:ascii="仿宋" w:hAnsi="仿宋" w:eastAsia="仿宋" w:cs="仿宋"/>
          <w:color w:val="auto"/>
          <w:sz w:val="32"/>
          <w:szCs w:val="32"/>
          <w:highlight w:val="none"/>
        </w:rPr>
      </w:pPr>
    </w:p>
    <w:p w14:paraId="613420B3">
      <w:pPr>
        <w:rPr>
          <w:rFonts w:ascii="仿宋" w:hAnsi="仿宋" w:eastAsia="仿宋" w:cs="仿宋"/>
          <w:color w:val="auto"/>
          <w:sz w:val="32"/>
          <w:szCs w:val="32"/>
          <w:highlight w:val="none"/>
        </w:rPr>
      </w:pPr>
    </w:p>
    <w:p w14:paraId="1E710D7C">
      <w:pPr>
        <w:rPr>
          <w:rFonts w:ascii="仿宋" w:hAnsi="仿宋" w:eastAsia="仿宋" w:cs="仿宋"/>
          <w:color w:val="auto"/>
          <w:sz w:val="32"/>
          <w:szCs w:val="32"/>
          <w:highlight w:val="none"/>
        </w:rPr>
      </w:pPr>
    </w:p>
    <w:p w14:paraId="32FBDFB6">
      <w:pPr>
        <w:rPr>
          <w:rFonts w:ascii="仿宋" w:hAnsi="仿宋" w:eastAsia="仿宋" w:cs="仿宋"/>
          <w:color w:val="auto"/>
          <w:sz w:val="32"/>
          <w:szCs w:val="32"/>
          <w:highlight w:val="none"/>
        </w:rPr>
      </w:pPr>
    </w:p>
    <w:p w14:paraId="63B7CAE5">
      <w:pPr>
        <w:rPr>
          <w:rFonts w:ascii="仿宋" w:hAnsi="仿宋" w:eastAsia="仿宋" w:cs="仿宋"/>
          <w:color w:val="auto"/>
          <w:sz w:val="32"/>
          <w:szCs w:val="32"/>
          <w:highlight w:val="none"/>
        </w:rPr>
      </w:pPr>
    </w:p>
    <w:p w14:paraId="1E191D0F">
      <w:pPr>
        <w:rPr>
          <w:rFonts w:ascii="仿宋" w:hAnsi="仿宋" w:eastAsia="仿宋" w:cs="仿宋"/>
          <w:color w:val="auto"/>
          <w:sz w:val="32"/>
          <w:szCs w:val="32"/>
          <w:highlight w:val="none"/>
        </w:rPr>
      </w:pPr>
    </w:p>
    <w:p w14:paraId="17C87148">
      <w:pPr>
        <w:rPr>
          <w:rFonts w:ascii="仿宋" w:hAnsi="仿宋" w:eastAsia="仿宋" w:cs="仿宋"/>
          <w:color w:val="auto"/>
          <w:sz w:val="32"/>
          <w:szCs w:val="32"/>
          <w:highlight w:val="none"/>
        </w:rPr>
      </w:pPr>
    </w:p>
    <w:p w14:paraId="7CF36D6C">
      <w:pPr>
        <w:rPr>
          <w:rFonts w:ascii="仿宋" w:hAnsi="仿宋" w:eastAsia="仿宋" w:cs="仿宋"/>
          <w:color w:val="auto"/>
          <w:sz w:val="32"/>
          <w:szCs w:val="32"/>
          <w:highlight w:val="none"/>
        </w:rPr>
      </w:pPr>
    </w:p>
    <w:p w14:paraId="688DB277">
      <w:pPr>
        <w:rPr>
          <w:rFonts w:ascii="仿宋" w:hAnsi="仿宋" w:eastAsia="仿宋" w:cs="仿宋"/>
          <w:color w:val="auto"/>
          <w:sz w:val="32"/>
          <w:szCs w:val="32"/>
          <w:highlight w:val="none"/>
        </w:rPr>
      </w:pPr>
    </w:p>
    <w:p w14:paraId="0DCBABAC">
      <w:pPr>
        <w:rPr>
          <w:rFonts w:ascii="仿宋" w:hAnsi="仿宋" w:eastAsia="仿宋" w:cs="仿宋"/>
          <w:color w:val="auto"/>
          <w:sz w:val="32"/>
          <w:szCs w:val="32"/>
          <w:highlight w:val="none"/>
        </w:rPr>
      </w:pPr>
    </w:p>
    <w:p w14:paraId="2E97107E">
      <w:pPr>
        <w:rPr>
          <w:rFonts w:ascii="仿宋" w:hAnsi="仿宋" w:eastAsia="仿宋" w:cs="仿宋"/>
          <w:color w:val="auto"/>
          <w:sz w:val="32"/>
          <w:szCs w:val="32"/>
          <w:highlight w:val="none"/>
        </w:rPr>
      </w:pPr>
    </w:p>
    <w:p w14:paraId="28F1EA39">
      <w:pPr>
        <w:rPr>
          <w:rFonts w:ascii="仿宋" w:hAnsi="仿宋" w:eastAsia="仿宋" w:cs="仿宋"/>
          <w:color w:val="auto"/>
          <w:sz w:val="32"/>
          <w:szCs w:val="32"/>
          <w:highlight w:val="none"/>
        </w:rPr>
      </w:pPr>
    </w:p>
    <w:p w14:paraId="58033B73">
      <w:pPr>
        <w:rPr>
          <w:rFonts w:ascii="仿宋" w:hAnsi="仿宋" w:eastAsia="仿宋" w:cs="仿宋"/>
          <w:color w:val="auto"/>
          <w:sz w:val="32"/>
          <w:szCs w:val="32"/>
          <w:highlight w:val="none"/>
        </w:rPr>
      </w:pPr>
    </w:p>
    <w:p w14:paraId="5B7B3049">
      <w:pPr>
        <w:rPr>
          <w:rFonts w:ascii="仿宋" w:hAnsi="仿宋" w:eastAsia="仿宋" w:cs="仿宋"/>
          <w:color w:val="auto"/>
          <w:sz w:val="32"/>
          <w:szCs w:val="32"/>
          <w:highlight w:val="none"/>
        </w:rPr>
      </w:pPr>
    </w:p>
    <w:p w14:paraId="6B058A82">
      <w:pPr>
        <w:rPr>
          <w:rFonts w:ascii="仿宋" w:hAnsi="仿宋" w:eastAsia="仿宋" w:cs="仿宋"/>
          <w:color w:val="auto"/>
          <w:sz w:val="32"/>
          <w:szCs w:val="32"/>
          <w:highlight w:val="none"/>
        </w:rPr>
      </w:pPr>
    </w:p>
    <w:p w14:paraId="2B033E1E">
      <w:pPr>
        <w:rPr>
          <w:rFonts w:ascii="仿宋" w:hAnsi="仿宋" w:eastAsia="仿宋" w:cs="仿宋"/>
          <w:color w:val="auto"/>
          <w:sz w:val="32"/>
          <w:szCs w:val="32"/>
          <w:highlight w:val="none"/>
        </w:rPr>
      </w:pPr>
    </w:p>
    <w:p w14:paraId="130662BF">
      <w:pPr>
        <w:jc w:val="center"/>
        <w:rPr>
          <w:rFonts w:ascii="仿宋" w:hAnsi="仿宋" w:eastAsia="仿宋" w:cs="仿宋"/>
          <w:color w:val="auto"/>
          <w:sz w:val="32"/>
          <w:szCs w:val="32"/>
          <w:highlight w:val="none"/>
        </w:rPr>
      </w:pPr>
    </w:p>
    <w:p w14:paraId="52BD7955">
      <w:pPr>
        <w:rPr>
          <w:rFonts w:ascii="仿宋" w:hAnsi="仿宋" w:eastAsia="仿宋" w:cs="仿宋"/>
          <w:color w:val="auto"/>
          <w:sz w:val="32"/>
          <w:szCs w:val="32"/>
          <w:highlight w:val="none"/>
        </w:rPr>
      </w:pPr>
    </w:p>
    <w:p w14:paraId="28305619">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kern w:val="0"/>
          <w:sz w:val="32"/>
          <w:szCs w:val="32"/>
          <w:highlight w:val="none"/>
        </w:rPr>
        <w:t>六、商务技术偏离表</w:t>
      </w:r>
    </w:p>
    <w:tbl>
      <w:tblPr>
        <w:tblStyle w:val="6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14:paraId="0C20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61B4672">
            <w:pPr>
              <w:snapToGrid w:val="0"/>
              <w:spacing w:line="400" w:lineRule="exact"/>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序号</w:t>
            </w:r>
          </w:p>
        </w:tc>
        <w:tc>
          <w:tcPr>
            <w:tcW w:w="1656" w:type="dxa"/>
            <w:vAlign w:val="center"/>
          </w:tcPr>
          <w:p w14:paraId="5A71B21B">
            <w:pPr>
              <w:snapToGrid w:val="0"/>
              <w:spacing w:line="400" w:lineRule="exact"/>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采购文件要求</w:t>
            </w:r>
          </w:p>
        </w:tc>
        <w:tc>
          <w:tcPr>
            <w:tcW w:w="3219" w:type="dxa"/>
            <w:vAlign w:val="center"/>
          </w:tcPr>
          <w:p w14:paraId="13EDAEC0">
            <w:pPr>
              <w:snapToGrid w:val="0"/>
              <w:spacing w:line="400" w:lineRule="exact"/>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投标文件对应规范</w:t>
            </w:r>
          </w:p>
        </w:tc>
        <w:tc>
          <w:tcPr>
            <w:tcW w:w="1822" w:type="dxa"/>
            <w:vAlign w:val="center"/>
          </w:tcPr>
          <w:p w14:paraId="19325399">
            <w:pPr>
              <w:snapToGrid w:val="0"/>
              <w:spacing w:line="400" w:lineRule="exact"/>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是否偏离</w:t>
            </w:r>
          </w:p>
          <w:p w14:paraId="2047416B">
            <w:pPr>
              <w:snapToGrid w:val="0"/>
              <w:spacing w:line="400" w:lineRule="exact"/>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（提供说明）</w:t>
            </w:r>
          </w:p>
        </w:tc>
        <w:tc>
          <w:tcPr>
            <w:tcW w:w="1735" w:type="dxa"/>
            <w:vAlign w:val="center"/>
          </w:tcPr>
          <w:p w14:paraId="0EADE687">
            <w:pPr>
              <w:snapToGrid w:val="0"/>
              <w:spacing w:line="400" w:lineRule="exact"/>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要求提供的证明材料页码</w:t>
            </w:r>
          </w:p>
        </w:tc>
      </w:tr>
      <w:tr w14:paraId="0222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14:paraId="781707EB">
            <w:pPr>
              <w:snapToGrid w:val="0"/>
              <w:spacing w:line="400" w:lineRule="exact"/>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商务部分</w:t>
            </w:r>
          </w:p>
        </w:tc>
      </w:tr>
      <w:tr w14:paraId="7EEA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2EF1FE9">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12F6790C">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4B55DDB0">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7EC6C4E6">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2750C758">
            <w:pPr>
              <w:snapToGrid w:val="0"/>
              <w:spacing w:line="400" w:lineRule="exact"/>
              <w:jc w:val="center"/>
              <w:rPr>
                <w:rFonts w:ascii="仿宋" w:hAnsi="仿宋" w:eastAsia="仿宋" w:cs="仿宋"/>
                <w:color w:val="auto"/>
                <w:spacing w:val="-6"/>
                <w:sz w:val="24"/>
                <w:highlight w:val="none"/>
              </w:rPr>
            </w:pPr>
          </w:p>
        </w:tc>
      </w:tr>
      <w:tr w14:paraId="36A3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2CC0F13">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1ABD42A0">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4A94B1DA">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1ADE4A18">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1400F704">
            <w:pPr>
              <w:snapToGrid w:val="0"/>
              <w:spacing w:line="400" w:lineRule="exact"/>
              <w:jc w:val="center"/>
              <w:rPr>
                <w:rFonts w:ascii="仿宋" w:hAnsi="仿宋" w:eastAsia="仿宋" w:cs="仿宋"/>
                <w:color w:val="auto"/>
                <w:spacing w:val="-6"/>
                <w:sz w:val="24"/>
                <w:highlight w:val="none"/>
              </w:rPr>
            </w:pPr>
          </w:p>
        </w:tc>
      </w:tr>
      <w:tr w14:paraId="3D56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A128B53">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10C263D9">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6AACAE9C">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639311B3">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1356E474">
            <w:pPr>
              <w:snapToGrid w:val="0"/>
              <w:spacing w:line="400" w:lineRule="exact"/>
              <w:jc w:val="center"/>
              <w:rPr>
                <w:rFonts w:ascii="仿宋" w:hAnsi="仿宋" w:eastAsia="仿宋" w:cs="仿宋"/>
                <w:color w:val="auto"/>
                <w:spacing w:val="-6"/>
                <w:sz w:val="24"/>
                <w:highlight w:val="none"/>
              </w:rPr>
            </w:pPr>
          </w:p>
        </w:tc>
      </w:tr>
      <w:tr w14:paraId="3074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AB8A74C">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51D416ED">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03C5F6AC">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2E057715">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4C3A60C8">
            <w:pPr>
              <w:snapToGrid w:val="0"/>
              <w:spacing w:line="400" w:lineRule="exact"/>
              <w:jc w:val="center"/>
              <w:rPr>
                <w:rFonts w:ascii="仿宋" w:hAnsi="仿宋" w:eastAsia="仿宋" w:cs="仿宋"/>
                <w:color w:val="auto"/>
                <w:spacing w:val="-6"/>
                <w:sz w:val="24"/>
                <w:highlight w:val="none"/>
              </w:rPr>
            </w:pPr>
          </w:p>
        </w:tc>
      </w:tr>
      <w:tr w14:paraId="0FB5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614357">
            <w:pPr>
              <w:snapToGrid w:val="0"/>
              <w:spacing w:line="400" w:lineRule="exact"/>
              <w:rPr>
                <w:rFonts w:ascii="仿宋" w:hAnsi="仿宋" w:eastAsia="仿宋" w:cs="仿宋"/>
                <w:color w:val="auto"/>
                <w:spacing w:val="-6"/>
                <w:sz w:val="24"/>
                <w:highlight w:val="none"/>
              </w:rPr>
            </w:pPr>
          </w:p>
        </w:tc>
        <w:tc>
          <w:tcPr>
            <w:tcW w:w="1656" w:type="dxa"/>
            <w:vAlign w:val="center"/>
          </w:tcPr>
          <w:p w14:paraId="12ABC9CF">
            <w:pPr>
              <w:snapToGrid w:val="0"/>
              <w:spacing w:line="400" w:lineRule="exact"/>
              <w:rPr>
                <w:rFonts w:ascii="仿宋" w:hAnsi="仿宋" w:eastAsia="仿宋" w:cs="仿宋"/>
                <w:color w:val="auto"/>
                <w:spacing w:val="-6"/>
                <w:sz w:val="24"/>
                <w:highlight w:val="none"/>
              </w:rPr>
            </w:pPr>
          </w:p>
        </w:tc>
        <w:tc>
          <w:tcPr>
            <w:tcW w:w="3219" w:type="dxa"/>
            <w:vAlign w:val="center"/>
          </w:tcPr>
          <w:p w14:paraId="0C772374">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2E5DDAC1">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26133171">
            <w:pPr>
              <w:snapToGrid w:val="0"/>
              <w:spacing w:line="400" w:lineRule="exact"/>
              <w:jc w:val="center"/>
              <w:rPr>
                <w:rFonts w:ascii="仿宋" w:hAnsi="仿宋" w:eastAsia="仿宋" w:cs="仿宋"/>
                <w:color w:val="auto"/>
                <w:spacing w:val="-6"/>
                <w:sz w:val="24"/>
                <w:highlight w:val="none"/>
              </w:rPr>
            </w:pPr>
          </w:p>
        </w:tc>
      </w:tr>
      <w:tr w14:paraId="2417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14:paraId="5D3C30A2">
            <w:pPr>
              <w:snapToGrid w:val="0"/>
              <w:spacing w:line="400" w:lineRule="exact"/>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技术部分</w:t>
            </w:r>
          </w:p>
        </w:tc>
      </w:tr>
      <w:tr w14:paraId="35CA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C21F616">
            <w:pPr>
              <w:snapToGrid w:val="0"/>
              <w:spacing w:line="400" w:lineRule="exact"/>
              <w:rPr>
                <w:rFonts w:ascii="仿宋" w:hAnsi="仿宋" w:eastAsia="仿宋" w:cs="仿宋"/>
                <w:color w:val="auto"/>
                <w:spacing w:val="-6"/>
                <w:sz w:val="24"/>
                <w:highlight w:val="none"/>
              </w:rPr>
            </w:pPr>
          </w:p>
        </w:tc>
        <w:tc>
          <w:tcPr>
            <w:tcW w:w="1656" w:type="dxa"/>
            <w:vAlign w:val="center"/>
          </w:tcPr>
          <w:p w14:paraId="418B8280">
            <w:pPr>
              <w:snapToGrid w:val="0"/>
              <w:spacing w:line="400" w:lineRule="exact"/>
              <w:rPr>
                <w:rFonts w:ascii="仿宋" w:hAnsi="仿宋" w:eastAsia="仿宋" w:cs="仿宋"/>
                <w:color w:val="auto"/>
                <w:spacing w:val="-6"/>
                <w:sz w:val="24"/>
                <w:highlight w:val="none"/>
              </w:rPr>
            </w:pPr>
          </w:p>
        </w:tc>
        <w:tc>
          <w:tcPr>
            <w:tcW w:w="3219" w:type="dxa"/>
            <w:vAlign w:val="center"/>
          </w:tcPr>
          <w:p w14:paraId="2EF5C90D">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0CCF9ECE">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0C645F4D">
            <w:pPr>
              <w:snapToGrid w:val="0"/>
              <w:spacing w:line="400" w:lineRule="exact"/>
              <w:jc w:val="center"/>
              <w:rPr>
                <w:rFonts w:ascii="仿宋" w:hAnsi="仿宋" w:eastAsia="仿宋" w:cs="仿宋"/>
                <w:color w:val="auto"/>
                <w:spacing w:val="-6"/>
                <w:sz w:val="24"/>
                <w:highlight w:val="none"/>
              </w:rPr>
            </w:pPr>
          </w:p>
        </w:tc>
      </w:tr>
      <w:tr w14:paraId="6E5C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70A1A93">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168A45EE">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7BCBDF16">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2599AB1F">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49AC6022">
            <w:pPr>
              <w:snapToGrid w:val="0"/>
              <w:spacing w:line="400" w:lineRule="exact"/>
              <w:jc w:val="center"/>
              <w:rPr>
                <w:rFonts w:ascii="仿宋" w:hAnsi="仿宋" w:eastAsia="仿宋" w:cs="仿宋"/>
                <w:color w:val="auto"/>
                <w:spacing w:val="-6"/>
                <w:sz w:val="24"/>
                <w:highlight w:val="none"/>
              </w:rPr>
            </w:pPr>
          </w:p>
        </w:tc>
      </w:tr>
      <w:tr w14:paraId="2BE9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F19DA7">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6864FB97">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5E05D0C9">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4BFC1A6A">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60715E90">
            <w:pPr>
              <w:snapToGrid w:val="0"/>
              <w:spacing w:line="400" w:lineRule="exact"/>
              <w:jc w:val="center"/>
              <w:rPr>
                <w:rFonts w:ascii="仿宋" w:hAnsi="仿宋" w:eastAsia="仿宋" w:cs="仿宋"/>
                <w:color w:val="auto"/>
                <w:spacing w:val="-6"/>
                <w:sz w:val="24"/>
                <w:highlight w:val="none"/>
              </w:rPr>
            </w:pPr>
          </w:p>
        </w:tc>
      </w:tr>
      <w:tr w14:paraId="744F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71CE838">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1FDB3A0B">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47193D96">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46C37C6F">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21536302">
            <w:pPr>
              <w:snapToGrid w:val="0"/>
              <w:spacing w:line="400" w:lineRule="exact"/>
              <w:jc w:val="center"/>
              <w:rPr>
                <w:rFonts w:ascii="仿宋" w:hAnsi="仿宋" w:eastAsia="仿宋" w:cs="仿宋"/>
                <w:color w:val="auto"/>
                <w:spacing w:val="-6"/>
                <w:sz w:val="24"/>
                <w:highlight w:val="none"/>
              </w:rPr>
            </w:pPr>
          </w:p>
        </w:tc>
      </w:tr>
      <w:tr w14:paraId="1F7D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23AA5E2">
            <w:pPr>
              <w:snapToGrid w:val="0"/>
              <w:spacing w:line="400" w:lineRule="exact"/>
              <w:jc w:val="center"/>
              <w:rPr>
                <w:rFonts w:ascii="仿宋" w:hAnsi="仿宋" w:eastAsia="仿宋" w:cs="仿宋"/>
                <w:color w:val="auto"/>
                <w:spacing w:val="-6"/>
                <w:sz w:val="24"/>
                <w:highlight w:val="none"/>
              </w:rPr>
            </w:pPr>
          </w:p>
        </w:tc>
        <w:tc>
          <w:tcPr>
            <w:tcW w:w="1656" w:type="dxa"/>
            <w:vAlign w:val="center"/>
          </w:tcPr>
          <w:p w14:paraId="52E3D4E3">
            <w:pPr>
              <w:snapToGrid w:val="0"/>
              <w:spacing w:line="400" w:lineRule="exact"/>
              <w:jc w:val="center"/>
              <w:rPr>
                <w:rFonts w:ascii="仿宋" w:hAnsi="仿宋" w:eastAsia="仿宋" w:cs="仿宋"/>
                <w:color w:val="auto"/>
                <w:spacing w:val="-6"/>
                <w:sz w:val="24"/>
                <w:highlight w:val="none"/>
              </w:rPr>
            </w:pPr>
          </w:p>
        </w:tc>
        <w:tc>
          <w:tcPr>
            <w:tcW w:w="3219" w:type="dxa"/>
            <w:vAlign w:val="center"/>
          </w:tcPr>
          <w:p w14:paraId="6FA23F9E">
            <w:pPr>
              <w:snapToGrid w:val="0"/>
              <w:spacing w:line="400" w:lineRule="exact"/>
              <w:jc w:val="center"/>
              <w:rPr>
                <w:rFonts w:ascii="仿宋" w:hAnsi="仿宋" w:eastAsia="仿宋" w:cs="仿宋"/>
                <w:color w:val="auto"/>
                <w:spacing w:val="-6"/>
                <w:sz w:val="24"/>
                <w:highlight w:val="none"/>
              </w:rPr>
            </w:pPr>
          </w:p>
        </w:tc>
        <w:tc>
          <w:tcPr>
            <w:tcW w:w="1822" w:type="dxa"/>
            <w:vAlign w:val="center"/>
          </w:tcPr>
          <w:p w14:paraId="0F97F0EE">
            <w:pPr>
              <w:snapToGrid w:val="0"/>
              <w:spacing w:line="400" w:lineRule="exact"/>
              <w:jc w:val="center"/>
              <w:rPr>
                <w:rFonts w:ascii="仿宋" w:hAnsi="仿宋" w:eastAsia="仿宋" w:cs="仿宋"/>
                <w:color w:val="auto"/>
                <w:spacing w:val="-6"/>
                <w:sz w:val="24"/>
                <w:highlight w:val="none"/>
              </w:rPr>
            </w:pPr>
          </w:p>
        </w:tc>
        <w:tc>
          <w:tcPr>
            <w:tcW w:w="1735" w:type="dxa"/>
            <w:vAlign w:val="center"/>
          </w:tcPr>
          <w:p w14:paraId="0DEB40ED">
            <w:pPr>
              <w:snapToGrid w:val="0"/>
              <w:spacing w:line="400" w:lineRule="exact"/>
              <w:jc w:val="center"/>
              <w:rPr>
                <w:rFonts w:ascii="仿宋" w:hAnsi="仿宋" w:eastAsia="仿宋" w:cs="仿宋"/>
                <w:color w:val="auto"/>
                <w:spacing w:val="-6"/>
                <w:sz w:val="24"/>
                <w:highlight w:val="none"/>
              </w:rPr>
            </w:pPr>
          </w:p>
        </w:tc>
      </w:tr>
    </w:tbl>
    <w:p w14:paraId="7AB92BEC">
      <w:pPr>
        <w:jc w:val="left"/>
        <w:rPr>
          <w:rFonts w:ascii="仿宋" w:hAnsi="仿宋" w:eastAsia="仿宋" w:cs="仿宋"/>
          <w:color w:val="auto"/>
          <w:kern w:val="0"/>
          <w:sz w:val="24"/>
          <w:highlight w:val="none"/>
        </w:rPr>
      </w:pPr>
    </w:p>
    <w:p w14:paraId="0152A505">
      <w:pPr>
        <w:snapToGrid w:val="0"/>
        <w:spacing w:line="400" w:lineRule="exact"/>
        <w:jc w:val="left"/>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注意：1.逐项按照采购文件要求填写响应规格；如不填写或留空，则视为完全响应采购文件的要求</w:t>
      </w:r>
      <w:r>
        <w:rPr>
          <w:rFonts w:hint="eastAsia" w:ascii="仿宋" w:hAnsi="仿宋" w:eastAsia="仿宋" w:cs="仿宋"/>
          <w:b/>
          <w:color w:val="auto"/>
          <w:spacing w:val="-6"/>
          <w:sz w:val="24"/>
          <w:highlight w:val="none"/>
        </w:rPr>
        <w:t>，自行承担投标响应风险</w:t>
      </w:r>
      <w:r>
        <w:rPr>
          <w:rFonts w:hint="eastAsia" w:ascii="仿宋" w:hAnsi="仿宋" w:eastAsia="仿宋" w:cs="仿宋"/>
          <w:b/>
          <w:bCs/>
          <w:color w:val="auto"/>
          <w:spacing w:val="-6"/>
          <w:sz w:val="24"/>
          <w:szCs w:val="22"/>
          <w:highlight w:val="none"/>
        </w:rPr>
        <w:t>。</w:t>
      </w:r>
    </w:p>
    <w:p w14:paraId="534C3D64">
      <w:pPr>
        <w:snapToGrid w:val="0"/>
        <w:spacing w:line="400" w:lineRule="exact"/>
        <w:ind w:firstLine="687" w:firstLineChars="300"/>
        <w:jc w:val="left"/>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0B122F49">
      <w:pPr>
        <w:snapToGrid w:val="0"/>
        <w:spacing w:line="400" w:lineRule="exact"/>
        <w:ind w:firstLine="687" w:firstLineChars="300"/>
        <w:jc w:val="left"/>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3.建议供应商准备采购需求中要求的证明材料（如证书、检测报告等）条目索引，要求清晰提供的证明材料（如证书、检测报告等），由不清晰或者模糊造成无法判断证明材料是否符合要求的风险由供应商自行承担。</w:t>
      </w:r>
    </w:p>
    <w:p w14:paraId="2BB5DBDD">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33D957D9">
      <w:pPr>
        <w:jc w:val="center"/>
        <w:rPr>
          <w:rFonts w:ascii="仿宋" w:hAnsi="仿宋" w:eastAsia="仿宋" w:cs="仿宋"/>
          <w:b/>
          <w:color w:val="auto"/>
          <w:kern w:val="0"/>
          <w:sz w:val="32"/>
          <w:szCs w:val="32"/>
          <w:highlight w:val="none"/>
        </w:rPr>
      </w:pPr>
    </w:p>
    <w:p w14:paraId="66325401">
      <w:pPr>
        <w:jc w:val="center"/>
        <w:rPr>
          <w:rFonts w:ascii="仿宋" w:hAnsi="仿宋" w:eastAsia="仿宋" w:cs="仿宋"/>
          <w:b/>
          <w:color w:val="auto"/>
          <w:kern w:val="0"/>
          <w:sz w:val="32"/>
          <w:szCs w:val="32"/>
          <w:highlight w:val="none"/>
        </w:rPr>
      </w:pPr>
    </w:p>
    <w:p w14:paraId="55BC1671">
      <w:pPr>
        <w:rPr>
          <w:rFonts w:ascii="仿宋" w:hAnsi="仿宋" w:eastAsia="仿宋" w:cs="仿宋"/>
          <w:b/>
          <w:color w:val="auto"/>
          <w:kern w:val="0"/>
          <w:sz w:val="32"/>
          <w:szCs w:val="32"/>
          <w:highlight w:val="none"/>
        </w:rPr>
      </w:pPr>
    </w:p>
    <w:p w14:paraId="04F16C8C">
      <w:pPr>
        <w:spacing w:line="360" w:lineRule="auto"/>
        <w:ind w:firstLine="1911" w:firstLineChars="595"/>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政府采购供应商廉洁自律承诺书</w:t>
      </w:r>
    </w:p>
    <w:p w14:paraId="3B229089">
      <w:pPr>
        <w:snapToGrid w:val="0"/>
        <w:spacing w:line="360" w:lineRule="auto"/>
        <w:rPr>
          <w:rFonts w:ascii="仿宋" w:hAnsi="仿宋" w:eastAsia="仿宋" w:cs="仿宋"/>
          <w:color w:val="auto"/>
          <w:sz w:val="24"/>
          <w:highlight w:val="none"/>
        </w:rPr>
      </w:pPr>
    </w:p>
    <w:p w14:paraId="02A497A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温州市公安局交通管理局、温州市华越招标代理有限公司</w:t>
      </w:r>
      <w:r>
        <w:rPr>
          <w:rFonts w:hint="eastAsia" w:ascii="仿宋" w:hAnsi="仿宋" w:eastAsia="仿宋" w:cs="仿宋"/>
          <w:color w:val="auto"/>
          <w:kern w:val="0"/>
          <w:sz w:val="24"/>
          <w:highlight w:val="none"/>
          <w:lang w:val="zh-CN"/>
        </w:rPr>
        <w:t>：</w:t>
      </w:r>
    </w:p>
    <w:p w14:paraId="6AA6FA8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E006F7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E63AC8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D236FB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D27383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509C22C">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5E71061">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2445507">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13DAEF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C38982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8F6847D">
      <w:pPr>
        <w:autoSpaceDE w:val="0"/>
        <w:autoSpaceDN w:val="0"/>
        <w:spacing w:line="360" w:lineRule="auto"/>
        <w:jc w:val="left"/>
        <w:rPr>
          <w:rFonts w:ascii="仿宋" w:hAnsi="仿宋" w:eastAsia="仿宋" w:cs="仿宋"/>
          <w:color w:val="auto"/>
          <w:kern w:val="0"/>
          <w:sz w:val="24"/>
          <w:highlight w:val="none"/>
          <w:lang w:val="zh-CN"/>
        </w:rPr>
      </w:pPr>
    </w:p>
    <w:p w14:paraId="6CAB2B9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2308F57">
      <w:pPr>
        <w:spacing w:line="360" w:lineRule="auto"/>
        <w:ind w:left="4620" w:leftChars="220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95699D3">
      <w:pPr>
        <w:spacing w:line="360" w:lineRule="auto"/>
        <w:jc w:val="center"/>
        <w:rPr>
          <w:rFonts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26788C0">
      <w:pPr>
        <w:pStyle w:val="3"/>
        <w:jc w:val="center"/>
        <w:rPr>
          <w:rFonts w:ascii="仿宋" w:eastAsia="仿宋"/>
          <w:color w:val="auto"/>
          <w:highlight w:val="none"/>
        </w:rPr>
      </w:pPr>
      <w:bookmarkStart w:id="537" w:name="_Toc133499565"/>
      <w:r>
        <w:rPr>
          <w:rFonts w:hint="eastAsia" w:ascii="仿宋" w:eastAsia="仿宋"/>
          <w:color w:val="auto"/>
          <w:highlight w:val="none"/>
        </w:rPr>
        <w:t>报价文件部分</w:t>
      </w:r>
      <w:bookmarkEnd w:id="537"/>
    </w:p>
    <w:p w14:paraId="687AF27C">
      <w:pPr>
        <w:snapToGrid w:val="0"/>
        <w:spacing w:line="360" w:lineRule="auto"/>
        <w:ind w:right="480"/>
        <w:jc w:val="center"/>
        <w:rPr>
          <w:rFonts w:ascii="仿宋" w:hAnsi="仿宋" w:eastAsia="仿宋" w:cs="仿宋"/>
          <w:b/>
          <w:color w:val="auto"/>
          <w:kern w:val="0"/>
          <w:sz w:val="32"/>
          <w:szCs w:val="32"/>
          <w:highlight w:val="none"/>
        </w:rPr>
      </w:pPr>
      <w:bookmarkStart w:id="538" w:name="_Toc14052"/>
      <w:bookmarkStart w:id="539" w:name="_Toc24830"/>
      <w:bookmarkStart w:id="540" w:name="_Toc9713"/>
      <w:r>
        <w:rPr>
          <w:rFonts w:hint="eastAsia" w:ascii="仿宋" w:hAnsi="仿宋" w:eastAsia="仿宋" w:cs="仿宋"/>
          <w:b/>
          <w:color w:val="auto"/>
          <w:kern w:val="0"/>
          <w:sz w:val="32"/>
          <w:szCs w:val="32"/>
          <w:highlight w:val="none"/>
        </w:rPr>
        <w:t>目录</w:t>
      </w:r>
      <w:bookmarkEnd w:id="538"/>
      <w:bookmarkEnd w:id="539"/>
      <w:bookmarkEnd w:id="540"/>
    </w:p>
    <w:p w14:paraId="55102064">
      <w:pPr>
        <w:snapToGrid w:val="0"/>
        <w:spacing w:line="360" w:lineRule="auto"/>
        <w:ind w:right="480"/>
        <w:jc w:val="center"/>
        <w:rPr>
          <w:rFonts w:ascii="仿宋" w:hAnsi="仿宋" w:eastAsia="仿宋" w:cs="仿宋"/>
          <w:b/>
          <w:color w:val="auto"/>
          <w:kern w:val="0"/>
          <w:sz w:val="32"/>
          <w:szCs w:val="32"/>
          <w:highlight w:val="none"/>
        </w:rPr>
      </w:pPr>
    </w:p>
    <w:p w14:paraId="4D66B515">
      <w:pPr>
        <w:numPr>
          <w:ilvl w:val="0"/>
          <w:numId w:val="15"/>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开标一览表…………………………………………………………（页码）</w:t>
      </w:r>
    </w:p>
    <w:p w14:paraId="4A931794">
      <w:pPr>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（2）分项报价表 ………………………………………………………（页码）</w:t>
      </w:r>
    </w:p>
    <w:p w14:paraId="31C764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）中小企业声明函……………………………………………………（页码）</w:t>
      </w:r>
    </w:p>
    <w:p w14:paraId="2F72BDD2">
      <w:pPr>
        <w:snapToGrid w:val="0"/>
        <w:spacing w:line="360" w:lineRule="auto"/>
        <w:ind w:right="480"/>
        <w:jc w:val="center"/>
        <w:rPr>
          <w:rFonts w:ascii="仿宋" w:hAnsi="仿宋" w:eastAsia="仿宋" w:cs="仿宋"/>
          <w:b/>
          <w:color w:val="auto"/>
          <w:kern w:val="0"/>
          <w:sz w:val="32"/>
          <w:szCs w:val="32"/>
          <w:highlight w:val="none"/>
        </w:rPr>
      </w:pPr>
    </w:p>
    <w:p w14:paraId="0BB1305A">
      <w:pPr>
        <w:snapToGrid w:val="0"/>
        <w:spacing w:line="360" w:lineRule="auto"/>
        <w:ind w:right="480"/>
        <w:jc w:val="center"/>
        <w:rPr>
          <w:rFonts w:ascii="仿宋" w:hAnsi="仿宋" w:eastAsia="仿宋" w:cs="仿宋"/>
          <w:b/>
          <w:color w:val="auto"/>
          <w:kern w:val="0"/>
          <w:sz w:val="32"/>
          <w:szCs w:val="32"/>
          <w:highlight w:val="none"/>
        </w:rPr>
      </w:pPr>
    </w:p>
    <w:p w14:paraId="769301FC">
      <w:pPr>
        <w:snapToGrid w:val="0"/>
        <w:spacing w:line="360" w:lineRule="auto"/>
        <w:ind w:right="480"/>
        <w:jc w:val="center"/>
        <w:rPr>
          <w:rFonts w:ascii="仿宋" w:hAnsi="仿宋" w:eastAsia="仿宋" w:cs="仿宋"/>
          <w:b/>
          <w:color w:val="auto"/>
          <w:kern w:val="0"/>
          <w:sz w:val="32"/>
          <w:szCs w:val="32"/>
          <w:highlight w:val="none"/>
        </w:rPr>
      </w:pPr>
    </w:p>
    <w:p w14:paraId="2BF000AB">
      <w:pPr>
        <w:snapToGrid w:val="0"/>
        <w:spacing w:line="360" w:lineRule="auto"/>
        <w:ind w:right="480"/>
        <w:jc w:val="center"/>
        <w:rPr>
          <w:rFonts w:ascii="仿宋" w:hAnsi="仿宋" w:eastAsia="仿宋" w:cs="仿宋"/>
          <w:b/>
          <w:color w:val="auto"/>
          <w:kern w:val="0"/>
          <w:sz w:val="32"/>
          <w:szCs w:val="32"/>
          <w:highlight w:val="none"/>
        </w:rPr>
      </w:pPr>
    </w:p>
    <w:p w14:paraId="6C9667BE">
      <w:pPr>
        <w:snapToGrid w:val="0"/>
        <w:spacing w:line="360" w:lineRule="auto"/>
        <w:ind w:right="480"/>
        <w:jc w:val="center"/>
        <w:rPr>
          <w:rFonts w:ascii="仿宋" w:hAnsi="仿宋" w:eastAsia="仿宋" w:cs="仿宋"/>
          <w:b/>
          <w:color w:val="auto"/>
          <w:kern w:val="0"/>
          <w:sz w:val="32"/>
          <w:szCs w:val="32"/>
          <w:highlight w:val="none"/>
        </w:rPr>
      </w:pPr>
    </w:p>
    <w:p w14:paraId="1382209C">
      <w:pPr>
        <w:snapToGrid w:val="0"/>
        <w:spacing w:line="360" w:lineRule="auto"/>
        <w:ind w:right="480"/>
        <w:jc w:val="center"/>
        <w:rPr>
          <w:rFonts w:ascii="仿宋" w:hAnsi="仿宋" w:eastAsia="仿宋" w:cs="仿宋"/>
          <w:b/>
          <w:color w:val="auto"/>
          <w:kern w:val="0"/>
          <w:sz w:val="32"/>
          <w:szCs w:val="32"/>
          <w:highlight w:val="none"/>
        </w:rPr>
      </w:pPr>
    </w:p>
    <w:p w14:paraId="4FF53379">
      <w:pPr>
        <w:snapToGrid w:val="0"/>
        <w:spacing w:line="360" w:lineRule="auto"/>
        <w:ind w:right="480"/>
        <w:jc w:val="center"/>
        <w:rPr>
          <w:rFonts w:ascii="仿宋" w:hAnsi="仿宋" w:eastAsia="仿宋" w:cs="仿宋"/>
          <w:b/>
          <w:color w:val="auto"/>
          <w:kern w:val="0"/>
          <w:sz w:val="32"/>
          <w:szCs w:val="32"/>
          <w:highlight w:val="none"/>
        </w:rPr>
      </w:pPr>
    </w:p>
    <w:p w14:paraId="3A6CFAB1">
      <w:pPr>
        <w:snapToGrid w:val="0"/>
        <w:spacing w:line="360" w:lineRule="auto"/>
        <w:ind w:right="480"/>
        <w:jc w:val="center"/>
        <w:rPr>
          <w:rFonts w:ascii="仿宋" w:hAnsi="仿宋" w:eastAsia="仿宋" w:cs="仿宋"/>
          <w:b/>
          <w:color w:val="auto"/>
          <w:kern w:val="0"/>
          <w:sz w:val="32"/>
          <w:szCs w:val="32"/>
          <w:highlight w:val="none"/>
        </w:rPr>
      </w:pPr>
    </w:p>
    <w:p w14:paraId="5D95AD44">
      <w:pPr>
        <w:snapToGrid w:val="0"/>
        <w:spacing w:line="360" w:lineRule="auto"/>
        <w:ind w:right="480"/>
        <w:jc w:val="center"/>
        <w:rPr>
          <w:rFonts w:ascii="仿宋" w:hAnsi="仿宋" w:eastAsia="仿宋" w:cs="仿宋"/>
          <w:b/>
          <w:color w:val="auto"/>
          <w:kern w:val="0"/>
          <w:sz w:val="32"/>
          <w:szCs w:val="32"/>
          <w:highlight w:val="none"/>
        </w:rPr>
      </w:pPr>
    </w:p>
    <w:p w14:paraId="3E47D950">
      <w:pPr>
        <w:snapToGrid w:val="0"/>
        <w:spacing w:line="360" w:lineRule="auto"/>
        <w:ind w:right="480"/>
        <w:jc w:val="center"/>
        <w:rPr>
          <w:rFonts w:ascii="仿宋" w:hAnsi="仿宋" w:eastAsia="仿宋" w:cs="仿宋"/>
          <w:b/>
          <w:color w:val="auto"/>
          <w:kern w:val="0"/>
          <w:sz w:val="32"/>
          <w:szCs w:val="32"/>
          <w:highlight w:val="none"/>
        </w:rPr>
      </w:pPr>
    </w:p>
    <w:p w14:paraId="79E7DA5A">
      <w:pPr>
        <w:snapToGrid w:val="0"/>
        <w:spacing w:line="360" w:lineRule="auto"/>
        <w:ind w:right="480"/>
        <w:rPr>
          <w:rFonts w:ascii="仿宋" w:hAnsi="仿宋" w:eastAsia="仿宋" w:cs="仿宋"/>
          <w:b/>
          <w:color w:val="auto"/>
          <w:kern w:val="0"/>
          <w:sz w:val="32"/>
          <w:szCs w:val="32"/>
          <w:highlight w:val="none"/>
        </w:rPr>
      </w:pPr>
    </w:p>
    <w:p w14:paraId="4C37FC32">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EB9C9AA">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541" w:name="_Toc23337"/>
      <w:bookmarkStart w:id="542" w:name="_Toc24274"/>
      <w:bookmarkStart w:id="543" w:name="_Toc17889"/>
      <w:r>
        <w:rPr>
          <w:rFonts w:hint="eastAsia" w:ascii="仿宋" w:hAnsi="仿宋" w:eastAsia="仿宋" w:cs="仿宋"/>
          <w:color w:val="auto"/>
          <w:kern w:val="2"/>
          <w:sz w:val="32"/>
          <w:szCs w:val="32"/>
          <w:highlight w:val="none"/>
        </w:rPr>
        <w:t>一、开标一览表</w:t>
      </w:r>
      <w:bookmarkEnd w:id="541"/>
      <w:bookmarkEnd w:id="542"/>
      <w:bookmarkEnd w:id="543"/>
    </w:p>
    <w:p w14:paraId="029A493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温州市公安局交通管理局、温州市华越招标代理有限公司</w:t>
      </w:r>
      <w:r>
        <w:rPr>
          <w:rFonts w:hint="eastAsia" w:ascii="仿宋" w:hAnsi="仿宋" w:eastAsia="仿宋" w:cs="仿宋"/>
          <w:color w:val="auto"/>
          <w:kern w:val="0"/>
          <w:sz w:val="24"/>
          <w:highlight w:val="none"/>
          <w:lang w:val="zh-CN"/>
        </w:rPr>
        <w:t>：</w:t>
      </w:r>
    </w:p>
    <w:p w14:paraId="0E0E3FBC">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5063"/>
        <w:gridCol w:w="7633"/>
      </w:tblGrid>
      <w:tr w14:paraId="584BF5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1544" w:type="dxa"/>
            <w:tcMar>
              <w:top w:w="0" w:type="dxa"/>
              <w:left w:w="108" w:type="dxa"/>
              <w:bottom w:w="0" w:type="dxa"/>
              <w:right w:w="108" w:type="dxa"/>
            </w:tcMar>
            <w:vAlign w:val="center"/>
          </w:tcPr>
          <w:p w14:paraId="509003E9">
            <w:pPr>
              <w:widowControl/>
              <w:spacing w:before="60" w:after="60"/>
              <w:ind w:left="60" w:right="60"/>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5063" w:type="dxa"/>
            <w:tcMar>
              <w:top w:w="0" w:type="dxa"/>
              <w:left w:w="108" w:type="dxa"/>
              <w:bottom w:w="0" w:type="dxa"/>
              <w:right w:w="108" w:type="dxa"/>
            </w:tcMar>
            <w:vAlign w:val="center"/>
          </w:tcPr>
          <w:p w14:paraId="64EA0819">
            <w:pPr>
              <w:widowControl/>
              <w:spacing w:before="60" w:after="60"/>
              <w:ind w:left="60" w:right="60"/>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内容</w:t>
            </w:r>
          </w:p>
        </w:tc>
        <w:tc>
          <w:tcPr>
            <w:tcW w:w="7633" w:type="dxa"/>
            <w:tcMar>
              <w:top w:w="0" w:type="dxa"/>
              <w:left w:w="108" w:type="dxa"/>
              <w:bottom w:w="0" w:type="dxa"/>
              <w:right w:w="108" w:type="dxa"/>
            </w:tcMar>
            <w:vAlign w:val="center"/>
          </w:tcPr>
          <w:p w14:paraId="5A3C8176">
            <w:pPr>
              <w:widowControl/>
              <w:spacing w:before="60" w:after="60"/>
              <w:ind w:left="60" w:right="60"/>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投标总价</w:t>
            </w:r>
          </w:p>
        </w:tc>
      </w:tr>
      <w:tr w14:paraId="1353E1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1544" w:type="dxa"/>
            <w:tcMar>
              <w:top w:w="0" w:type="dxa"/>
              <w:left w:w="108" w:type="dxa"/>
              <w:bottom w:w="0" w:type="dxa"/>
              <w:right w:w="108" w:type="dxa"/>
            </w:tcMar>
            <w:vAlign w:val="center"/>
          </w:tcPr>
          <w:p w14:paraId="4156ABF7">
            <w:pPr>
              <w:widowControl/>
              <w:spacing w:before="60" w:after="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5063" w:type="dxa"/>
            <w:tcMar>
              <w:top w:w="0" w:type="dxa"/>
              <w:left w:w="108" w:type="dxa"/>
              <w:bottom w:w="0" w:type="dxa"/>
              <w:right w:w="108" w:type="dxa"/>
            </w:tcMar>
            <w:vAlign w:val="center"/>
          </w:tcPr>
          <w:p w14:paraId="7F87E37E">
            <w:pPr>
              <w:widowControl/>
              <w:spacing w:before="60" w:after="60"/>
              <w:jc w:val="center"/>
              <w:rPr>
                <w:rFonts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rPr>
              <w:t xml:space="preserve"> </w:t>
            </w:r>
          </w:p>
        </w:tc>
        <w:tc>
          <w:tcPr>
            <w:tcW w:w="7633" w:type="dxa"/>
            <w:tcMar>
              <w:top w:w="0" w:type="dxa"/>
              <w:left w:w="108" w:type="dxa"/>
              <w:bottom w:w="0" w:type="dxa"/>
              <w:right w:w="108" w:type="dxa"/>
            </w:tcMar>
            <w:vAlign w:val="center"/>
          </w:tcPr>
          <w:p w14:paraId="1615301E">
            <w:pPr>
              <w:autoSpaceDE w:val="0"/>
              <w:autoSpaceDN w:val="0"/>
              <w:spacing w:line="380" w:lineRule="atLeast"/>
              <w:ind w:right="349"/>
              <w:jc w:val="left"/>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（大写）：</w:t>
            </w:r>
          </w:p>
          <w:p w14:paraId="1D0118E4">
            <w:pPr>
              <w:autoSpaceDE w:val="0"/>
              <w:autoSpaceDN w:val="0"/>
              <w:spacing w:line="380" w:lineRule="atLeast"/>
              <w:ind w:right="349" w:firstLine="331"/>
              <w:jc w:val="left"/>
              <w:rPr>
                <w:rFonts w:ascii="仿宋" w:hAnsi="仿宋" w:eastAsia="仿宋" w:cs="仿宋"/>
                <w:b/>
                <w:bCs/>
                <w:color w:val="auto"/>
                <w:kern w:val="0"/>
                <w:sz w:val="22"/>
                <w:szCs w:val="22"/>
                <w:highlight w:val="none"/>
              </w:rPr>
            </w:pPr>
          </w:p>
          <w:p w14:paraId="6CC64701">
            <w:pPr>
              <w:widowControl/>
              <w:spacing w:before="60" w:after="60"/>
              <w:rPr>
                <w:rFonts w:ascii="仿宋" w:hAnsi="仿宋" w:eastAsia="仿宋" w:cs="仿宋"/>
                <w:bCs/>
                <w:color w:val="auto"/>
                <w:kern w:val="0"/>
                <w:sz w:val="22"/>
                <w:szCs w:val="22"/>
                <w:highlight w:val="none"/>
              </w:rPr>
            </w:pPr>
            <w:r>
              <w:rPr>
                <w:rFonts w:hint="eastAsia" w:ascii="仿宋" w:hAnsi="仿宋" w:eastAsia="仿宋" w:cs="仿宋"/>
                <w:b/>
                <w:bCs/>
                <w:color w:val="auto"/>
                <w:kern w:val="0"/>
                <w:sz w:val="22"/>
                <w:szCs w:val="22"/>
                <w:highlight w:val="none"/>
              </w:rPr>
              <w:t>（小写）：</w:t>
            </w:r>
            <w:r>
              <w:rPr>
                <w:rFonts w:hint="eastAsia" w:ascii="宋体" w:hAnsi="宋体" w:cs="宋体"/>
                <w:b/>
                <w:bCs/>
                <w:color w:val="auto"/>
                <w:kern w:val="0"/>
                <w:sz w:val="22"/>
                <w:szCs w:val="22"/>
                <w:highlight w:val="none"/>
              </w:rPr>
              <w:t>¥</w:t>
            </w:r>
          </w:p>
        </w:tc>
      </w:tr>
    </w:tbl>
    <w:p w14:paraId="4BEF6E02">
      <w:pPr>
        <w:overflowPunct w:val="0"/>
        <w:spacing w:line="380" w:lineRule="exact"/>
        <w:rPr>
          <w:rFonts w:ascii="仿宋" w:hAnsi="仿宋" w:eastAsia="仿宋" w:cs="仿宋"/>
          <w:bCs/>
          <w:color w:val="auto"/>
          <w:sz w:val="22"/>
          <w:szCs w:val="22"/>
          <w:highlight w:val="none"/>
        </w:rPr>
      </w:pPr>
    </w:p>
    <w:p w14:paraId="2D81E619">
      <w:pPr>
        <w:overflowPunct w:val="0"/>
        <w:spacing w:line="46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6B86309A">
      <w:pPr>
        <w:spacing w:line="380" w:lineRule="exact"/>
        <w:ind w:left="12" w:hanging="12" w:hangingChars="5"/>
        <w:rPr>
          <w:rFonts w:ascii="仿宋" w:hAnsi="仿宋" w:eastAsia="仿宋" w:cs="仿宋"/>
          <w:b/>
          <w:color w:val="auto"/>
          <w:sz w:val="22"/>
          <w:highlight w:val="none"/>
          <w:u w:val="thick"/>
        </w:rPr>
      </w:pPr>
      <w:r>
        <w:rPr>
          <w:rFonts w:hint="eastAsia" w:ascii="仿宋" w:hAnsi="仿宋" w:eastAsia="仿宋" w:cs="仿宋"/>
          <w:color w:val="auto"/>
          <w:sz w:val="24"/>
          <w:szCs w:val="20"/>
          <w:highlight w:val="none"/>
          <w:u w:val="thick"/>
        </w:rPr>
        <w:t>▲</w:t>
      </w:r>
      <w:r>
        <w:rPr>
          <w:rFonts w:hint="eastAsia" w:ascii="仿宋" w:hAnsi="仿宋" w:eastAsia="仿宋" w:cs="仿宋"/>
          <w:b/>
          <w:color w:val="auto"/>
          <w:sz w:val="22"/>
          <w:highlight w:val="none"/>
          <w:u w:val="thick"/>
        </w:rPr>
        <w:t>此栏内投标总价应与“分项报价表”中投标报价相一致。</w:t>
      </w:r>
    </w:p>
    <w:p w14:paraId="6292048E">
      <w:pPr>
        <w:autoSpaceDE w:val="0"/>
        <w:autoSpaceDN w:val="0"/>
        <w:spacing w:line="360" w:lineRule="auto"/>
        <w:ind w:right="1120"/>
        <w:jc w:val="left"/>
        <w:rPr>
          <w:rFonts w:ascii="仿宋" w:hAnsi="仿宋" w:eastAsia="仿宋" w:cs="仿宋"/>
          <w:color w:val="auto"/>
          <w:kern w:val="0"/>
          <w:sz w:val="24"/>
          <w:highlight w:val="none"/>
          <w:lang w:val="zh-CN"/>
        </w:rPr>
      </w:pPr>
    </w:p>
    <w:p w14:paraId="6BE127A5">
      <w:pPr>
        <w:autoSpaceDE w:val="0"/>
        <w:autoSpaceDN w:val="0"/>
        <w:spacing w:line="360" w:lineRule="auto"/>
        <w:ind w:right="11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4488FEE">
      <w:pPr>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4DD00CE">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kern w:val="2"/>
          <w:sz w:val="32"/>
          <w:szCs w:val="32"/>
          <w:highlight w:val="none"/>
        </w:rPr>
        <w:t>二、分项报价表</w:t>
      </w:r>
    </w:p>
    <w:p w14:paraId="58B53C8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温州市公安局交通管理局、温州市华越招标代理有限公司</w:t>
      </w:r>
      <w:r>
        <w:rPr>
          <w:rFonts w:hint="eastAsia" w:ascii="仿宋" w:hAnsi="仿宋" w:eastAsia="仿宋" w:cs="仿宋"/>
          <w:color w:val="auto"/>
          <w:kern w:val="0"/>
          <w:sz w:val="24"/>
          <w:highlight w:val="none"/>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9"/>
        <w:gridCol w:w="1718"/>
        <w:gridCol w:w="2806"/>
        <w:gridCol w:w="538"/>
        <w:gridCol w:w="1559"/>
        <w:gridCol w:w="1984"/>
        <w:gridCol w:w="3119"/>
      </w:tblGrid>
      <w:tr w14:paraId="1CA7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4" w:type="dxa"/>
            <w:vAlign w:val="center"/>
          </w:tcPr>
          <w:p w14:paraId="427FB05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309" w:type="dxa"/>
            <w:vAlign w:val="center"/>
          </w:tcPr>
          <w:p w14:paraId="2D71494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718" w:type="dxa"/>
          </w:tcPr>
          <w:p w14:paraId="0B4D5C3E">
            <w:pPr>
              <w:spacing w:line="360" w:lineRule="auto"/>
              <w:jc w:val="center"/>
              <w:rPr>
                <w:rFonts w:ascii="仿宋" w:hAnsi="仿宋" w:eastAsia="仿宋" w:cs="仿宋"/>
                <w:b/>
                <w:color w:val="auto"/>
                <w:sz w:val="24"/>
                <w:highlight w:val="none"/>
              </w:rPr>
            </w:pPr>
          </w:p>
          <w:p w14:paraId="2CC968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2806" w:type="dxa"/>
            <w:vAlign w:val="center"/>
          </w:tcPr>
          <w:p w14:paraId="2B820B5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538" w:type="dxa"/>
            <w:vAlign w:val="center"/>
          </w:tcPr>
          <w:p w14:paraId="1563E82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387A7C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5AB24B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3769EE80">
            <w:pPr>
              <w:spacing w:line="360" w:lineRule="auto"/>
              <w:jc w:val="center"/>
              <w:rPr>
                <w:rFonts w:ascii="仿宋" w:hAnsi="仿宋" w:eastAsia="仿宋" w:cs="仿宋"/>
                <w:b/>
                <w:color w:val="auto"/>
                <w:sz w:val="24"/>
                <w:highlight w:val="none"/>
              </w:rPr>
            </w:pPr>
          </w:p>
          <w:p w14:paraId="204D089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4E0390BA">
            <w:pPr>
              <w:spacing w:line="360" w:lineRule="auto"/>
              <w:jc w:val="center"/>
              <w:rPr>
                <w:rFonts w:hint="default" w:ascii="仿宋" w:hAnsi="仿宋" w:eastAsia="仿宋" w:cs="仿宋"/>
                <w:b/>
                <w:color w:val="auto"/>
                <w:sz w:val="24"/>
                <w:highlight w:val="none"/>
                <w:lang w:val="en-US" w:eastAsia="zh-CN"/>
              </w:rPr>
            </w:pPr>
          </w:p>
        </w:tc>
      </w:tr>
      <w:tr w14:paraId="19C4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6848032">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1</w:t>
            </w:r>
          </w:p>
        </w:tc>
        <w:tc>
          <w:tcPr>
            <w:tcW w:w="2309" w:type="dxa"/>
            <w:vAlign w:val="center"/>
          </w:tcPr>
          <w:p w14:paraId="20F8A0A2">
            <w:pPr>
              <w:widowControl/>
              <w:jc w:val="both"/>
              <w:rPr>
                <w:rFonts w:ascii="仿宋" w:hAnsi="仿宋" w:eastAsia="仿宋" w:cs="仿宋"/>
                <w:color w:val="auto"/>
                <w:sz w:val="24"/>
                <w:highlight w:val="none"/>
              </w:rPr>
            </w:pPr>
            <w:r>
              <w:rPr>
                <w:rFonts w:hint="eastAsia" w:ascii="仿宋" w:hAnsi="仿宋" w:eastAsia="仿宋" w:cs="仿宋"/>
                <w:color w:val="auto"/>
                <w:sz w:val="24"/>
                <w:szCs w:val="24"/>
                <w:highlight w:val="none"/>
              </w:rPr>
              <w:t>数据中心各类核心设备</w:t>
            </w:r>
            <w:r>
              <w:rPr>
                <w:rFonts w:hint="eastAsia" w:ascii="仿宋" w:hAnsi="仿宋" w:eastAsia="仿宋" w:cs="仿宋"/>
                <w:color w:val="auto"/>
                <w:sz w:val="24"/>
                <w:szCs w:val="24"/>
                <w:highlight w:val="none"/>
                <w:lang w:val="en-US" w:eastAsia="zh-CN"/>
              </w:rPr>
              <w:t>、大数据平台</w:t>
            </w:r>
            <w:r>
              <w:rPr>
                <w:rFonts w:hint="eastAsia" w:ascii="仿宋" w:hAnsi="仿宋" w:eastAsia="仿宋" w:cs="仿宋"/>
                <w:color w:val="auto"/>
                <w:sz w:val="24"/>
                <w:szCs w:val="24"/>
                <w:highlight w:val="none"/>
              </w:rPr>
              <w:t>维保</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kern w:val="0"/>
                <w:sz w:val="24"/>
                <w:szCs w:val="24"/>
                <w:highlight w:val="none"/>
              </w:rPr>
              <w:t>运营商线路租赁</w:t>
            </w:r>
          </w:p>
        </w:tc>
        <w:tc>
          <w:tcPr>
            <w:tcW w:w="1718" w:type="dxa"/>
            <w:vAlign w:val="center"/>
          </w:tcPr>
          <w:p w14:paraId="67BF21D3">
            <w:pPr>
              <w:widowControl/>
              <w:jc w:val="center"/>
              <w:rPr>
                <w:rFonts w:ascii="仿宋" w:hAnsi="仿宋" w:eastAsia="仿宋" w:cs="仿宋"/>
                <w:color w:val="auto"/>
                <w:sz w:val="24"/>
                <w:highlight w:val="none"/>
              </w:rPr>
            </w:pPr>
          </w:p>
        </w:tc>
        <w:tc>
          <w:tcPr>
            <w:tcW w:w="2806" w:type="dxa"/>
            <w:vAlign w:val="center"/>
          </w:tcPr>
          <w:p w14:paraId="07DC2DD6">
            <w:pPr>
              <w:widowControl/>
              <w:jc w:val="both"/>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详见维保服务清单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含2名驻场人员，</w:t>
            </w:r>
          </w:p>
        </w:tc>
        <w:tc>
          <w:tcPr>
            <w:tcW w:w="538" w:type="dxa"/>
            <w:vAlign w:val="center"/>
          </w:tcPr>
          <w:p w14:paraId="1CA4DAD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559" w:type="dxa"/>
            <w:vAlign w:val="center"/>
          </w:tcPr>
          <w:p w14:paraId="67D6B133">
            <w:pPr>
              <w:spacing w:line="360" w:lineRule="auto"/>
              <w:jc w:val="center"/>
              <w:rPr>
                <w:rFonts w:ascii="仿宋" w:hAnsi="仿宋" w:eastAsia="仿宋" w:cs="仿宋"/>
                <w:color w:val="auto"/>
                <w:sz w:val="24"/>
                <w:highlight w:val="none"/>
              </w:rPr>
            </w:pPr>
          </w:p>
        </w:tc>
        <w:tc>
          <w:tcPr>
            <w:tcW w:w="1984" w:type="dxa"/>
            <w:vAlign w:val="center"/>
          </w:tcPr>
          <w:p w14:paraId="4AE5D851">
            <w:pPr>
              <w:spacing w:line="360" w:lineRule="auto"/>
              <w:jc w:val="center"/>
              <w:rPr>
                <w:rFonts w:ascii="仿宋" w:hAnsi="仿宋" w:eastAsia="仿宋" w:cs="仿宋"/>
                <w:color w:val="auto"/>
                <w:sz w:val="24"/>
                <w:highlight w:val="none"/>
              </w:rPr>
            </w:pPr>
          </w:p>
        </w:tc>
        <w:tc>
          <w:tcPr>
            <w:tcW w:w="3119" w:type="dxa"/>
            <w:vAlign w:val="center"/>
          </w:tcPr>
          <w:p w14:paraId="2FD9BC9B">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2024年11月20日-2025年11月19日（365天）</w:t>
            </w:r>
          </w:p>
        </w:tc>
      </w:tr>
      <w:tr w14:paraId="4A13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5EC17F">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2</w:t>
            </w:r>
          </w:p>
        </w:tc>
        <w:tc>
          <w:tcPr>
            <w:tcW w:w="2309" w:type="dxa"/>
            <w:vAlign w:val="center"/>
          </w:tcPr>
          <w:p w14:paraId="6655FA02">
            <w:pPr>
              <w:widowControl/>
              <w:jc w:val="both"/>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计算机综合运维保障服务</w:t>
            </w:r>
          </w:p>
        </w:tc>
        <w:tc>
          <w:tcPr>
            <w:tcW w:w="1718" w:type="dxa"/>
            <w:vAlign w:val="center"/>
          </w:tcPr>
          <w:p w14:paraId="4A77E5DF">
            <w:pPr>
              <w:widowControl/>
              <w:jc w:val="center"/>
              <w:rPr>
                <w:rFonts w:ascii="仿宋" w:hAnsi="仿宋" w:eastAsia="仿宋" w:cs="仿宋"/>
                <w:color w:val="auto"/>
                <w:sz w:val="24"/>
                <w:highlight w:val="none"/>
              </w:rPr>
            </w:pPr>
          </w:p>
        </w:tc>
        <w:tc>
          <w:tcPr>
            <w:tcW w:w="2806" w:type="dxa"/>
            <w:vAlign w:val="center"/>
          </w:tcPr>
          <w:p w14:paraId="2673D01C">
            <w:pPr>
              <w:widowControl/>
              <w:jc w:val="both"/>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含6名驻场人员，</w:t>
            </w:r>
          </w:p>
        </w:tc>
        <w:tc>
          <w:tcPr>
            <w:tcW w:w="538" w:type="dxa"/>
            <w:vAlign w:val="center"/>
          </w:tcPr>
          <w:p w14:paraId="570E02F6">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559" w:type="dxa"/>
            <w:vAlign w:val="center"/>
          </w:tcPr>
          <w:p w14:paraId="5DBF6ABF">
            <w:pPr>
              <w:spacing w:line="360" w:lineRule="auto"/>
              <w:jc w:val="center"/>
              <w:rPr>
                <w:rFonts w:ascii="仿宋" w:hAnsi="仿宋" w:eastAsia="仿宋" w:cs="仿宋"/>
                <w:color w:val="auto"/>
                <w:sz w:val="24"/>
                <w:highlight w:val="none"/>
              </w:rPr>
            </w:pPr>
          </w:p>
        </w:tc>
        <w:tc>
          <w:tcPr>
            <w:tcW w:w="1984" w:type="dxa"/>
            <w:vAlign w:val="center"/>
          </w:tcPr>
          <w:p w14:paraId="5E074DE1">
            <w:pPr>
              <w:spacing w:line="360" w:lineRule="auto"/>
              <w:jc w:val="center"/>
              <w:rPr>
                <w:rFonts w:ascii="仿宋" w:hAnsi="仿宋" w:eastAsia="仿宋" w:cs="仿宋"/>
                <w:color w:val="auto"/>
                <w:sz w:val="24"/>
                <w:highlight w:val="none"/>
              </w:rPr>
            </w:pPr>
          </w:p>
        </w:tc>
        <w:tc>
          <w:tcPr>
            <w:tcW w:w="3119" w:type="dxa"/>
            <w:vAlign w:val="center"/>
          </w:tcPr>
          <w:p w14:paraId="3EC2482D">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2025年1月1日-2025年12月31日（365天）</w:t>
            </w:r>
          </w:p>
        </w:tc>
      </w:tr>
      <w:tr w14:paraId="57A3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5B108C">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3</w:t>
            </w:r>
          </w:p>
        </w:tc>
        <w:tc>
          <w:tcPr>
            <w:tcW w:w="2309" w:type="dxa"/>
            <w:vAlign w:val="center"/>
          </w:tcPr>
          <w:p w14:paraId="63778846">
            <w:pPr>
              <w:widowControl/>
              <w:jc w:val="both"/>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公安交通管理信息系统运维及公安网安全保障服务租赁</w:t>
            </w:r>
          </w:p>
        </w:tc>
        <w:tc>
          <w:tcPr>
            <w:tcW w:w="1718" w:type="dxa"/>
            <w:vAlign w:val="center"/>
          </w:tcPr>
          <w:p w14:paraId="62C5BCDA">
            <w:pPr>
              <w:widowControl/>
              <w:jc w:val="center"/>
              <w:rPr>
                <w:rFonts w:ascii="仿宋" w:hAnsi="仿宋" w:eastAsia="仿宋" w:cs="仿宋"/>
                <w:color w:val="auto"/>
                <w:sz w:val="24"/>
                <w:highlight w:val="none"/>
              </w:rPr>
            </w:pPr>
          </w:p>
        </w:tc>
        <w:tc>
          <w:tcPr>
            <w:tcW w:w="2806" w:type="dxa"/>
            <w:vAlign w:val="center"/>
          </w:tcPr>
          <w:p w14:paraId="1DDE7D27">
            <w:pPr>
              <w:widowControl/>
              <w:jc w:val="both"/>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eastAsia="zh-CN"/>
              </w:rPr>
              <w:t>公安核心业务信息系统要求驻点运维</w:t>
            </w:r>
          </w:p>
        </w:tc>
        <w:tc>
          <w:tcPr>
            <w:tcW w:w="538" w:type="dxa"/>
            <w:vAlign w:val="center"/>
          </w:tcPr>
          <w:p w14:paraId="1CF9382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559" w:type="dxa"/>
            <w:vAlign w:val="center"/>
          </w:tcPr>
          <w:p w14:paraId="197AAC91">
            <w:pPr>
              <w:spacing w:line="360" w:lineRule="auto"/>
              <w:jc w:val="center"/>
              <w:rPr>
                <w:rFonts w:ascii="仿宋" w:hAnsi="仿宋" w:eastAsia="仿宋" w:cs="仿宋"/>
                <w:color w:val="auto"/>
                <w:sz w:val="24"/>
                <w:highlight w:val="none"/>
              </w:rPr>
            </w:pPr>
          </w:p>
        </w:tc>
        <w:tc>
          <w:tcPr>
            <w:tcW w:w="1984" w:type="dxa"/>
            <w:vAlign w:val="center"/>
          </w:tcPr>
          <w:p w14:paraId="29CB4C19">
            <w:pPr>
              <w:spacing w:line="360" w:lineRule="auto"/>
              <w:jc w:val="center"/>
              <w:rPr>
                <w:rFonts w:ascii="仿宋" w:hAnsi="仿宋" w:eastAsia="仿宋" w:cs="仿宋"/>
                <w:color w:val="auto"/>
                <w:sz w:val="24"/>
                <w:highlight w:val="none"/>
              </w:rPr>
            </w:pPr>
          </w:p>
        </w:tc>
        <w:tc>
          <w:tcPr>
            <w:tcW w:w="3119" w:type="dxa"/>
            <w:vAlign w:val="center"/>
          </w:tcPr>
          <w:p w14:paraId="05BBAE6A">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2025年1月1日-2025年12月31日（365天）</w:t>
            </w:r>
          </w:p>
        </w:tc>
      </w:tr>
      <w:tr w14:paraId="4BA2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7E27F4">
            <w:pPr>
              <w:spacing w:line="360" w:lineRule="auto"/>
              <w:jc w:val="center"/>
              <w:rPr>
                <w:rFonts w:ascii="仿宋" w:hAnsi="仿宋" w:eastAsia="仿宋" w:cs="仿宋"/>
                <w:color w:val="auto"/>
                <w:sz w:val="24"/>
                <w:highlight w:val="none"/>
              </w:rPr>
            </w:pPr>
          </w:p>
        </w:tc>
        <w:tc>
          <w:tcPr>
            <w:tcW w:w="2309" w:type="dxa"/>
            <w:vAlign w:val="center"/>
          </w:tcPr>
          <w:p w14:paraId="13B48B2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718" w:type="dxa"/>
            <w:vAlign w:val="center"/>
          </w:tcPr>
          <w:p w14:paraId="4CE51C2C">
            <w:pPr>
              <w:snapToGrid w:val="0"/>
              <w:spacing w:line="360" w:lineRule="auto"/>
              <w:jc w:val="center"/>
              <w:rPr>
                <w:rFonts w:ascii="仿宋" w:hAnsi="仿宋" w:eastAsia="仿宋" w:cs="仿宋"/>
                <w:color w:val="auto"/>
                <w:sz w:val="24"/>
                <w:highlight w:val="none"/>
              </w:rPr>
            </w:pPr>
          </w:p>
        </w:tc>
        <w:tc>
          <w:tcPr>
            <w:tcW w:w="2806" w:type="dxa"/>
            <w:vAlign w:val="center"/>
          </w:tcPr>
          <w:p w14:paraId="02C56448">
            <w:pPr>
              <w:snapToGrid w:val="0"/>
              <w:spacing w:line="360" w:lineRule="auto"/>
              <w:jc w:val="center"/>
              <w:rPr>
                <w:rFonts w:ascii="仿宋" w:hAnsi="仿宋" w:eastAsia="仿宋" w:cs="仿宋"/>
                <w:color w:val="auto"/>
                <w:sz w:val="24"/>
                <w:highlight w:val="none"/>
              </w:rPr>
            </w:pPr>
          </w:p>
        </w:tc>
        <w:tc>
          <w:tcPr>
            <w:tcW w:w="538" w:type="dxa"/>
            <w:vAlign w:val="center"/>
          </w:tcPr>
          <w:p w14:paraId="7E8E5C98">
            <w:pPr>
              <w:snapToGrid w:val="0"/>
              <w:spacing w:line="360" w:lineRule="auto"/>
              <w:jc w:val="center"/>
              <w:rPr>
                <w:rFonts w:ascii="仿宋" w:hAnsi="仿宋" w:eastAsia="仿宋" w:cs="仿宋"/>
                <w:color w:val="auto"/>
                <w:sz w:val="24"/>
                <w:highlight w:val="none"/>
              </w:rPr>
            </w:pPr>
          </w:p>
        </w:tc>
        <w:tc>
          <w:tcPr>
            <w:tcW w:w="1559" w:type="dxa"/>
            <w:vAlign w:val="center"/>
          </w:tcPr>
          <w:p w14:paraId="2A4A8A84">
            <w:pPr>
              <w:spacing w:line="360" w:lineRule="auto"/>
              <w:jc w:val="center"/>
              <w:rPr>
                <w:rFonts w:ascii="仿宋" w:hAnsi="仿宋" w:eastAsia="仿宋" w:cs="仿宋"/>
                <w:color w:val="auto"/>
                <w:sz w:val="24"/>
                <w:highlight w:val="none"/>
              </w:rPr>
            </w:pPr>
          </w:p>
        </w:tc>
        <w:tc>
          <w:tcPr>
            <w:tcW w:w="1984" w:type="dxa"/>
            <w:vAlign w:val="center"/>
          </w:tcPr>
          <w:p w14:paraId="25057FD6">
            <w:pPr>
              <w:spacing w:line="360" w:lineRule="auto"/>
              <w:jc w:val="center"/>
              <w:rPr>
                <w:rFonts w:ascii="仿宋" w:hAnsi="仿宋" w:eastAsia="仿宋" w:cs="仿宋"/>
                <w:color w:val="auto"/>
                <w:sz w:val="24"/>
                <w:highlight w:val="none"/>
              </w:rPr>
            </w:pPr>
          </w:p>
        </w:tc>
        <w:tc>
          <w:tcPr>
            <w:tcW w:w="3119" w:type="dxa"/>
            <w:vAlign w:val="center"/>
          </w:tcPr>
          <w:p w14:paraId="2838D801">
            <w:pPr>
              <w:spacing w:line="360" w:lineRule="auto"/>
              <w:jc w:val="center"/>
              <w:rPr>
                <w:rFonts w:ascii="仿宋" w:hAnsi="仿宋" w:eastAsia="仿宋" w:cs="仿宋"/>
                <w:color w:val="auto"/>
                <w:sz w:val="24"/>
                <w:highlight w:val="none"/>
              </w:rPr>
            </w:pPr>
          </w:p>
        </w:tc>
      </w:tr>
      <w:tr w14:paraId="1F00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67" w:type="dxa"/>
            <w:gridSpan w:val="4"/>
            <w:vAlign w:val="center"/>
          </w:tcPr>
          <w:p w14:paraId="53A57D2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200" w:type="dxa"/>
            <w:gridSpan w:val="4"/>
            <w:vAlign w:val="center"/>
          </w:tcPr>
          <w:p w14:paraId="56C39756">
            <w:pPr>
              <w:spacing w:line="360" w:lineRule="auto"/>
              <w:jc w:val="center"/>
              <w:rPr>
                <w:rFonts w:ascii="仿宋" w:hAnsi="仿宋" w:eastAsia="仿宋" w:cs="仿宋"/>
                <w:color w:val="auto"/>
                <w:sz w:val="24"/>
                <w:highlight w:val="none"/>
              </w:rPr>
            </w:pPr>
          </w:p>
        </w:tc>
      </w:tr>
      <w:tr w14:paraId="124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67" w:type="dxa"/>
            <w:gridSpan w:val="4"/>
            <w:vAlign w:val="center"/>
          </w:tcPr>
          <w:p w14:paraId="0C82E97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200" w:type="dxa"/>
            <w:gridSpan w:val="4"/>
            <w:vAlign w:val="center"/>
          </w:tcPr>
          <w:p w14:paraId="5DAA42C1">
            <w:pPr>
              <w:spacing w:line="360" w:lineRule="auto"/>
              <w:jc w:val="center"/>
              <w:rPr>
                <w:rFonts w:ascii="仿宋" w:hAnsi="仿宋" w:eastAsia="仿宋" w:cs="仿宋"/>
                <w:color w:val="auto"/>
                <w:sz w:val="24"/>
                <w:highlight w:val="none"/>
              </w:rPr>
            </w:pPr>
          </w:p>
        </w:tc>
      </w:tr>
    </w:tbl>
    <w:p w14:paraId="1A157948">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2945A2">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szCs w:val="20"/>
          <w:highlight w:val="none"/>
          <w:u w:val="thick"/>
        </w:rPr>
        <w:t>▲</w:t>
      </w:r>
      <w:r>
        <w:rPr>
          <w:rFonts w:hint="eastAsia" w:ascii="仿宋" w:hAnsi="仿宋" w:eastAsia="仿宋" w:cs="仿宋"/>
          <w:color w:val="auto"/>
          <w:kern w:val="0"/>
          <w:sz w:val="24"/>
          <w:highlight w:val="none"/>
          <w:u w:val="thick"/>
          <w:lang w:val="zh-CN"/>
        </w:rPr>
        <w:t>1、不提供此表的报价，视为没有实质性响应采购文件要求。</w:t>
      </w:r>
    </w:p>
    <w:p w14:paraId="3143BD8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6836C30A">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76812E93">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10D8C1E6">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CCFE7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6、本表可在不改变格式的情况下根据具体需要自行增减。</w:t>
      </w:r>
    </w:p>
    <w:p w14:paraId="65EF8896">
      <w:pPr>
        <w:autoSpaceDE w:val="0"/>
        <w:autoSpaceDN w:val="0"/>
        <w:spacing w:line="360" w:lineRule="auto"/>
        <w:ind w:right="1120"/>
        <w:jc w:val="left"/>
        <w:rPr>
          <w:rFonts w:ascii="仿宋" w:hAnsi="仿宋" w:eastAsia="仿宋" w:cs="仿宋"/>
          <w:color w:val="auto"/>
          <w:kern w:val="0"/>
          <w:sz w:val="24"/>
          <w:highlight w:val="none"/>
          <w:lang w:val="zh-CN"/>
        </w:rPr>
      </w:pPr>
    </w:p>
    <w:p w14:paraId="663D2F16">
      <w:pPr>
        <w:autoSpaceDE w:val="0"/>
        <w:autoSpaceDN w:val="0"/>
        <w:spacing w:line="360" w:lineRule="auto"/>
        <w:ind w:right="11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9B854D3">
      <w:pPr>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D56D5F5">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17C56A87">
      <w:pPr>
        <w:pStyle w:val="68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AC7F214">
      <w:pPr>
        <w:pStyle w:val="684"/>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bookmarkStart w:id="544" w:name="_Toc9978"/>
      <w:bookmarkStart w:id="545" w:name="_Toc11456"/>
      <w:bookmarkStart w:id="546" w:name="_Toc28168"/>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End w:id="544"/>
      <w:bookmarkEnd w:id="545"/>
      <w:r>
        <w:rPr>
          <w:rFonts w:hint="eastAsia" w:ascii="仿宋" w:hAnsi="仿宋" w:eastAsia="仿宋" w:cs="仿宋"/>
          <w:color w:val="auto"/>
          <w:sz w:val="32"/>
          <w:szCs w:val="32"/>
          <w:highlight w:val="none"/>
        </w:rPr>
        <w:t>（残疾人福利性单位声明函、监狱企业提供的相关证明材料）</w:t>
      </w:r>
      <w:bookmarkEnd w:id="546"/>
    </w:p>
    <w:p w14:paraId="2EA88C4E">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580D245">
      <w:pPr>
        <w:pStyle w:val="684"/>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29AD8369">
      <w:pPr>
        <w:spacing w:line="360" w:lineRule="auto"/>
        <w:ind w:right="420" w:firstLine="3614" w:firstLineChars="1000"/>
        <w:rPr>
          <w:rFonts w:ascii="仿宋" w:hAnsi="仿宋" w:eastAsia="仿宋" w:cs="仿宋"/>
          <w:b/>
          <w:color w:val="auto"/>
          <w:kern w:val="0"/>
          <w:sz w:val="36"/>
          <w:szCs w:val="36"/>
          <w:highlight w:val="none"/>
        </w:rPr>
      </w:pPr>
    </w:p>
    <w:p w14:paraId="2E1D9597">
      <w:pPr>
        <w:spacing w:line="360" w:lineRule="auto"/>
        <w:ind w:right="420" w:firstLine="3614" w:firstLineChars="1000"/>
        <w:rPr>
          <w:rFonts w:ascii="仿宋" w:hAnsi="仿宋" w:eastAsia="仿宋" w:cs="仿宋"/>
          <w:b/>
          <w:color w:val="auto"/>
          <w:kern w:val="0"/>
          <w:sz w:val="36"/>
          <w:szCs w:val="36"/>
          <w:highlight w:val="none"/>
        </w:rPr>
      </w:pPr>
    </w:p>
    <w:p w14:paraId="712AEF8C">
      <w:pPr>
        <w:spacing w:line="360" w:lineRule="auto"/>
        <w:ind w:right="420" w:firstLine="3614" w:firstLineChars="1000"/>
        <w:rPr>
          <w:rFonts w:ascii="仿宋" w:hAnsi="仿宋" w:eastAsia="仿宋" w:cs="仿宋"/>
          <w:b/>
          <w:color w:val="auto"/>
          <w:kern w:val="0"/>
          <w:sz w:val="36"/>
          <w:szCs w:val="36"/>
          <w:highlight w:val="none"/>
        </w:rPr>
      </w:pPr>
    </w:p>
    <w:p w14:paraId="008F5994">
      <w:pPr>
        <w:spacing w:line="360" w:lineRule="auto"/>
        <w:ind w:right="420" w:firstLine="3614" w:firstLineChars="1000"/>
        <w:rPr>
          <w:rFonts w:ascii="仿宋" w:hAnsi="仿宋" w:eastAsia="仿宋" w:cs="仿宋"/>
          <w:b/>
          <w:color w:val="auto"/>
          <w:kern w:val="0"/>
          <w:sz w:val="36"/>
          <w:szCs w:val="36"/>
          <w:highlight w:val="none"/>
        </w:rPr>
      </w:pPr>
    </w:p>
    <w:p w14:paraId="0817F7E1">
      <w:pPr>
        <w:spacing w:line="360" w:lineRule="auto"/>
        <w:ind w:right="420" w:firstLine="3614" w:firstLineChars="1000"/>
        <w:rPr>
          <w:rFonts w:ascii="仿宋" w:hAnsi="仿宋" w:eastAsia="仿宋" w:cs="仿宋"/>
          <w:b/>
          <w:color w:val="auto"/>
          <w:kern w:val="0"/>
          <w:sz w:val="36"/>
          <w:szCs w:val="36"/>
          <w:highlight w:val="none"/>
        </w:rPr>
      </w:pPr>
    </w:p>
    <w:p w14:paraId="40458B56">
      <w:pPr>
        <w:spacing w:line="360" w:lineRule="auto"/>
        <w:ind w:right="420" w:firstLine="3614" w:firstLineChars="1000"/>
        <w:rPr>
          <w:rFonts w:ascii="仿宋" w:hAnsi="仿宋" w:eastAsia="仿宋" w:cs="仿宋"/>
          <w:b/>
          <w:color w:val="auto"/>
          <w:kern w:val="0"/>
          <w:sz w:val="36"/>
          <w:szCs w:val="36"/>
          <w:highlight w:val="none"/>
        </w:rPr>
      </w:pPr>
    </w:p>
    <w:p w14:paraId="142D52BC">
      <w:pPr>
        <w:spacing w:line="360" w:lineRule="auto"/>
        <w:ind w:right="420" w:firstLine="3614" w:firstLineChars="1000"/>
        <w:rPr>
          <w:rFonts w:ascii="仿宋" w:hAnsi="仿宋" w:eastAsia="仿宋" w:cs="仿宋"/>
          <w:b/>
          <w:color w:val="auto"/>
          <w:kern w:val="0"/>
          <w:sz w:val="36"/>
          <w:szCs w:val="36"/>
          <w:highlight w:val="none"/>
        </w:rPr>
      </w:pPr>
    </w:p>
    <w:p w14:paraId="770F7B3D">
      <w:pPr>
        <w:spacing w:line="360" w:lineRule="auto"/>
        <w:ind w:right="420" w:firstLine="3614" w:firstLineChars="1000"/>
        <w:rPr>
          <w:rFonts w:ascii="仿宋" w:hAnsi="仿宋" w:eastAsia="仿宋" w:cs="仿宋"/>
          <w:b/>
          <w:color w:val="auto"/>
          <w:kern w:val="0"/>
          <w:sz w:val="36"/>
          <w:szCs w:val="36"/>
          <w:highlight w:val="none"/>
        </w:rPr>
      </w:pPr>
    </w:p>
    <w:p w14:paraId="4B452A79">
      <w:pPr>
        <w:spacing w:line="360" w:lineRule="auto"/>
        <w:ind w:right="420" w:firstLine="3614" w:firstLineChars="1000"/>
        <w:rPr>
          <w:rFonts w:ascii="仿宋" w:hAnsi="仿宋" w:eastAsia="仿宋" w:cs="仿宋"/>
          <w:b/>
          <w:color w:val="auto"/>
          <w:kern w:val="0"/>
          <w:sz w:val="36"/>
          <w:szCs w:val="36"/>
          <w:highlight w:val="none"/>
        </w:rPr>
      </w:pPr>
    </w:p>
    <w:p w14:paraId="78E48FBD">
      <w:pPr>
        <w:spacing w:line="360" w:lineRule="auto"/>
        <w:ind w:right="420"/>
        <w:rPr>
          <w:rFonts w:ascii="仿宋" w:hAnsi="仿宋" w:eastAsia="仿宋" w:cs="仿宋"/>
          <w:b/>
          <w:color w:val="auto"/>
          <w:kern w:val="0"/>
          <w:sz w:val="36"/>
          <w:szCs w:val="36"/>
          <w:highlight w:val="none"/>
        </w:rPr>
      </w:pPr>
    </w:p>
    <w:p w14:paraId="77D2E36B">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47" w:name="_Toc24602"/>
      <w:bookmarkStart w:id="548" w:name="_Toc22695"/>
      <w:bookmarkStart w:id="549" w:name="_Toc465665161"/>
      <w:bookmarkStart w:id="550" w:name="_Toc10456"/>
      <w:bookmarkStart w:id="551" w:name="_Toc133499566"/>
      <w:r>
        <w:rPr>
          <w:rFonts w:hint="eastAsia" w:ascii="仿宋" w:hAnsi="仿宋" w:eastAsia="仿宋" w:cs="仿宋"/>
          <w:color w:val="auto"/>
          <w:highlight w:val="none"/>
        </w:rPr>
        <w:t>附件</w:t>
      </w:r>
      <w:bookmarkEnd w:id="547"/>
      <w:bookmarkEnd w:id="548"/>
      <w:bookmarkEnd w:id="549"/>
      <w:bookmarkEnd w:id="550"/>
      <w:bookmarkEnd w:id="551"/>
    </w:p>
    <w:p w14:paraId="361829AA">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CD7F5F1">
      <w:pPr>
        <w:spacing w:line="360" w:lineRule="auto"/>
        <w:jc w:val="center"/>
        <w:rPr>
          <w:rFonts w:ascii="仿宋" w:hAnsi="仿宋" w:eastAsia="仿宋" w:cs="仿宋"/>
          <w:b/>
          <w:color w:val="auto"/>
          <w:spacing w:val="6"/>
          <w:sz w:val="32"/>
          <w:szCs w:val="32"/>
          <w:highlight w:val="none"/>
        </w:rPr>
      </w:pPr>
      <w:bookmarkStart w:id="552" w:name="OLE_LINK14"/>
      <w:bookmarkStart w:id="553" w:name="OLE_LINK13"/>
      <w:r>
        <w:rPr>
          <w:rFonts w:hint="eastAsia" w:ascii="仿宋" w:hAnsi="仿宋" w:eastAsia="仿宋" w:cs="仿宋"/>
          <w:b/>
          <w:color w:val="auto"/>
          <w:spacing w:val="6"/>
          <w:sz w:val="32"/>
          <w:szCs w:val="32"/>
          <w:highlight w:val="none"/>
        </w:rPr>
        <w:t>残疾人福利性单位声明函</w:t>
      </w:r>
    </w:p>
    <w:bookmarkEnd w:id="552"/>
    <w:bookmarkEnd w:id="553"/>
    <w:p w14:paraId="4E092B69">
      <w:pPr>
        <w:spacing w:line="360" w:lineRule="auto"/>
        <w:rPr>
          <w:rFonts w:ascii="仿宋" w:hAnsi="仿宋" w:eastAsia="仿宋" w:cs="仿宋"/>
          <w:b/>
          <w:color w:val="auto"/>
          <w:spacing w:val="6"/>
          <w:sz w:val="30"/>
          <w:szCs w:val="30"/>
          <w:highlight w:val="none"/>
        </w:rPr>
      </w:pPr>
    </w:p>
    <w:p w14:paraId="4E9894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7D40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C448F8B">
      <w:pPr>
        <w:spacing w:line="360" w:lineRule="auto"/>
        <w:ind w:firstLine="480" w:firstLineChars="200"/>
        <w:rPr>
          <w:rFonts w:ascii="仿宋" w:hAnsi="仿宋" w:eastAsia="仿宋" w:cs="仿宋"/>
          <w:color w:val="auto"/>
          <w:sz w:val="24"/>
          <w:highlight w:val="none"/>
        </w:rPr>
      </w:pPr>
    </w:p>
    <w:p w14:paraId="7A917D36">
      <w:pPr>
        <w:spacing w:line="360" w:lineRule="auto"/>
        <w:ind w:firstLine="480" w:firstLineChars="200"/>
        <w:rPr>
          <w:rFonts w:ascii="仿宋" w:hAnsi="仿宋" w:eastAsia="仿宋" w:cs="仿宋"/>
          <w:color w:val="auto"/>
          <w:sz w:val="24"/>
          <w:highlight w:val="none"/>
        </w:rPr>
      </w:pPr>
    </w:p>
    <w:p w14:paraId="065FF0F0">
      <w:pPr>
        <w:tabs>
          <w:tab w:val="left" w:pos="4860"/>
        </w:tabs>
        <w:spacing w:line="360" w:lineRule="auto"/>
        <w:ind w:right="1560"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6274AA5">
      <w:pPr>
        <w:tabs>
          <w:tab w:val="left" w:pos="4860"/>
        </w:tabs>
        <w:spacing w:line="360" w:lineRule="auto"/>
        <w:ind w:right="156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0EE729E">
      <w:pPr>
        <w:spacing w:line="360" w:lineRule="auto"/>
        <w:ind w:firstLine="480" w:firstLineChars="200"/>
        <w:rPr>
          <w:rFonts w:ascii="仿宋" w:hAnsi="仿宋" w:eastAsia="仿宋" w:cs="仿宋"/>
          <w:color w:val="auto"/>
          <w:sz w:val="24"/>
          <w:highlight w:val="none"/>
        </w:rPr>
      </w:pPr>
    </w:p>
    <w:p w14:paraId="319FAA30">
      <w:pPr>
        <w:spacing w:line="360" w:lineRule="auto"/>
        <w:ind w:firstLine="420" w:firstLineChars="200"/>
        <w:rPr>
          <w:rFonts w:ascii="仿宋" w:hAnsi="仿宋" w:eastAsia="仿宋" w:cs="仿宋"/>
          <w:color w:val="auto"/>
          <w:highlight w:val="none"/>
        </w:rPr>
      </w:pPr>
    </w:p>
    <w:p w14:paraId="05F6F5C4">
      <w:pPr>
        <w:spacing w:line="360" w:lineRule="auto"/>
        <w:ind w:firstLine="420" w:firstLineChars="200"/>
        <w:rPr>
          <w:rFonts w:ascii="仿宋" w:hAnsi="仿宋" w:eastAsia="仿宋" w:cs="仿宋"/>
          <w:color w:val="auto"/>
          <w:highlight w:val="none"/>
        </w:rPr>
      </w:pPr>
    </w:p>
    <w:p w14:paraId="025811F6">
      <w:pPr>
        <w:spacing w:line="360" w:lineRule="auto"/>
        <w:ind w:firstLine="420" w:firstLineChars="200"/>
        <w:rPr>
          <w:rFonts w:ascii="仿宋" w:hAnsi="仿宋" w:eastAsia="仿宋" w:cs="仿宋"/>
          <w:color w:val="auto"/>
          <w:highlight w:val="none"/>
        </w:rPr>
      </w:pPr>
    </w:p>
    <w:p w14:paraId="1DF06043">
      <w:pPr>
        <w:spacing w:line="360" w:lineRule="auto"/>
        <w:ind w:firstLine="420" w:firstLineChars="200"/>
        <w:rPr>
          <w:rFonts w:ascii="仿宋" w:hAnsi="仿宋" w:eastAsia="仿宋" w:cs="仿宋"/>
          <w:color w:val="auto"/>
          <w:highlight w:val="none"/>
        </w:rPr>
      </w:pPr>
    </w:p>
    <w:p w14:paraId="33C5871D">
      <w:pPr>
        <w:spacing w:line="360" w:lineRule="auto"/>
        <w:rPr>
          <w:rFonts w:ascii="仿宋" w:hAnsi="仿宋" w:eastAsia="仿宋" w:cs="仿宋"/>
          <w:b/>
          <w:color w:val="auto"/>
          <w:sz w:val="24"/>
          <w:highlight w:val="none"/>
        </w:rPr>
      </w:pPr>
    </w:p>
    <w:p w14:paraId="5BEB56F0">
      <w:pPr>
        <w:spacing w:line="360" w:lineRule="auto"/>
        <w:rPr>
          <w:rFonts w:ascii="仿宋" w:hAnsi="仿宋" w:eastAsia="仿宋" w:cs="仿宋"/>
          <w:b/>
          <w:color w:val="auto"/>
          <w:sz w:val="24"/>
          <w:highlight w:val="none"/>
        </w:rPr>
      </w:pPr>
    </w:p>
    <w:p w14:paraId="2BA63961">
      <w:pPr>
        <w:spacing w:line="360" w:lineRule="auto"/>
        <w:jc w:val="center"/>
        <w:rPr>
          <w:rFonts w:ascii="仿宋" w:hAnsi="仿宋" w:eastAsia="仿宋" w:cs="仿宋"/>
          <w:b/>
          <w:color w:val="auto"/>
          <w:spacing w:val="6"/>
          <w:sz w:val="32"/>
          <w:szCs w:val="32"/>
          <w:highlight w:val="none"/>
        </w:rPr>
      </w:pPr>
      <w:r>
        <w:rPr>
          <w:rFonts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附件2：质疑函范本及制作说明</w:t>
      </w:r>
    </w:p>
    <w:p w14:paraId="0D245899">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B9F5C12">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014A5D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5C6F74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55E40E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F7C2C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816474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5435D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F2B1BF">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B5656C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66D4A5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A8F9CE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A0DB36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DD5FE5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073D61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42046F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8F1687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EA48D8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30C2A1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3B10D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2C7B1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D2293F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8EBBB0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BE6046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DB108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6912A8F">
      <w:pPr>
        <w:spacing w:line="360" w:lineRule="auto"/>
        <w:jc w:val="center"/>
        <w:rPr>
          <w:rFonts w:ascii="仿宋" w:hAnsi="仿宋" w:eastAsia="仿宋" w:cs="仿宋"/>
          <w:b/>
          <w:bCs/>
          <w:color w:val="auto"/>
          <w:sz w:val="24"/>
          <w:highlight w:val="none"/>
        </w:rPr>
      </w:pPr>
    </w:p>
    <w:p w14:paraId="1C44BCC6">
      <w:pPr>
        <w:spacing w:line="360" w:lineRule="auto"/>
        <w:rPr>
          <w:rFonts w:ascii="仿宋" w:hAnsi="仿宋" w:eastAsia="仿宋" w:cs="仿宋"/>
          <w:b/>
          <w:color w:val="auto"/>
          <w:sz w:val="24"/>
          <w:highlight w:val="none"/>
        </w:rPr>
      </w:pPr>
    </w:p>
    <w:p w14:paraId="42879B01">
      <w:pPr>
        <w:spacing w:line="360" w:lineRule="auto"/>
        <w:rPr>
          <w:rFonts w:ascii="仿宋" w:hAnsi="仿宋" w:eastAsia="仿宋" w:cs="仿宋"/>
          <w:b/>
          <w:color w:val="auto"/>
          <w:sz w:val="24"/>
          <w:highlight w:val="none"/>
        </w:rPr>
      </w:pPr>
    </w:p>
    <w:p w14:paraId="02D38B4C">
      <w:pPr>
        <w:spacing w:line="360" w:lineRule="auto"/>
        <w:rPr>
          <w:rFonts w:ascii="仿宋" w:hAnsi="仿宋" w:eastAsia="仿宋" w:cs="仿宋"/>
          <w:b/>
          <w:color w:val="auto"/>
          <w:sz w:val="24"/>
          <w:highlight w:val="none"/>
        </w:rPr>
      </w:pPr>
    </w:p>
    <w:p w14:paraId="3910E6A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3A1710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EA2480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B8FB6A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3F1CE8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FCAD3A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117B33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5DDBD8">
      <w:pPr>
        <w:pStyle w:val="60"/>
        <w:rPr>
          <w:rFonts w:ascii="仿宋" w:hAnsi="仿宋" w:eastAsia="仿宋" w:cs="仿宋"/>
          <w:color w:val="auto"/>
          <w:highlight w:val="none"/>
          <w:lang w:val="en-US"/>
        </w:rPr>
      </w:pPr>
      <w:r>
        <w:rPr>
          <w:rFonts w:hint="eastAsia" w:ascii="仿宋" w:hAnsi="仿宋" w:eastAsia="仿宋" w:cs="仿宋"/>
          <w:color w:val="auto"/>
          <w:highlight w:val="none"/>
          <w:lang w:val="en-US"/>
        </w:rPr>
        <w:t>7.以书面形式提交的，应按招标文件规定送达指定地点；以</w:t>
      </w:r>
      <w:r>
        <w:rPr>
          <w:rFonts w:hint="eastAsia" w:ascii="仿宋" w:hAnsi="仿宋" w:eastAsia="仿宋" w:cs="仿宋"/>
          <w:color w:val="auto"/>
          <w:highlight w:val="none"/>
        </w:rPr>
        <w:t>政采云平台</w:t>
      </w:r>
      <w:r>
        <w:rPr>
          <w:rFonts w:hint="eastAsia" w:ascii="仿宋" w:hAnsi="仿宋" w:eastAsia="仿宋" w:cs="仿宋"/>
          <w:color w:val="auto"/>
          <w:highlight w:val="none"/>
          <w:lang w:val="en-US"/>
        </w:rPr>
        <w:t>（https://www.zcygov.cn/）</w:t>
      </w:r>
      <w:r>
        <w:rPr>
          <w:rFonts w:hint="eastAsia" w:ascii="仿宋" w:hAnsi="仿宋" w:eastAsia="仿宋" w:cs="仿宋"/>
          <w:color w:val="auto"/>
          <w:highlight w:val="none"/>
        </w:rPr>
        <w:t>通过</w:t>
      </w:r>
      <w:r>
        <w:rPr>
          <w:rFonts w:hint="eastAsia" w:ascii="仿宋" w:hAnsi="仿宋" w:eastAsia="仿宋" w:cs="仿宋"/>
          <w:color w:val="auto"/>
          <w:highlight w:val="none"/>
          <w:lang w:val="en-US"/>
        </w:rPr>
        <w:t>“</w:t>
      </w:r>
      <w:r>
        <w:rPr>
          <w:rFonts w:hint="eastAsia" w:ascii="仿宋" w:hAnsi="仿宋" w:eastAsia="仿宋" w:cs="仿宋"/>
          <w:color w:val="auto"/>
          <w:highlight w:val="none"/>
        </w:rPr>
        <w:t>询问质疑投诉</w:t>
      </w:r>
      <w:r>
        <w:rPr>
          <w:rFonts w:hint="eastAsia" w:ascii="仿宋" w:hAnsi="仿宋" w:eastAsia="仿宋" w:cs="仿宋"/>
          <w:color w:val="auto"/>
          <w:highlight w:val="none"/>
          <w:lang w:val="en-US"/>
        </w:rPr>
        <w:t>”</w:t>
      </w:r>
      <w:r>
        <w:rPr>
          <w:rFonts w:hint="eastAsia" w:ascii="仿宋" w:hAnsi="仿宋" w:eastAsia="仿宋" w:cs="仿宋"/>
          <w:color w:val="auto"/>
          <w:highlight w:val="none"/>
        </w:rPr>
        <w:t>栏提交的</w:t>
      </w:r>
      <w:r>
        <w:rPr>
          <w:rFonts w:hint="eastAsia" w:ascii="仿宋" w:hAnsi="仿宋" w:eastAsia="仿宋" w:cs="仿宋"/>
          <w:color w:val="auto"/>
          <w:highlight w:val="none"/>
          <w:lang w:val="en-US"/>
        </w:rPr>
        <w:t>，</w:t>
      </w:r>
      <w:r>
        <w:rPr>
          <w:rFonts w:hint="eastAsia" w:ascii="仿宋" w:hAnsi="仿宋" w:eastAsia="仿宋" w:cs="仿宋"/>
          <w:color w:val="auto"/>
          <w:highlight w:val="none"/>
        </w:rPr>
        <w:t>应正确填写质疑供应商基本信息、被质疑人信息、质疑事项具体内容、质疑请求</w:t>
      </w:r>
      <w:r>
        <w:rPr>
          <w:rFonts w:hint="eastAsia" w:ascii="仿宋" w:hAnsi="仿宋" w:eastAsia="仿宋" w:cs="仿宋"/>
          <w:color w:val="auto"/>
          <w:highlight w:val="none"/>
          <w:lang w:val="en-US"/>
        </w:rPr>
        <w:t>，</w:t>
      </w:r>
      <w:r>
        <w:rPr>
          <w:rFonts w:hint="eastAsia" w:ascii="仿宋" w:hAnsi="仿宋" w:eastAsia="仿宋" w:cs="仿宋"/>
          <w:color w:val="auto"/>
          <w:highlight w:val="none"/>
        </w:rPr>
        <w:t>并上传书面质疑函扫描件。</w:t>
      </w:r>
    </w:p>
    <w:p w14:paraId="1CB80288">
      <w:pPr>
        <w:spacing w:line="360" w:lineRule="auto"/>
        <w:jc w:val="left"/>
        <w:rPr>
          <w:rFonts w:ascii="仿宋" w:hAnsi="仿宋" w:eastAsia="仿宋" w:cs="仿宋"/>
          <w:b/>
          <w:color w:val="auto"/>
          <w:spacing w:val="6"/>
          <w:sz w:val="32"/>
          <w:szCs w:val="32"/>
          <w:highlight w:val="none"/>
        </w:rPr>
      </w:pPr>
    </w:p>
    <w:p w14:paraId="43228D86">
      <w:pPr>
        <w:spacing w:line="360" w:lineRule="auto"/>
        <w:jc w:val="center"/>
        <w:rPr>
          <w:rFonts w:ascii="仿宋" w:hAnsi="仿宋" w:eastAsia="仿宋" w:cs="仿宋"/>
          <w:b/>
          <w:color w:val="auto"/>
          <w:spacing w:val="6"/>
          <w:sz w:val="32"/>
          <w:szCs w:val="32"/>
          <w:highlight w:val="none"/>
        </w:rPr>
      </w:pPr>
      <w:r>
        <w:rPr>
          <w:rFonts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附件3：投诉书范本及制作说明</w:t>
      </w:r>
    </w:p>
    <w:p w14:paraId="30CECDA6">
      <w:pPr>
        <w:spacing w:line="360" w:lineRule="auto"/>
        <w:jc w:val="center"/>
        <w:rPr>
          <w:rFonts w:ascii="仿宋" w:hAnsi="仿宋" w:eastAsia="仿宋" w:cs="仿宋"/>
          <w:b/>
          <w:color w:val="auto"/>
          <w:sz w:val="24"/>
          <w:highlight w:val="none"/>
        </w:rPr>
      </w:pPr>
    </w:p>
    <w:p w14:paraId="779C669D">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C9021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3C685D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974EAB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E3988F">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E30175">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14F11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37D22A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BC9AC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ABC14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9C30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6644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F241A6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65C508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68D27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60721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D2B7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E40967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A88E51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60353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00CD2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0062CB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C251C8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064161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BE69074">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43B357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81C2F0">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9E0975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AE64DE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AB5C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83BFA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E4D74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183F5B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968BC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09DD66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B0B20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B2FD0B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D01D9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753EF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C1BC8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9DD162D">
      <w:pPr>
        <w:spacing w:line="360" w:lineRule="auto"/>
        <w:rPr>
          <w:rFonts w:ascii="仿宋" w:hAnsi="仿宋" w:eastAsia="仿宋" w:cs="仿宋"/>
          <w:b/>
          <w:color w:val="auto"/>
          <w:sz w:val="24"/>
          <w:highlight w:val="none"/>
        </w:rPr>
      </w:pPr>
    </w:p>
    <w:p w14:paraId="382F94D5">
      <w:pPr>
        <w:spacing w:line="360" w:lineRule="auto"/>
        <w:rPr>
          <w:rFonts w:ascii="仿宋" w:hAnsi="仿宋" w:eastAsia="仿宋" w:cs="仿宋"/>
          <w:b/>
          <w:color w:val="auto"/>
          <w:sz w:val="24"/>
          <w:highlight w:val="none"/>
        </w:rPr>
      </w:pPr>
    </w:p>
    <w:p w14:paraId="55D20BB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EC7F8C5">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12FF40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50EFD5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F4428A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97B9A7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F36E1A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3C9650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9DDA771">
      <w:pPr>
        <w:spacing w:line="360" w:lineRule="auto"/>
        <w:rPr>
          <w:rFonts w:ascii="仿宋" w:hAnsi="仿宋" w:eastAsia="仿宋" w:cs="仿宋"/>
          <w:b/>
          <w:color w:val="auto"/>
          <w:sz w:val="24"/>
          <w:highlight w:val="none"/>
        </w:rPr>
      </w:pPr>
    </w:p>
    <w:p w14:paraId="198163AF">
      <w:pPr>
        <w:autoSpaceDE w:val="0"/>
        <w:autoSpaceDN w:val="0"/>
        <w:jc w:val="center"/>
        <w:rPr>
          <w:rFonts w:ascii="仿宋" w:hAnsi="仿宋" w:eastAsia="仿宋" w:cs="仿宋"/>
          <w:b/>
          <w:color w:val="auto"/>
          <w:spacing w:val="6"/>
          <w:sz w:val="32"/>
          <w:szCs w:val="32"/>
          <w:highlight w:val="none"/>
        </w:rPr>
      </w:pPr>
    </w:p>
    <w:p w14:paraId="2E762AA9">
      <w:pPr>
        <w:autoSpaceDE w:val="0"/>
        <w:autoSpaceDN w:val="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D3FA14B">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16E394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温州市公安局交通管理局、温州市华越招标代理有限公司</w:t>
      </w:r>
    </w:p>
    <w:p w14:paraId="594F76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62355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3B98DEA">
      <w:pPr>
        <w:spacing w:line="360" w:lineRule="auto"/>
        <w:ind w:firstLine="494"/>
        <w:rPr>
          <w:rFonts w:ascii="仿宋" w:hAnsi="仿宋" w:eastAsia="仿宋" w:cs="仿宋"/>
          <w:color w:val="auto"/>
          <w:sz w:val="24"/>
          <w:highlight w:val="none"/>
        </w:rPr>
      </w:pPr>
    </w:p>
    <w:p w14:paraId="5908A26F">
      <w:pPr>
        <w:spacing w:line="360" w:lineRule="auto"/>
        <w:ind w:firstLine="494"/>
        <w:rPr>
          <w:rFonts w:ascii="仿宋" w:hAnsi="仿宋" w:eastAsia="仿宋" w:cs="仿宋"/>
          <w:color w:val="auto"/>
          <w:sz w:val="24"/>
          <w:highlight w:val="none"/>
        </w:rPr>
      </w:pPr>
    </w:p>
    <w:p w14:paraId="652F9B83">
      <w:pPr>
        <w:spacing w:line="360" w:lineRule="auto"/>
        <w:ind w:firstLine="494"/>
        <w:rPr>
          <w:rFonts w:ascii="仿宋" w:hAnsi="仿宋" w:eastAsia="仿宋" w:cs="仿宋"/>
          <w:color w:val="auto"/>
          <w:sz w:val="24"/>
          <w:highlight w:val="none"/>
        </w:rPr>
      </w:pPr>
    </w:p>
    <w:p w14:paraId="1A77C2C1">
      <w:pPr>
        <w:spacing w:line="360" w:lineRule="auto"/>
        <w:ind w:firstLine="494"/>
        <w:rPr>
          <w:rFonts w:ascii="仿宋" w:hAnsi="仿宋" w:eastAsia="仿宋" w:cs="仿宋"/>
          <w:color w:val="auto"/>
          <w:sz w:val="24"/>
          <w:highlight w:val="none"/>
        </w:rPr>
      </w:pPr>
    </w:p>
    <w:p w14:paraId="7485791C">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2DDC1D1">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D6A0549">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6184F4F">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No4BWj7AQAAMQQAAA4AAAAAAAAAAQAgAAAAJwEAAGRycy9lMm9E&#10;b2MueG1sUEsFBgAAAAAGAAYAWQEAAJQFAAAAAA==&#10;">
                <v:fill on="t" focussize="0,0"/>
                <v:stroke color="#000000"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AilxcH7AQAAM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FE75ADF">
      <w:pPr>
        <w:autoSpaceDE w:val="0"/>
        <w:autoSpaceDN w:val="0"/>
        <w:jc w:val="center"/>
        <w:rPr>
          <w:rFonts w:ascii="仿宋" w:hAnsi="仿宋" w:eastAsia="仿宋" w:cs="仿宋"/>
          <w:b/>
          <w:color w:val="auto"/>
          <w:spacing w:val="6"/>
          <w:sz w:val="32"/>
          <w:szCs w:val="32"/>
          <w:highlight w:val="none"/>
        </w:rPr>
      </w:pPr>
    </w:p>
    <w:p w14:paraId="13FB498A">
      <w:pPr>
        <w:autoSpaceDE w:val="0"/>
        <w:autoSpaceDN w:val="0"/>
        <w:jc w:val="center"/>
        <w:rPr>
          <w:rFonts w:ascii="仿宋" w:hAnsi="仿宋" w:eastAsia="仿宋" w:cs="仿宋"/>
          <w:b/>
          <w:color w:val="auto"/>
          <w:spacing w:val="6"/>
          <w:sz w:val="32"/>
          <w:szCs w:val="32"/>
          <w:highlight w:val="none"/>
        </w:rPr>
      </w:pPr>
    </w:p>
    <w:p w14:paraId="4B39EE00">
      <w:pPr>
        <w:autoSpaceDE w:val="0"/>
        <w:autoSpaceDN w:val="0"/>
        <w:jc w:val="center"/>
        <w:rPr>
          <w:rFonts w:ascii="仿宋" w:hAnsi="仿宋" w:eastAsia="仿宋" w:cs="仿宋"/>
          <w:b/>
          <w:color w:val="auto"/>
          <w:spacing w:val="6"/>
          <w:sz w:val="32"/>
          <w:szCs w:val="32"/>
          <w:highlight w:val="none"/>
        </w:rPr>
      </w:pPr>
    </w:p>
    <w:p w14:paraId="20F6E42D">
      <w:pPr>
        <w:autoSpaceDE w:val="0"/>
        <w:autoSpaceDN w:val="0"/>
        <w:jc w:val="center"/>
        <w:rPr>
          <w:rFonts w:ascii="仿宋" w:hAnsi="仿宋" w:eastAsia="仿宋" w:cs="仿宋"/>
          <w:b/>
          <w:color w:val="auto"/>
          <w:spacing w:val="6"/>
          <w:sz w:val="32"/>
          <w:szCs w:val="32"/>
          <w:highlight w:val="none"/>
        </w:rPr>
      </w:pPr>
    </w:p>
    <w:p w14:paraId="2A82E49F">
      <w:pPr>
        <w:autoSpaceDE w:val="0"/>
        <w:autoSpaceDN w:val="0"/>
        <w:jc w:val="center"/>
        <w:rPr>
          <w:rFonts w:ascii="仿宋" w:hAnsi="仿宋" w:eastAsia="仿宋" w:cs="仿宋"/>
          <w:b/>
          <w:color w:val="auto"/>
          <w:spacing w:val="6"/>
          <w:sz w:val="32"/>
          <w:szCs w:val="32"/>
          <w:highlight w:val="none"/>
        </w:rPr>
      </w:pPr>
    </w:p>
    <w:p w14:paraId="74ADCFD6">
      <w:pPr>
        <w:autoSpaceDE w:val="0"/>
        <w:autoSpaceDN w:val="0"/>
        <w:jc w:val="center"/>
        <w:rPr>
          <w:rFonts w:ascii="仿宋" w:hAnsi="仿宋" w:eastAsia="仿宋" w:cs="仿宋"/>
          <w:b/>
          <w:color w:val="auto"/>
          <w:spacing w:val="6"/>
          <w:sz w:val="32"/>
          <w:szCs w:val="32"/>
          <w:highlight w:val="none"/>
        </w:rPr>
      </w:pPr>
    </w:p>
    <w:p w14:paraId="546595A4">
      <w:pPr>
        <w:autoSpaceDE w:val="0"/>
        <w:autoSpaceDN w:val="0"/>
        <w:jc w:val="center"/>
        <w:rPr>
          <w:rFonts w:ascii="仿宋" w:hAnsi="仿宋" w:eastAsia="仿宋" w:cs="仿宋"/>
          <w:b/>
          <w:color w:val="auto"/>
          <w:spacing w:val="6"/>
          <w:sz w:val="32"/>
          <w:szCs w:val="32"/>
          <w:highlight w:val="none"/>
        </w:rPr>
      </w:pPr>
    </w:p>
    <w:p w14:paraId="290B7C93">
      <w:pPr>
        <w:autoSpaceDE w:val="0"/>
        <w:autoSpaceDN w:val="0"/>
        <w:rPr>
          <w:rFonts w:ascii="仿宋" w:hAnsi="仿宋" w:eastAsia="仿宋" w:cs="仿宋"/>
          <w:b/>
          <w:color w:val="auto"/>
          <w:spacing w:val="6"/>
          <w:sz w:val="32"/>
          <w:szCs w:val="32"/>
          <w:highlight w:val="none"/>
        </w:rPr>
      </w:pPr>
    </w:p>
    <w:p w14:paraId="36A03376">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14:paraId="55D59DCA">
      <w:pPr>
        <w:spacing w:line="360" w:lineRule="auto"/>
        <w:jc w:val="center"/>
        <w:rPr>
          <w:rFonts w:ascii="仿宋" w:hAnsi="仿宋" w:eastAsia="仿宋" w:cs="仿宋"/>
          <w:color w:val="auto"/>
          <w:sz w:val="24"/>
          <w:highlight w:val="none"/>
          <w:u w:val="single"/>
        </w:rPr>
      </w:pPr>
    </w:p>
    <w:p w14:paraId="4ED267FB">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4E0BA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F7FB9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A3117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04789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C1508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CB28D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AC00E20">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企业名称（盖章）：</w:t>
      </w:r>
    </w:p>
    <w:p w14:paraId="4726BC8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27B110B">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3C290F80">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360AF6">
      <w:pPr>
        <w:spacing w:line="360" w:lineRule="auto"/>
        <w:jc w:val="center"/>
        <w:rPr>
          <w:rFonts w:ascii="仿宋" w:hAnsi="仿宋" w:eastAsia="仿宋" w:cs="仿宋"/>
          <w:b/>
          <w:color w:val="auto"/>
          <w:sz w:val="32"/>
          <w:szCs w:val="32"/>
          <w:highlight w:val="none"/>
        </w:rPr>
      </w:pPr>
    </w:p>
    <w:p w14:paraId="200491DA">
      <w:pPr>
        <w:spacing w:line="360" w:lineRule="auto"/>
        <w:jc w:val="center"/>
        <w:rPr>
          <w:rFonts w:ascii="仿宋" w:hAnsi="仿宋" w:eastAsia="仿宋" w:cs="仿宋"/>
          <w:b/>
          <w:color w:val="auto"/>
          <w:sz w:val="32"/>
          <w:szCs w:val="32"/>
          <w:highlight w:val="none"/>
        </w:rPr>
      </w:pPr>
    </w:p>
    <w:p w14:paraId="3C1E1900">
      <w:pPr>
        <w:spacing w:line="360" w:lineRule="auto"/>
        <w:jc w:val="center"/>
        <w:rPr>
          <w:rFonts w:ascii="仿宋" w:hAnsi="仿宋" w:eastAsia="仿宋" w:cs="仿宋"/>
          <w:b/>
          <w:color w:val="auto"/>
          <w:sz w:val="32"/>
          <w:szCs w:val="32"/>
          <w:highlight w:val="none"/>
        </w:rPr>
      </w:pPr>
    </w:p>
    <w:p w14:paraId="4BE223F9">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中小企业声明函（工程、服务）</w:t>
      </w:r>
    </w:p>
    <w:p w14:paraId="0CAB8977">
      <w:pPr>
        <w:spacing w:line="360" w:lineRule="auto"/>
        <w:rPr>
          <w:rFonts w:ascii="仿宋" w:hAnsi="仿宋" w:eastAsia="仿宋" w:cs="仿宋"/>
          <w:color w:val="auto"/>
          <w:highlight w:val="none"/>
        </w:rPr>
      </w:pPr>
    </w:p>
    <w:p w14:paraId="58BC4C96">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9C6BAA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CFD027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FC1074F">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0B59F8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856CA4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596CAE7">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F807BD9">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03F777ED">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7BAB224">
      <w:pPr>
        <w:spacing w:line="360" w:lineRule="auto"/>
        <w:ind w:right="420"/>
        <w:rPr>
          <w:rFonts w:ascii="仿宋" w:hAnsi="仿宋" w:eastAsia="仿宋" w:cs="仿宋"/>
          <w:color w:val="auto"/>
          <w:sz w:val="24"/>
          <w:highlight w:val="none"/>
        </w:rPr>
      </w:pPr>
    </w:p>
    <w:p w14:paraId="6CA0D7B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2545F1">
      <w:pPr>
        <w:spacing w:line="360" w:lineRule="auto"/>
        <w:ind w:right="420"/>
        <w:rPr>
          <w:rFonts w:ascii="仿宋" w:hAnsi="仿宋" w:eastAsia="仿宋" w:cs="仿宋"/>
          <w:color w:val="auto"/>
          <w:highlight w:val="none"/>
        </w:rPr>
      </w:pPr>
    </w:p>
    <w:p w14:paraId="7070F5D7">
      <w:pPr>
        <w:spacing w:line="360" w:lineRule="auto"/>
        <w:ind w:right="420"/>
        <w:rPr>
          <w:rFonts w:ascii="仿宋" w:hAnsi="仿宋" w:eastAsia="仿宋" w:cs="仿宋"/>
          <w:color w:val="auto"/>
          <w:highlight w:val="none"/>
        </w:rPr>
      </w:pPr>
    </w:p>
    <w:p w14:paraId="289A093E">
      <w:pPr>
        <w:spacing w:line="360" w:lineRule="auto"/>
        <w:rPr>
          <w:rFonts w:ascii="仿宋" w:hAnsi="仿宋" w:eastAsia="仿宋" w:cs="仿宋"/>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Futura Hv">
    <w:altName w:val="Lucida Sans Unicode"/>
    <w:panose1 w:val="00000000000000000000"/>
    <w:charset w:val="00"/>
    <w:family w:val="auto"/>
    <w:pitch w:val="default"/>
    <w:sig w:usb0="00000000" w:usb1="00000000" w:usb2="00000000" w:usb3="00000000" w:csb0="000001FB" w:csb1="00000000"/>
  </w:font>
  <w:font w:name="Arial (W1)">
    <w:altName w:val="Arial"/>
    <w:panose1 w:val="00000000000000000000"/>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5832">
    <w:pPr>
      <w:pStyle w:val="40"/>
      <w:rPr>
        <w:rFonts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AE3D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6AE3D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76DC">
    <w:pPr>
      <w:pStyle w:val="40"/>
      <w:framePr w:wrap="around" w:vAnchor="text" w:hAnchor="margin" w:xAlign="right" w:y="1"/>
      <w:rPr>
        <w:rStyle w:val="72"/>
      </w:rPr>
    </w:pPr>
    <w:r>
      <w:fldChar w:fldCharType="begin"/>
    </w:r>
    <w:r>
      <w:rPr>
        <w:rStyle w:val="72"/>
      </w:rPr>
      <w:instrText xml:space="preserve">PAGE  </w:instrText>
    </w:r>
    <w:r>
      <w:fldChar w:fldCharType="end"/>
    </w:r>
  </w:p>
  <w:p w14:paraId="0A0286AE">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8C92">
    <w:pPr>
      <w:pStyle w:val="40"/>
      <w:rPr>
        <w:rFonts w:ascii="仿宋" w:hAnsi="仿宋" w:eastAsia="仿宋"/>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50E98">
                          <w:pPr>
                            <w:pStyle w:val="40"/>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1350E98">
                    <w:pPr>
                      <w:pStyle w:val="40"/>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B605">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878B5">
                          <w:pPr>
                            <w:pStyle w:val="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1878B5">
                    <w:pPr>
                      <w:pStyle w:val="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CC7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F5D97">
                          <w:pPr>
                            <w:pStyle w:val="4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CF5D97">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8ED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F86D5">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2F86D5">
                    <w:pPr>
                      <w:pStyle w:val="40"/>
                    </w:pPr>
                    <w:r>
                      <w:fldChar w:fldCharType="begin"/>
                    </w:r>
                    <w:r>
                      <w:instrText xml:space="preserve"> PAGE  \* MERGEFORMAT </w:instrText>
                    </w:r>
                    <w:r>
                      <w:fldChar w:fldCharType="separate"/>
                    </w:r>
                    <w:r>
                      <w:t>25</w:t>
                    </w:r>
                    <w:r>
                      <w:fldChar w:fldCharType="end"/>
                    </w:r>
                  </w:p>
                </w:txbxContent>
              </v:textbox>
            </v:shape>
          </w:pict>
        </mc:Fallback>
      </mc:AlternateContent>
    </w:r>
  </w:p>
  <w:p w14:paraId="360088D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261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705D6">
                          <w:pPr>
                            <w:pStyle w:val="40"/>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E705D6">
                    <w:pPr>
                      <w:pStyle w:val="40"/>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EBDBF">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2C6FC">
                          <w:pPr>
                            <w:pStyle w:val="40"/>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A2C6FC">
                    <w:pPr>
                      <w:pStyle w:val="40"/>
                    </w:pPr>
                    <w:r>
                      <w:fldChar w:fldCharType="begin"/>
                    </w:r>
                    <w:r>
                      <w:instrText xml:space="preserve"> PAGE  \* MERGEFORMAT </w:instrText>
                    </w:r>
                    <w:r>
                      <w:fldChar w:fldCharType="separate"/>
                    </w:r>
                    <w:r>
                      <w:t>101</w:t>
                    </w:r>
                    <w:r>
                      <w:fldChar w:fldCharType="end"/>
                    </w:r>
                  </w:p>
                </w:txbxContent>
              </v:textbox>
            </v:shape>
          </w:pict>
        </mc:Fallback>
      </mc:AlternateContent>
    </w:r>
  </w:p>
  <w:p w14:paraId="086A1FB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CE7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BC7E1">
                          <w:pPr>
                            <w:pStyle w:val="40"/>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0BC7E1">
                    <w:pPr>
                      <w:pStyle w:val="40"/>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93F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EBD48">
                          <w:pPr>
                            <w:pStyle w:val="40"/>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DEBD48">
                    <w:pPr>
                      <w:pStyle w:val="40"/>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76F75">
    <w:pPr>
      <w:pStyle w:val="40"/>
      <w:rPr>
        <w:rFonts w:ascii="仿宋" w:hAnsi="仿宋" w:eastAsia="仿宋"/>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752DD">
                          <w:pPr>
                            <w:pStyle w:val="40"/>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F752DD">
                    <w:pPr>
                      <w:pStyle w:val="4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9990">
    <w:pPr>
      <w:pStyle w:val="41"/>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245E">
    <w:pPr>
      <w:widowControl/>
      <w:adjustRightInd/>
      <w:spacing w:line="240"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E5F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329E">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ADA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D353E">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D6C1">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C5013">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CC0B6"/>
    <w:multiLevelType w:val="singleLevel"/>
    <w:tmpl w:val="951CC0B6"/>
    <w:lvl w:ilvl="0" w:tentative="0">
      <w:start w:val="1"/>
      <w:numFmt w:val="decimalEnclosedCircleChinese"/>
      <w:suff w:val="nothing"/>
      <w:lvlText w:val="%1　"/>
      <w:lvlJc w:val="left"/>
      <w:pPr>
        <w:ind w:left="0" w:firstLine="400"/>
      </w:pPr>
      <w:rPr>
        <w:rFonts w:hint="eastAsia"/>
      </w:rPr>
    </w:lvl>
  </w:abstractNum>
  <w:abstractNum w:abstractNumId="1">
    <w:nsid w:val="A3A586D3"/>
    <w:multiLevelType w:val="singleLevel"/>
    <w:tmpl w:val="A3A586D3"/>
    <w:lvl w:ilvl="0" w:tentative="0">
      <w:start w:val="1"/>
      <w:numFmt w:val="decimalEnclosedCircleChinese"/>
      <w:suff w:val="nothing"/>
      <w:lvlText w:val="%1　"/>
      <w:lvlJc w:val="left"/>
      <w:pPr>
        <w:ind w:left="0" w:firstLine="400"/>
      </w:pPr>
      <w:rPr>
        <w:rFonts w:hint="eastAsia"/>
      </w:r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FBEF100"/>
    <w:multiLevelType w:val="multilevel"/>
    <w:tmpl w:val="FFBEF100"/>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8"/>
    <w:multiLevelType w:val="multilevel"/>
    <w:tmpl w:val="000000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466F0E8"/>
    <w:multiLevelType w:val="singleLevel"/>
    <w:tmpl w:val="0466F0E8"/>
    <w:lvl w:ilvl="0" w:tentative="0">
      <w:start w:val="1"/>
      <w:numFmt w:val="decimalEnclosedCircleChinese"/>
      <w:suff w:val="nothing"/>
      <w:lvlText w:val="%1　"/>
      <w:lvlJc w:val="left"/>
      <w:pPr>
        <w:ind w:left="0" w:firstLine="400"/>
      </w:pPr>
      <w:rPr>
        <w:rFonts w:hint="eastAsia"/>
      </w:rPr>
    </w:lvl>
  </w:abstractNum>
  <w:abstractNum w:abstractNumId="6">
    <w:nsid w:val="125AC58B"/>
    <w:multiLevelType w:val="singleLevel"/>
    <w:tmpl w:val="125AC58B"/>
    <w:lvl w:ilvl="0" w:tentative="0">
      <w:start w:val="1"/>
      <w:numFmt w:val="decimalEnclosedCircleChinese"/>
      <w:suff w:val="nothing"/>
      <w:lvlText w:val="%1　"/>
      <w:lvlJc w:val="left"/>
      <w:pPr>
        <w:ind w:left="0" w:firstLine="400"/>
      </w:pPr>
      <w:rPr>
        <w:rFonts w:hint="eastAsia"/>
      </w:rPr>
    </w:lvl>
  </w:abstractNum>
  <w:abstractNum w:abstractNumId="7">
    <w:nsid w:val="26074C09"/>
    <w:multiLevelType w:val="singleLevel"/>
    <w:tmpl w:val="26074C09"/>
    <w:lvl w:ilvl="0" w:tentative="0">
      <w:start w:val="1"/>
      <w:numFmt w:val="decimal"/>
      <w:suff w:val="nothing"/>
      <w:lvlText w:val="%1）"/>
      <w:lvlJc w:val="left"/>
    </w:lvl>
  </w:abstractNum>
  <w:abstractNum w:abstractNumId="8">
    <w:nsid w:val="29163A81"/>
    <w:multiLevelType w:val="singleLevel"/>
    <w:tmpl w:val="29163A81"/>
    <w:lvl w:ilvl="0" w:tentative="0">
      <w:start w:val="1"/>
      <w:numFmt w:val="bullet"/>
      <w:lvlText w:val=""/>
      <w:lvlJc w:val="left"/>
      <w:pPr>
        <w:ind w:left="420" w:hanging="420"/>
      </w:pPr>
      <w:rPr>
        <w:rFonts w:hint="default" w:ascii="Wingdings" w:hAnsi="Wingdings"/>
      </w:rPr>
    </w:lvl>
  </w:abstractNum>
  <w:abstractNum w:abstractNumId="9">
    <w:nsid w:val="2BCD3DE2"/>
    <w:multiLevelType w:val="singleLevel"/>
    <w:tmpl w:val="2BCD3DE2"/>
    <w:lvl w:ilvl="0" w:tentative="0">
      <w:start w:val="2"/>
      <w:numFmt w:val="decimal"/>
      <w:lvlText w:val="%1."/>
      <w:lvlJc w:val="left"/>
      <w:pPr>
        <w:tabs>
          <w:tab w:val="left" w:pos="312"/>
        </w:tabs>
      </w:pPr>
    </w:lvl>
  </w:abstractNum>
  <w:abstractNum w:abstractNumId="10">
    <w:nsid w:val="2E881E68"/>
    <w:multiLevelType w:val="singleLevel"/>
    <w:tmpl w:val="2E881E68"/>
    <w:lvl w:ilvl="0" w:tentative="0">
      <w:start w:val="1"/>
      <w:numFmt w:val="chineseCounting"/>
      <w:suff w:val="nothing"/>
      <w:lvlText w:val="%1、"/>
      <w:lvlJc w:val="left"/>
      <w:pPr>
        <w:ind w:left="0" w:firstLine="420"/>
      </w:pPr>
      <w:rPr>
        <w:rFonts w:hint="eastAsia"/>
      </w:rPr>
    </w:lvl>
  </w:abstractNum>
  <w:abstractNum w:abstractNumId="11">
    <w:nsid w:val="3D3253FE"/>
    <w:multiLevelType w:val="singleLevel"/>
    <w:tmpl w:val="3D3253FE"/>
    <w:lvl w:ilvl="0" w:tentative="0">
      <w:start w:val="1"/>
      <w:numFmt w:val="decimal"/>
      <w:suff w:val="nothing"/>
      <w:lvlText w:val="（%1）"/>
      <w:lvlJc w:val="left"/>
    </w:lvl>
  </w:abstractNum>
  <w:abstractNum w:abstractNumId="12">
    <w:nsid w:val="58B55C79"/>
    <w:multiLevelType w:val="singleLevel"/>
    <w:tmpl w:val="58B55C79"/>
    <w:lvl w:ilvl="0" w:tentative="0">
      <w:start w:val="1"/>
      <w:numFmt w:val="decimal"/>
      <w:suff w:val="nothing"/>
      <w:lvlText w:val="（%1）"/>
      <w:lvlJc w:val="left"/>
    </w:lvl>
  </w:abstractNum>
  <w:abstractNum w:abstractNumId="13">
    <w:nsid w:val="6027568B"/>
    <w:multiLevelType w:val="singleLevel"/>
    <w:tmpl w:val="6027568B"/>
    <w:lvl w:ilvl="0" w:tentative="0">
      <w:start w:val="1"/>
      <w:numFmt w:val="decimalEnclosedCircleChinese"/>
      <w:suff w:val="nothing"/>
      <w:lvlText w:val="%1　"/>
      <w:lvlJc w:val="left"/>
      <w:pPr>
        <w:ind w:left="0" w:firstLine="400"/>
      </w:pPr>
      <w:rPr>
        <w:rFonts w:hint="eastAsia"/>
      </w:rPr>
    </w:lvl>
  </w:abstractNum>
  <w:abstractNum w:abstractNumId="14">
    <w:nsid w:val="6DA51D3B"/>
    <w:multiLevelType w:val="singleLevel"/>
    <w:tmpl w:val="6DA51D3B"/>
    <w:lvl w:ilvl="0" w:tentative="0">
      <w:start w:val="1"/>
      <w:numFmt w:val="chineseCountingThousand"/>
      <w:suff w:val="space"/>
      <w:lvlText w:val="第%1部分"/>
      <w:lvlJc w:val="left"/>
      <w:pPr>
        <w:ind w:left="0" w:firstLine="0"/>
      </w:pPr>
      <w:rPr>
        <w:rFonts w:hint="eastAsia"/>
      </w:rPr>
    </w:lvl>
  </w:abstractNum>
  <w:num w:numId="1">
    <w:abstractNumId w:val="14"/>
  </w:num>
  <w:num w:numId="2">
    <w:abstractNumId w:val="9"/>
  </w:num>
  <w:num w:numId="3">
    <w:abstractNumId w:val="4"/>
  </w:num>
  <w:num w:numId="4">
    <w:abstractNumId w:val="11"/>
  </w:num>
  <w:num w:numId="5">
    <w:abstractNumId w:val="8"/>
  </w:num>
  <w:num w:numId="6">
    <w:abstractNumId w:val="0"/>
  </w:num>
  <w:num w:numId="7">
    <w:abstractNumId w:val="6"/>
  </w:num>
  <w:num w:numId="8">
    <w:abstractNumId w:val="1"/>
  </w:num>
  <w:num w:numId="9">
    <w:abstractNumId w:val="13"/>
  </w:num>
  <w:num w:numId="10">
    <w:abstractNumId w:val="5"/>
  </w:num>
  <w:num w:numId="11">
    <w:abstractNumId w:val="7"/>
  </w:num>
  <w:num w:numId="12">
    <w:abstractNumId w:val="3"/>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Y2YyOGE3Yjg4ZmE2OTkyNGU0MjY3YTg1NmM4ZjEifQ=="/>
  </w:docVars>
  <w:rsids>
    <w:rsidRoot w:val="00172A27"/>
    <w:rsid w:val="00000451"/>
    <w:rsid w:val="0000108B"/>
    <w:rsid w:val="0000133D"/>
    <w:rsid w:val="00001509"/>
    <w:rsid w:val="000032B2"/>
    <w:rsid w:val="0000363B"/>
    <w:rsid w:val="0000487A"/>
    <w:rsid w:val="000058BD"/>
    <w:rsid w:val="00006109"/>
    <w:rsid w:val="00006150"/>
    <w:rsid w:val="000063E8"/>
    <w:rsid w:val="00006578"/>
    <w:rsid w:val="00006725"/>
    <w:rsid w:val="0000675E"/>
    <w:rsid w:val="00007CAA"/>
    <w:rsid w:val="00010FE9"/>
    <w:rsid w:val="0001122F"/>
    <w:rsid w:val="00011286"/>
    <w:rsid w:val="00011A4B"/>
    <w:rsid w:val="00012251"/>
    <w:rsid w:val="0001337C"/>
    <w:rsid w:val="000138C4"/>
    <w:rsid w:val="00013C1F"/>
    <w:rsid w:val="00013F31"/>
    <w:rsid w:val="000140D8"/>
    <w:rsid w:val="0001447C"/>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AD"/>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A4D"/>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D9A"/>
    <w:rsid w:val="00061A3C"/>
    <w:rsid w:val="00061C48"/>
    <w:rsid w:val="00061E52"/>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0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7A2"/>
    <w:rsid w:val="00083989"/>
    <w:rsid w:val="00083E07"/>
    <w:rsid w:val="00084A0B"/>
    <w:rsid w:val="00084D27"/>
    <w:rsid w:val="00084ED6"/>
    <w:rsid w:val="0008580E"/>
    <w:rsid w:val="00085A0E"/>
    <w:rsid w:val="00085C4F"/>
    <w:rsid w:val="000863FF"/>
    <w:rsid w:val="00086EFD"/>
    <w:rsid w:val="00086F8A"/>
    <w:rsid w:val="00087031"/>
    <w:rsid w:val="00090243"/>
    <w:rsid w:val="000904F6"/>
    <w:rsid w:val="00090918"/>
    <w:rsid w:val="00090ED8"/>
    <w:rsid w:val="00090F9F"/>
    <w:rsid w:val="0009145F"/>
    <w:rsid w:val="0009184E"/>
    <w:rsid w:val="00091B4E"/>
    <w:rsid w:val="00092467"/>
    <w:rsid w:val="00092BF1"/>
    <w:rsid w:val="00092FE9"/>
    <w:rsid w:val="000936BF"/>
    <w:rsid w:val="0009382F"/>
    <w:rsid w:val="00093A30"/>
    <w:rsid w:val="00094342"/>
    <w:rsid w:val="000945BA"/>
    <w:rsid w:val="0009465E"/>
    <w:rsid w:val="00095954"/>
    <w:rsid w:val="000960BA"/>
    <w:rsid w:val="0009662A"/>
    <w:rsid w:val="0009690D"/>
    <w:rsid w:val="00096DFF"/>
    <w:rsid w:val="000A0729"/>
    <w:rsid w:val="000A0E69"/>
    <w:rsid w:val="000A1A52"/>
    <w:rsid w:val="000A1F1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8D6"/>
    <w:rsid w:val="000B72B7"/>
    <w:rsid w:val="000B759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7D8"/>
    <w:rsid w:val="000D11E5"/>
    <w:rsid w:val="000D19E8"/>
    <w:rsid w:val="000D1FA1"/>
    <w:rsid w:val="000D2834"/>
    <w:rsid w:val="000D2CAC"/>
    <w:rsid w:val="000D34C8"/>
    <w:rsid w:val="000D34FD"/>
    <w:rsid w:val="000D3BE5"/>
    <w:rsid w:val="000D3C37"/>
    <w:rsid w:val="000D453A"/>
    <w:rsid w:val="000D4AFA"/>
    <w:rsid w:val="000D5EA6"/>
    <w:rsid w:val="000D5F00"/>
    <w:rsid w:val="000D64FC"/>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45"/>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731"/>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6AE8"/>
    <w:rsid w:val="001176FF"/>
    <w:rsid w:val="0012153F"/>
    <w:rsid w:val="0012159D"/>
    <w:rsid w:val="00121804"/>
    <w:rsid w:val="00121EC9"/>
    <w:rsid w:val="001224FE"/>
    <w:rsid w:val="00123113"/>
    <w:rsid w:val="001231D3"/>
    <w:rsid w:val="001232A7"/>
    <w:rsid w:val="00123F7C"/>
    <w:rsid w:val="00124000"/>
    <w:rsid w:val="0012419E"/>
    <w:rsid w:val="001248EF"/>
    <w:rsid w:val="00124AC0"/>
    <w:rsid w:val="00124FC4"/>
    <w:rsid w:val="001253AB"/>
    <w:rsid w:val="0012574C"/>
    <w:rsid w:val="001259B8"/>
    <w:rsid w:val="001264B9"/>
    <w:rsid w:val="0012693E"/>
    <w:rsid w:val="00126A3A"/>
    <w:rsid w:val="00127060"/>
    <w:rsid w:val="00127B83"/>
    <w:rsid w:val="00130956"/>
    <w:rsid w:val="00131C2D"/>
    <w:rsid w:val="0013202C"/>
    <w:rsid w:val="00132704"/>
    <w:rsid w:val="00132CBF"/>
    <w:rsid w:val="00133707"/>
    <w:rsid w:val="00133742"/>
    <w:rsid w:val="00133B70"/>
    <w:rsid w:val="00133E97"/>
    <w:rsid w:val="00134D75"/>
    <w:rsid w:val="001350F7"/>
    <w:rsid w:val="00135769"/>
    <w:rsid w:val="00135BE9"/>
    <w:rsid w:val="00135E5C"/>
    <w:rsid w:val="00136762"/>
    <w:rsid w:val="00136E33"/>
    <w:rsid w:val="0013773D"/>
    <w:rsid w:val="00137899"/>
    <w:rsid w:val="00137B8C"/>
    <w:rsid w:val="0014042F"/>
    <w:rsid w:val="00140693"/>
    <w:rsid w:val="00140D7A"/>
    <w:rsid w:val="001413FB"/>
    <w:rsid w:val="00141D28"/>
    <w:rsid w:val="00141DFE"/>
    <w:rsid w:val="00142185"/>
    <w:rsid w:val="001422E2"/>
    <w:rsid w:val="001433BC"/>
    <w:rsid w:val="00143872"/>
    <w:rsid w:val="001438E7"/>
    <w:rsid w:val="00143A85"/>
    <w:rsid w:val="00144649"/>
    <w:rsid w:val="00145022"/>
    <w:rsid w:val="00145662"/>
    <w:rsid w:val="00145C6D"/>
    <w:rsid w:val="001460FC"/>
    <w:rsid w:val="00146151"/>
    <w:rsid w:val="00146326"/>
    <w:rsid w:val="00146CA2"/>
    <w:rsid w:val="00146FE4"/>
    <w:rsid w:val="00147032"/>
    <w:rsid w:val="00147875"/>
    <w:rsid w:val="001479CD"/>
    <w:rsid w:val="00147EA7"/>
    <w:rsid w:val="00150089"/>
    <w:rsid w:val="00151820"/>
    <w:rsid w:val="00151B2F"/>
    <w:rsid w:val="001524DC"/>
    <w:rsid w:val="001525E5"/>
    <w:rsid w:val="00153859"/>
    <w:rsid w:val="00153915"/>
    <w:rsid w:val="001539F0"/>
    <w:rsid w:val="00154BBA"/>
    <w:rsid w:val="00155B95"/>
    <w:rsid w:val="00156853"/>
    <w:rsid w:val="00157432"/>
    <w:rsid w:val="00161185"/>
    <w:rsid w:val="00161598"/>
    <w:rsid w:val="001620BA"/>
    <w:rsid w:val="001623AC"/>
    <w:rsid w:val="00162BAA"/>
    <w:rsid w:val="0016375C"/>
    <w:rsid w:val="00163C40"/>
    <w:rsid w:val="00164215"/>
    <w:rsid w:val="0016488B"/>
    <w:rsid w:val="00165758"/>
    <w:rsid w:val="00165A65"/>
    <w:rsid w:val="00165AC2"/>
    <w:rsid w:val="00166317"/>
    <w:rsid w:val="00167478"/>
    <w:rsid w:val="00167594"/>
    <w:rsid w:val="001702BE"/>
    <w:rsid w:val="001704B3"/>
    <w:rsid w:val="0017059C"/>
    <w:rsid w:val="0017105C"/>
    <w:rsid w:val="00171622"/>
    <w:rsid w:val="00171785"/>
    <w:rsid w:val="00171AB5"/>
    <w:rsid w:val="0017204F"/>
    <w:rsid w:val="001720E1"/>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600"/>
    <w:rsid w:val="00184DBF"/>
    <w:rsid w:val="001852A8"/>
    <w:rsid w:val="0018620A"/>
    <w:rsid w:val="00186527"/>
    <w:rsid w:val="00186EB0"/>
    <w:rsid w:val="00187121"/>
    <w:rsid w:val="00187243"/>
    <w:rsid w:val="00187C29"/>
    <w:rsid w:val="00190782"/>
    <w:rsid w:val="00190942"/>
    <w:rsid w:val="001909A7"/>
    <w:rsid w:val="001909C3"/>
    <w:rsid w:val="00190E89"/>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D59"/>
    <w:rsid w:val="001A4ED9"/>
    <w:rsid w:val="001A5785"/>
    <w:rsid w:val="001A5FD7"/>
    <w:rsid w:val="001A66A6"/>
    <w:rsid w:val="001A66F3"/>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944"/>
    <w:rsid w:val="001B7A15"/>
    <w:rsid w:val="001B7B69"/>
    <w:rsid w:val="001B7DC1"/>
    <w:rsid w:val="001C08DB"/>
    <w:rsid w:val="001C10BD"/>
    <w:rsid w:val="001C1F01"/>
    <w:rsid w:val="001C2092"/>
    <w:rsid w:val="001C232F"/>
    <w:rsid w:val="001C2544"/>
    <w:rsid w:val="001C2A17"/>
    <w:rsid w:val="001C31F5"/>
    <w:rsid w:val="001C44F2"/>
    <w:rsid w:val="001C4A5D"/>
    <w:rsid w:val="001C5761"/>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855"/>
    <w:rsid w:val="001E17E3"/>
    <w:rsid w:val="001E2052"/>
    <w:rsid w:val="001E2492"/>
    <w:rsid w:val="001E257C"/>
    <w:rsid w:val="001E286C"/>
    <w:rsid w:val="001E2F34"/>
    <w:rsid w:val="001E35EE"/>
    <w:rsid w:val="001E4B2C"/>
    <w:rsid w:val="001E507F"/>
    <w:rsid w:val="001E56C2"/>
    <w:rsid w:val="001E5751"/>
    <w:rsid w:val="001E59FB"/>
    <w:rsid w:val="001E6488"/>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AE9"/>
    <w:rsid w:val="00213478"/>
    <w:rsid w:val="0021350E"/>
    <w:rsid w:val="00214028"/>
    <w:rsid w:val="002141C3"/>
    <w:rsid w:val="002141DC"/>
    <w:rsid w:val="0021440C"/>
    <w:rsid w:val="00214479"/>
    <w:rsid w:val="002144F3"/>
    <w:rsid w:val="002146C3"/>
    <w:rsid w:val="00215334"/>
    <w:rsid w:val="00215514"/>
    <w:rsid w:val="00215A2A"/>
    <w:rsid w:val="00215A3F"/>
    <w:rsid w:val="00215D21"/>
    <w:rsid w:val="0021614C"/>
    <w:rsid w:val="0021636B"/>
    <w:rsid w:val="00216387"/>
    <w:rsid w:val="00216E7B"/>
    <w:rsid w:val="002174C3"/>
    <w:rsid w:val="00217E1F"/>
    <w:rsid w:val="002204BC"/>
    <w:rsid w:val="00220F7B"/>
    <w:rsid w:val="002213CE"/>
    <w:rsid w:val="0022161C"/>
    <w:rsid w:val="00221AF7"/>
    <w:rsid w:val="00222494"/>
    <w:rsid w:val="00222775"/>
    <w:rsid w:val="00222A31"/>
    <w:rsid w:val="00222CF6"/>
    <w:rsid w:val="00222FC7"/>
    <w:rsid w:val="00224037"/>
    <w:rsid w:val="002244E4"/>
    <w:rsid w:val="00224D2A"/>
    <w:rsid w:val="00224D8D"/>
    <w:rsid w:val="0022555A"/>
    <w:rsid w:val="00227214"/>
    <w:rsid w:val="00227DDC"/>
    <w:rsid w:val="0023079F"/>
    <w:rsid w:val="00231135"/>
    <w:rsid w:val="00231B0B"/>
    <w:rsid w:val="00232555"/>
    <w:rsid w:val="00233538"/>
    <w:rsid w:val="00233AFF"/>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DF5"/>
    <w:rsid w:val="00243E1E"/>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C41"/>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7C6"/>
    <w:rsid w:val="00266C21"/>
    <w:rsid w:val="00266DE1"/>
    <w:rsid w:val="00267A92"/>
    <w:rsid w:val="00267E43"/>
    <w:rsid w:val="00270282"/>
    <w:rsid w:val="00270780"/>
    <w:rsid w:val="00270CF6"/>
    <w:rsid w:val="00271097"/>
    <w:rsid w:val="00271C53"/>
    <w:rsid w:val="0027244F"/>
    <w:rsid w:val="00272844"/>
    <w:rsid w:val="00273052"/>
    <w:rsid w:val="002739CE"/>
    <w:rsid w:val="00273C5F"/>
    <w:rsid w:val="002741D4"/>
    <w:rsid w:val="002743AC"/>
    <w:rsid w:val="0027499D"/>
    <w:rsid w:val="002751CA"/>
    <w:rsid w:val="0027544D"/>
    <w:rsid w:val="00277196"/>
    <w:rsid w:val="002775ED"/>
    <w:rsid w:val="002778AB"/>
    <w:rsid w:val="00277A28"/>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B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72B"/>
    <w:rsid w:val="002A4060"/>
    <w:rsid w:val="002A4868"/>
    <w:rsid w:val="002A4A05"/>
    <w:rsid w:val="002A4EB3"/>
    <w:rsid w:val="002A51D9"/>
    <w:rsid w:val="002A525A"/>
    <w:rsid w:val="002A5968"/>
    <w:rsid w:val="002A5CAB"/>
    <w:rsid w:val="002A5D40"/>
    <w:rsid w:val="002A622E"/>
    <w:rsid w:val="002A6424"/>
    <w:rsid w:val="002A64E7"/>
    <w:rsid w:val="002A6A8D"/>
    <w:rsid w:val="002A7748"/>
    <w:rsid w:val="002A7A09"/>
    <w:rsid w:val="002A7ED3"/>
    <w:rsid w:val="002A7FB1"/>
    <w:rsid w:val="002A7FC9"/>
    <w:rsid w:val="002B139C"/>
    <w:rsid w:val="002B1881"/>
    <w:rsid w:val="002B1F61"/>
    <w:rsid w:val="002B2070"/>
    <w:rsid w:val="002B2906"/>
    <w:rsid w:val="002B2C66"/>
    <w:rsid w:val="002B34E3"/>
    <w:rsid w:val="002B42D5"/>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E5E"/>
    <w:rsid w:val="002C519E"/>
    <w:rsid w:val="002C5D5E"/>
    <w:rsid w:val="002C6116"/>
    <w:rsid w:val="002C643D"/>
    <w:rsid w:val="002C66B8"/>
    <w:rsid w:val="002C70E7"/>
    <w:rsid w:val="002D01F7"/>
    <w:rsid w:val="002D0C27"/>
    <w:rsid w:val="002D0E88"/>
    <w:rsid w:val="002D0EA7"/>
    <w:rsid w:val="002D0F31"/>
    <w:rsid w:val="002D1593"/>
    <w:rsid w:val="002D1734"/>
    <w:rsid w:val="002D1A1E"/>
    <w:rsid w:val="002D22A6"/>
    <w:rsid w:val="002D2819"/>
    <w:rsid w:val="002D2CD6"/>
    <w:rsid w:val="002D2F81"/>
    <w:rsid w:val="002D38A3"/>
    <w:rsid w:val="002D3BA3"/>
    <w:rsid w:val="002D43EE"/>
    <w:rsid w:val="002D4892"/>
    <w:rsid w:val="002D4D06"/>
    <w:rsid w:val="002D4DDE"/>
    <w:rsid w:val="002D4E4D"/>
    <w:rsid w:val="002D4EE7"/>
    <w:rsid w:val="002D4EED"/>
    <w:rsid w:val="002D53DA"/>
    <w:rsid w:val="002D5AAD"/>
    <w:rsid w:val="002D5DA3"/>
    <w:rsid w:val="002D5DC8"/>
    <w:rsid w:val="002D6097"/>
    <w:rsid w:val="002D65AD"/>
    <w:rsid w:val="002D6782"/>
    <w:rsid w:val="002D69CC"/>
    <w:rsid w:val="002D74A4"/>
    <w:rsid w:val="002D7DB2"/>
    <w:rsid w:val="002D7DBD"/>
    <w:rsid w:val="002D7EA8"/>
    <w:rsid w:val="002E00E1"/>
    <w:rsid w:val="002E0102"/>
    <w:rsid w:val="002E03AE"/>
    <w:rsid w:val="002E0542"/>
    <w:rsid w:val="002E05F2"/>
    <w:rsid w:val="002E096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BCC"/>
    <w:rsid w:val="002E7EC1"/>
    <w:rsid w:val="002E7EE5"/>
    <w:rsid w:val="002F0323"/>
    <w:rsid w:val="002F0DFB"/>
    <w:rsid w:val="002F134F"/>
    <w:rsid w:val="002F1D0B"/>
    <w:rsid w:val="002F1E1D"/>
    <w:rsid w:val="002F1F02"/>
    <w:rsid w:val="002F27E5"/>
    <w:rsid w:val="002F294C"/>
    <w:rsid w:val="002F2B55"/>
    <w:rsid w:val="002F2D81"/>
    <w:rsid w:val="002F2F66"/>
    <w:rsid w:val="002F39D4"/>
    <w:rsid w:val="002F4BA9"/>
    <w:rsid w:val="002F541B"/>
    <w:rsid w:val="002F5BFE"/>
    <w:rsid w:val="002F5DA5"/>
    <w:rsid w:val="002F5E17"/>
    <w:rsid w:val="002F647C"/>
    <w:rsid w:val="002F6C6B"/>
    <w:rsid w:val="002F6CB0"/>
    <w:rsid w:val="002F6EFF"/>
    <w:rsid w:val="002F700C"/>
    <w:rsid w:val="002F7DF0"/>
    <w:rsid w:val="002F7FAF"/>
    <w:rsid w:val="00300573"/>
    <w:rsid w:val="00301628"/>
    <w:rsid w:val="003025FE"/>
    <w:rsid w:val="00302A27"/>
    <w:rsid w:val="00303813"/>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0FC7"/>
    <w:rsid w:val="00311C51"/>
    <w:rsid w:val="00311D56"/>
    <w:rsid w:val="00312016"/>
    <w:rsid w:val="00312340"/>
    <w:rsid w:val="00312DFC"/>
    <w:rsid w:val="0031318C"/>
    <w:rsid w:val="00313C9D"/>
    <w:rsid w:val="0031430C"/>
    <w:rsid w:val="00314919"/>
    <w:rsid w:val="00314C5A"/>
    <w:rsid w:val="00314D01"/>
    <w:rsid w:val="0031531A"/>
    <w:rsid w:val="00315394"/>
    <w:rsid w:val="00315C25"/>
    <w:rsid w:val="00315D77"/>
    <w:rsid w:val="00315D8E"/>
    <w:rsid w:val="00316002"/>
    <w:rsid w:val="00316015"/>
    <w:rsid w:val="00316CDE"/>
    <w:rsid w:val="0031752D"/>
    <w:rsid w:val="00317709"/>
    <w:rsid w:val="00320688"/>
    <w:rsid w:val="00320B75"/>
    <w:rsid w:val="00321DB7"/>
    <w:rsid w:val="00321E7A"/>
    <w:rsid w:val="0032226D"/>
    <w:rsid w:val="00322376"/>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934"/>
    <w:rsid w:val="003360AD"/>
    <w:rsid w:val="003361EE"/>
    <w:rsid w:val="0033631D"/>
    <w:rsid w:val="003369C7"/>
    <w:rsid w:val="003373A6"/>
    <w:rsid w:val="00337409"/>
    <w:rsid w:val="003374A7"/>
    <w:rsid w:val="00337E18"/>
    <w:rsid w:val="003405AF"/>
    <w:rsid w:val="0034088F"/>
    <w:rsid w:val="00340B3E"/>
    <w:rsid w:val="003413D2"/>
    <w:rsid w:val="00341525"/>
    <w:rsid w:val="0034257E"/>
    <w:rsid w:val="003429A1"/>
    <w:rsid w:val="003429FC"/>
    <w:rsid w:val="00343079"/>
    <w:rsid w:val="00343127"/>
    <w:rsid w:val="00343320"/>
    <w:rsid w:val="00344039"/>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861"/>
    <w:rsid w:val="00356A73"/>
    <w:rsid w:val="00356FF0"/>
    <w:rsid w:val="003577EF"/>
    <w:rsid w:val="00357A60"/>
    <w:rsid w:val="00360304"/>
    <w:rsid w:val="0036097B"/>
    <w:rsid w:val="00360A78"/>
    <w:rsid w:val="003610A7"/>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094"/>
    <w:rsid w:val="0037510C"/>
    <w:rsid w:val="00375850"/>
    <w:rsid w:val="0037632F"/>
    <w:rsid w:val="003767AD"/>
    <w:rsid w:val="0037753F"/>
    <w:rsid w:val="00377B26"/>
    <w:rsid w:val="00381014"/>
    <w:rsid w:val="00381604"/>
    <w:rsid w:val="00381C68"/>
    <w:rsid w:val="00381F60"/>
    <w:rsid w:val="00382EA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9E5"/>
    <w:rsid w:val="00390B8F"/>
    <w:rsid w:val="00390C0D"/>
    <w:rsid w:val="00390C75"/>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B3"/>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92C"/>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19"/>
    <w:rsid w:val="003E20F7"/>
    <w:rsid w:val="003E336A"/>
    <w:rsid w:val="003E354B"/>
    <w:rsid w:val="003E3E2F"/>
    <w:rsid w:val="003E4048"/>
    <w:rsid w:val="003E4CE5"/>
    <w:rsid w:val="003E604C"/>
    <w:rsid w:val="003E60DA"/>
    <w:rsid w:val="003E6507"/>
    <w:rsid w:val="003E6E00"/>
    <w:rsid w:val="003E7111"/>
    <w:rsid w:val="003E7940"/>
    <w:rsid w:val="003F01BD"/>
    <w:rsid w:val="003F0486"/>
    <w:rsid w:val="003F048E"/>
    <w:rsid w:val="003F09FA"/>
    <w:rsid w:val="003F0AFF"/>
    <w:rsid w:val="003F15F7"/>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2EC"/>
    <w:rsid w:val="004035D0"/>
    <w:rsid w:val="0040361D"/>
    <w:rsid w:val="00403795"/>
    <w:rsid w:val="004041FB"/>
    <w:rsid w:val="0040443E"/>
    <w:rsid w:val="004056B6"/>
    <w:rsid w:val="00405764"/>
    <w:rsid w:val="00406745"/>
    <w:rsid w:val="0040674B"/>
    <w:rsid w:val="00406B32"/>
    <w:rsid w:val="004072D4"/>
    <w:rsid w:val="004074FA"/>
    <w:rsid w:val="00407A56"/>
    <w:rsid w:val="00407FCC"/>
    <w:rsid w:val="0041035A"/>
    <w:rsid w:val="00410E76"/>
    <w:rsid w:val="004112D1"/>
    <w:rsid w:val="004113C9"/>
    <w:rsid w:val="00411D1E"/>
    <w:rsid w:val="00411DF2"/>
    <w:rsid w:val="004120DF"/>
    <w:rsid w:val="004125C3"/>
    <w:rsid w:val="004126B5"/>
    <w:rsid w:val="00413F07"/>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C54"/>
    <w:rsid w:val="00425341"/>
    <w:rsid w:val="004255FE"/>
    <w:rsid w:val="00425674"/>
    <w:rsid w:val="00425A82"/>
    <w:rsid w:val="00425C60"/>
    <w:rsid w:val="00426B2C"/>
    <w:rsid w:val="00427994"/>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176"/>
    <w:rsid w:val="004434DF"/>
    <w:rsid w:val="0044354B"/>
    <w:rsid w:val="0044493E"/>
    <w:rsid w:val="00444A1F"/>
    <w:rsid w:val="00444AA2"/>
    <w:rsid w:val="00444FC6"/>
    <w:rsid w:val="00445874"/>
    <w:rsid w:val="00445C38"/>
    <w:rsid w:val="0044610E"/>
    <w:rsid w:val="0044686B"/>
    <w:rsid w:val="004475F7"/>
    <w:rsid w:val="0045057B"/>
    <w:rsid w:val="0045069B"/>
    <w:rsid w:val="00450849"/>
    <w:rsid w:val="00450B22"/>
    <w:rsid w:val="00451709"/>
    <w:rsid w:val="004518FA"/>
    <w:rsid w:val="00451A02"/>
    <w:rsid w:val="0045277C"/>
    <w:rsid w:val="00453507"/>
    <w:rsid w:val="00453592"/>
    <w:rsid w:val="004543AB"/>
    <w:rsid w:val="004545EC"/>
    <w:rsid w:val="0045483F"/>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3DE"/>
    <w:rsid w:val="004724B8"/>
    <w:rsid w:val="004728FB"/>
    <w:rsid w:val="004729AD"/>
    <w:rsid w:val="00472CA7"/>
    <w:rsid w:val="00472CEC"/>
    <w:rsid w:val="00473308"/>
    <w:rsid w:val="0047377C"/>
    <w:rsid w:val="0047471E"/>
    <w:rsid w:val="004749DA"/>
    <w:rsid w:val="00474DEF"/>
    <w:rsid w:val="00475729"/>
    <w:rsid w:val="00475734"/>
    <w:rsid w:val="004758E7"/>
    <w:rsid w:val="00475BAB"/>
    <w:rsid w:val="00475E9A"/>
    <w:rsid w:val="004764C6"/>
    <w:rsid w:val="00476AC1"/>
    <w:rsid w:val="00476F97"/>
    <w:rsid w:val="00477247"/>
    <w:rsid w:val="004776BB"/>
    <w:rsid w:val="004776FB"/>
    <w:rsid w:val="0047784C"/>
    <w:rsid w:val="0048055E"/>
    <w:rsid w:val="00480C2B"/>
    <w:rsid w:val="00480DC5"/>
    <w:rsid w:val="00480FD9"/>
    <w:rsid w:val="0048131D"/>
    <w:rsid w:val="00481D0B"/>
    <w:rsid w:val="004824A9"/>
    <w:rsid w:val="00483091"/>
    <w:rsid w:val="00483140"/>
    <w:rsid w:val="00483984"/>
    <w:rsid w:val="00483BC7"/>
    <w:rsid w:val="00483CF0"/>
    <w:rsid w:val="00484D4D"/>
    <w:rsid w:val="004858DB"/>
    <w:rsid w:val="00485B6D"/>
    <w:rsid w:val="00486516"/>
    <w:rsid w:val="0048664F"/>
    <w:rsid w:val="004868AD"/>
    <w:rsid w:val="00486C04"/>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B9"/>
    <w:rsid w:val="00496CCE"/>
    <w:rsid w:val="004978C1"/>
    <w:rsid w:val="00497AAD"/>
    <w:rsid w:val="00497BD7"/>
    <w:rsid w:val="00497D1A"/>
    <w:rsid w:val="004A00C9"/>
    <w:rsid w:val="004A03D0"/>
    <w:rsid w:val="004A0565"/>
    <w:rsid w:val="004A1049"/>
    <w:rsid w:val="004A1AFA"/>
    <w:rsid w:val="004A1EA7"/>
    <w:rsid w:val="004A26F5"/>
    <w:rsid w:val="004A2B81"/>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19"/>
    <w:rsid w:val="004B419F"/>
    <w:rsid w:val="004B4EA9"/>
    <w:rsid w:val="004B5C96"/>
    <w:rsid w:val="004B5D29"/>
    <w:rsid w:val="004B6124"/>
    <w:rsid w:val="004B6E50"/>
    <w:rsid w:val="004B728F"/>
    <w:rsid w:val="004B7317"/>
    <w:rsid w:val="004B75B2"/>
    <w:rsid w:val="004B75C6"/>
    <w:rsid w:val="004C02C5"/>
    <w:rsid w:val="004C0BF0"/>
    <w:rsid w:val="004C0D40"/>
    <w:rsid w:val="004C114F"/>
    <w:rsid w:val="004C11A9"/>
    <w:rsid w:val="004C27CF"/>
    <w:rsid w:val="004C2BCA"/>
    <w:rsid w:val="004C2CA7"/>
    <w:rsid w:val="004C3592"/>
    <w:rsid w:val="004C45C8"/>
    <w:rsid w:val="004C4D65"/>
    <w:rsid w:val="004C4F8F"/>
    <w:rsid w:val="004C5267"/>
    <w:rsid w:val="004C5BC2"/>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2C"/>
    <w:rsid w:val="004E1D6F"/>
    <w:rsid w:val="004E1DF3"/>
    <w:rsid w:val="004E2393"/>
    <w:rsid w:val="004E3117"/>
    <w:rsid w:val="004E3A2A"/>
    <w:rsid w:val="004E3AB1"/>
    <w:rsid w:val="004E4003"/>
    <w:rsid w:val="004E4626"/>
    <w:rsid w:val="004E4984"/>
    <w:rsid w:val="004E5101"/>
    <w:rsid w:val="004E5380"/>
    <w:rsid w:val="004E66DC"/>
    <w:rsid w:val="004E6746"/>
    <w:rsid w:val="004E6CAC"/>
    <w:rsid w:val="004E6F69"/>
    <w:rsid w:val="004E75C1"/>
    <w:rsid w:val="004E777F"/>
    <w:rsid w:val="004F07F2"/>
    <w:rsid w:val="004F07F9"/>
    <w:rsid w:val="004F0A50"/>
    <w:rsid w:val="004F0D1F"/>
    <w:rsid w:val="004F0E82"/>
    <w:rsid w:val="004F10A9"/>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9ED"/>
    <w:rsid w:val="00510DDC"/>
    <w:rsid w:val="00511166"/>
    <w:rsid w:val="00511AA6"/>
    <w:rsid w:val="00512217"/>
    <w:rsid w:val="00512459"/>
    <w:rsid w:val="005131A2"/>
    <w:rsid w:val="005137E4"/>
    <w:rsid w:val="00513BB9"/>
    <w:rsid w:val="0051440E"/>
    <w:rsid w:val="00514480"/>
    <w:rsid w:val="005148CD"/>
    <w:rsid w:val="00515180"/>
    <w:rsid w:val="00515973"/>
    <w:rsid w:val="00516069"/>
    <w:rsid w:val="00516F4A"/>
    <w:rsid w:val="0051706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F9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CB"/>
    <w:rsid w:val="00536B03"/>
    <w:rsid w:val="00537456"/>
    <w:rsid w:val="005376D9"/>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9A3"/>
    <w:rsid w:val="005802F9"/>
    <w:rsid w:val="005806D5"/>
    <w:rsid w:val="00580DFC"/>
    <w:rsid w:val="0058134C"/>
    <w:rsid w:val="005815CD"/>
    <w:rsid w:val="005827A7"/>
    <w:rsid w:val="00583553"/>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2DE"/>
    <w:rsid w:val="00596CFA"/>
    <w:rsid w:val="00596EC6"/>
    <w:rsid w:val="005975CE"/>
    <w:rsid w:val="005A0088"/>
    <w:rsid w:val="005A04F6"/>
    <w:rsid w:val="005A08E6"/>
    <w:rsid w:val="005A14F0"/>
    <w:rsid w:val="005A1861"/>
    <w:rsid w:val="005A1A31"/>
    <w:rsid w:val="005A361D"/>
    <w:rsid w:val="005A36C2"/>
    <w:rsid w:val="005A3719"/>
    <w:rsid w:val="005A3DD7"/>
    <w:rsid w:val="005A40FA"/>
    <w:rsid w:val="005A4C20"/>
    <w:rsid w:val="005A4F48"/>
    <w:rsid w:val="005A54F1"/>
    <w:rsid w:val="005A57B8"/>
    <w:rsid w:val="005A5D0E"/>
    <w:rsid w:val="005A5DDE"/>
    <w:rsid w:val="005A64A8"/>
    <w:rsid w:val="005A65C5"/>
    <w:rsid w:val="005A6875"/>
    <w:rsid w:val="005A6B43"/>
    <w:rsid w:val="005A7016"/>
    <w:rsid w:val="005A7A32"/>
    <w:rsid w:val="005A7F85"/>
    <w:rsid w:val="005B00DD"/>
    <w:rsid w:val="005B03B1"/>
    <w:rsid w:val="005B07D5"/>
    <w:rsid w:val="005B1A8A"/>
    <w:rsid w:val="005B1AAB"/>
    <w:rsid w:val="005B2578"/>
    <w:rsid w:val="005B2930"/>
    <w:rsid w:val="005B2B87"/>
    <w:rsid w:val="005B2FAA"/>
    <w:rsid w:val="005B33C8"/>
    <w:rsid w:val="005B3761"/>
    <w:rsid w:val="005B387B"/>
    <w:rsid w:val="005B3B01"/>
    <w:rsid w:val="005B4333"/>
    <w:rsid w:val="005B48BE"/>
    <w:rsid w:val="005B48D1"/>
    <w:rsid w:val="005B58F7"/>
    <w:rsid w:val="005B5981"/>
    <w:rsid w:val="005B5994"/>
    <w:rsid w:val="005B6474"/>
    <w:rsid w:val="005B666D"/>
    <w:rsid w:val="005B667A"/>
    <w:rsid w:val="005B6865"/>
    <w:rsid w:val="005B7846"/>
    <w:rsid w:val="005C039B"/>
    <w:rsid w:val="005C059F"/>
    <w:rsid w:val="005C07CE"/>
    <w:rsid w:val="005C0B8F"/>
    <w:rsid w:val="005C0DA2"/>
    <w:rsid w:val="005C0F26"/>
    <w:rsid w:val="005C194E"/>
    <w:rsid w:val="005C1C83"/>
    <w:rsid w:val="005C1DB1"/>
    <w:rsid w:val="005C226F"/>
    <w:rsid w:val="005C2294"/>
    <w:rsid w:val="005C2E48"/>
    <w:rsid w:val="005C3344"/>
    <w:rsid w:val="005C4E4D"/>
    <w:rsid w:val="005C537D"/>
    <w:rsid w:val="005C58F2"/>
    <w:rsid w:val="005C5A97"/>
    <w:rsid w:val="005C5F77"/>
    <w:rsid w:val="005C6AAB"/>
    <w:rsid w:val="005C6D5D"/>
    <w:rsid w:val="005C6FD0"/>
    <w:rsid w:val="005C7FDA"/>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8E"/>
    <w:rsid w:val="005D7CB1"/>
    <w:rsid w:val="005D7F57"/>
    <w:rsid w:val="005E0067"/>
    <w:rsid w:val="005E0141"/>
    <w:rsid w:val="005E0870"/>
    <w:rsid w:val="005E09CA"/>
    <w:rsid w:val="005E1AB4"/>
    <w:rsid w:val="005E255B"/>
    <w:rsid w:val="005E2CF7"/>
    <w:rsid w:val="005E386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55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99"/>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38D"/>
    <w:rsid w:val="006166AD"/>
    <w:rsid w:val="00616C1E"/>
    <w:rsid w:val="00617EFC"/>
    <w:rsid w:val="00620055"/>
    <w:rsid w:val="00620336"/>
    <w:rsid w:val="006204B3"/>
    <w:rsid w:val="006204C2"/>
    <w:rsid w:val="006211BC"/>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D1A"/>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1CF"/>
    <w:rsid w:val="00644334"/>
    <w:rsid w:val="0064487C"/>
    <w:rsid w:val="00644BED"/>
    <w:rsid w:val="00644E2E"/>
    <w:rsid w:val="0064535E"/>
    <w:rsid w:val="00645A3A"/>
    <w:rsid w:val="00645B87"/>
    <w:rsid w:val="00645CB4"/>
    <w:rsid w:val="00646084"/>
    <w:rsid w:val="006468ED"/>
    <w:rsid w:val="00647664"/>
    <w:rsid w:val="00647A60"/>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248"/>
    <w:rsid w:val="00671480"/>
    <w:rsid w:val="006717E7"/>
    <w:rsid w:val="00671FD5"/>
    <w:rsid w:val="006720BC"/>
    <w:rsid w:val="00672906"/>
    <w:rsid w:val="00672C73"/>
    <w:rsid w:val="00673B64"/>
    <w:rsid w:val="006753AC"/>
    <w:rsid w:val="00675430"/>
    <w:rsid w:val="006754D5"/>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087"/>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24D"/>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3FF"/>
    <w:rsid w:val="006A7C29"/>
    <w:rsid w:val="006B0580"/>
    <w:rsid w:val="006B0DA2"/>
    <w:rsid w:val="006B0F70"/>
    <w:rsid w:val="006B1417"/>
    <w:rsid w:val="006B1486"/>
    <w:rsid w:val="006B169F"/>
    <w:rsid w:val="006B1BEB"/>
    <w:rsid w:val="006B1D06"/>
    <w:rsid w:val="006B2649"/>
    <w:rsid w:val="006B2823"/>
    <w:rsid w:val="006B29DC"/>
    <w:rsid w:val="006B2F60"/>
    <w:rsid w:val="006B33DB"/>
    <w:rsid w:val="006B340B"/>
    <w:rsid w:val="006B3669"/>
    <w:rsid w:val="006B36E5"/>
    <w:rsid w:val="006B3D00"/>
    <w:rsid w:val="006B4CF8"/>
    <w:rsid w:val="006B506B"/>
    <w:rsid w:val="006B54E8"/>
    <w:rsid w:val="006B5FBC"/>
    <w:rsid w:val="006B6ED2"/>
    <w:rsid w:val="006B7F74"/>
    <w:rsid w:val="006C0230"/>
    <w:rsid w:val="006C05C7"/>
    <w:rsid w:val="006C25AB"/>
    <w:rsid w:val="006C2DA6"/>
    <w:rsid w:val="006C316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194"/>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BCD"/>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3BE"/>
    <w:rsid w:val="007119DC"/>
    <w:rsid w:val="00711CC7"/>
    <w:rsid w:val="0071230A"/>
    <w:rsid w:val="0071294A"/>
    <w:rsid w:val="00712BDD"/>
    <w:rsid w:val="00712E1E"/>
    <w:rsid w:val="00712F37"/>
    <w:rsid w:val="00713A6B"/>
    <w:rsid w:val="00713CB5"/>
    <w:rsid w:val="00713ECB"/>
    <w:rsid w:val="0071499C"/>
    <w:rsid w:val="00714F9D"/>
    <w:rsid w:val="007154D8"/>
    <w:rsid w:val="00715577"/>
    <w:rsid w:val="0071604D"/>
    <w:rsid w:val="00716C67"/>
    <w:rsid w:val="007170AB"/>
    <w:rsid w:val="0071779C"/>
    <w:rsid w:val="00717808"/>
    <w:rsid w:val="00720254"/>
    <w:rsid w:val="007208A7"/>
    <w:rsid w:val="00720B6A"/>
    <w:rsid w:val="007210F6"/>
    <w:rsid w:val="0072129A"/>
    <w:rsid w:val="0072139F"/>
    <w:rsid w:val="007218FF"/>
    <w:rsid w:val="0072198A"/>
    <w:rsid w:val="00721AD9"/>
    <w:rsid w:val="00721FC3"/>
    <w:rsid w:val="00722A86"/>
    <w:rsid w:val="00722BC6"/>
    <w:rsid w:val="00722C69"/>
    <w:rsid w:val="0072311F"/>
    <w:rsid w:val="0072388C"/>
    <w:rsid w:val="0072454E"/>
    <w:rsid w:val="007249D1"/>
    <w:rsid w:val="00724FE4"/>
    <w:rsid w:val="00725772"/>
    <w:rsid w:val="00725829"/>
    <w:rsid w:val="00725D6A"/>
    <w:rsid w:val="007263A2"/>
    <w:rsid w:val="007266B9"/>
    <w:rsid w:val="00726EC9"/>
    <w:rsid w:val="00727351"/>
    <w:rsid w:val="00727AC5"/>
    <w:rsid w:val="00727C65"/>
    <w:rsid w:val="007300F0"/>
    <w:rsid w:val="00730904"/>
    <w:rsid w:val="00731EDE"/>
    <w:rsid w:val="0073220A"/>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9EA"/>
    <w:rsid w:val="00741D57"/>
    <w:rsid w:val="0074289E"/>
    <w:rsid w:val="00742D32"/>
    <w:rsid w:val="00742E9B"/>
    <w:rsid w:val="007444E6"/>
    <w:rsid w:val="00744B89"/>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5C4"/>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3C1"/>
    <w:rsid w:val="00794509"/>
    <w:rsid w:val="00794754"/>
    <w:rsid w:val="00794E46"/>
    <w:rsid w:val="007952DE"/>
    <w:rsid w:val="00795479"/>
    <w:rsid w:val="00796292"/>
    <w:rsid w:val="007965D9"/>
    <w:rsid w:val="00796BA2"/>
    <w:rsid w:val="007972D5"/>
    <w:rsid w:val="0079778D"/>
    <w:rsid w:val="00797D73"/>
    <w:rsid w:val="007A006C"/>
    <w:rsid w:val="007A01D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1A8"/>
    <w:rsid w:val="007A7618"/>
    <w:rsid w:val="007B00C9"/>
    <w:rsid w:val="007B02C7"/>
    <w:rsid w:val="007B0306"/>
    <w:rsid w:val="007B08E4"/>
    <w:rsid w:val="007B0D86"/>
    <w:rsid w:val="007B1458"/>
    <w:rsid w:val="007B28C3"/>
    <w:rsid w:val="007B31A7"/>
    <w:rsid w:val="007B3A1B"/>
    <w:rsid w:val="007B3A8E"/>
    <w:rsid w:val="007B3C9B"/>
    <w:rsid w:val="007B4271"/>
    <w:rsid w:val="007B4817"/>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2B"/>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65"/>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5DF"/>
    <w:rsid w:val="007D4DED"/>
    <w:rsid w:val="007D5BA2"/>
    <w:rsid w:val="007D5ED3"/>
    <w:rsid w:val="007D682F"/>
    <w:rsid w:val="007D6FB9"/>
    <w:rsid w:val="007D7211"/>
    <w:rsid w:val="007D77DF"/>
    <w:rsid w:val="007E0595"/>
    <w:rsid w:val="007E0A63"/>
    <w:rsid w:val="007E0C63"/>
    <w:rsid w:val="007E0E05"/>
    <w:rsid w:val="007E0F5D"/>
    <w:rsid w:val="007E23A1"/>
    <w:rsid w:val="007E259F"/>
    <w:rsid w:val="007E347E"/>
    <w:rsid w:val="007E41A4"/>
    <w:rsid w:val="007E43E3"/>
    <w:rsid w:val="007E54B8"/>
    <w:rsid w:val="007E5D12"/>
    <w:rsid w:val="007E6080"/>
    <w:rsid w:val="007E6420"/>
    <w:rsid w:val="007E677F"/>
    <w:rsid w:val="007E6B25"/>
    <w:rsid w:val="007E6E06"/>
    <w:rsid w:val="007E6F4A"/>
    <w:rsid w:val="007E7727"/>
    <w:rsid w:val="007E79CC"/>
    <w:rsid w:val="007F1124"/>
    <w:rsid w:val="007F152D"/>
    <w:rsid w:val="007F20C4"/>
    <w:rsid w:val="007F20EE"/>
    <w:rsid w:val="007F23D8"/>
    <w:rsid w:val="007F29CD"/>
    <w:rsid w:val="007F307A"/>
    <w:rsid w:val="007F30C6"/>
    <w:rsid w:val="007F38FD"/>
    <w:rsid w:val="007F3C18"/>
    <w:rsid w:val="007F4318"/>
    <w:rsid w:val="007F4709"/>
    <w:rsid w:val="007F47DA"/>
    <w:rsid w:val="007F4E52"/>
    <w:rsid w:val="007F4F84"/>
    <w:rsid w:val="007F52BF"/>
    <w:rsid w:val="007F5382"/>
    <w:rsid w:val="007F55A4"/>
    <w:rsid w:val="007F5D28"/>
    <w:rsid w:val="007F6260"/>
    <w:rsid w:val="007F65CA"/>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94E"/>
    <w:rsid w:val="00817195"/>
    <w:rsid w:val="00817416"/>
    <w:rsid w:val="00817658"/>
    <w:rsid w:val="008206AE"/>
    <w:rsid w:val="00821271"/>
    <w:rsid w:val="00821306"/>
    <w:rsid w:val="008213D9"/>
    <w:rsid w:val="008216CE"/>
    <w:rsid w:val="008218AE"/>
    <w:rsid w:val="00821D85"/>
    <w:rsid w:val="00821E47"/>
    <w:rsid w:val="008220F6"/>
    <w:rsid w:val="00822456"/>
    <w:rsid w:val="00822E79"/>
    <w:rsid w:val="00823819"/>
    <w:rsid w:val="00823C4B"/>
    <w:rsid w:val="0082427D"/>
    <w:rsid w:val="00825441"/>
    <w:rsid w:val="008256C4"/>
    <w:rsid w:val="00826855"/>
    <w:rsid w:val="00830052"/>
    <w:rsid w:val="008300D0"/>
    <w:rsid w:val="00830427"/>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3AA"/>
    <w:rsid w:val="00850013"/>
    <w:rsid w:val="008500DD"/>
    <w:rsid w:val="00850A0A"/>
    <w:rsid w:val="00850A94"/>
    <w:rsid w:val="00851E96"/>
    <w:rsid w:val="00851F1C"/>
    <w:rsid w:val="00852639"/>
    <w:rsid w:val="00852FA5"/>
    <w:rsid w:val="00853F7D"/>
    <w:rsid w:val="00854D1B"/>
    <w:rsid w:val="0085517F"/>
    <w:rsid w:val="0085562D"/>
    <w:rsid w:val="00855A78"/>
    <w:rsid w:val="00856154"/>
    <w:rsid w:val="00856286"/>
    <w:rsid w:val="0085657E"/>
    <w:rsid w:val="0085670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045"/>
    <w:rsid w:val="008749BF"/>
    <w:rsid w:val="00875542"/>
    <w:rsid w:val="00875E14"/>
    <w:rsid w:val="0087677E"/>
    <w:rsid w:val="0087712C"/>
    <w:rsid w:val="0087732F"/>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34A"/>
    <w:rsid w:val="008972B6"/>
    <w:rsid w:val="00897339"/>
    <w:rsid w:val="00897697"/>
    <w:rsid w:val="008977E1"/>
    <w:rsid w:val="00897BDA"/>
    <w:rsid w:val="00897BFA"/>
    <w:rsid w:val="00897D19"/>
    <w:rsid w:val="008A0044"/>
    <w:rsid w:val="008A0BFE"/>
    <w:rsid w:val="008A1932"/>
    <w:rsid w:val="008A21D9"/>
    <w:rsid w:val="008A232D"/>
    <w:rsid w:val="008A2570"/>
    <w:rsid w:val="008A2777"/>
    <w:rsid w:val="008A3182"/>
    <w:rsid w:val="008A3C76"/>
    <w:rsid w:val="008A3D54"/>
    <w:rsid w:val="008A3E10"/>
    <w:rsid w:val="008A411C"/>
    <w:rsid w:val="008A4630"/>
    <w:rsid w:val="008A47CE"/>
    <w:rsid w:val="008A4DFA"/>
    <w:rsid w:val="008A5F2F"/>
    <w:rsid w:val="008A65E0"/>
    <w:rsid w:val="008A69F1"/>
    <w:rsid w:val="008A6BAE"/>
    <w:rsid w:val="008A7350"/>
    <w:rsid w:val="008A7A72"/>
    <w:rsid w:val="008B06BE"/>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19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202"/>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20E"/>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1A"/>
    <w:rsid w:val="008F1764"/>
    <w:rsid w:val="008F1B59"/>
    <w:rsid w:val="008F1E02"/>
    <w:rsid w:val="008F1E3D"/>
    <w:rsid w:val="008F235C"/>
    <w:rsid w:val="008F290B"/>
    <w:rsid w:val="008F2F11"/>
    <w:rsid w:val="008F3369"/>
    <w:rsid w:val="008F33A6"/>
    <w:rsid w:val="008F35EC"/>
    <w:rsid w:val="008F4CC2"/>
    <w:rsid w:val="008F4FE8"/>
    <w:rsid w:val="008F4FED"/>
    <w:rsid w:val="008F5D5A"/>
    <w:rsid w:val="008F6200"/>
    <w:rsid w:val="008F62F8"/>
    <w:rsid w:val="008F6893"/>
    <w:rsid w:val="008F7292"/>
    <w:rsid w:val="008F76C0"/>
    <w:rsid w:val="009000F2"/>
    <w:rsid w:val="0090079D"/>
    <w:rsid w:val="0090086A"/>
    <w:rsid w:val="00900BB1"/>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A59"/>
    <w:rsid w:val="00911D61"/>
    <w:rsid w:val="00912850"/>
    <w:rsid w:val="009128B8"/>
    <w:rsid w:val="00913236"/>
    <w:rsid w:val="009132F0"/>
    <w:rsid w:val="0091472C"/>
    <w:rsid w:val="00914DC9"/>
    <w:rsid w:val="00915351"/>
    <w:rsid w:val="00915679"/>
    <w:rsid w:val="009159C2"/>
    <w:rsid w:val="0091627F"/>
    <w:rsid w:val="00916CE6"/>
    <w:rsid w:val="00916E45"/>
    <w:rsid w:val="0092077A"/>
    <w:rsid w:val="009207D3"/>
    <w:rsid w:val="00920DC0"/>
    <w:rsid w:val="009219F3"/>
    <w:rsid w:val="009221CB"/>
    <w:rsid w:val="009222BE"/>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A1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D26"/>
    <w:rsid w:val="00962FB8"/>
    <w:rsid w:val="00963183"/>
    <w:rsid w:val="0096373F"/>
    <w:rsid w:val="00964007"/>
    <w:rsid w:val="00964283"/>
    <w:rsid w:val="009642A4"/>
    <w:rsid w:val="009643F4"/>
    <w:rsid w:val="009645A6"/>
    <w:rsid w:val="00964F5A"/>
    <w:rsid w:val="0096527F"/>
    <w:rsid w:val="009653ED"/>
    <w:rsid w:val="00966A21"/>
    <w:rsid w:val="00966AD2"/>
    <w:rsid w:val="0096779D"/>
    <w:rsid w:val="00971415"/>
    <w:rsid w:val="00971511"/>
    <w:rsid w:val="009716D8"/>
    <w:rsid w:val="00971F54"/>
    <w:rsid w:val="00972057"/>
    <w:rsid w:val="0097227B"/>
    <w:rsid w:val="0097262E"/>
    <w:rsid w:val="0097293F"/>
    <w:rsid w:val="00973103"/>
    <w:rsid w:val="00974022"/>
    <w:rsid w:val="009743E8"/>
    <w:rsid w:val="009745D8"/>
    <w:rsid w:val="00974A11"/>
    <w:rsid w:val="00974F3B"/>
    <w:rsid w:val="00975373"/>
    <w:rsid w:val="00975499"/>
    <w:rsid w:val="0097552A"/>
    <w:rsid w:val="0097564A"/>
    <w:rsid w:val="00975974"/>
    <w:rsid w:val="009759EE"/>
    <w:rsid w:val="00975D06"/>
    <w:rsid w:val="00975D63"/>
    <w:rsid w:val="00975DAE"/>
    <w:rsid w:val="00976BBE"/>
    <w:rsid w:val="009778E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D3"/>
    <w:rsid w:val="00994DD1"/>
    <w:rsid w:val="00995B01"/>
    <w:rsid w:val="00996055"/>
    <w:rsid w:val="00996EF4"/>
    <w:rsid w:val="00997044"/>
    <w:rsid w:val="00997BC9"/>
    <w:rsid w:val="009A113D"/>
    <w:rsid w:val="009A1ECA"/>
    <w:rsid w:val="009A2BE9"/>
    <w:rsid w:val="009A2BF3"/>
    <w:rsid w:val="009A2F7A"/>
    <w:rsid w:val="009A3688"/>
    <w:rsid w:val="009A3713"/>
    <w:rsid w:val="009A3C3E"/>
    <w:rsid w:val="009A4153"/>
    <w:rsid w:val="009A4C2C"/>
    <w:rsid w:val="009A50B7"/>
    <w:rsid w:val="009A59B3"/>
    <w:rsid w:val="009A5FAE"/>
    <w:rsid w:val="009A6B3A"/>
    <w:rsid w:val="009A70A3"/>
    <w:rsid w:val="009A7E7C"/>
    <w:rsid w:val="009B046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DF1"/>
    <w:rsid w:val="009D4207"/>
    <w:rsid w:val="009D4B7F"/>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0E"/>
    <w:rsid w:val="009E098B"/>
    <w:rsid w:val="009E09AB"/>
    <w:rsid w:val="009E0D7D"/>
    <w:rsid w:val="009E0DAF"/>
    <w:rsid w:val="009E19BB"/>
    <w:rsid w:val="009E1C47"/>
    <w:rsid w:val="009E1CD0"/>
    <w:rsid w:val="009E38D1"/>
    <w:rsid w:val="009E3DF1"/>
    <w:rsid w:val="009E4948"/>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5F"/>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407"/>
    <w:rsid w:val="00A0700C"/>
    <w:rsid w:val="00A078D5"/>
    <w:rsid w:val="00A102F8"/>
    <w:rsid w:val="00A10A20"/>
    <w:rsid w:val="00A117D5"/>
    <w:rsid w:val="00A11C11"/>
    <w:rsid w:val="00A1216C"/>
    <w:rsid w:val="00A12720"/>
    <w:rsid w:val="00A12ED1"/>
    <w:rsid w:val="00A13121"/>
    <w:rsid w:val="00A131F5"/>
    <w:rsid w:val="00A133C1"/>
    <w:rsid w:val="00A13414"/>
    <w:rsid w:val="00A13675"/>
    <w:rsid w:val="00A138B7"/>
    <w:rsid w:val="00A13F2D"/>
    <w:rsid w:val="00A148A0"/>
    <w:rsid w:val="00A14AA8"/>
    <w:rsid w:val="00A14F81"/>
    <w:rsid w:val="00A151D4"/>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CB8"/>
    <w:rsid w:val="00A31F05"/>
    <w:rsid w:val="00A31FD2"/>
    <w:rsid w:val="00A3404D"/>
    <w:rsid w:val="00A341AB"/>
    <w:rsid w:val="00A34290"/>
    <w:rsid w:val="00A355F9"/>
    <w:rsid w:val="00A357D3"/>
    <w:rsid w:val="00A35AA9"/>
    <w:rsid w:val="00A35F3C"/>
    <w:rsid w:val="00A367D1"/>
    <w:rsid w:val="00A36CF6"/>
    <w:rsid w:val="00A37309"/>
    <w:rsid w:val="00A37329"/>
    <w:rsid w:val="00A37558"/>
    <w:rsid w:val="00A3786A"/>
    <w:rsid w:val="00A4008C"/>
    <w:rsid w:val="00A402A8"/>
    <w:rsid w:val="00A40685"/>
    <w:rsid w:val="00A40E2F"/>
    <w:rsid w:val="00A41819"/>
    <w:rsid w:val="00A41C9A"/>
    <w:rsid w:val="00A41D73"/>
    <w:rsid w:val="00A4205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166"/>
    <w:rsid w:val="00A63335"/>
    <w:rsid w:val="00A634EB"/>
    <w:rsid w:val="00A63685"/>
    <w:rsid w:val="00A63EA5"/>
    <w:rsid w:val="00A64545"/>
    <w:rsid w:val="00A645AC"/>
    <w:rsid w:val="00A64C79"/>
    <w:rsid w:val="00A64EC5"/>
    <w:rsid w:val="00A65E62"/>
    <w:rsid w:val="00A65EFB"/>
    <w:rsid w:val="00A66E28"/>
    <w:rsid w:val="00A67429"/>
    <w:rsid w:val="00A677E7"/>
    <w:rsid w:val="00A67CE9"/>
    <w:rsid w:val="00A70590"/>
    <w:rsid w:val="00A7062E"/>
    <w:rsid w:val="00A70834"/>
    <w:rsid w:val="00A70DEC"/>
    <w:rsid w:val="00A71542"/>
    <w:rsid w:val="00A7171F"/>
    <w:rsid w:val="00A71FA0"/>
    <w:rsid w:val="00A71FBD"/>
    <w:rsid w:val="00A72727"/>
    <w:rsid w:val="00A727D8"/>
    <w:rsid w:val="00A72C1A"/>
    <w:rsid w:val="00A732FB"/>
    <w:rsid w:val="00A7463E"/>
    <w:rsid w:val="00A758E2"/>
    <w:rsid w:val="00A76280"/>
    <w:rsid w:val="00A765B1"/>
    <w:rsid w:val="00A772F2"/>
    <w:rsid w:val="00A77828"/>
    <w:rsid w:val="00A77BAA"/>
    <w:rsid w:val="00A77ED1"/>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72F"/>
    <w:rsid w:val="00A90FF7"/>
    <w:rsid w:val="00A9151F"/>
    <w:rsid w:val="00A9196B"/>
    <w:rsid w:val="00A91BB5"/>
    <w:rsid w:val="00A91BDD"/>
    <w:rsid w:val="00A91BEE"/>
    <w:rsid w:val="00A91D4B"/>
    <w:rsid w:val="00A920B2"/>
    <w:rsid w:val="00A92A96"/>
    <w:rsid w:val="00A92AF0"/>
    <w:rsid w:val="00A933FE"/>
    <w:rsid w:val="00A937D5"/>
    <w:rsid w:val="00A93C70"/>
    <w:rsid w:val="00A94023"/>
    <w:rsid w:val="00A94A32"/>
    <w:rsid w:val="00A94AFC"/>
    <w:rsid w:val="00A94BF5"/>
    <w:rsid w:val="00A963B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C7"/>
    <w:rsid w:val="00AA4DA9"/>
    <w:rsid w:val="00AA4F6D"/>
    <w:rsid w:val="00AA50CE"/>
    <w:rsid w:val="00AA536B"/>
    <w:rsid w:val="00AA57C9"/>
    <w:rsid w:val="00AA5A5C"/>
    <w:rsid w:val="00AA5A6F"/>
    <w:rsid w:val="00AA634D"/>
    <w:rsid w:val="00AA66D8"/>
    <w:rsid w:val="00AA6F6C"/>
    <w:rsid w:val="00AA721D"/>
    <w:rsid w:val="00AA7519"/>
    <w:rsid w:val="00AA790A"/>
    <w:rsid w:val="00AB02EA"/>
    <w:rsid w:val="00AB110C"/>
    <w:rsid w:val="00AB227A"/>
    <w:rsid w:val="00AB22BF"/>
    <w:rsid w:val="00AB256E"/>
    <w:rsid w:val="00AB2C3B"/>
    <w:rsid w:val="00AB3466"/>
    <w:rsid w:val="00AB38B2"/>
    <w:rsid w:val="00AB3BBB"/>
    <w:rsid w:val="00AB408C"/>
    <w:rsid w:val="00AB43AF"/>
    <w:rsid w:val="00AB4E41"/>
    <w:rsid w:val="00AB5EB1"/>
    <w:rsid w:val="00AB5FBE"/>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5DB"/>
    <w:rsid w:val="00AE4E9E"/>
    <w:rsid w:val="00AE6575"/>
    <w:rsid w:val="00AE71EE"/>
    <w:rsid w:val="00AF03CF"/>
    <w:rsid w:val="00AF0A0A"/>
    <w:rsid w:val="00AF14FC"/>
    <w:rsid w:val="00AF1ED2"/>
    <w:rsid w:val="00AF1F4E"/>
    <w:rsid w:val="00AF2302"/>
    <w:rsid w:val="00AF262A"/>
    <w:rsid w:val="00AF3557"/>
    <w:rsid w:val="00AF39DB"/>
    <w:rsid w:val="00AF3F86"/>
    <w:rsid w:val="00AF4CEE"/>
    <w:rsid w:val="00AF4E0B"/>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FC"/>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12A"/>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29C"/>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665"/>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7E"/>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157"/>
    <w:rsid w:val="00B63484"/>
    <w:rsid w:val="00B634B7"/>
    <w:rsid w:val="00B634F1"/>
    <w:rsid w:val="00B637EF"/>
    <w:rsid w:val="00B63EF6"/>
    <w:rsid w:val="00B6440A"/>
    <w:rsid w:val="00B65788"/>
    <w:rsid w:val="00B65844"/>
    <w:rsid w:val="00B66054"/>
    <w:rsid w:val="00B661B0"/>
    <w:rsid w:val="00B6677F"/>
    <w:rsid w:val="00B66C7A"/>
    <w:rsid w:val="00B672EA"/>
    <w:rsid w:val="00B6747B"/>
    <w:rsid w:val="00B70200"/>
    <w:rsid w:val="00B702D7"/>
    <w:rsid w:val="00B70389"/>
    <w:rsid w:val="00B70E01"/>
    <w:rsid w:val="00B72CF0"/>
    <w:rsid w:val="00B7380E"/>
    <w:rsid w:val="00B73E83"/>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AF8"/>
    <w:rsid w:val="00B820F4"/>
    <w:rsid w:val="00B823A6"/>
    <w:rsid w:val="00B83480"/>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25A"/>
    <w:rsid w:val="00B928EF"/>
    <w:rsid w:val="00B92C49"/>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25"/>
    <w:rsid w:val="00BA5EC7"/>
    <w:rsid w:val="00BA6319"/>
    <w:rsid w:val="00BA63CE"/>
    <w:rsid w:val="00BA676E"/>
    <w:rsid w:val="00BA6980"/>
    <w:rsid w:val="00BA6EF2"/>
    <w:rsid w:val="00BA7227"/>
    <w:rsid w:val="00BA763C"/>
    <w:rsid w:val="00BA784D"/>
    <w:rsid w:val="00BA7977"/>
    <w:rsid w:val="00BA7CD7"/>
    <w:rsid w:val="00BB00E5"/>
    <w:rsid w:val="00BB1688"/>
    <w:rsid w:val="00BB1EFB"/>
    <w:rsid w:val="00BB269F"/>
    <w:rsid w:val="00BB27CC"/>
    <w:rsid w:val="00BB2ACE"/>
    <w:rsid w:val="00BB2E4E"/>
    <w:rsid w:val="00BB2E62"/>
    <w:rsid w:val="00BB36C9"/>
    <w:rsid w:val="00BB3A66"/>
    <w:rsid w:val="00BB40D1"/>
    <w:rsid w:val="00BB6A39"/>
    <w:rsid w:val="00BB777D"/>
    <w:rsid w:val="00BB7EC0"/>
    <w:rsid w:val="00BB7F88"/>
    <w:rsid w:val="00BC0207"/>
    <w:rsid w:val="00BC089F"/>
    <w:rsid w:val="00BC0A0C"/>
    <w:rsid w:val="00BC0A5A"/>
    <w:rsid w:val="00BC0E64"/>
    <w:rsid w:val="00BC25D1"/>
    <w:rsid w:val="00BC2DBD"/>
    <w:rsid w:val="00BC2DE0"/>
    <w:rsid w:val="00BC3882"/>
    <w:rsid w:val="00BC3BCB"/>
    <w:rsid w:val="00BC3CF1"/>
    <w:rsid w:val="00BC428A"/>
    <w:rsid w:val="00BC4C40"/>
    <w:rsid w:val="00BC5A29"/>
    <w:rsid w:val="00BC5AE3"/>
    <w:rsid w:val="00BC5BAD"/>
    <w:rsid w:val="00BC692A"/>
    <w:rsid w:val="00BC76C5"/>
    <w:rsid w:val="00BC7C54"/>
    <w:rsid w:val="00BC7F94"/>
    <w:rsid w:val="00BD1039"/>
    <w:rsid w:val="00BD10B7"/>
    <w:rsid w:val="00BD138A"/>
    <w:rsid w:val="00BD1630"/>
    <w:rsid w:val="00BD164A"/>
    <w:rsid w:val="00BD1BDD"/>
    <w:rsid w:val="00BD1D7D"/>
    <w:rsid w:val="00BD1E27"/>
    <w:rsid w:val="00BD2B4D"/>
    <w:rsid w:val="00BD2F08"/>
    <w:rsid w:val="00BD2FB9"/>
    <w:rsid w:val="00BD31C2"/>
    <w:rsid w:val="00BD3683"/>
    <w:rsid w:val="00BD450A"/>
    <w:rsid w:val="00BD4717"/>
    <w:rsid w:val="00BD48EA"/>
    <w:rsid w:val="00BD4BA8"/>
    <w:rsid w:val="00BD4C3E"/>
    <w:rsid w:val="00BD5624"/>
    <w:rsid w:val="00BD62E6"/>
    <w:rsid w:val="00BD6B0E"/>
    <w:rsid w:val="00BD734D"/>
    <w:rsid w:val="00BD7941"/>
    <w:rsid w:val="00BE0591"/>
    <w:rsid w:val="00BE0C55"/>
    <w:rsid w:val="00BE0F03"/>
    <w:rsid w:val="00BE11A2"/>
    <w:rsid w:val="00BE16EC"/>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280"/>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C63"/>
    <w:rsid w:val="00C0702A"/>
    <w:rsid w:val="00C0724C"/>
    <w:rsid w:val="00C07C11"/>
    <w:rsid w:val="00C07E10"/>
    <w:rsid w:val="00C10015"/>
    <w:rsid w:val="00C104F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6A"/>
    <w:rsid w:val="00C215ED"/>
    <w:rsid w:val="00C22350"/>
    <w:rsid w:val="00C22ED3"/>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FC"/>
    <w:rsid w:val="00C332D4"/>
    <w:rsid w:val="00C33A66"/>
    <w:rsid w:val="00C33E51"/>
    <w:rsid w:val="00C341A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CAE"/>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6D4"/>
    <w:rsid w:val="00C56C98"/>
    <w:rsid w:val="00C56DE1"/>
    <w:rsid w:val="00C56DEE"/>
    <w:rsid w:val="00C570A4"/>
    <w:rsid w:val="00C57120"/>
    <w:rsid w:val="00C571D5"/>
    <w:rsid w:val="00C575D4"/>
    <w:rsid w:val="00C61223"/>
    <w:rsid w:val="00C61246"/>
    <w:rsid w:val="00C618A8"/>
    <w:rsid w:val="00C61A78"/>
    <w:rsid w:val="00C61A82"/>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AA8"/>
    <w:rsid w:val="00C832CB"/>
    <w:rsid w:val="00C84085"/>
    <w:rsid w:val="00C852DC"/>
    <w:rsid w:val="00C854A8"/>
    <w:rsid w:val="00C85677"/>
    <w:rsid w:val="00C85E17"/>
    <w:rsid w:val="00C863D1"/>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7BF"/>
    <w:rsid w:val="00C95853"/>
    <w:rsid w:val="00C95C2F"/>
    <w:rsid w:val="00C95F87"/>
    <w:rsid w:val="00C96035"/>
    <w:rsid w:val="00C968EF"/>
    <w:rsid w:val="00C972CE"/>
    <w:rsid w:val="00C97387"/>
    <w:rsid w:val="00CA0492"/>
    <w:rsid w:val="00CA05B0"/>
    <w:rsid w:val="00CA0632"/>
    <w:rsid w:val="00CA0A04"/>
    <w:rsid w:val="00CA2528"/>
    <w:rsid w:val="00CA3CAB"/>
    <w:rsid w:val="00CA3FC0"/>
    <w:rsid w:val="00CA5685"/>
    <w:rsid w:val="00CA6A2E"/>
    <w:rsid w:val="00CA6B56"/>
    <w:rsid w:val="00CA73A6"/>
    <w:rsid w:val="00CA7D3E"/>
    <w:rsid w:val="00CB0317"/>
    <w:rsid w:val="00CB0662"/>
    <w:rsid w:val="00CB0A82"/>
    <w:rsid w:val="00CB0F2F"/>
    <w:rsid w:val="00CB1556"/>
    <w:rsid w:val="00CB2913"/>
    <w:rsid w:val="00CB3970"/>
    <w:rsid w:val="00CB42B9"/>
    <w:rsid w:val="00CB44A4"/>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6AB"/>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231"/>
    <w:rsid w:val="00CD57CB"/>
    <w:rsid w:val="00CD64E1"/>
    <w:rsid w:val="00CD66BA"/>
    <w:rsid w:val="00CD699D"/>
    <w:rsid w:val="00CD6BA3"/>
    <w:rsid w:val="00CD70DB"/>
    <w:rsid w:val="00CD7544"/>
    <w:rsid w:val="00CD78D4"/>
    <w:rsid w:val="00CD7AFC"/>
    <w:rsid w:val="00CE0697"/>
    <w:rsid w:val="00CE094F"/>
    <w:rsid w:val="00CE14CB"/>
    <w:rsid w:val="00CE2E2E"/>
    <w:rsid w:val="00CE3A51"/>
    <w:rsid w:val="00CE41F9"/>
    <w:rsid w:val="00CE59F6"/>
    <w:rsid w:val="00CE66CD"/>
    <w:rsid w:val="00CE6BA9"/>
    <w:rsid w:val="00CE71C3"/>
    <w:rsid w:val="00CE727A"/>
    <w:rsid w:val="00CE7F38"/>
    <w:rsid w:val="00CF029C"/>
    <w:rsid w:val="00CF0AF0"/>
    <w:rsid w:val="00CF157E"/>
    <w:rsid w:val="00CF1631"/>
    <w:rsid w:val="00CF1834"/>
    <w:rsid w:val="00CF1AAA"/>
    <w:rsid w:val="00CF1EC2"/>
    <w:rsid w:val="00CF2ACF"/>
    <w:rsid w:val="00CF336B"/>
    <w:rsid w:val="00CF345B"/>
    <w:rsid w:val="00CF475F"/>
    <w:rsid w:val="00CF5008"/>
    <w:rsid w:val="00CF5069"/>
    <w:rsid w:val="00CF5296"/>
    <w:rsid w:val="00CF5E34"/>
    <w:rsid w:val="00CF5E46"/>
    <w:rsid w:val="00CF6707"/>
    <w:rsid w:val="00CF7101"/>
    <w:rsid w:val="00CF7327"/>
    <w:rsid w:val="00CF7385"/>
    <w:rsid w:val="00CF7539"/>
    <w:rsid w:val="00CF75C6"/>
    <w:rsid w:val="00CF7B77"/>
    <w:rsid w:val="00CF7DF5"/>
    <w:rsid w:val="00D001D2"/>
    <w:rsid w:val="00D009C2"/>
    <w:rsid w:val="00D0107C"/>
    <w:rsid w:val="00D02A80"/>
    <w:rsid w:val="00D02BBE"/>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7A5"/>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B27"/>
    <w:rsid w:val="00D25676"/>
    <w:rsid w:val="00D2579F"/>
    <w:rsid w:val="00D2580E"/>
    <w:rsid w:val="00D2650E"/>
    <w:rsid w:val="00D265A7"/>
    <w:rsid w:val="00D2690C"/>
    <w:rsid w:val="00D27129"/>
    <w:rsid w:val="00D279E7"/>
    <w:rsid w:val="00D27F75"/>
    <w:rsid w:val="00D3046D"/>
    <w:rsid w:val="00D30497"/>
    <w:rsid w:val="00D30C4D"/>
    <w:rsid w:val="00D30E62"/>
    <w:rsid w:val="00D30F5F"/>
    <w:rsid w:val="00D31243"/>
    <w:rsid w:val="00D316D9"/>
    <w:rsid w:val="00D31B07"/>
    <w:rsid w:val="00D31B9D"/>
    <w:rsid w:val="00D3272E"/>
    <w:rsid w:val="00D327A1"/>
    <w:rsid w:val="00D32FA0"/>
    <w:rsid w:val="00D33112"/>
    <w:rsid w:val="00D331CB"/>
    <w:rsid w:val="00D33544"/>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0CD"/>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645"/>
    <w:rsid w:val="00D5674B"/>
    <w:rsid w:val="00D56B56"/>
    <w:rsid w:val="00D56BF5"/>
    <w:rsid w:val="00D56F99"/>
    <w:rsid w:val="00D5731B"/>
    <w:rsid w:val="00D5743F"/>
    <w:rsid w:val="00D5751C"/>
    <w:rsid w:val="00D57F1F"/>
    <w:rsid w:val="00D60065"/>
    <w:rsid w:val="00D60270"/>
    <w:rsid w:val="00D605C2"/>
    <w:rsid w:val="00D60733"/>
    <w:rsid w:val="00D60C60"/>
    <w:rsid w:val="00D61E1D"/>
    <w:rsid w:val="00D629A4"/>
    <w:rsid w:val="00D62BDF"/>
    <w:rsid w:val="00D62EEE"/>
    <w:rsid w:val="00D640B1"/>
    <w:rsid w:val="00D64F1C"/>
    <w:rsid w:val="00D6570C"/>
    <w:rsid w:val="00D659EA"/>
    <w:rsid w:val="00D65A89"/>
    <w:rsid w:val="00D65E85"/>
    <w:rsid w:val="00D6611C"/>
    <w:rsid w:val="00D663F1"/>
    <w:rsid w:val="00D671C7"/>
    <w:rsid w:val="00D675B0"/>
    <w:rsid w:val="00D675DE"/>
    <w:rsid w:val="00D678BB"/>
    <w:rsid w:val="00D67D81"/>
    <w:rsid w:val="00D70170"/>
    <w:rsid w:val="00D702E8"/>
    <w:rsid w:val="00D70552"/>
    <w:rsid w:val="00D70D42"/>
    <w:rsid w:val="00D71102"/>
    <w:rsid w:val="00D71285"/>
    <w:rsid w:val="00D71ABC"/>
    <w:rsid w:val="00D721C5"/>
    <w:rsid w:val="00D7235A"/>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2C5"/>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8EE"/>
    <w:rsid w:val="00DC3D89"/>
    <w:rsid w:val="00DC4567"/>
    <w:rsid w:val="00DC4D6C"/>
    <w:rsid w:val="00DC4F47"/>
    <w:rsid w:val="00DC5059"/>
    <w:rsid w:val="00DC5860"/>
    <w:rsid w:val="00DC5BD0"/>
    <w:rsid w:val="00DC5BE2"/>
    <w:rsid w:val="00DC6284"/>
    <w:rsid w:val="00DC628E"/>
    <w:rsid w:val="00DC6747"/>
    <w:rsid w:val="00DC6AF3"/>
    <w:rsid w:val="00DC6D86"/>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44"/>
    <w:rsid w:val="00DD6CE2"/>
    <w:rsid w:val="00DD720D"/>
    <w:rsid w:val="00DD756C"/>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009"/>
    <w:rsid w:val="00DE7498"/>
    <w:rsid w:val="00DE75EF"/>
    <w:rsid w:val="00DE7611"/>
    <w:rsid w:val="00DE7A12"/>
    <w:rsid w:val="00DE7D19"/>
    <w:rsid w:val="00DF05A0"/>
    <w:rsid w:val="00DF1162"/>
    <w:rsid w:val="00DF1BA8"/>
    <w:rsid w:val="00DF1F63"/>
    <w:rsid w:val="00DF28F2"/>
    <w:rsid w:val="00DF2BFF"/>
    <w:rsid w:val="00DF3783"/>
    <w:rsid w:val="00DF3798"/>
    <w:rsid w:val="00DF400D"/>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A48"/>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AD"/>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B27"/>
    <w:rsid w:val="00E31687"/>
    <w:rsid w:val="00E31699"/>
    <w:rsid w:val="00E31761"/>
    <w:rsid w:val="00E31812"/>
    <w:rsid w:val="00E31889"/>
    <w:rsid w:val="00E31CE7"/>
    <w:rsid w:val="00E32B1D"/>
    <w:rsid w:val="00E333D5"/>
    <w:rsid w:val="00E333E8"/>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D7"/>
    <w:rsid w:val="00E45A2C"/>
    <w:rsid w:val="00E46A6B"/>
    <w:rsid w:val="00E46A9C"/>
    <w:rsid w:val="00E47DB1"/>
    <w:rsid w:val="00E50BDD"/>
    <w:rsid w:val="00E510CF"/>
    <w:rsid w:val="00E513D7"/>
    <w:rsid w:val="00E519FE"/>
    <w:rsid w:val="00E51AD7"/>
    <w:rsid w:val="00E5206C"/>
    <w:rsid w:val="00E52AAB"/>
    <w:rsid w:val="00E540D2"/>
    <w:rsid w:val="00E5448E"/>
    <w:rsid w:val="00E54D26"/>
    <w:rsid w:val="00E54E0D"/>
    <w:rsid w:val="00E55247"/>
    <w:rsid w:val="00E558E5"/>
    <w:rsid w:val="00E55B3C"/>
    <w:rsid w:val="00E56795"/>
    <w:rsid w:val="00E57932"/>
    <w:rsid w:val="00E606C4"/>
    <w:rsid w:val="00E60811"/>
    <w:rsid w:val="00E60AB8"/>
    <w:rsid w:val="00E6103E"/>
    <w:rsid w:val="00E6185F"/>
    <w:rsid w:val="00E61D32"/>
    <w:rsid w:val="00E628F8"/>
    <w:rsid w:val="00E63C60"/>
    <w:rsid w:val="00E64050"/>
    <w:rsid w:val="00E641FD"/>
    <w:rsid w:val="00E64B7B"/>
    <w:rsid w:val="00E6514D"/>
    <w:rsid w:val="00E65161"/>
    <w:rsid w:val="00E652C9"/>
    <w:rsid w:val="00E6593B"/>
    <w:rsid w:val="00E65D74"/>
    <w:rsid w:val="00E66E11"/>
    <w:rsid w:val="00E672C6"/>
    <w:rsid w:val="00E674EC"/>
    <w:rsid w:val="00E70192"/>
    <w:rsid w:val="00E7075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725"/>
    <w:rsid w:val="00E83C4F"/>
    <w:rsid w:val="00E84212"/>
    <w:rsid w:val="00E849A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108"/>
    <w:rsid w:val="00E951D8"/>
    <w:rsid w:val="00E95C2A"/>
    <w:rsid w:val="00E961CB"/>
    <w:rsid w:val="00E963BC"/>
    <w:rsid w:val="00E966A6"/>
    <w:rsid w:val="00E96E91"/>
    <w:rsid w:val="00E9751D"/>
    <w:rsid w:val="00E97DC6"/>
    <w:rsid w:val="00E97F7A"/>
    <w:rsid w:val="00EA0010"/>
    <w:rsid w:val="00EA0143"/>
    <w:rsid w:val="00EA089B"/>
    <w:rsid w:val="00EA178D"/>
    <w:rsid w:val="00EA1AC3"/>
    <w:rsid w:val="00EA1ACC"/>
    <w:rsid w:val="00EA2E21"/>
    <w:rsid w:val="00EA2EAA"/>
    <w:rsid w:val="00EA380C"/>
    <w:rsid w:val="00EA613D"/>
    <w:rsid w:val="00EA6744"/>
    <w:rsid w:val="00EA6A1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31"/>
    <w:rsid w:val="00EB3939"/>
    <w:rsid w:val="00EB3CE6"/>
    <w:rsid w:val="00EB3E92"/>
    <w:rsid w:val="00EB54AB"/>
    <w:rsid w:val="00EB6257"/>
    <w:rsid w:val="00EB68E6"/>
    <w:rsid w:val="00EB6AE9"/>
    <w:rsid w:val="00EB6B2D"/>
    <w:rsid w:val="00EB71C9"/>
    <w:rsid w:val="00EB725B"/>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4F4"/>
    <w:rsid w:val="00EE56E2"/>
    <w:rsid w:val="00EE5FCD"/>
    <w:rsid w:val="00EE63BF"/>
    <w:rsid w:val="00EE6D45"/>
    <w:rsid w:val="00EE6E89"/>
    <w:rsid w:val="00EE7B3E"/>
    <w:rsid w:val="00EF0D4B"/>
    <w:rsid w:val="00EF0FE6"/>
    <w:rsid w:val="00EF1130"/>
    <w:rsid w:val="00EF1432"/>
    <w:rsid w:val="00EF1511"/>
    <w:rsid w:val="00EF1F01"/>
    <w:rsid w:val="00EF27D4"/>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EA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9CC"/>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826"/>
    <w:rsid w:val="00F17C3E"/>
    <w:rsid w:val="00F20197"/>
    <w:rsid w:val="00F20369"/>
    <w:rsid w:val="00F20607"/>
    <w:rsid w:val="00F208BB"/>
    <w:rsid w:val="00F2097F"/>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4C8"/>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6A9"/>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056"/>
    <w:rsid w:val="00F60938"/>
    <w:rsid w:val="00F60C7E"/>
    <w:rsid w:val="00F60E0A"/>
    <w:rsid w:val="00F61606"/>
    <w:rsid w:val="00F61918"/>
    <w:rsid w:val="00F62151"/>
    <w:rsid w:val="00F6298A"/>
    <w:rsid w:val="00F62A7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795"/>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D8D"/>
    <w:rsid w:val="00F83045"/>
    <w:rsid w:val="00F83615"/>
    <w:rsid w:val="00F83EC7"/>
    <w:rsid w:val="00F8421D"/>
    <w:rsid w:val="00F852C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F37"/>
    <w:rsid w:val="00F96DD4"/>
    <w:rsid w:val="00F97A34"/>
    <w:rsid w:val="00F97B82"/>
    <w:rsid w:val="00F97E4A"/>
    <w:rsid w:val="00F97EA1"/>
    <w:rsid w:val="00FA003A"/>
    <w:rsid w:val="00FA05C8"/>
    <w:rsid w:val="00FA0678"/>
    <w:rsid w:val="00FA0DB6"/>
    <w:rsid w:val="00FA23F7"/>
    <w:rsid w:val="00FA27EB"/>
    <w:rsid w:val="00FA35B6"/>
    <w:rsid w:val="00FA3891"/>
    <w:rsid w:val="00FA3EBC"/>
    <w:rsid w:val="00FA423C"/>
    <w:rsid w:val="00FA44D0"/>
    <w:rsid w:val="00FA4590"/>
    <w:rsid w:val="00FA55A2"/>
    <w:rsid w:val="00FA5A37"/>
    <w:rsid w:val="00FA672F"/>
    <w:rsid w:val="00FA775E"/>
    <w:rsid w:val="00FA7792"/>
    <w:rsid w:val="00FA7AA8"/>
    <w:rsid w:val="00FA7F1D"/>
    <w:rsid w:val="00FB011C"/>
    <w:rsid w:val="00FB0D60"/>
    <w:rsid w:val="00FB18FD"/>
    <w:rsid w:val="00FB2BF5"/>
    <w:rsid w:val="00FB2F8E"/>
    <w:rsid w:val="00FB30C3"/>
    <w:rsid w:val="00FB39B0"/>
    <w:rsid w:val="00FB4386"/>
    <w:rsid w:val="00FB5138"/>
    <w:rsid w:val="00FB547F"/>
    <w:rsid w:val="00FB5A71"/>
    <w:rsid w:val="00FB63F6"/>
    <w:rsid w:val="00FB7823"/>
    <w:rsid w:val="00FB78E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400"/>
    <w:rsid w:val="00FD154E"/>
    <w:rsid w:val="00FD24D7"/>
    <w:rsid w:val="00FD29CE"/>
    <w:rsid w:val="00FD3AE2"/>
    <w:rsid w:val="00FD3E41"/>
    <w:rsid w:val="00FD3EFA"/>
    <w:rsid w:val="00FD54A8"/>
    <w:rsid w:val="00FD5944"/>
    <w:rsid w:val="00FD5AE4"/>
    <w:rsid w:val="00FD5F25"/>
    <w:rsid w:val="00FD60BE"/>
    <w:rsid w:val="00FD6894"/>
    <w:rsid w:val="00FD6AF0"/>
    <w:rsid w:val="00FD6F69"/>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AEE"/>
    <w:rsid w:val="00FE6870"/>
    <w:rsid w:val="00FE713E"/>
    <w:rsid w:val="00FE7877"/>
    <w:rsid w:val="00FE7DD1"/>
    <w:rsid w:val="00FF0B4F"/>
    <w:rsid w:val="00FF0E53"/>
    <w:rsid w:val="00FF0F58"/>
    <w:rsid w:val="00FF0FF2"/>
    <w:rsid w:val="00FF183C"/>
    <w:rsid w:val="00FF1A06"/>
    <w:rsid w:val="00FF1AD3"/>
    <w:rsid w:val="00FF1B46"/>
    <w:rsid w:val="00FF219D"/>
    <w:rsid w:val="00FF2A7B"/>
    <w:rsid w:val="00FF2E27"/>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000B3"/>
    <w:rsid w:val="02383874"/>
    <w:rsid w:val="026B2E25"/>
    <w:rsid w:val="02824D4D"/>
    <w:rsid w:val="02DC4B10"/>
    <w:rsid w:val="02DD76CE"/>
    <w:rsid w:val="02F36323"/>
    <w:rsid w:val="02F5619C"/>
    <w:rsid w:val="02FA54B6"/>
    <w:rsid w:val="02FE60CB"/>
    <w:rsid w:val="0326446A"/>
    <w:rsid w:val="032D5555"/>
    <w:rsid w:val="036634D2"/>
    <w:rsid w:val="03DD35E4"/>
    <w:rsid w:val="04076900"/>
    <w:rsid w:val="041A5A3B"/>
    <w:rsid w:val="042311BA"/>
    <w:rsid w:val="042B157A"/>
    <w:rsid w:val="0436058B"/>
    <w:rsid w:val="043F7E11"/>
    <w:rsid w:val="048F763B"/>
    <w:rsid w:val="049F330E"/>
    <w:rsid w:val="04AA775C"/>
    <w:rsid w:val="04AF1889"/>
    <w:rsid w:val="04F66F48"/>
    <w:rsid w:val="05251E14"/>
    <w:rsid w:val="054A2CD9"/>
    <w:rsid w:val="05A16594"/>
    <w:rsid w:val="05A7762D"/>
    <w:rsid w:val="060E5941"/>
    <w:rsid w:val="06110FAF"/>
    <w:rsid w:val="06493CA7"/>
    <w:rsid w:val="065A6178"/>
    <w:rsid w:val="066F1CF3"/>
    <w:rsid w:val="06930BB8"/>
    <w:rsid w:val="071452D6"/>
    <w:rsid w:val="07214277"/>
    <w:rsid w:val="07245D42"/>
    <w:rsid w:val="07264C62"/>
    <w:rsid w:val="0779354C"/>
    <w:rsid w:val="07902008"/>
    <w:rsid w:val="08061376"/>
    <w:rsid w:val="08452D77"/>
    <w:rsid w:val="086401F8"/>
    <w:rsid w:val="08751CAA"/>
    <w:rsid w:val="087E4C40"/>
    <w:rsid w:val="08D60F66"/>
    <w:rsid w:val="08D66AD6"/>
    <w:rsid w:val="08DA33A3"/>
    <w:rsid w:val="08E80F13"/>
    <w:rsid w:val="08F74295"/>
    <w:rsid w:val="09335624"/>
    <w:rsid w:val="09393711"/>
    <w:rsid w:val="0944690F"/>
    <w:rsid w:val="09535675"/>
    <w:rsid w:val="095F057D"/>
    <w:rsid w:val="09642282"/>
    <w:rsid w:val="09733572"/>
    <w:rsid w:val="09772C16"/>
    <w:rsid w:val="098353B5"/>
    <w:rsid w:val="09A92330"/>
    <w:rsid w:val="09B06B87"/>
    <w:rsid w:val="09C13146"/>
    <w:rsid w:val="09E04166"/>
    <w:rsid w:val="0A1C0718"/>
    <w:rsid w:val="0A3E7710"/>
    <w:rsid w:val="0A4C7A2D"/>
    <w:rsid w:val="0A5B7E63"/>
    <w:rsid w:val="0A5E16A3"/>
    <w:rsid w:val="0AA374A5"/>
    <w:rsid w:val="0AAB7649"/>
    <w:rsid w:val="0ABC5606"/>
    <w:rsid w:val="0B196C3B"/>
    <w:rsid w:val="0B30404E"/>
    <w:rsid w:val="0B4C6C14"/>
    <w:rsid w:val="0B6208F9"/>
    <w:rsid w:val="0B631A88"/>
    <w:rsid w:val="0B683D45"/>
    <w:rsid w:val="0B711B55"/>
    <w:rsid w:val="0B7F3F11"/>
    <w:rsid w:val="0B884417"/>
    <w:rsid w:val="0BF6188C"/>
    <w:rsid w:val="0BF73C91"/>
    <w:rsid w:val="0C170175"/>
    <w:rsid w:val="0C571A41"/>
    <w:rsid w:val="0C5C1171"/>
    <w:rsid w:val="0C5E1CBC"/>
    <w:rsid w:val="0C615B50"/>
    <w:rsid w:val="0C8445DA"/>
    <w:rsid w:val="0C87121B"/>
    <w:rsid w:val="0CA4288B"/>
    <w:rsid w:val="0CC007F7"/>
    <w:rsid w:val="0CC10AC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51473"/>
    <w:rsid w:val="0E5604B2"/>
    <w:rsid w:val="0E6D5D79"/>
    <w:rsid w:val="0E9D0089"/>
    <w:rsid w:val="0EB803EE"/>
    <w:rsid w:val="0EF94D4B"/>
    <w:rsid w:val="0EF97BEC"/>
    <w:rsid w:val="0F457E1A"/>
    <w:rsid w:val="0F4958DC"/>
    <w:rsid w:val="0F503C2D"/>
    <w:rsid w:val="0F515DF7"/>
    <w:rsid w:val="0F596BA8"/>
    <w:rsid w:val="0F6248D2"/>
    <w:rsid w:val="0F693536"/>
    <w:rsid w:val="0F7B0511"/>
    <w:rsid w:val="0F7B76D9"/>
    <w:rsid w:val="0F816ACD"/>
    <w:rsid w:val="0F9832DB"/>
    <w:rsid w:val="0FBF3FD2"/>
    <w:rsid w:val="0FBF7FF3"/>
    <w:rsid w:val="10646583"/>
    <w:rsid w:val="107D4B15"/>
    <w:rsid w:val="108A3C80"/>
    <w:rsid w:val="10BE6938"/>
    <w:rsid w:val="10C26171"/>
    <w:rsid w:val="10D601E5"/>
    <w:rsid w:val="10F33360"/>
    <w:rsid w:val="10FC16EA"/>
    <w:rsid w:val="110F1D40"/>
    <w:rsid w:val="11266F33"/>
    <w:rsid w:val="118963A1"/>
    <w:rsid w:val="11C6522A"/>
    <w:rsid w:val="11E104CC"/>
    <w:rsid w:val="11E20309"/>
    <w:rsid w:val="11F87AB8"/>
    <w:rsid w:val="12255233"/>
    <w:rsid w:val="123141D3"/>
    <w:rsid w:val="12530213"/>
    <w:rsid w:val="127723A9"/>
    <w:rsid w:val="12862074"/>
    <w:rsid w:val="12883966"/>
    <w:rsid w:val="129E45B4"/>
    <w:rsid w:val="12D81596"/>
    <w:rsid w:val="12FD27F6"/>
    <w:rsid w:val="13072A44"/>
    <w:rsid w:val="135F4BE2"/>
    <w:rsid w:val="137C4750"/>
    <w:rsid w:val="139B1A0A"/>
    <w:rsid w:val="139D25C7"/>
    <w:rsid w:val="13BF3CE4"/>
    <w:rsid w:val="13D36C5E"/>
    <w:rsid w:val="141008D8"/>
    <w:rsid w:val="14125FE6"/>
    <w:rsid w:val="146D271E"/>
    <w:rsid w:val="14982588"/>
    <w:rsid w:val="149A5AD9"/>
    <w:rsid w:val="14A7619D"/>
    <w:rsid w:val="14EB7761"/>
    <w:rsid w:val="150536C3"/>
    <w:rsid w:val="150C1963"/>
    <w:rsid w:val="151447A0"/>
    <w:rsid w:val="154A6454"/>
    <w:rsid w:val="15762120"/>
    <w:rsid w:val="16A8729C"/>
    <w:rsid w:val="16B33777"/>
    <w:rsid w:val="16BC70A7"/>
    <w:rsid w:val="16C6339E"/>
    <w:rsid w:val="16EB4425"/>
    <w:rsid w:val="172F2D79"/>
    <w:rsid w:val="17490418"/>
    <w:rsid w:val="17557BEF"/>
    <w:rsid w:val="17D349C1"/>
    <w:rsid w:val="1830729E"/>
    <w:rsid w:val="1870062C"/>
    <w:rsid w:val="18817102"/>
    <w:rsid w:val="18830A15"/>
    <w:rsid w:val="18852B28"/>
    <w:rsid w:val="188B5321"/>
    <w:rsid w:val="18AE7E0C"/>
    <w:rsid w:val="19192635"/>
    <w:rsid w:val="19932372"/>
    <w:rsid w:val="19A20DD5"/>
    <w:rsid w:val="19AE03F1"/>
    <w:rsid w:val="1A071A03"/>
    <w:rsid w:val="1A1F16AE"/>
    <w:rsid w:val="1A3B5C77"/>
    <w:rsid w:val="1A984BAD"/>
    <w:rsid w:val="1AB8220E"/>
    <w:rsid w:val="1AE4166C"/>
    <w:rsid w:val="1AF06CFB"/>
    <w:rsid w:val="1AF11B8D"/>
    <w:rsid w:val="1B0F2DC4"/>
    <w:rsid w:val="1B11359C"/>
    <w:rsid w:val="1B2A271F"/>
    <w:rsid w:val="1B34606E"/>
    <w:rsid w:val="1B530544"/>
    <w:rsid w:val="1B713184"/>
    <w:rsid w:val="1BA209CF"/>
    <w:rsid w:val="1BAA299A"/>
    <w:rsid w:val="1BB4777D"/>
    <w:rsid w:val="1BD75AB8"/>
    <w:rsid w:val="1C0459C2"/>
    <w:rsid w:val="1C1B3B4A"/>
    <w:rsid w:val="1C88086E"/>
    <w:rsid w:val="1D266CE1"/>
    <w:rsid w:val="1D2B33DF"/>
    <w:rsid w:val="1D3963AF"/>
    <w:rsid w:val="1D6A673C"/>
    <w:rsid w:val="1D9247AE"/>
    <w:rsid w:val="1DB567EC"/>
    <w:rsid w:val="1DC00253"/>
    <w:rsid w:val="1DC803B3"/>
    <w:rsid w:val="1DF51A98"/>
    <w:rsid w:val="1E2702D2"/>
    <w:rsid w:val="1E3D060F"/>
    <w:rsid w:val="1E3F7D2E"/>
    <w:rsid w:val="1E4134E4"/>
    <w:rsid w:val="1E5062B3"/>
    <w:rsid w:val="1E523514"/>
    <w:rsid w:val="1E714A66"/>
    <w:rsid w:val="1E802593"/>
    <w:rsid w:val="1EA703CC"/>
    <w:rsid w:val="1EB7330C"/>
    <w:rsid w:val="1EFB2B1A"/>
    <w:rsid w:val="1F0A0FF3"/>
    <w:rsid w:val="1F5771FF"/>
    <w:rsid w:val="1FE868A9"/>
    <w:rsid w:val="20034907"/>
    <w:rsid w:val="20173E4B"/>
    <w:rsid w:val="201E6852"/>
    <w:rsid w:val="204E48BC"/>
    <w:rsid w:val="208921B3"/>
    <w:rsid w:val="20973DEB"/>
    <w:rsid w:val="20B26522"/>
    <w:rsid w:val="20B44310"/>
    <w:rsid w:val="211116EB"/>
    <w:rsid w:val="21442C28"/>
    <w:rsid w:val="216133FC"/>
    <w:rsid w:val="21D56769"/>
    <w:rsid w:val="21E52EF3"/>
    <w:rsid w:val="21FB5D7B"/>
    <w:rsid w:val="220B1C3D"/>
    <w:rsid w:val="221D1D20"/>
    <w:rsid w:val="22334A87"/>
    <w:rsid w:val="22836DC1"/>
    <w:rsid w:val="22BE6801"/>
    <w:rsid w:val="233500BF"/>
    <w:rsid w:val="23377FF7"/>
    <w:rsid w:val="2362069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FC080F"/>
    <w:rsid w:val="28333E1D"/>
    <w:rsid w:val="28454BD6"/>
    <w:rsid w:val="28455253"/>
    <w:rsid w:val="28551971"/>
    <w:rsid w:val="285B1C53"/>
    <w:rsid w:val="289F7086"/>
    <w:rsid w:val="28C32028"/>
    <w:rsid w:val="28CC490F"/>
    <w:rsid w:val="28DE40AA"/>
    <w:rsid w:val="29345E77"/>
    <w:rsid w:val="293F25F7"/>
    <w:rsid w:val="294837F2"/>
    <w:rsid w:val="294C65AD"/>
    <w:rsid w:val="29806583"/>
    <w:rsid w:val="298B3C4C"/>
    <w:rsid w:val="29F26D24"/>
    <w:rsid w:val="2A15033F"/>
    <w:rsid w:val="2A1662C1"/>
    <w:rsid w:val="2A1C7367"/>
    <w:rsid w:val="2A2815FA"/>
    <w:rsid w:val="2A624D23"/>
    <w:rsid w:val="2A6D6092"/>
    <w:rsid w:val="2A7D76B4"/>
    <w:rsid w:val="2AF74D8B"/>
    <w:rsid w:val="2B437463"/>
    <w:rsid w:val="2B6E0BE3"/>
    <w:rsid w:val="2B7807EE"/>
    <w:rsid w:val="2B7D5BE9"/>
    <w:rsid w:val="2B8947FF"/>
    <w:rsid w:val="2B976C05"/>
    <w:rsid w:val="2BB314F6"/>
    <w:rsid w:val="2BBF00EC"/>
    <w:rsid w:val="2BC37CFD"/>
    <w:rsid w:val="2BD5237F"/>
    <w:rsid w:val="2BE536CE"/>
    <w:rsid w:val="2BE758D9"/>
    <w:rsid w:val="2C09049E"/>
    <w:rsid w:val="2C0A653C"/>
    <w:rsid w:val="2C191F85"/>
    <w:rsid w:val="2C336B7F"/>
    <w:rsid w:val="2C876629"/>
    <w:rsid w:val="2C885566"/>
    <w:rsid w:val="2CE82D6F"/>
    <w:rsid w:val="2D343236"/>
    <w:rsid w:val="2D6777FC"/>
    <w:rsid w:val="2DD15014"/>
    <w:rsid w:val="2DF72DE4"/>
    <w:rsid w:val="2E0220AF"/>
    <w:rsid w:val="2E27316B"/>
    <w:rsid w:val="2E4B082A"/>
    <w:rsid w:val="2E5D4E86"/>
    <w:rsid w:val="2E5D790B"/>
    <w:rsid w:val="2E695641"/>
    <w:rsid w:val="2E9A3C18"/>
    <w:rsid w:val="2EB865A8"/>
    <w:rsid w:val="2EBB0FEE"/>
    <w:rsid w:val="2EC63002"/>
    <w:rsid w:val="2EFF1F2A"/>
    <w:rsid w:val="2EFF76CA"/>
    <w:rsid w:val="2F0A6B38"/>
    <w:rsid w:val="2F946CCB"/>
    <w:rsid w:val="2FD25781"/>
    <w:rsid w:val="2FFD7934"/>
    <w:rsid w:val="304B5ADA"/>
    <w:rsid w:val="30733ACD"/>
    <w:rsid w:val="308C3862"/>
    <w:rsid w:val="309379D8"/>
    <w:rsid w:val="30A270F7"/>
    <w:rsid w:val="30DF1478"/>
    <w:rsid w:val="30EC586F"/>
    <w:rsid w:val="3139239E"/>
    <w:rsid w:val="319C6071"/>
    <w:rsid w:val="31AC537E"/>
    <w:rsid w:val="31E3679B"/>
    <w:rsid w:val="31E732FD"/>
    <w:rsid w:val="32014DEE"/>
    <w:rsid w:val="3251507D"/>
    <w:rsid w:val="32517576"/>
    <w:rsid w:val="32BE5C2C"/>
    <w:rsid w:val="32E53E60"/>
    <w:rsid w:val="32FB6478"/>
    <w:rsid w:val="33263B3F"/>
    <w:rsid w:val="333C3FC5"/>
    <w:rsid w:val="336963EB"/>
    <w:rsid w:val="33816EEB"/>
    <w:rsid w:val="33EB55CD"/>
    <w:rsid w:val="33EC4C02"/>
    <w:rsid w:val="340D2360"/>
    <w:rsid w:val="3410665D"/>
    <w:rsid w:val="34173699"/>
    <w:rsid w:val="34211214"/>
    <w:rsid w:val="342E63AB"/>
    <w:rsid w:val="344E436A"/>
    <w:rsid w:val="34533A5D"/>
    <w:rsid w:val="34950E68"/>
    <w:rsid w:val="34986E94"/>
    <w:rsid w:val="34AF62C9"/>
    <w:rsid w:val="34CB4388"/>
    <w:rsid w:val="34FA6E12"/>
    <w:rsid w:val="355B5373"/>
    <w:rsid w:val="358D5588"/>
    <w:rsid w:val="363A3B40"/>
    <w:rsid w:val="365302AE"/>
    <w:rsid w:val="36607A0A"/>
    <w:rsid w:val="366E227C"/>
    <w:rsid w:val="366F2E0D"/>
    <w:rsid w:val="367B6A5C"/>
    <w:rsid w:val="36A74ADA"/>
    <w:rsid w:val="36AD60D5"/>
    <w:rsid w:val="36B224F9"/>
    <w:rsid w:val="36C3653E"/>
    <w:rsid w:val="36DB7A54"/>
    <w:rsid w:val="36EC0CC9"/>
    <w:rsid w:val="36F76077"/>
    <w:rsid w:val="37064040"/>
    <w:rsid w:val="373F410B"/>
    <w:rsid w:val="37EE7094"/>
    <w:rsid w:val="38296C89"/>
    <w:rsid w:val="382D50CA"/>
    <w:rsid w:val="383002EB"/>
    <w:rsid w:val="38417ADA"/>
    <w:rsid w:val="38586797"/>
    <w:rsid w:val="38BC0149"/>
    <w:rsid w:val="38D87D1C"/>
    <w:rsid w:val="393510E0"/>
    <w:rsid w:val="39636459"/>
    <w:rsid w:val="396B7F6C"/>
    <w:rsid w:val="39B417A9"/>
    <w:rsid w:val="39FC5695"/>
    <w:rsid w:val="3A006D8E"/>
    <w:rsid w:val="3A3651E5"/>
    <w:rsid w:val="3A744481"/>
    <w:rsid w:val="3A8C7BEF"/>
    <w:rsid w:val="3A906246"/>
    <w:rsid w:val="3AF7458A"/>
    <w:rsid w:val="3B0227F8"/>
    <w:rsid w:val="3B0B632B"/>
    <w:rsid w:val="3B2349B7"/>
    <w:rsid w:val="3B365C56"/>
    <w:rsid w:val="3B616CFF"/>
    <w:rsid w:val="3B6259F6"/>
    <w:rsid w:val="3B650F49"/>
    <w:rsid w:val="3B7A362B"/>
    <w:rsid w:val="3B976654"/>
    <w:rsid w:val="3BB67210"/>
    <w:rsid w:val="3BC01EFC"/>
    <w:rsid w:val="3BCA786A"/>
    <w:rsid w:val="3BD31E2F"/>
    <w:rsid w:val="3BF15831"/>
    <w:rsid w:val="3C105946"/>
    <w:rsid w:val="3C471448"/>
    <w:rsid w:val="3C5F759A"/>
    <w:rsid w:val="3C6C525A"/>
    <w:rsid w:val="3CCE23CB"/>
    <w:rsid w:val="3CD17D17"/>
    <w:rsid w:val="3D221CF0"/>
    <w:rsid w:val="3D2C1077"/>
    <w:rsid w:val="3D3C7F39"/>
    <w:rsid w:val="3D440F09"/>
    <w:rsid w:val="3D4504A0"/>
    <w:rsid w:val="3D8734BB"/>
    <w:rsid w:val="3D9A11D4"/>
    <w:rsid w:val="3DA16D89"/>
    <w:rsid w:val="3DA364BE"/>
    <w:rsid w:val="3DE041CB"/>
    <w:rsid w:val="3E0D48F6"/>
    <w:rsid w:val="3E1868B4"/>
    <w:rsid w:val="3E377251"/>
    <w:rsid w:val="3E42664B"/>
    <w:rsid w:val="3E5A7334"/>
    <w:rsid w:val="3E627B9B"/>
    <w:rsid w:val="3E7B5D6B"/>
    <w:rsid w:val="3E843E66"/>
    <w:rsid w:val="3E8F51FE"/>
    <w:rsid w:val="3E926F87"/>
    <w:rsid w:val="3E9A59DE"/>
    <w:rsid w:val="3EAF4836"/>
    <w:rsid w:val="3EC33DFA"/>
    <w:rsid w:val="3EE32B3C"/>
    <w:rsid w:val="3F060E16"/>
    <w:rsid w:val="3F1D1096"/>
    <w:rsid w:val="3F2F0234"/>
    <w:rsid w:val="3F6363FE"/>
    <w:rsid w:val="3F756B8F"/>
    <w:rsid w:val="3F95482B"/>
    <w:rsid w:val="3F966F1E"/>
    <w:rsid w:val="4019356B"/>
    <w:rsid w:val="40592157"/>
    <w:rsid w:val="406E1CAE"/>
    <w:rsid w:val="40A0133A"/>
    <w:rsid w:val="40C31A53"/>
    <w:rsid w:val="40DC07B3"/>
    <w:rsid w:val="40F331E0"/>
    <w:rsid w:val="40FF545D"/>
    <w:rsid w:val="410067C8"/>
    <w:rsid w:val="418F0D2A"/>
    <w:rsid w:val="41D01505"/>
    <w:rsid w:val="42447D58"/>
    <w:rsid w:val="42474939"/>
    <w:rsid w:val="424C3C57"/>
    <w:rsid w:val="42613FF3"/>
    <w:rsid w:val="42660D96"/>
    <w:rsid w:val="428667D2"/>
    <w:rsid w:val="42A5582B"/>
    <w:rsid w:val="42CD1CE0"/>
    <w:rsid w:val="42E07F40"/>
    <w:rsid w:val="42E1381E"/>
    <w:rsid w:val="42ED6459"/>
    <w:rsid w:val="42FE58DD"/>
    <w:rsid w:val="43174B3D"/>
    <w:rsid w:val="434B790E"/>
    <w:rsid w:val="4360274F"/>
    <w:rsid w:val="43977AB6"/>
    <w:rsid w:val="439972F7"/>
    <w:rsid w:val="43A3342B"/>
    <w:rsid w:val="43C77C27"/>
    <w:rsid w:val="43DE09EE"/>
    <w:rsid w:val="43FD0B03"/>
    <w:rsid w:val="44002FAD"/>
    <w:rsid w:val="44604EB6"/>
    <w:rsid w:val="446277C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0EBF"/>
    <w:rsid w:val="477B778F"/>
    <w:rsid w:val="478203EC"/>
    <w:rsid w:val="47B025FA"/>
    <w:rsid w:val="47B431A0"/>
    <w:rsid w:val="4809698F"/>
    <w:rsid w:val="4811697D"/>
    <w:rsid w:val="4873678F"/>
    <w:rsid w:val="487A3E25"/>
    <w:rsid w:val="488B5503"/>
    <w:rsid w:val="48937E21"/>
    <w:rsid w:val="489A0361"/>
    <w:rsid w:val="48B94FF3"/>
    <w:rsid w:val="48E37AAB"/>
    <w:rsid w:val="48FD4B4C"/>
    <w:rsid w:val="490A68E0"/>
    <w:rsid w:val="491055FE"/>
    <w:rsid w:val="494D56FB"/>
    <w:rsid w:val="495F5B3E"/>
    <w:rsid w:val="496F77D7"/>
    <w:rsid w:val="497654FD"/>
    <w:rsid w:val="49B64211"/>
    <w:rsid w:val="49F6167F"/>
    <w:rsid w:val="4A064FA0"/>
    <w:rsid w:val="4A16615C"/>
    <w:rsid w:val="4A4424D7"/>
    <w:rsid w:val="4AB52C1A"/>
    <w:rsid w:val="4AB82D0F"/>
    <w:rsid w:val="4AEB7664"/>
    <w:rsid w:val="4AF05DBF"/>
    <w:rsid w:val="4AFD7C19"/>
    <w:rsid w:val="4B0567D1"/>
    <w:rsid w:val="4B236AAE"/>
    <w:rsid w:val="4B460220"/>
    <w:rsid w:val="4B4A38E1"/>
    <w:rsid w:val="4B502C65"/>
    <w:rsid w:val="4B5C0D0B"/>
    <w:rsid w:val="4B707271"/>
    <w:rsid w:val="4B7101F9"/>
    <w:rsid w:val="4B9739F7"/>
    <w:rsid w:val="4BEE2503"/>
    <w:rsid w:val="4C245A30"/>
    <w:rsid w:val="4C916C2A"/>
    <w:rsid w:val="4CB6685F"/>
    <w:rsid w:val="4CC367FE"/>
    <w:rsid w:val="4CDC1BF5"/>
    <w:rsid w:val="4D077F3C"/>
    <w:rsid w:val="4D123355"/>
    <w:rsid w:val="4D2A3B31"/>
    <w:rsid w:val="4D312C52"/>
    <w:rsid w:val="4D905305"/>
    <w:rsid w:val="4D964A72"/>
    <w:rsid w:val="4D9C1254"/>
    <w:rsid w:val="4DEF0BA3"/>
    <w:rsid w:val="4E793892"/>
    <w:rsid w:val="4E800872"/>
    <w:rsid w:val="4EC569ED"/>
    <w:rsid w:val="4ED50EA1"/>
    <w:rsid w:val="4EEC050C"/>
    <w:rsid w:val="4F104EC3"/>
    <w:rsid w:val="4F47354A"/>
    <w:rsid w:val="4F911C54"/>
    <w:rsid w:val="4FE4668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67447"/>
    <w:rsid w:val="525E35BB"/>
    <w:rsid w:val="52615633"/>
    <w:rsid w:val="52626EC4"/>
    <w:rsid w:val="52977FD4"/>
    <w:rsid w:val="52A25790"/>
    <w:rsid w:val="52A96B6F"/>
    <w:rsid w:val="52B45975"/>
    <w:rsid w:val="52D94AA4"/>
    <w:rsid w:val="52EA3A62"/>
    <w:rsid w:val="52F50BB8"/>
    <w:rsid w:val="53097272"/>
    <w:rsid w:val="53544462"/>
    <w:rsid w:val="5397158E"/>
    <w:rsid w:val="53D80EDC"/>
    <w:rsid w:val="53EE2BDB"/>
    <w:rsid w:val="54013861"/>
    <w:rsid w:val="54415CFC"/>
    <w:rsid w:val="5442453E"/>
    <w:rsid w:val="54487265"/>
    <w:rsid w:val="544D6070"/>
    <w:rsid w:val="54566820"/>
    <w:rsid w:val="54605E1E"/>
    <w:rsid w:val="54B3506A"/>
    <w:rsid w:val="54CA0D16"/>
    <w:rsid w:val="54DD4057"/>
    <w:rsid w:val="54E7490F"/>
    <w:rsid w:val="55006BAB"/>
    <w:rsid w:val="550764A4"/>
    <w:rsid w:val="550B2BF6"/>
    <w:rsid w:val="55214EB5"/>
    <w:rsid w:val="55250D9C"/>
    <w:rsid w:val="55364EFD"/>
    <w:rsid w:val="555B2034"/>
    <w:rsid w:val="555D4828"/>
    <w:rsid w:val="557A4C8B"/>
    <w:rsid w:val="557E0A8F"/>
    <w:rsid w:val="558931E1"/>
    <w:rsid w:val="55923347"/>
    <w:rsid w:val="55925180"/>
    <w:rsid w:val="55983B1B"/>
    <w:rsid w:val="55A8376B"/>
    <w:rsid w:val="55DC29B6"/>
    <w:rsid w:val="55DD4241"/>
    <w:rsid w:val="55DF07FE"/>
    <w:rsid w:val="55E77F8E"/>
    <w:rsid w:val="56417E01"/>
    <w:rsid w:val="566B6D1E"/>
    <w:rsid w:val="57032A2C"/>
    <w:rsid w:val="570F5219"/>
    <w:rsid w:val="575D12B5"/>
    <w:rsid w:val="57610A87"/>
    <w:rsid w:val="577B1140"/>
    <w:rsid w:val="577B7F21"/>
    <w:rsid w:val="577F181B"/>
    <w:rsid w:val="577F507B"/>
    <w:rsid w:val="578130E3"/>
    <w:rsid w:val="57921984"/>
    <w:rsid w:val="579737F0"/>
    <w:rsid w:val="57AB7B30"/>
    <w:rsid w:val="57AF5251"/>
    <w:rsid w:val="57B26373"/>
    <w:rsid w:val="57B63F04"/>
    <w:rsid w:val="57CD20C2"/>
    <w:rsid w:val="57D675AB"/>
    <w:rsid w:val="57D95FDD"/>
    <w:rsid w:val="57E75E01"/>
    <w:rsid w:val="582855AB"/>
    <w:rsid w:val="58917D2F"/>
    <w:rsid w:val="5894085C"/>
    <w:rsid w:val="58AE4F0C"/>
    <w:rsid w:val="58B85899"/>
    <w:rsid w:val="58E363A9"/>
    <w:rsid w:val="595E1678"/>
    <w:rsid w:val="59605E6B"/>
    <w:rsid w:val="596D5BD4"/>
    <w:rsid w:val="597E3DD8"/>
    <w:rsid w:val="59A35E53"/>
    <w:rsid w:val="59F80043"/>
    <w:rsid w:val="5A09252F"/>
    <w:rsid w:val="5A0B2778"/>
    <w:rsid w:val="5A2A7C7B"/>
    <w:rsid w:val="5A3E2560"/>
    <w:rsid w:val="5A4E17D4"/>
    <w:rsid w:val="5A5D3B6E"/>
    <w:rsid w:val="5A637A76"/>
    <w:rsid w:val="5A6D33BA"/>
    <w:rsid w:val="5A792B1F"/>
    <w:rsid w:val="5A874767"/>
    <w:rsid w:val="5AAD6F28"/>
    <w:rsid w:val="5AD63A24"/>
    <w:rsid w:val="5B267382"/>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E4ECA"/>
    <w:rsid w:val="5EFC7377"/>
    <w:rsid w:val="5F06174D"/>
    <w:rsid w:val="5F3A3602"/>
    <w:rsid w:val="5F6277C6"/>
    <w:rsid w:val="5F6D0B1D"/>
    <w:rsid w:val="5F8D0B82"/>
    <w:rsid w:val="5FB76D19"/>
    <w:rsid w:val="5FCC5339"/>
    <w:rsid w:val="5FE34A5B"/>
    <w:rsid w:val="5FFE1E36"/>
    <w:rsid w:val="60232584"/>
    <w:rsid w:val="607330CE"/>
    <w:rsid w:val="60825176"/>
    <w:rsid w:val="609F2AC4"/>
    <w:rsid w:val="60A1049F"/>
    <w:rsid w:val="60FA2EE8"/>
    <w:rsid w:val="61054A27"/>
    <w:rsid w:val="610A52BC"/>
    <w:rsid w:val="611D2366"/>
    <w:rsid w:val="61421856"/>
    <w:rsid w:val="615227C4"/>
    <w:rsid w:val="61654E3F"/>
    <w:rsid w:val="61760D1A"/>
    <w:rsid w:val="6182292A"/>
    <w:rsid w:val="619F7F92"/>
    <w:rsid w:val="61F94C26"/>
    <w:rsid w:val="62000E56"/>
    <w:rsid w:val="624F3E49"/>
    <w:rsid w:val="62632286"/>
    <w:rsid w:val="626B6209"/>
    <w:rsid w:val="62885958"/>
    <w:rsid w:val="62EF6021"/>
    <w:rsid w:val="62F40B65"/>
    <w:rsid w:val="62FC2CFE"/>
    <w:rsid w:val="63024505"/>
    <w:rsid w:val="635B1DB5"/>
    <w:rsid w:val="63711FED"/>
    <w:rsid w:val="63880DDC"/>
    <w:rsid w:val="638D750D"/>
    <w:rsid w:val="63AC6CC0"/>
    <w:rsid w:val="64055776"/>
    <w:rsid w:val="64240056"/>
    <w:rsid w:val="643E143A"/>
    <w:rsid w:val="648B6EEF"/>
    <w:rsid w:val="649713F7"/>
    <w:rsid w:val="64C158BF"/>
    <w:rsid w:val="64CE2EAA"/>
    <w:rsid w:val="653C3090"/>
    <w:rsid w:val="65854376"/>
    <w:rsid w:val="658767BE"/>
    <w:rsid w:val="65892531"/>
    <w:rsid w:val="66195831"/>
    <w:rsid w:val="662E75B1"/>
    <w:rsid w:val="66342C2E"/>
    <w:rsid w:val="663E784C"/>
    <w:rsid w:val="66411613"/>
    <w:rsid w:val="666210AA"/>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543F3"/>
    <w:rsid w:val="689F444F"/>
    <w:rsid w:val="68B96DBB"/>
    <w:rsid w:val="68CA2805"/>
    <w:rsid w:val="68E937A3"/>
    <w:rsid w:val="693E15D3"/>
    <w:rsid w:val="69492930"/>
    <w:rsid w:val="69627681"/>
    <w:rsid w:val="6977531D"/>
    <w:rsid w:val="697B2927"/>
    <w:rsid w:val="69CC2BFF"/>
    <w:rsid w:val="69FD55B8"/>
    <w:rsid w:val="6A0B1C62"/>
    <w:rsid w:val="6A2406C8"/>
    <w:rsid w:val="6A9D4F11"/>
    <w:rsid w:val="6ADE0BD1"/>
    <w:rsid w:val="6AE96859"/>
    <w:rsid w:val="6B147746"/>
    <w:rsid w:val="6B24787C"/>
    <w:rsid w:val="6B2A26A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25140"/>
    <w:rsid w:val="6DC0172B"/>
    <w:rsid w:val="6DCB690C"/>
    <w:rsid w:val="6DD41A5B"/>
    <w:rsid w:val="6DE617BB"/>
    <w:rsid w:val="6DF43C2E"/>
    <w:rsid w:val="6DF51CA3"/>
    <w:rsid w:val="6E2C2368"/>
    <w:rsid w:val="6E8335BD"/>
    <w:rsid w:val="6E8E12EF"/>
    <w:rsid w:val="6E972936"/>
    <w:rsid w:val="6E9D3397"/>
    <w:rsid w:val="6ED446C5"/>
    <w:rsid w:val="6F2A7D94"/>
    <w:rsid w:val="6F745A42"/>
    <w:rsid w:val="6F8331F1"/>
    <w:rsid w:val="6FAE1A09"/>
    <w:rsid w:val="6FD75BF8"/>
    <w:rsid w:val="707723D0"/>
    <w:rsid w:val="70AA1CC7"/>
    <w:rsid w:val="70E12EA5"/>
    <w:rsid w:val="70F5661B"/>
    <w:rsid w:val="71125911"/>
    <w:rsid w:val="712A1073"/>
    <w:rsid w:val="71360107"/>
    <w:rsid w:val="713B688E"/>
    <w:rsid w:val="71B57345"/>
    <w:rsid w:val="71D43752"/>
    <w:rsid w:val="71F1796A"/>
    <w:rsid w:val="72154626"/>
    <w:rsid w:val="72262B5D"/>
    <w:rsid w:val="72283FF7"/>
    <w:rsid w:val="722E7212"/>
    <w:rsid w:val="723A0474"/>
    <w:rsid w:val="725923E4"/>
    <w:rsid w:val="72864BF7"/>
    <w:rsid w:val="729023FC"/>
    <w:rsid w:val="72B92A4C"/>
    <w:rsid w:val="73181763"/>
    <w:rsid w:val="738545B1"/>
    <w:rsid w:val="73C0646E"/>
    <w:rsid w:val="740A67D8"/>
    <w:rsid w:val="742222F5"/>
    <w:rsid w:val="74476126"/>
    <w:rsid w:val="74706664"/>
    <w:rsid w:val="747F3682"/>
    <w:rsid w:val="74941BBE"/>
    <w:rsid w:val="749C4185"/>
    <w:rsid w:val="75067759"/>
    <w:rsid w:val="751D4902"/>
    <w:rsid w:val="752E6DCD"/>
    <w:rsid w:val="7551380D"/>
    <w:rsid w:val="75600BE5"/>
    <w:rsid w:val="7564475C"/>
    <w:rsid w:val="7583797F"/>
    <w:rsid w:val="75D20F1D"/>
    <w:rsid w:val="75D250F4"/>
    <w:rsid w:val="75DA2C18"/>
    <w:rsid w:val="75F54412"/>
    <w:rsid w:val="761D08E0"/>
    <w:rsid w:val="7643130E"/>
    <w:rsid w:val="765D347C"/>
    <w:rsid w:val="76826699"/>
    <w:rsid w:val="76C87133"/>
    <w:rsid w:val="76CD08D5"/>
    <w:rsid w:val="76DB4B92"/>
    <w:rsid w:val="77052AA4"/>
    <w:rsid w:val="77136511"/>
    <w:rsid w:val="77340A39"/>
    <w:rsid w:val="77351FD0"/>
    <w:rsid w:val="77472422"/>
    <w:rsid w:val="777F31F2"/>
    <w:rsid w:val="77D1700D"/>
    <w:rsid w:val="77EC04CC"/>
    <w:rsid w:val="77F02EFD"/>
    <w:rsid w:val="78092BAA"/>
    <w:rsid w:val="78775729"/>
    <w:rsid w:val="78A42DB0"/>
    <w:rsid w:val="78A656AB"/>
    <w:rsid w:val="78B2245C"/>
    <w:rsid w:val="78E172CC"/>
    <w:rsid w:val="78EA1D1F"/>
    <w:rsid w:val="7904172F"/>
    <w:rsid w:val="790F7E27"/>
    <w:rsid w:val="79202D48"/>
    <w:rsid w:val="792A231A"/>
    <w:rsid w:val="79316829"/>
    <w:rsid w:val="796E3F04"/>
    <w:rsid w:val="797E66A9"/>
    <w:rsid w:val="79A853AC"/>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30F09"/>
    <w:rsid w:val="7BEE0103"/>
    <w:rsid w:val="7C0A0FE4"/>
    <w:rsid w:val="7C254906"/>
    <w:rsid w:val="7C446434"/>
    <w:rsid w:val="7C590818"/>
    <w:rsid w:val="7C7C10F6"/>
    <w:rsid w:val="7C853BEA"/>
    <w:rsid w:val="7C881368"/>
    <w:rsid w:val="7CE27788"/>
    <w:rsid w:val="7D0C32F1"/>
    <w:rsid w:val="7D0F408D"/>
    <w:rsid w:val="7D491C6C"/>
    <w:rsid w:val="7D5429C0"/>
    <w:rsid w:val="7D6E6D43"/>
    <w:rsid w:val="7DB57A34"/>
    <w:rsid w:val="7DE60973"/>
    <w:rsid w:val="7DEF0916"/>
    <w:rsid w:val="7DFB3A10"/>
    <w:rsid w:val="7E1E5218"/>
    <w:rsid w:val="7E384CA4"/>
    <w:rsid w:val="7E9A4E1F"/>
    <w:rsid w:val="7EA7723A"/>
    <w:rsid w:val="7EF56FBB"/>
    <w:rsid w:val="7F0768EB"/>
    <w:rsid w:val="7F143BEC"/>
    <w:rsid w:val="7F423F3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84"/>
    <w:qFormat/>
    <w:uiPriority w:val="0"/>
    <w:pPr>
      <w:keepNext/>
      <w:keepLines/>
      <w:tabs>
        <w:tab w:val="left" w:pos="432"/>
      </w:tabs>
      <w:adjustRightInd/>
      <w:spacing w:line="360" w:lineRule="auto"/>
      <w:ind w:left="432" w:hanging="432"/>
      <w:jc w:val="left"/>
      <w:outlineLvl w:val="1"/>
    </w:pPr>
    <w:rPr>
      <w:rFonts w:ascii="仿宋_GB2312" w:hAnsi="仿宋" w:eastAsia="仿宋_GB2312"/>
      <w:b/>
      <w:bCs/>
      <w:kern w:val="0"/>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7"/>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93"/>
    <w:qFormat/>
    <w:uiPriority w:val="0"/>
    <w:pPr>
      <w:spacing w:line="480" w:lineRule="exact"/>
      <w:ind w:firstLine="480" w:firstLineChars="200"/>
    </w:pPr>
    <w:rPr>
      <w:rFonts w:ascii="宋体" w:hAnsi="宋体"/>
      <w:sz w:val="24"/>
    </w:rPr>
  </w:style>
  <w:style w:type="paragraph" w:styleId="17">
    <w:name w:val="caption"/>
    <w:basedOn w:val="1"/>
    <w:next w:val="1"/>
    <w:link w:val="94"/>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95"/>
    <w:qFormat/>
    <w:uiPriority w:val="0"/>
    <w:pPr>
      <w:shd w:val="clear" w:color="auto" w:fill="000080"/>
    </w:pPr>
  </w:style>
  <w:style w:type="paragraph" w:styleId="20">
    <w:name w:val="annotation text"/>
    <w:basedOn w:val="1"/>
    <w:link w:val="96"/>
    <w:autoRedefine/>
    <w:qFormat/>
    <w:uiPriority w:val="0"/>
    <w:pPr>
      <w:jc w:val="left"/>
    </w:pPr>
  </w:style>
  <w:style w:type="paragraph" w:styleId="21">
    <w:name w:val="Salutation"/>
    <w:basedOn w:val="1"/>
    <w:next w:val="1"/>
    <w:link w:val="97"/>
    <w:autoRedefine/>
    <w:qFormat/>
    <w:uiPriority w:val="0"/>
    <w:rPr>
      <w:rFonts w:ascii="仿宋_GB2312" w:eastAsia="仿宋_GB2312"/>
      <w:sz w:val="28"/>
      <w:szCs w:val="20"/>
    </w:rPr>
  </w:style>
  <w:style w:type="paragraph" w:styleId="22">
    <w:name w:val="Body Text 3"/>
    <w:basedOn w:val="1"/>
    <w:link w:val="9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9"/>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qFormat/>
    <w:uiPriority w:val="0"/>
    <w:pPr>
      <w:ind w:left="1260" w:leftChars="600"/>
    </w:p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0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0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03"/>
    <w:autoRedefine/>
    <w:qFormat/>
    <w:uiPriority w:val="0"/>
    <w:pPr>
      <w:ind w:left="100" w:leftChars="2500"/>
    </w:pPr>
    <w:rPr>
      <w:rFonts w:ascii="宋体"/>
      <w:sz w:val="24"/>
      <w:szCs w:val="21"/>
      <w:lang w:val="zh-CN"/>
    </w:rPr>
  </w:style>
  <w:style w:type="paragraph" w:styleId="37">
    <w:name w:val="Body Text Indent 2"/>
    <w:basedOn w:val="1"/>
    <w:link w:val="104"/>
    <w:qFormat/>
    <w:uiPriority w:val="0"/>
    <w:pPr>
      <w:spacing w:line="360" w:lineRule="auto"/>
      <w:ind w:firstLine="601"/>
      <w:textAlignment w:val="baseline"/>
    </w:pPr>
    <w:rPr>
      <w:rFonts w:ascii="宋体"/>
      <w:kern w:val="0"/>
      <w:sz w:val="28"/>
      <w:szCs w:val="20"/>
    </w:rPr>
  </w:style>
  <w:style w:type="paragraph" w:styleId="38">
    <w:name w:val="endnote text"/>
    <w:basedOn w:val="1"/>
    <w:link w:val="105"/>
    <w:qFormat/>
    <w:uiPriority w:val="0"/>
    <w:rPr>
      <w:lang w:val="zh-CN"/>
    </w:rPr>
  </w:style>
  <w:style w:type="paragraph" w:styleId="39">
    <w:name w:val="Balloon Text"/>
    <w:basedOn w:val="1"/>
    <w:link w:val="106"/>
    <w:autoRedefine/>
    <w:qFormat/>
    <w:uiPriority w:val="0"/>
    <w:rPr>
      <w:sz w:val="18"/>
      <w:szCs w:val="18"/>
    </w:rPr>
  </w:style>
  <w:style w:type="paragraph" w:styleId="40">
    <w:name w:val="footer"/>
    <w:basedOn w:val="1"/>
    <w:link w:val="107"/>
    <w:qFormat/>
    <w:uiPriority w:val="99"/>
    <w:pPr>
      <w:tabs>
        <w:tab w:val="center" w:pos="4153"/>
        <w:tab w:val="right" w:pos="8306"/>
      </w:tabs>
      <w:snapToGrid w:val="0"/>
      <w:jc w:val="left"/>
    </w:pPr>
    <w:rPr>
      <w:sz w:val="18"/>
      <w:szCs w:val="18"/>
    </w:rPr>
  </w:style>
  <w:style w:type="paragraph" w:styleId="41">
    <w:name w:val="header"/>
    <w:basedOn w:val="1"/>
    <w:link w:val="10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9"/>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index heading"/>
    <w:basedOn w:val="1"/>
    <w:next w:val="45"/>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1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11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12"/>
    <w:qFormat/>
    <w:uiPriority w:val="0"/>
    <w:pPr>
      <w:spacing w:line="360" w:lineRule="auto"/>
      <w:ind w:firstLine="420"/>
    </w:pPr>
    <w:rPr>
      <w:sz w:val="24"/>
      <w:szCs w:val="20"/>
    </w:rPr>
  </w:style>
  <w:style w:type="paragraph" w:styleId="53">
    <w:name w:val="toc 2"/>
    <w:basedOn w:val="1"/>
    <w:next w:val="1"/>
    <w:autoRedefine/>
    <w:qFormat/>
    <w:uiPriority w:val="39"/>
    <w:pPr>
      <w:ind w:left="420" w:leftChars="200"/>
    </w:pPr>
  </w:style>
  <w:style w:type="paragraph" w:styleId="54">
    <w:name w:val="toc 9"/>
    <w:basedOn w:val="1"/>
    <w:next w:val="1"/>
    <w:qFormat/>
    <w:uiPriority w:val="0"/>
    <w:pPr>
      <w:ind w:left="3360" w:leftChars="1600"/>
    </w:pPr>
  </w:style>
  <w:style w:type="paragraph" w:styleId="55">
    <w:name w:val="Body Text 2"/>
    <w:basedOn w:val="1"/>
    <w:link w:val="113"/>
    <w:qFormat/>
    <w:uiPriority w:val="0"/>
    <w:pPr>
      <w:spacing w:after="120" w:line="480" w:lineRule="auto"/>
    </w:pPr>
  </w:style>
  <w:style w:type="paragraph" w:styleId="56">
    <w:name w:val="HTML Preformatted"/>
    <w:basedOn w:val="1"/>
    <w:link w:val="1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15"/>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116"/>
    <w:qFormat/>
    <w:uiPriority w:val="0"/>
    <w:rPr>
      <w:b/>
      <w:bCs/>
    </w:rPr>
  </w:style>
  <w:style w:type="paragraph" w:styleId="60">
    <w:name w:val="Body Text First Indent"/>
    <w:basedOn w:val="24"/>
    <w:next w:val="50"/>
    <w:link w:val="100"/>
    <w:qFormat/>
    <w:uiPriority w:val="0"/>
    <w:pPr>
      <w:ind w:firstLine="420"/>
    </w:pPr>
    <w:rPr>
      <w:rFonts w:hAnsi="Times New Roman" w:cs="Times New Roman"/>
      <w:snapToGrid/>
      <w:szCs w:val="20"/>
    </w:rPr>
  </w:style>
  <w:style w:type="paragraph" w:styleId="61">
    <w:name w:val="Body Text First Indent 2"/>
    <w:basedOn w:val="16"/>
    <w:next w:val="1"/>
    <w:link w:val="11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autoRedefine/>
    <w:qFormat/>
    <w:uiPriority w:val="0"/>
    <w:rPr>
      <w:sz w:val="21"/>
      <w:szCs w:val="21"/>
    </w:rPr>
  </w:style>
  <w:style w:type="character" w:customStyle="1" w:styleId="79">
    <w:name w:val="标题 2 字符"/>
    <w:autoRedefine/>
    <w:qFormat/>
    <w:uiPriority w:val="1"/>
    <w:rPr>
      <w:rFonts w:ascii="仿宋_GB2312" w:hAnsi="Times New Roman" w:eastAsia="仿宋_GB2312" w:cs="Times New Roman"/>
      <w:b/>
      <w:kern w:val="2"/>
      <w:sz w:val="24"/>
      <w:lang w:val="zh-CN"/>
    </w:rPr>
  </w:style>
  <w:style w:type="character" w:customStyle="1" w:styleId="80">
    <w:name w:val="标题 1 字符"/>
    <w:autoRedefine/>
    <w:qFormat/>
    <w:uiPriority w:val="9"/>
    <w:rPr>
      <w:rFonts w:ascii="Arial" w:hAnsi="Arial" w:eastAsia="黑体" w:cs="Arial"/>
      <w:b/>
      <w:bCs/>
      <w:snapToGrid w:val="0"/>
      <w:kern w:val="44"/>
      <w:sz w:val="44"/>
      <w:szCs w:val="44"/>
    </w:rPr>
  </w:style>
  <w:style w:type="character" w:customStyle="1" w:styleId="81">
    <w:name w:val="标题 3 字符"/>
    <w:autoRedefine/>
    <w:qFormat/>
    <w:uiPriority w:val="9"/>
    <w:rPr>
      <w:b/>
      <w:bCs/>
      <w:kern w:val="2"/>
      <w:sz w:val="32"/>
      <w:szCs w:val="32"/>
    </w:rPr>
  </w:style>
  <w:style w:type="character" w:customStyle="1" w:styleId="82">
    <w:name w:val="标题 4 字符"/>
    <w:autoRedefine/>
    <w:qFormat/>
    <w:uiPriority w:val="9"/>
    <w:rPr>
      <w:rFonts w:ascii="等线 Light" w:hAnsi="等线 Light" w:eastAsia="等线 Light" w:cs="Times New Roman"/>
      <w:b/>
      <w:bCs/>
      <w:snapToGrid w:val="0"/>
      <w:kern w:val="0"/>
      <w:sz w:val="28"/>
      <w:szCs w:val="28"/>
    </w:rPr>
  </w:style>
  <w:style w:type="paragraph" w:customStyle="1" w:styleId="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4">
    <w:name w:val="标题 2 字符1"/>
    <w:link w:val="3"/>
    <w:qFormat/>
    <w:uiPriority w:val="0"/>
    <w:rPr>
      <w:rFonts w:ascii="仿宋_GB2312" w:hAnsi="仿宋" w:eastAsia="仿宋_GB2312"/>
      <w:b/>
      <w:bCs/>
      <w:sz w:val="32"/>
      <w:szCs w:val="32"/>
      <w:lang w:val="zh-CN"/>
    </w:rPr>
  </w:style>
  <w:style w:type="character" w:customStyle="1" w:styleId="85">
    <w:name w:val="标题 1 字符1"/>
    <w:link w:val="2"/>
    <w:qFormat/>
    <w:uiPriority w:val="9"/>
    <w:rPr>
      <w:b/>
      <w:bCs/>
      <w:kern w:val="44"/>
      <w:sz w:val="44"/>
      <w:szCs w:val="44"/>
    </w:rPr>
  </w:style>
  <w:style w:type="character" w:customStyle="1" w:styleId="86">
    <w:name w:val="标题 4 字符1"/>
    <w:link w:val="5"/>
    <w:qFormat/>
    <w:uiPriority w:val="9"/>
    <w:rPr>
      <w:rFonts w:ascii="Arial" w:hAnsi="Arial" w:eastAsia="黑体"/>
      <w:b/>
      <w:bCs/>
      <w:kern w:val="2"/>
      <w:sz w:val="28"/>
      <w:szCs w:val="28"/>
      <w:lang w:val="zh-CN"/>
    </w:rPr>
  </w:style>
  <w:style w:type="character" w:customStyle="1" w:styleId="87">
    <w:name w:val="标题 5 字符"/>
    <w:link w:val="6"/>
    <w:autoRedefine/>
    <w:qFormat/>
    <w:uiPriority w:val="9"/>
    <w:rPr>
      <w:b/>
      <w:bCs/>
      <w:kern w:val="2"/>
      <w:sz w:val="28"/>
      <w:szCs w:val="28"/>
    </w:rPr>
  </w:style>
  <w:style w:type="character" w:customStyle="1" w:styleId="88">
    <w:name w:val="标题 6 字符"/>
    <w:link w:val="7"/>
    <w:autoRedefine/>
    <w:qFormat/>
    <w:uiPriority w:val="0"/>
    <w:rPr>
      <w:rFonts w:ascii="Arial" w:hAnsi="Arial" w:eastAsia="黑体"/>
      <w:b/>
      <w:bCs/>
      <w:kern w:val="2"/>
      <w:sz w:val="24"/>
      <w:szCs w:val="24"/>
    </w:rPr>
  </w:style>
  <w:style w:type="character" w:customStyle="1" w:styleId="89">
    <w:name w:val="标题 7 字符"/>
    <w:link w:val="8"/>
    <w:autoRedefine/>
    <w:qFormat/>
    <w:uiPriority w:val="0"/>
    <w:rPr>
      <w:b/>
      <w:bCs/>
      <w:kern w:val="2"/>
      <w:sz w:val="24"/>
      <w:szCs w:val="24"/>
    </w:rPr>
  </w:style>
  <w:style w:type="character" w:customStyle="1" w:styleId="90">
    <w:name w:val="标题 8 字符"/>
    <w:link w:val="9"/>
    <w:autoRedefine/>
    <w:qFormat/>
    <w:uiPriority w:val="0"/>
    <w:rPr>
      <w:rFonts w:ascii="Arial" w:hAnsi="Arial" w:eastAsia="黑体"/>
      <w:kern w:val="2"/>
      <w:sz w:val="24"/>
      <w:szCs w:val="24"/>
    </w:rPr>
  </w:style>
  <w:style w:type="character" w:customStyle="1" w:styleId="91">
    <w:name w:val="标题 9 字符"/>
    <w:link w:val="10"/>
    <w:qFormat/>
    <w:uiPriority w:val="0"/>
    <w:rPr>
      <w:rFonts w:ascii="Arial" w:hAnsi="Arial" w:eastAsia="黑体"/>
      <w:kern w:val="2"/>
      <w:sz w:val="21"/>
      <w:szCs w:val="21"/>
    </w:rPr>
  </w:style>
  <w:style w:type="character" w:customStyle="1" w:styleId="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93">
    <w:name w:val="正文文本缩进 字符1"/>
    <w:link w:val="16"/>
    <w:autoRedefine/>
    <w:qFormat/>
    <w:uiPriority w:val="0"/>
    <w:rPr>
      <w:rFonts w:ascii="宋体" w:hAnsi="宋体"/>
      <w:kern w:val="2"/>
      <w:sz w:val="24"/>
      <w:szCs w:val="24"/>
    </w:rPr>
  </w:style>
  <w:style w:type="character" w:customStyle="1" w:styleId="94">
    <w:name w:val="题注 字符"/>
    <w:link w:val="17"/>
    <w:autoRedefine/>
    <w:qFormat/>
    <w:uiPriority w:val="0"/>
    <w:rPr>
      <w:b/>
      <w:kern w:val="2"/>
      <w:sz w:val="28"/>
    </w:rPr>
  </w:style>
  <w:style w:type="character" w:customStyle="1" w:styleId="95">
    <w:name w:val="文档结构图 字符"/>
    <w:link w:val="19"/>
    <w:autoRedefine/>
    <w:qFormat/>
    <w:uiPriority w:val="0"/>
    <w:rPr>
      <w:kern w:val="2"/>
      <w:sz w:val="21"/>
      <w:szCs w:val="24"/>
      <w:shd w:val="clear" w:color="auto" w:fill="000080"/>
    </w:rPr>
  </w:style>
  <w:style w:type="character" w:customStyle="1" w:styleId="96">
    <w:name w:val="批注文字 字符1"/>
    <w:link w:val="20"/>
    <w:qFormat/>
    <w:uiPriority w:val="0"/>
    <w:rPr>
      <w:kern w:val="2"/>
      <w:sz w:val="21"/>
      <w:szCs w:val="24"/>
    </w:rPr>
  </w:style>
  <w:style w:type="character" w:customStyle="1" w:styleId="97">
    <w:name w:val="称呼 字符"/>
    <w:link w:val="21"/>
    <w:qFormat/>
    <w:uiPriority w:val="0"/>
    <w:rPr>
      <w:rFonts w:ascii="仿宋_GB2312" w:eastAsia="仿宋_GB2312"/>
      <w:kern w:val="2"/>
      <w:sz w:val="28"/>
    </w:rPr>
  </w:style>
  <w:style w:type="character" w:customStyle="1" w:styleId="98">
    <w:name w:val="正文文本 3 字符"/>
    <w:link w:val="22"/>
    <w:autoRedefine/>
    <w:qFormat/>
    <w:uiPriority w:val="0"/>
    <w:rPr>
      <w:kern w:val="2"/>
      <w:sz w:val="21"/>
    </w:rPr>
  </w:style>
  <w:style w:type="character" w:customStyle="1" w:styleId="9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100">
    <w:name w:val="正文文本首行缩进 字符"/>
    <w:link w:val="60"/>
    <w:qFormat/>
    <w:uiPriority w:val="0"/>
    <w:rPr>
      <w:rFonts w:ascii="宋体"/>
      <w:kern w:val="2"/>
      <w:sz w:val="24"/>
      <w:lang w:val="zh-CN"/>
    </w:rPr>
  </w:style>
  <w:style w:type="character" w:customStyle="1" w:styleId="101">
    <w:name w:val="HTML 地址 字符"/>
    <w:link w:val="30"/>
    <w:autoRedefine/>
    <w:qFormat/>
    <w:uiPriority w:val="0"/>
    <w:rPr>
      <w:rFonts w:ascii="宋体" w:hAnsi="宋体"/>
      <w:i/>
      <w:iCs/>
      <w:sz w:val="24"/>
      <w:szCs w:val="24"/>
    </w:rPr>
  </w:style>
  <w:style w:type="character" w:customStyle="1" w:styleId="10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03">
    <w:name w:val="日期 字符"/>
    <w:link w:val="36"/>
    <w:autoRedefine/>
    <w:qFormat/>
    <w:uiPriority w:val="0"/>
    <w:rPr>
      <w:rFonts w:ascii="宋体"/>
      <w:kern w:val="2"/>
      <w:sz w:val="24"/>
      <w:szCs w:val="21"/>
      <w:lang w:val="zh-CN"/>
    </w:rPr>
  </w:style>
  <w:style w:type="character" w:customStyle="1" w:styleId="104">
    <w:name w:val="正文文本缩进 2 字符"/>
    <w:link w:val="37"/>
    <w:qFormat/>
    <w:uiPriority w:val="0"/>
    <w:rPr>
      <w:rFonts w:ascii="宋体"/>
      <w:sz w:val="28"/>
    </w:rPr>
  </w:style>
  <w:style w:type="character" w:customStyle="1" w:styleId="105">
    <w:name w:val="尾注文本 字符"/>
    <w:link w:val="38"/>
    <w:autoRedefine/>
    <w:qFormat/>
    <w:uiPriority w:val="0"/>
    <w:rPr>
      <w:kern w:val="2"/>
      <w:sz w:val="21"/>
      <w:szCs w:val="24"/>
      <w:lang w:val="zh-CN"/>
    </w:rPr>
  </w:style>
  <w:style w:type="character" w:customStyle="1" w:styleId="106">
    <w:name w:val="批注框文本 字符1"/>
    <w:link w:val="39"/>
    <w:autoRedefine/>
    <w:qFormat/>
    <w:uiPriority w:val="0"/>
    <w:rPr>
      <w:kern w:val="2"/>
      <w:sz w:val="18"/>
      <w:szCs w:val="18"/>
    </w:rPr>
  </w:style>
  <w:style w:type="character" w:customStyle="1" w:styleId="107">
    <w:name w:val="页脚 字符2"/>
    <w:link w:val="40"/>
    <w:autoRedefine/>
    <w:qFormat/>
    <w:locked/>
    <w:uiPriority w:val="99"/>
    <w:rPr>
      <w:kern w:val="2"/>
      <w:sz w:val="18"/>
      <w:szCs w:val="18"/>
    </w:rPr>
  </w:style>
  <w:style w:type="character" w:customStyle="1" w:styleId="108">
    <w:name w:val="页眉 字符2"/>
    <w:link w:val="41"/>
    <w:autoRedefine/>
    <w:qFormat/>
    <w:uiPriority w:val="99"/>
    <w:rPr>
      <w:kern w:val="2"/>
      <w:sz w:val="18"/>
      <w:szCs w:val="18"/>
    </w:rPr>
  </w:style>
  <w:style w:type="character" w:customStyle="1" w:styleId="109">
    <w:name w:val="签名 字符"/>
    <w:link w:val="42"/>
    <w:autoRedefine/>
    <w:qFormat/>
    <w:uiPriority w:val="0"/>
    <w:rPr>
      <w:rFonts w:eastAsia="仿宋_GB2312"/>
      <w:sz w:val="24"/>
    </w:rPr>
  </w:style>
  <w:style w:type="character" w:customStyle="1" w:styleId="110">
    <w:name w:val="副标题 字符"/>
    <w:link w:val="46"/>
    <w:autoRedefine/>
    <w:qFormat/>
    <w:uiPriority w:val="0"/>
    <w:rPr>
      <w:rFonts w:ascii="Arial" w:hAnsi="Arial" w:eastAsia="隶书"/>
      <w:b/>
      <w:bCs/>
      <w:kern w:val="28"/>
      <w:sz w:val="44"/>
      <w:szCs w:val="32"/>
      <w:lang w:val="en-US" w:eastAsia="zh-CN" w:bidi="ar-SA"/>
    </w:rPr>
  </w:style>
  <w:style w:type="character" w:customStyle="1" w:styleId="111">
    <w:name w:val="脚注文本 字符"/>
    <w:link w:val="49"/>
    <w:autoRedefine/>
    <w:qFormat/>
    <w:uiPriority w:val="0"/>
    <w:rPr>
      <w:color w:val="0000FF"/>
      <w:sz w:val="21"/>
    </w:rPr>
  </w:style>
  <w:style w:type="character" w:customStyle="1" w:styleId="112">
    <w:name w:val="正文文本缩进 3 字符"/>
    <w:link w:val="52"/>
    <w:autoRedefine/>
    <w:qFormat/>
    <w:uiPriority w:val="0"/>
    <w:rPr>
      <w:kern w:val="2"/>
      <w:sz w:val="24"/>
    </w:rPr>
  </w:style>
  <w:style w:type="character" w:customStyle="1" w:styleId="113">
    <w:name w:val="正文文本 2 字符1"/>
    <w:link w:val="55"/>
    <w:autoRedefine/>
    <w:qFormat/>
    <w:uiPriority w:val="0"/>
    <w:rPr>
      <w:kern w:val="2"/>
      <w:sz w:val="21"/>
      <w:szCs w:val="24"/>
    </w:rPr>
  </w:style>
  <w:style w:type="character" w:customStyle="1" w:styleId="114">
    <w:name w:val="HTML 预设格式 字符"/>
    <w:link w:val="56"/>
    <w:autoRedefine/>
    <w:qFormat/>
    <w:uiPriority w:val="0"/>
    <w:rPr>
      <w:rFonts w:ascii="黑体" w:hAnsi="Courier New" w:eastAsia="黑体"/>
    </w:rPr>
  </w:style>
  <w:style w:type="character" w:customStyle="1" w:styleId="115">
    <w:name w:val="标题 字符"/>
    <w:link w:val="58"/>
    <w:autoRedefine/>
    <w:qFormat/>
    <w:uiPriority w:val="10"/>
    <w:rPr>
      <w:b/>
      <w:sz w:val="24"/>
      <w:lang w:val="en-US"/>
    </w:rPr>
  </w:style>
  <w:style w:type="character" w:customStyle="1" w:styleId="116">
    <w:name w:val="批注主题 字符"/>
    <w:link w:val="59"/>
    <w:autoRedefine/>
    <w:qFormat/>
    <w:uiPriority w:val="0"/>
    <w:rPr>
      <w:b/>
      <w:bCs/>
      <w:kern w:val="2"/>
      <w:sz w:val="21"/>
      <w:szCs w:val="24"/>
    </w:rPr>
  </w:style>
  <w:style w:type="character" w:customStyle="1" w:styleId="117">
    <w:name w:val="正文文本首行缩进 2 字符"/>
    <w:link w:val="61"/>
    <w:autoRedefine/>
    <w:qFormat/>
    <w:uiPriority w:val="0"/>
    <w:rPr>
      <w:rFonts w:ascii="宋体" w:hAnsi="宋体"/>
      <w:kern w:val="2"/>
      <w:sz w:val="21"/>
      <w:szCs w:val="24"/>
    </w:rPr>
  </w:style>
  <w:style w:type="character" w:customStyle="1" w:styleId="118">
    <w:name w:val="Heading 7 Char"/>
    <w:qFormat/>
    <w:locked/>
    <w:uiPriority w:val="0"/>
    <w:rPr>
      <w:rFonts w:ascii="宋体" w:hAnsi="宋体" w:eastAsia="宋体"/>
      <w:b/>
      <w:bCs/>
      <w:kern w:val="2"/>
      <w:sz w:val="24"/>
      <w:szCs w:val="24"/>
      <w:lang w:val="en-US" w:eastAsia="zh-CN" w:bidi="ar-SA"/>
    </w:rPr>
  </w:style>
  <w:style w:type="character" w:customStyle="1" w:styleId="119">
    <w:name w:val="标题 6 Char1"/>
    <w:autoRedefine/>
    <w:qFormat/>
    <w:uiPriority w:val="0"/>
    <w:rPr>
      <w:rFonts w:ascii="Arial" w:hAnsi="Arial" w:eastAsia="黑体" w:cs="Times New Roman"/>
      <w:b/>
      <w:sz w:val="24"/>
      <w:szCs w:val="20"/>
      <w:lang w:bidi="ar-SA"/>
    </w:rPr>
  </w:style>
  <w:style w:type="character" w:customStyle="1" w:styleId="120">
    <w:name w:val="Footer-Even Char"/>
    <w:autoRedefine/>
    <w:qFormat/>
    <w:uiPriority w:val="0"/>
    <w:rPr>
      <w:rFonts w:eastAsia="宋体"/>
      <w:kern w:val="2"/>
      <w:sz w:val="18"/>
      <w:lang w:val="en-US" w:eastAsia="zh-CN" w:bidi="ar-SA"/>
    </w:rPr>
  </w:style>
  <w:style w:type="character" w:customStyle="1" w:styleId="121">
    <w:name w:val="Char Char2"/>
    <w:autoRedefine/>
    <w:qFormat/>
    <w:uiPriority w:val="0"/>
    <w:rPr>
      <w:rFonts w:eastAsia="宋体"/>
      <w:b/>
      <w:bCs/>
      <w:kern w:val="2"/>
      <w:sz w:val="21"/>
      <w:szCs w:val="24"/>
      <w:lang w:val="en-US" w:eastAsia="zh-CN" w:bidi="ar-SA"/>
    </w:rPr>
  </w:style>
  <w:style w:type="character" w:customStyle="1" w:styleId="122">
    <w:name w:val="正文1 Char"/>
    <w:autoRedefine/>
    <w:qFormat/>
    <w:uiPriority w:val="0"/>
    <w:rPr>
      <w:rFonts w:ascii="宋体" w:eastAsia="宋体"/>
      <w:snapToGrid w:val="0"/>
      <w:color w:val="000000"/>
      <w:kern w:val="28"/>
      <w:sz w:val="28"/>
      <w:lang w:val="en-US" w:eastAsia="zh-CN" w:bidi="ar-SA"/>
    </w:rPr>
  </w:style>
  <w:style w:type="character" w:customStyle="1" w:styleId="123">
    <w:name w:val="样式 样式 标题 4h4H4Fab-4T5Ref Heading 1rh1Heading sqlsect 1.2.3.... +... Char"/>
    <w:link w:val="124"/>
    <w:autoRedefine/>
    <w:qFormat/>
    <w:uiPriority w:val="0"/>
    <w:rPr>
      <w:rFonts w:ascii="微软雅黑" w:hAnsi="微软雅黑" w:eastAsia="微软雅黑"/>
      <w:b/>
      <w:bCs/>
      <w:kern w:val="2"/>
      <w:sz w:val="24"/>
      <w:szCs w:val="28"/>
    </w:rPr>
  </w:style>
  <w:style w:type="paragraph" w:customStyle="1" w:styleId="124">
    <w:name w:val="样式 样式 标题 4h4H4Fab-4T5Ref Heading 1rh1Heading sqlsect 1.2.3.... +..."/>
    <w:basedOn w:val="125"/>
    <w:link w:val="123"/>
    <w:autoRedefine/>
    <w:qFormat/>
    <w:uiPriority w:val="0"/>
    <w:pPr>
      <w:tabs>
        <w:tab w:val="left" w:pos="2356"/>
      </w:tabs>
    </w:pPr>
  </w:style>
  <w:style w:type="paragraph" w:customStyle="1" w:styleId="125">
    <w:name w:val="样式 标题 4h4H4Fab-4T5Ref Heading 1rh1Heading sqlsect 1.2.3...."/>
    <w:basedOn w:val="5"/>
    <w:link w:val="1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26">
    <w:name w:val="样式 标题 4h4H4Fab-4T5Ref Heading 1rh1Heading sqlsect 1.2.3.... Char"/>
    <w:link w:val="125"/>
    <w:qFormat/>
    <w:uiPriority w:val="0"/>
    <w:rPr>
      <w:rFonts w:ascii="微软雅黑" w:hAnsi="微软雅黑" w:eastAsia="微软雅黑"/>
      <w:b/>
      <w:bCs/>
      <w:kern w:val="2"/>
      <w:sz w:val="24"/>
      <w:szCs w:val="28"/>
    </w:rPr>
  </w:style>
  <w:style w:type="character" w:customStyle="1" w:styleId="12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28">
    <w:name w:val="Char Char3"/>
    <w:autoRedefine/>
    <w:qFormat/>
    <w:uiPriority w:val="0"/>
    <w:rPr>
      <w:rFonts w:eastAsia="宋体"/>
      <w:kern w:val="2"/>
      <w:sz w:val="21"/>
      <w:szCs w:val="24"/>
      <w:lang w:val="en-US" w:eastAsia="zh-CN" w:bidi="ar-SA"/>
    </w:rPr>
  </w:style>
  <w:style w:type="character" w:customStyle="1" w:styleId="129">
    <w:name w:val="标准正文格式 Char"/>
    <w:qFormat/>
    <w:uiPriority w:val="0"/>
    <w:rPr>
      <w:rFonts w:ascii="宋体" w:eastAsia="仿宋_GB2312" w:cs="宋体"/>
      <w:color w:val="000000"/>
      <w:sz w:val="24"/>
      <w:lang w:val="en-US" w:eastAsia="zh-CN" w:bidi="ar-SA"/>
    </w:rPr>
  </w:style>
  <w:style w:type="character" w:customStyle="1" w:styleId="130">
    <w:name w:val="文本正文 Char Char"/>
    <w:autoRedefine/>
    <w:qFormat/>
    <w:locked/>
    <w:uiPriority w:val="0"/>
    <w:rPr>
      <w:sz w:val="24"/>
      <w:lang w:bidi="ar-SA"/>
    </w:rPr>
  </w:style>
  <w:style w:type="character" w:customStyle="1" w:styleId="131">
    <w:name w:val="脚注文本 Char1"/>
    <w:autoRedefine/>
    <w:qFormat/>
    <w:uiPriority w:val="0"/>
    <w:rPr>
      <w:rFonts w:ascii="Times New Roman" w:hAnsi="Times New Roman" w:eastAsia="宋体" w:cs="Times New Roman"/>
      <w:sz w:val="18"/>
      <w:szCs w:val="18"/>
    </w:rPr>
  </w:style>
  <w:style w:type="character" w:customStyle="1" w:styleId="132">
    <w:name w:val="my正文 Char"/>
    <w:link w:val="133"/>
    <w:autoRedefine/>
    <w:qFormat/>
    <w:locked/>
    <w:uiPriority w:val="0"/>
    <w:rPr>
      <w:rFonts w:ascii="Tahoma" w:hAnsi="Tahoma"/>
      <w:sz w:val="24"/>
      <w:szCs w:val="24"/>
    </w:rPr>
  </w:style>
  <w:style w:type="paragraph" w:customStyle="1" w:styleId="133">
    <w:name w:val="my正文"/>
    <w:basedOn w:val="1"/>
    <w:link w:val="132"/>
    <w:autoRedefine/>
    <w:qFormat/>
    <w:uiPriority w:val="0"/>
    <w:pPr>
      <w:adjustRightInd/>
      <w:spacing w:line="360" w:lineRule="auto"/>
      <w:ind w:firstLine="480" w:firstLineChars="200"/>
    </w:pPr>
    <w:rPr>
      <w:rFonts w:ascii="Tahoma" w:hAnsi="Tahoma"/>
      <w:kern w:val="0"/>
      <w:sz w:val="24"/>
    </w:rPr>
  </w:style>
  <w:style w:type="character" w:customStyle="1" w:styleId="134">
    <w:name w:val="批注框文本 Char1"/>
    <w:qFormat/>
    <w:uiPriority w:val="0"/>
    <w:rPr>
      <w:rFonts w:ascii="Times New Roman" w:hAnsi="Times New Roman" w:eastAsia="宋体" w:cs="Times New Roman"/>
      <w:sz w:val="18"/>
      <w:szCs w:val="18"/>
    </w:rPr>
  </w:style>
  <w:style w:type="character" w:customStyle="1" w:styleId="135">
    <w:name w:val="Footer-Even Char1"/>
    <w:autoRedefine/>
    <w:qFormat/>
    <w:uiPriority w:val="0"/>
    <w:rPr>
      <w:rFonts w:eastAsia="宋体"/>
      <w:kern w:val="2"/>
      <w:sz w:val="18"/>
      <w:szCs w:val="18"/>
      <w:lang w:val="en-US" w:eastAsia="zh-CN" w:bidi="ar-SA"/>
    </w:rPr>
  </w:style>
  <w:style w:type="character" w:customStyle="1" w:styleId="136">
    <w:name w:val="表格 Char Char"/>
    <w:autoRedefine/>
    <w:qFormat/>
    <w:uiPriority w:val="0"/>
    <w:rPr>
      <w:rFonts w:ascii="宋体" w:hAnsi="宋体" w:eastAsia="宋体"/>
      <w:lang w:bidi="ar-SA"/>
    </w:rPr>
  </w:style>
  <w:style w:type="character" w:customStyle="1" w:styleId="137">
    <w:name w:val="apple-converted-space"/>
    <w:autoRedefine/>
    <w:qFormat/>
    <w:uiPriority w:val="0"/>
  </w:style>
  <w:style w:type="character" w:customStyle="1" w:styleId="138">
    <w:name w:val="Char Char213"/>
    <w:autoRedefine/>
    <w:qFormat/>
    <w:uiPriority w:val="0"/>
    <w:rPr>
      <w:rFonts w:eastAsia="Century Gothic"/>
      <w:b/>
      <w:bCs/>
      <w:kern w:val="44"/>
      <w:sz w:val="32"/>
      <w:szCs w:val="44"/>
      <w:lang w:val="en-US" w:eastAsia="zh-CN" w:bidi="ar-SA"/>
    </w:rPr>
  </w:style>
  <w:style w:type="character" w:customStyle="1" w:styleId="139">
    <w:name w:val="批注主题 Char"/>
    <w:autoRedefine/>
    <w:qFormat/>
    <w:uiPriority w:val="0"/>
    <w:rPr>
      <w:rFonts w:eastAsia="宋体"/>
      <w:b/>
      <w:bCs/>
      <w:kern w:val="2"/>
      <w:sz w:val="21"/>
      <w:szCs w:val="24"/>
      <w:lang w:val="en-US" w:eastAsia="zh-CN" w:bidi="ar-SA"/>
    </w:rPr>
  </w:style>
  <w:style w:type="character" w:customStyle="1" w:styleId="140">
    <w:name w:val="正文首行缩进两字 Char"/>
    <w:autoRedefine/>
    <w:qFormat/>
    <w:uiPriority w:val="0"/>
    <w:rPr>
      <w:sz w:val="24"/>
      <w:szCs w:val="24"/>
      <w:lang w:val="en-US" w:eastAsia="zh-CN" w:bidi="ar-SA"/>
    </w:rPr>
  </w:style>
  <w:style w:type="character" w:customStyle="1" w:styleId="141">
    <w:name w:val="列出段落 Char1"/>
    <w:link w:val="142"/>
    <w:autoRedefine/>
    <w:qFormat/>
    <w:uiPriority w:val="0"/>
    <w:rPr>
      <w:rFonts w:ascii="Calibri" w:hAnsi="Calibri"/>
      <w:sz w:val="24"/>
      <w:lang w:eastAsia="en-US"/>
    </w:rPr>
  </w:style>
  <w:style w:type="paragraph" w:customStyle="1" w:styleId="142">
    <w:name w:val="列表1"/>
    <w:basedOn w:val="1"/>
    <w:next w:val="143"/>
    <w:link w:val="141"/>
    <w:autoRedefine/>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143">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144">
    <w:name w:val="Char Char12"/>
    <w:autoRedefine/>
    <w:qFormat/>
    <w:uiPriority w:val="0"/>
    <w:rPr>
      <w:rFonts w:ascii="仿宋_GB2312" w:eastAsia="仿宋_GB2312"/>
      <w:b/>
      <w:bCs/>
      <w:kern w:val="2"/>
      <w:sz w:val="24"/>
      <w:szCs w:val="24"/>
      <w:lang w:val="zh-CN" w:eastAsia="zh-CN" w:bidi="ar-SA"/>
    </w:rPr>
  </w:style>
  <w:style w:type="character" w:customStyle="1" w:styleId="145">
    <w:name w:val="Char Char121"/>
    <w:autoRedefine/>
    <w:qFormat/>
    <w:uiPriority w:val="6"/>
    <w:rPr>
      <w:rFonts w:ascii="仿宋_GB2312" w:eastAsia="仿宋_GB2312"/>
      <w:b/>
      <w:bCs/>
      <w:kern w:val="2"/>
      <w:sz w:val="24"/>
      <w:szCs w:val="24"/>
      <w:lang w:val="zh-CN" w:eastAsia="zh-CN" w:bidi="ar-SA"/>
    </w:rPr>
  </w:style>
  <w:style w:type="character" w:customStyle="1" w:styleId="146">
    <w:name w:val="公文正文 Char"/>
    <w:autoRedefine/>
    <w:qFormat/>
    <w:uiPriority w:val="0"/>
    <w:rPr>
      <w:rFonts w:ascii="仿宋_GB2312" w:eastAsia="仿宋_GB2312"/>
      <w:kern w:val="2"/>
      <w:sz w:val="24"/>
      <w:szCs w:val="24"/>
      <w:lang w:val="en-US" w:eastAsia="zh-CN" w:bidi="ar-SA"/>
    </w:rPr>
  </w:style>
  <w:style w:type="character" w:customStyle="1" w:styleId="147">
    <w:name w:val="edui-unclickable"/>
    <w:autoRedefine/>
    <w:qFormat/>
    <w:uiPriority w:val="0"/>
    <w:rPr>
      <w:color w:val="808080"/>
    </w:rPr>
  </w:style>
  <w:style w:type="character" w:customStyle="1" w:styleId="148">
    <w:name w:val="正文（绿盟科技） Char"/>
    <w:link w:val="149"/>
    <w:autoRedefine/>
    <w:qFormat/>
    <w:uiPriority w:val="0"/>
    <w:rPr>
      <w:rFonts w:ascii="Arial" w:hAnsi="Arial"/>
      <w:sz w:val="21"/>
      <w:szCs w:val="21"/>
      <w:lang w:val="en-US" w:eastAsia="zh-CN" w:bidi="ar-SA"/>
    </w:rPr>
  </w:style>
  <w:style w:type="paragraph" w:customStyle="1" w:styleId="149">
    <w:name w:val="正文（绿盟科技）"/>
    <w:link w:val="148"/>
    <w:autoRedefine/>
    <w:qFormat/>
    <w:uiPriority w:val="0"/>
    <w:pPr>
      <w:spacing w:line="300" w:lineRule="auto"/>
    </w:pPr>
    <w:rPr>
      <w:rFonts w:ascii="Arial" w:hAnsi="Arial" w:eastAsia="宋体" w:cs="Times New Roman"/>
      <w:sz w:val="21"/>
      <w:szCs w:val="21"/>
      <w:lang w:val="en-US" w:eastAsia="zh-CN" w:bidi="ar-SA"/>
    </w:rPr>
  </w:style>
  <w:style w:type="character" w:customStyle="1" w:styleId="150">
    <w:name w:val="DO_NOT_TRANSLATE"/>
    <w:autoRedefine/>
    <w:qFormat/>
    <w:uiPriority w:val="0"/>
    <w:rPr>
      <w:rFonts w:ascii="Courier New" w:hAnsi="Courier New" w:cs="Courier New"/>
      <w:color w:val="800000"/>
      <w:lang w:val="en-US" w:eastAsia="zh-CN"/>
    </w:rPr>
  </w:style>
  <w:style w:type="character" w:customStyle="1" w:styleId="151">
    <w:name w:val="Ò³Ã¼ Char Char"/>
    <w:autoRedefine/>
    <w:qFormat/>
    <w:uiPriority w:val="0"/>
    <w:rPr>
      <w:rFonts w:eastAsia="宋体"/>
      <w:kern w:val="2"/>
      <w:sz w:val="18"/>
      <w:lang w:val="en-US" w:eastAsia="zh-CN" w:bidi="ar-SA"/>
    </w:rPr>
  </w:style>
  <w:style w:type="character" w:customStyle="1" w:styleId="152">
    <w:name w:val="Char Char10"/>
    <w:autoRedefine/>
    <w:semiHidden/>
    <w:qFormat/>
    <w:uiPriority w:val="0"/>
    <w:rPr>
      <w:rFonts w:ascii="宋体" w:hAnsi="宋体"/>
      <w:kern w:val="2"/>
      <w:sz w:val="21"/>
      <w:szCs w:val="24"/>
      <w:lang w:val="en-US" w:eastAsia="zh-CN"/>
    </w:rPr>
  </w:style>
  <w:style w:type="character" w:customStyle="1" w:styleId="153">
    <w:name w:val="标题4-dyf Char"/>
    <w:link w:val="154"/>
    <w:autoRedefine/>
    <w:qFormat/>
    <w:uiPriority w:val="0"/>
    <w:rPr>
      <w:rFonts w:ascii="Cambria" w:hAnsi="Cambria"/>
      <w:b/>
      <w:bCs/>
      <w:color w:val="000000"/>
      <w:kern w:val="2"/>
      <w:sz w:val="21"/>
      <w:szCs w:val="21"/>
    </w:rPr>
  </w:style>
  <w:style w:type="paragraph" w:customStyle="1" w:styleId="154">
    <w:name w:val="标题4-dyf"/>
    <w:basedOn w:val="5"/>
    <w:link w:val="15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5">
    <w:name w:val="pt9"/>
    <w:autoRedefine/>
    <w:qFormat/>
    <w:uiPriority w:val="0"/>
    <w:rPr>
      <w:rFonts w:ascii="仿宋_GB2312" w:eastAsia="微软雅黑"/>
      <w:b/>
      <w:kern w:val="2"/>
      <w:sz w:val="32"/>
      <w:szCs w:val="32"/>
      <w:lang w:val="en-US" w:eastAsia="zh-CN" w:bidi="ar-SA"/>
    </w:rPr>
  </w:style>
  <w:style w:type="character" w:customStyle="1" w:styleId="156">
    <w:name w:val="ksfind_class_select1"/>
    <w:autoRedefine/>
    <w:qFormat/>
    <w:uiPriority w:val="0"/>
    <w:rPr>
      <w:color w:val="000000"/>
      <w:shd w:val="clear" w:color="auto" w:fill="EFD200"/>
    </w:rPr>
  </w:style>
  <w:style w:type="character" w:customStyle="1" w:styleId="157">
    <w:name w:val="tw4winInternal"/>
    <w:autoRedefine/>
    <w:qFormat/>
    <w:uiPriority w:val="0"/>
    <w:rPr>
      <w:rFonts w:ascii="Courier New" w:hAnsi="Courier New" w:cs="Courier New"/>
      <w:color w:val="FF0000"/>
      <w:lang w:val="en-US" w:eastAsia="zh-CN"/>
    </w:rPr>
  </w:style>
  <w:style w:type="character" w:customStyle="1" w:styleId="158">
    <w:name w:val="apple-style-span"/>
    <w:autoRedefine/>
    <w:qFormat/>
    <w:uiPriority w:val="0"/>
    <w:rPr>
      <w:rFonts w:ascii="Arial" w:hAnsi="Arial" w:eastAsia="黑体" w:cs="Arial"/>
      <w:snapToGrid w:val="0"/>
      <w:kern w:val="0"/>
      <w:szCs w:val="21"/>
    </w:rPr>
  </w:style>
  <w:style w:type="character" w:customStyle="1" w:styleId="159">
    <w:name w:val="正文文本 Char"/>
    <w:autoRedefine/>
    <w:qFormat/>
    <w:uiPriority w:val="0"/>
    <w:rPr>
      <w:rFonts w:eastAsia="宋体"/>
      <w:kern w:val="2"/>
      <w:sz w:val="24"/>
      <w:szCs w:val="24"/>
      <w:lang w:val="en-US" w:eastAsia="zh-CN" w:bidi="ar-SA"/>
    </w:rPr>
  </w:style>
  <w:style w:type="character" w:customStyle="1" w:styleId="160">
    <w:name w:val="Char Char212"/>
    <w:autoRedefine/>
    <w:qFormat/>
    <w:uiPriority w:val="0"/>
    <w:rPr>
      <w:rFonts w:eastAsia="宋体"/>
      <w:b/>
      <w:bCs/>
      <w:kern w:val="2"/>
      <w:sz w:val="21"/>
      <w:szCs w:val="24"/>
      <w:lang w:val="en-US" w:eastAsia="zh-CN" w:bidi="ar-SA"/>
    </w:rPr>
  </w:style>
  <w:style w:type="character" w:customStyle="1" w:styleId="161">
    <w:name w:val="Char Char72"/>
    <w:autoRedefine/>
    <w:qFormat/>
    <w:uiPriority w:val="0"/>
    <w:rPr>
      <w:rFonts w:eastAsia="宋体"/>
      <w:kern w:val="2"/>
      <w:sz w:val="21"/>
      <w:szCs w:val="24"/>
      <w:lang w:val="en-US" w:eastAsia="zh-CN" w:bidi="ar-SA"/>
    </w:rPr>
  </w:style>
  <w:style w:type="character" w:customStyle="1" w:styleId="162">
    <w:name w:val="仿宋正文 Char"/>
    <w:link w:val="163"/>
    <w:autoRedefine/>
    <w:qFormat/>
    <w:uiPriority w:val="0"/>
    <w:rPr>
      <w:rFonts w:ascii="仿宋_GB2312" w:eastAsia="仿宋_GB2312"/>
      <w:kern w:val="2"/>
      <w:sz w:val="24"/>
      <w:lang w:val="en-US" w:eastAsia="zh-CN" w:bidi="ar-SA"/>
    </w:rPr>
  </w:style>
  <w:style w:type="paragraph" w:customStyle="1" w:styleId="163">
    <w:name w:val="仿宋正文"/>
    <w:basedOn w:val="1"/>
    <w:link w:val="162"/>
    <w:autoRedefine/>
    <w:qFormat/>
    <w:uiPriority w:val="0"/>
    <w:pPr>
      <w:adjustRightInd/>
      <w:spacing w:line="360" w:lineRule="auto"/>
      <w:ind w:firstLine="480" w:firstLineChars="200"/>
    </w:pPr>
    <w:rPr>
      <w:rFonts w:ascii="仿宋_GB2312" w:eastAsia="仿宋_GB2312"/>
      <w:sz w:val="24"/>
      <w:szCs w:val="20"/>
    </w:rPr>
  </w:style>
  <w:style w:type="character" w:customStyle="1" w:styleId="164">
    <w:name w:val="Char Char102"/>
    <w:autoRedefine/>
    <w:semiHidden/>
    <w:qFormat/>
    <w:uiPriority w:val="0"/>
    <w:rPr>
      <w:rFonts w:ascii="宋体" w:hAnsi="宋体"/>
      <w:kern w:val="2"/>
      <w:sz w:val="21"/>
      <w:szCs w:val="24"/>
      <w:lang w:val="en-US" w:eastAsia="zh-CN"/>
    </w:rPr>
  </w:style>
  <w:style w:type="character" w:customStyle="1" w:styleId="165">
    <w:name w:val="dectext1"/>
    <w:autoRedefine/>
    <w:qFormat/>
    <w:uiPriority w:val="0"/>
    <w:rPr>
      <w:rFonts w:ascii="宋体" w:hAnsi="宋体" w:eastAsia="宋体"/>
      <w:color w:val="333333"/>
      <w:sz w:val="21"/>
      <w:szCs w:val="21"/>
      <w:u w:val="none"/>
    </w:rPr>
  </w:style>
  <w:style w:type="character" w:customStyle="1" w:styleId="166">
    <w:name w:val="gf正文1 Char"/>
    <w:autoRedefine/>
    <w:qFormat/>
    <w:uiPriority w:val="0"/>
    <w:rPr>
      <w:rFonts w:ascii="宋体" w:hAnsi="宋体" w:eastAsia="宋体" w:cs="宋体"/>
      <w:kern w:val="2"/>
      <w:sz w:val="24"/>
      <w:szCs w:val="24"/>
      <w:lang w:val="en-US" w:eastAsia="zh-CN" w:bidi="ar-SA"/>
    </w:rPr>
  </w:style>
  <w:style w:type="character" w:customStyle="1" w:styleId="167">
    <w:name w:val="纯文本 Char1"/>
    <w:link w:val="168"/>
    <w:autoRedefine/>
    <w:qFormat/>
    <w:uiPriority w:val="0"/>
    <w:rPr>
      <w:rFonts w:ascii="宋体" w:hAnsi="Courier New"/>
    </w:rPr>
  </w:style>
  <w:style w:type="paragraph" w:customStyle="1" w:styleId="168">
    <w:name w:val="纯文本1"/>
    <w:basedOn w:val="1"/>
    <w:link w:val="167"/>
    <w:autoRedefine/>
    <w:qFormat/>
    <w:uiPriority w:val="0"/>
    <w:pPr>
      <w:adjustRightInd/>
    </w:pPr>
    <w:rPr>
      <w:rFonts w:ascii="宋体" w:hAnsi="Courier New"/>
      <w:kern w:val="0"/>
      <w:sz w:val="20"/>
      <w:szCs w:val="20"/>
    </w:rPr>
  </w:style>
  <w:style w:type="character" w:customStyle="1" w:styleId="169">
    <w:name w:val="页眉 Char1"/>
    <w:autoRedefine/>
    <w:qFormat/>
    <w:uiPriority w:val="0"/>
    <w:rPr>
      <w:rFonts w:eastAsia="宋体"/>
      <w:kern w:val="2"/>
      <w:sz w:val="18"/>
      <w:szCs w:val="18"/>
      <w:lang w:val="en-US" w:eastAsia="zh-CN" w:bidi="ar-SA"/>
    </w:rPr>
  </w:style>
  <w:style w:type="character" w:customStyle="1" w:styleId="170">
    <w:name w:val="正文缩进 字符"/>
    <w:autoRedefine/>
    <w:qFormat/>
    <w:uiPriority w:val="0"/>
    <w:rPr>
      <w:rFonts w:ascii="宋体" w:eastAsia="宋体"/>
      <w:snapToGrid w:val="0"/>
      <w:color w:val="000000"/>
      <w:kern w:val="28"/>
      <w:sz w:val="28"/>
      <w:lang w:val="en-US" w:eastAsia="zh-CN" w:bidi="ar-SA"/>
    </w:rPr>
  </w:style>
  <w:style w:type="character" w:customStyle="1" w:styleId="171">
    <w:name w:val="Char Char13"/>
    <w:autoRedefine/>
    <w:qFormat/>
    <w:uiPriority w:val="6"/>
    <w:rPr>
      <w:rFonts w:ascii="宋体" w:hAnsi="宋体"/>
      <w:kern w:val="1"/>
      <w:sz w:val="21"/>
      <w:szCs w:val="24"/>
    </w:rPr>
  </w:style>
  <w:style w:type="character" w:customStyle="1" w:styleId="172">
    <w:name w:val="Normal Indent Char Char"/>
    <w:autoRedefine/>
    <w:qFormat/>
    <w:uiPriority w:val="0"/>
    <w:rPr>
      <w:rFonts w:eastAsia="宋体"/>
      <w:kern w:val="2"/>
      <w:sz w:val="21"/>
      <w:lang w:val="en-US" w:eastAsia="zh-CN" w:bidi="ar-SA"/>
    </w:rPr>
  </w:style>
  <w:style w:type="character" w:customStyle="1" w:styleId="173">
    <w:name w:val="myp11"/>
    <w:autoRedefine/>
    <w:qFormat/>
    <w:uiPriority w:val="0"/>
    <w:rPr>
      <w:rFonts w:ascii="仿宋_GB2312" w:eastAsia="微软雅黑"/>
      <w:b/>
      <w:kern w:val="2"/>
      <w:sz w:val="32"/>
      <w:szCs w:val="32"/>
      <w:lang w:val="en-US" w:eastAsia="zh-CN" w:bidi="ar-SA"/>
    </w:rPr>
  </w:style>
  <w:style w:type="character" w:customStyle="1" w:styleId="174">
    <w:name w:val="正文文本 字符1"/>
    <w:autoRedefine/>
    <w:qFormat/>
    <w:uiPriority w:val="0"/>
    <w:rPr>
      <w:rFonts w:ascii="Calibri" w:hAnsi="Calibri" w:eastAsia="黑体" w:cs="Arial"/>
      <w:snapToGrid w:val="0"/>
      <w:kern w:val="2"/>
      <w:sz w:val="28"/>
      <w:szCs w:val="21"/>
    </w:rPr>
  </w:style>
  <w:style w:type="character" w:customStyle="1" w:styleId="175">
    <w:name w:val="Char Char71"/>
    <w:autoRedefine/>
    <w:semiHidden/>
    <w:qFormat/>
    <w:uiPriority w:val="0"/>
    <w:rPr>
      <w:rFonts w:eastAsia="宋体"/>
      <w:kern w:val="2"/>
      <w:sz w:val="21"/>
      <w:szCs w:val="24"/>
      <w:lang w:val="en-US" w:eastAsia="zh-CN" w:bidi="ar-SA"/>
    </w:rPr>
  </w:style>
  <w:style w:type="character" w:customStyle="1" w:styleId="176">
    <w:name w:val="样式5 Char"/>
    <w:autoRedefine/>
    <w:qFormat/>
    <w:uiPriority w:val="0"/>
    <w:rPr>
      <w:rFonts w:ascii="仿宋_GB2312" w:hAnsi="仿宋" w:eastAsia="仿宋_GB2312"/>
      <w:kern w:val="2"/>
      <w:sz w:val="24"/>
      <w:szCs w:val="24"/>
    </w:rPr>
  </w:style>
  <w:style w:type="character" w:customStyle="1" w:styleId="177">
    <w:name w:val="正文段 Char"/>
    <w:link w:val="178"/>
    <w:autoRedefine/>
    <w:qFormat/>
    <w:uiPriority w:val="0"/>
    <w:rPr>
      <w:sz w:val="24"/>
    </w:rPr>
  </w:style>
  <w:style w:type="paragraph" w:customStyle="1" w:styleId="178">
    <w:name w:val="正文段"/>
    <w:basedOn w:val="1"/>
    <w:link w:val="177"/>
    <w:autoRedefine/>
    <w:qFormat/>
    <w:uiPriority w:val="0"/>
    <w:pPr>
      <w:widowControl/>
      <w:snapToGrid w:val="0"/>
      <w:spacing w:afterLines="50"/>
      <w:ind w:firstLine="200" w:firstLineChars="200"/>
    </w:pPr>
    <w:rPr>
      <w:kern w:val="0"/>
      <w:sz w:val="24"/>
      <w:szCs w:val="20"/>
    </w:rPr>
  </w:style>
  <w:style w:type="character" w:customStyle="1" w:styleId="179">
    <w:name w:val="Char Char101"/>
    <w:autoRedefine/>
    <w:qFormat/>
    <w:uiPriority w:val="6"/>
    <w:rPr>
      <w:rFonts w:ascii="宋体" w:hAnsi="宋体"/>
      <w:kern w:val="2"/>
      <w:sz w:val="21"/>
      <w:szCs w:val="24"/>
      <w:lang w:val="en-US" w:eastAsia="zh-CN"/>
    </w:rPr>
  </w:style>
  <w:style w:type="character" w:customStyle="1" w:styleId="180">
    <w:name w:val="mdeck"/>
    <w:autoRedefine/>
    <w:qFormat/>
    <w:uiPriority w:val="0"/>
    <w:rPr>
      <w:rFonts w:ascii="仿宋_GB2312" w:eastAsia="微软雅黑"/>
      <w:b/>
      <w:kern w:val="2"/>
      <w:sz w:val="32"/>
      <w:szCs w:val="32"/>
      <w:lang w:val="en-US" w:eastAsia="zh-CN" w:bidi="ar-SA"/>
    </w:rPr>
  </w:style>
  <w:style w:type="character" w:customStyle="1" w:styleId="181">
    <w:name w:val="首行缩进 Char"/>
    <w:autoRedefine/>
    <w:qFormat/>
    <w:uiPriority w:val="0"/>
    <w:rPr>
      <w:rFonts w:ascii="宋体" w:eastAsia="宋体"/>
      <w:kern w:val="2"/>
      <w:sz w:val="24"/>
      <w:lang w:val="en-US" w:eastAsia="zh-CN" w:bidi="ar-SA"/>
    </w:rPr>
  </w:style>
  <w:style w:type="character" w:customStyle="1" w:styleId="182">
    <w:name w:val="标书正文格式 Char"/>
    <w:autoRedefine/>
    <w:qFormat/>
    <w:uiPriority w:val="0"/>
    <w:rPr>
      <w:rFonts w:eastAsia="楷体_GB2312"/>
      <w:kern w:val="2"/>
      <w:sz w:val="24"/>
      <w:szCs w:val="24"/>
      <w:lang w:bidi="ar-SA"/>
    </w:rPr>
  </w:style>
  <w:style w:type="character" w:customStyle="1" w:styleId="183">
    <w:name w:val="图名 Char"/>
    <w:autoRedefine/>
    <w:qFormat/>
    <w:uiPriority w:val="0"/>
    <w:rPr>
      <w:rFonts w:ascii="Arial" w:hAnsi="Arial" w:eastAsia="黑体"/>
      <w:kern w:val="2"/>
      <w:sz w:val="24"/>
      <w:szCs w:val="24"/>
      <w:lang w:val="en-US" w:eastAsia="zh-CN" w:bidi="ar-SA"/>
    </w:rPr>
  </w:style>
  <w:style w:type="character" w:customStyle="1" w:styleId="184">
    <w:name w:val="样式3 Char"/>
    <w:autoRedefine/>
    <w:qFormat/>
    <w:uiPriority w:val="0"/>
    <w:rPr>
      <w:rFonts w:ascii="仿宋_GB2312" w:hAnsi="仿宋" w:eastAsia="仿宋_GB2312" w:cs="仿宋_GB2312"/>
      <w:sz w:val="32"/>
      <w:szCs w:val="30"/>
      <w:lang w:val="zh-CN"/>
    </w:rPr>
  </w:style>
  <w:style w:type="character" w:customStyle="1" w:styleId="185">
    <w:name w:val="样式2 Char"/>
    <w:autoRedefine/>
    <w:qFormat/>
    <w:uiPriority w:val="0"/>
    <w:rPr>
      <w:rFonts w:ascii="仿宋_GB2312" w:hAnsi="仿宋" w:eastAsia="仿宋_GB2312" w:cs="仿宋_GB2312"/>
      <w:b/>
      <w:bCs/>
      <w:sz w:val="32"/>
      <w:szCs w:val="30"/>
      <w:lang w:val="zh-CN"/>
    </w:rPr>
  </w:style>
  <w:style w:type="character" w:customStyle="1" w:styleId="186">
    <w:name w:val="font61"/>
    <w:autoRedefine/>
    <w:qFormat/>
    <w:uiPriority w:val="0"/>
    <w:rPr>
      <w:rFonts w:hint="eastAsia" w:ascii="仿宋" w:hAnsi="仿宋" w:eastAsia="仿宋" w:cs="仿宋"/>
      <w:color w:val="000000"/>
      <w:sz w:val="20"/>
      <w:szCs w:val="20"/>
      <w:u w:val="none"/>
    </w:rPr>
  </w:style>
  <w:style w:type="character" w:customStyle="1" w:styleId="187">
    <w:name w:val="Char Char31"/>
    <w:autoRedefine/>
    <w:qFormat/>
    <w:uiPriority w:val="6"/>
    <w:rPr>
      <w:rFonts w:ascii="Arial" w:hAnsi="Arial" w:eastAsia="黑体"/>
      <w:kern w:val="1"/>
      <w:sz w:val="24"/>
      <w:szCs w:val="24"/>
    </w:rPr>
  </w:style>
  <w:style w:type="character" w:customStyle="1" w:styleId="188">
    <w:name w:val="Char Char51"/>
    <w:autoRedefine/>
    <w:qFormat/>
    <w:uiPriority w:val="0"/>
    <w:rPr>
      <w:rFonts w:ascii="宋体" w:hAnsi="Courier New" w:eastAsia="宋体"/>
      <w:kern w:val="2"/>
      <w:sz w:val="21"/>
      <w:lang w:val="en-US" w:eastAsia="zh-CN"/>
    </w:rPr>
  </w:style>
  <w:style w:type="character" w:customStyle="1" w:styleId="189">
    <w:name w:val="Char Char30"/>
    <w:autoRedefine/>
    <w:qFormat/>
    <w:uiPriority w:val="6"/>
    <w:rPr>
      <w:rFonts w:ascii="Arial" w:hAnsi="Arial" w:eastAsia="黑体"/>
      <w:kern w:val="1"/>
      <w:sz w:val="21"/>
      <w:szCs w:val="21"/>
    </w:rPr>
  </w:style>
  <w:style w:type="character" w:customStyle="1" w:styleId="190">
    <w:name w:val="样式6 Char"/>
    <w:autoRedefine/>
    <w:qFormat/>
    <w:uiPriority w:val="0"/>
    <w:rPr>
      <w:rFonts w:ascii="仿宋_GB2312" w:hAnsi="宋体" w:eastAsia="仿宋_GB2312"/>
      <w:b/>
      <w:bCs/>
      <w:kern w:val="2"/>
      <w:sz w:val="24"/>
      <w:szCs w:val="24"/>
      <w:lang w:val="en-US" w:eastAsia="zh-CN" w:bidi="ar-SA"/>
    </w:rPr>
  </w:style>
  <w:style w:type="character" w:customStyle="1" w:styleId="191">
    <w:name w:val="PI Char1"/>
    <w:autoRedefine/>
    <w:qFormat/>
    <w:uiPriority w:val="0"/>
    <w:rPr>
      <w:rFonts w:ascii="宋体" w:hAnsi="宋体"/>
      <w:kern w:val="2"/>
      <w:sz w:val="24"/>
      <w:szCs w:val="24"/>
    </w:rPr>
  </w:style>
  <w:style w:type="character" w:customStyle="1" w:styleId="192">
    <w:name w:val="15"/>
    <w:autoRedefine/>
    <w:qFormat/>
    <w:uiPriority w:val="0"/>
    <w:rPr>
      <w:rFonts w:hint="default" w:ascii="Calibri" w:hAnsi="Calibri"/>
      <w:color w:val="0000FF"/>
      <w:u w:val="single"/>
    </w:rPr>
  </w:style>
  <w:style w:type="character" w:customStyle="1" w:styleId="193">
    <w:name w:val="ca-131"/>
    <w:autoRedefine/>
    <w:qFormat/>
    <w:uiPriority w:val="0"/>
    <w:rPr>
      <w:rFonts w:hint="eastAsia" w:ascii="仿宋_GB2312" w:eastAsia="仿宋_GB2312"/>
      <w:b/>
      <w:bCs/>
      <w:color w:val="000000"/>
      <w:spacing w:val="-20"/>
      <w:sz w:val="24"/>
      <w:szCs w:val="24"/>
    </w:rPr>
  </w:style>
  <w:style w:type="character" w:customStyle="1" w:styleId="194">
    <w:name w:val="无间隔 Char"/>
    <w:link w:val="195"/>
    <w:autoRedefine/>
    <w:qFormat/>
    <w:uiPriority w:val="99"/>
    <w:rPr>
      <w:kern w:val="2"/>
      <w:sz w:val="21"/>
      <w:szCs w:val="22"/>
    </w:rPr>
  </w:style>
  <w:style w:type="paragraph" w:customStyle="1" w:styleId="195">
    <w:name w:val="无间隔1"/>
    <w:basedOn w:val="1"/>
    <w:link w:val="194"/>
    <w:autoRedefine/>
    <w:qFormat/>
    <w:uiPriority w:val="99"/>
    <w:rPr>
      <w:szCs w:val="22"/>
    </w:rPr>
  </w:style>
  <w:style w:type="character" w:customStyle="1" w:styleId="196">
    <w:name w:val="正文缩进 字符1"/>
    <w:autoRedefine/>
    <w:qFormat/>
    <w:uiPriority w:val="0"/>
    <w:rPr>
      <w:rFonts w:ascii="宋体" w:eastAsia="宋体"/>
      <w:snapToGrid w:val="0"/>
      <w:color w:val="000000"/>
      <w:kern w:val="28"/>
      <w:sz w:val="28"/>
      <w:lang w:val="en-US" w:eastAsia="zh-CN" w:bidi="ar-SA"/>
    </w:rPr>
  </w:style>
  <w:style w:type="character" w:customStyle="1" w:styleId="197">
    <w:name w:val="large1"/>
    <w:autoRedefine/>
    <w:qFormat/>
    <w:uiPriority w:val="0"/>
    <w:rPr>
      <w:rFonts w:hint="eastAsia" w:ascii="宋体" w:hAnsi="宋体" w:eastAsia="宋体"/>
      <w:sz w:val="21"/>
      <w:szCs w:val="21"/>
    </w:rPr>
  </w:style>
  <w:style w:type="character" w:customStyle="1" w:styleId="1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199">
    <w:name w:val="bulletintext1"/>
    <w:autoRedefine/>
    <w:qFormat/>
    <w:uiPriority w:val="0"/>
    <w:rPr>
      <w:color w:val="000000"/>
      <w:sz w:val="18"/>
    </w:rPr>
  </w:style>
  <w:style w:type="character" w:customStyle="1" w:styleId="200">
    <w:name w:val="solutionfonts"/>
    <w:autoRedefine/>
    <w:qFormat/>
    <w:uiPriority w:val="0"/>
  </w:style>
  <w:style w:type="character" w:customStyle="1" w:styleId="201">
    <w:name w:val="标题 Char"/>
    <w:autoRedefine/>
    <w:qFormat/>
    <w:uiPriority w:val="0"/>
    <w:rPr>
      <w:rFonts w:eastAsia="宋体"/>
      <w:b/>
      <w:sz w:val="24"/>
      <w:lang w:val="en-US" w:eastAsia="zh-CN" w:bidi="ar-SA"/>
    </w:rPr>
  </w:style>
  <w:style w:type="character" w:customStyle="1" w:styleId="202">
    <w:name w:val="正文说明 Char"/>
    <w:link w:val="203"/>
    <w:autoRedefine/>
    <w:qFormat/>
    <w:uiPriority w:val="0"/>
    <w:rPr>
      <w:sz w:val="24"/>
      <w:szCs w:val="24"/>
    </w:rPr>
  </w:style>
  <w:style w:type="paragraph" w:customStyle="1" w:styleId="203">
    <w:name w:val="正文说明"/>
    <w:basedOn w:val="1"/>
    <w:link w:val="202"/>
    <w:autoRedefine/>
    <w:qFormat/>
    <w:uiPriority w:val="0"/>
    <w:pPr>
      <w:adjustRightInd/>
      <w:spacing w:line="360" w:lineRule="auto"/>
    </w:pPr>
    <w:rPr>
      <w:kern w:val="0"/>
      <w:sz w:val="24"/>
    </w:rPr>
  </w:style>
  <w:style w:type="character" w:customStyle="1" w:styleId="204">
    <w:name w:val="edui-clickable2"/>
    <w:autoRedefine/>
    <w:qFormat/>
    <w:uiPriority w:val="0"/>
    <w:rPr>
      <w:color w:val="0000FF"/>
      <w:u w:val="single"/>
    </w:rPr>
  </w:style>
  <w:style w:type="character" w:customStyle="1" w:styleId="205">
    <w:name w:val="段落 Char Char"/>
    <w:link w:val="206"/>
    <w:autoRedefine/>
    <w:qFormat/>
    <w:uiPriority w:val="0"/>
    <w:rPr>
      <w:rFonts w:ascii="宋体" w:hAnsi="宋体"/>
      <w:sz w:val="24"/>
    </w:rPr>
  </w:style>
  <w:style w:type="paragraph" w:customStyle="1" w:styleId="206">
    <w:name w:val="段落"/>
    <w:basedOn w:val="1"/>
    <w:link w:val="205"/>
    <w:autoRedefine/>
    <w:qFormat/>
    <w:uiPriority w:val="0"/>
    <w:pPr>
      <w:adjustRightInd/>
      <w:spacing w:line="360" w:lineRule="auto"/>
      <w:ind w:firstLine="480" w:firstLineChars="200"/>
    </w:pPr>
    <w:rPr>
      <w:rFonts w:ascii="宋体" w:hAnsi="宋体"/>
      <w:kern w:val="0"/>
      <w:sz w:val="24"/>
      <w:szCs w:val="20"/>
    </w:rPr>
  </w:style>
  <w:style w:type="character" w:customStyle="1" w:styleId="207">
    <w:name w:val="dandyren_title1"/>
    <w:autoRedefine/>
    <w:qFormat/>
    <w:uiPriority w:val="0"/>
    <w:rPr>
      <w:b/>
      <w:bCs/>
      <w:color w:val="FF6633"/>
      <w:sz w:val="18"/>
      <w:szCs w:val="18"/>
    </w:rPr>
  </w:style>
  <w:style w:type="character" w:customStyle="1" w:styleId="20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209">
    <w:name w:val="标书1 Char"/>
    <w:autoRedefine/>
    <w:qFormat/>
    <w:uiPriority w:val="0"/>
    <w:rPr>
      <w:rFonts w:eastAsia="宋体"/>
      <w:b/>
      <w:bCs/>
      <w:kern w:val="44"/>
      <w:sz w:val="44"/>
      <w:szCs w:val="44"/>
      <w:lang w:val="en-US" w:eastAsia="zh-CN" w:bidi="ar-SA"/>
    </w:rPr>
  </w:style>
  <w:style w:type="character" w:customStyle="1" w:styleId="210">
    <w:name w:val="表正文 Char1"/>
    <w:autoRedefine/>
    <w:qFormat/>
    <w:uiPriority w:val="0"/>
    <w:rPr>
      <w:rFonts w:ascii="宋体" w:eastAsia="宋体"/>
      <w:snapToGrid w:val="0"/>
      <w:color w:val="000000"/>
      <w:kern w:val="28"/>
      <w:sz w:val="28"/>
    </w:rPr>
  </w:style>
  <w:style w:type="character" w:customStyle="1" w:styleId="211">
    <w:name w:val="txt"/>
    <w:autoRedefine/>
    <w:qFormat/>
    <w:uiPriority w:val="0"/>
    <w:rPr>
      <w:rFonts w:ascii="仿宋_GB2312" w:eastAsia="微软雅黑"/>
      <w:b/>
      <w:kern w:val="2"/>
      <w:sz w:val="32"/>
      <w:szCs w:val="32"/>
      <w:lang w:val="en-US" w:eastAsia="zh-CN" w:bidi="ar-SA"/>
    </w:rPr>
  </w:style>
  <w:style w:type="character" w:customStyle="1" w:styleId="2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213">
    <w:name w:val="h4 Char"/>
    <w:autoRedefine/>
    <w:qFormat/>
    <w:uiPriority w:val="0"/>
    <w:rPr>
      <w:rFonts w:ascii="Arial" w:hAnsi="Arial" w:eastAsia="黑体"/>
      <w:b/>
      <w:bCs/>
      <w:kern w:val="2"/>
      <w:sz w:val="28"/>
      <w:szCs w:val="28"/>
      <w:lang w:val="zh-CN" w:eastAsia="zh-CN" w:bidi="ar-SA"/>
    </w:rPr>
  </w:style>
  <w:style w:type="character" w:customStyle="1" w:styleId="214">
    <w:name w:val="h3 Char1"/>
    <w:autoRedefine/>
    <w:qFormat/>
    <w:uiPriority w:val="0"/>
    <w:rPr>
      <w:rFonts w:eastAsia="宋体"/>
      <w:b/>
      <w:bCs/>
      <w:kern w:val="2"/>
      <w:sz w:val="32"/>
      <w:szCs w:val="32"/>
      <w:lang w:bidi="ar-SA"/>
    </w:rPr>
  </w:style>
  <w:style w:type="character" w:customStyle="1" w:styleId="215">
    <w:name w:val="普通文字 Char Char1"/>
    <w:autoRedefine/>
    <w:qFormat/>
    <w:uiPriority w:val="0"/>
    <w:rPr>
      <w:rFonts w:ascii="宋体" w:hAnsi="Courier New"/>
      <w:kern w:val="2"/>
      <w:sz w:val="21"/>
    </w:rPr>
  </w:style>
  <w:style w:type="character" w:customStyle="1" w:styleId="216">
    <w:name w:val="正文缩进 Char"/>
    <w:autoRedefine/>
    <w:qFormat/>
    <w:uiPriority w:val="0"/>
    <w:rPr>
      <w:rFonts w:eastAsia="宋体"/>
      <w:kern w:val="2"/>
      <w:sz w:val="21"/>
      <w:lang w:val="en-US" w:eastAsia="zh-CN"/>
    </w:rPr>
  </w:style>
  <w:style w:type="character" w:customStyle="1" w:styleId="217">
    <w:name w:val="样式4 Char"/>
    <w:autoRedefine/>
    <w:qFormat/>
    <w:uiPriority w:val="0"/>
    <w:rPr>
      <w:rFonts w:ascii="仿宋_GB2312" w:hAnsi="仿宋" w:eastAsia="仿宋_GB2312"/>
      <w:b/>
      <w:kern w:val="2"/>
      <w:sz w:val="32"/>
      <w:szCs w:val="32"/>
      <w:lang w:bidi="ar-SA"/>
    </w:rPr>
  </w:style>
  <w:style w:type="character" w:customStyle="1" w:styleId="218">
    <w:name w:val="哈哈正文 Char"/>
    <w:link w:val="219"/>
    <w:autoRedefine/>
    <w:qFormat/>
    <w:uiPriority w:val="0"/>
    <w:rPr>
      <w:rFonts w:ascii="宋体" w:hAnsi="宋体" w:eastAsia="宋体"/>
      <w:kern w:val="2"/>
      <w:sz w:val="24"/>
      <w:lang w:bidi="ar-SA"/>
    </w:rPr>
  </w:style>
  <w:style w:type="paragraph" w:customStyle="1" w:styleId="219">
    <w:name w:val="哈哈正文"/>
    <w:basedOn w:val="1"/>
    <w:link w:val="218"/>
    <w:autoRedefine/>
    <w:qFormat/>
    <w:uiPriority w:val="0"/>
    <w:pPr>
      <w:adjustRightInd/>
      <w:spacing w:line="360" w:lineRule="auto"/>
      <w:ind w:firstLine="200" w:firstLineChars="200"/>
    </w:pPr>
    <w:rPr>
      <w:rFonts w:ascii="宋体" w:hAnsi="宋体"/>
      <w:sz w:val="24"/>
      <w:szCs w:val="20"/>
    </w:rPr>
  </w:style>
  <w:style w:type="character" w:customStyle="1" w:styleId="220">
    <w:name w:val="标题 Char1"/>
    <w:autoRedefine/>
    <w:qFormat/>
    <w:uiPriority w:val="0"/>
    <w:rPr>
      <w:rFonts w:ascii="Cambria" w:hAnsi="Cambria" w:eastAsia="宋体" w:cs="Times New Roman"/>
      <w:b/>
      <w:bCs/>
      <w:sz w:val="32"/>
      <w:szCs w:val="32"/>
      <w:lang w:bidi="ar-SA"/>
    </w:rPr>
  </w:style>
  <w:style w:type="character" w:customStyle="1" w:styleId="221">
    <w:name w:val="Footer Char"/>
    <w:autoRedefine/>
    <w:qFormat/>
    <w:locked/>
    <w:uiPriority w:val="0"/>
    <w:rPr>
      <w:rFonts w:eastAsia="宋体"/>
      <w:kern w:val="2"/>
      <w:sz w:val="18"/>
      <w:lang w:val="en-US" w:eastAsia="zh-CN" w:bidi="ar-SA"/>
    </w:rPr>
  </w:style>
  <w:style w:type="character" w:customStyle="1" w:styleId="222">
    <w:name w:val="Char Char32"/>
    <w:autoRedefine/>
    <w:qFormat/>
    <w:uiPriority w:val="6"/>
    <w:rPr>
      <w:b/>
      <w:kern w:val="1"/>
      <w:sz w:val="24"/>
      <w:szCs w:val="24"/>
    </w:rPr>
  </w:style>
  <w:style w:type="character" w:customStyle="1" w:styleId="223">
    <w:name w:val="Char Char211"/>
    <w:autoRedefine/>
    <w:qFormat/>
    <w:uiPriority w:val="0"/>
    <w:rPr>
      <w:rFonts w:eastAsia="宋体"/>
      <w:b/>
      <w:bCs/>
      <w:kern w:val="2"/>
      <w:sz w:val="21"/>
      <w:szCs w:val="24"/>
      <w:lang w:val="en-US" w:eastAsia="zh-CN" w:bidi="ar-SA"/>
    </w:rPr>
  </w:style>
  <w:style w:type="character" w:customStyle="1" w:styleId="22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225">
    <w:name w:val="副标题 Char1"/>
    <w:autoRedefine/>
    <w:qFormat/>
    <w:uiPriority w:val="0"/>
    <w:rPr>
      <w:rFonts w:ascii="Cambria" w:hAnsi="Cambria" w:eastAsia="宋体" w:cs="Times New Roman"/>
      <w:b/>
      <w:bCs/>
      <w:snapToGrid w:val="0"/>
      <w:kern w:val="28"/>
      <w:sz w:val="32"/>
      <w:szCs w:val="32"/>
    </w:rPr>
  </w:style>
  <w:style w:type="character" w:customStyle="1" w:styleId="226">
    <w:name w:val="16"/>
    <w:autoRedefine/>
    <w:qFormat/>
    <w:uiPriority w:val="0"/>
    <w:rPr>
      <w:rFonts w:hint="eastAsia" w:ascii="宋体" w:hAnsi="宋体" w:eastAsia="宋体"/>
      <w:color w:val="000000"/>
      <w:sz w:val="20"/>
      <w:szCs w:val="20"/>
    </w:rPr>
  </w:style>
  <w:style w:type="character" w:customStyle="1" w:styleId="227">
    <w:name w:val="样式7 Char"/>
    <w:autoRedefine/>
    <w:qFormat/>
    <w:uiPriority w:val="0"/>
    <w:rPr>
      <w:rFonts w:ascii="仿宋_GB2312" w:hAnsi="仿宋" w:eastAsia="仿宋_GB2312"/>
      <w:b/>
      <w:kern w:val="2"/>
      <w:sz w:val="24"/>
      <w:szCs w:val="24"/>
    </w:rPr>
  </w:style>
  <w:style w:type="character" w:customStyle="1" w:styleId="228">
    <w:name w:val="插图说明 Char"/>
    <w:autoRedefine/>
    <w:qFormat/>
    <w:uiPriority w:val="0"/>
    <w:rPr>
      <w:rFonts w:eastAsia="黑体"/>
      <w:sz w:val="24"/>
      <w:lang w:val="en-US" w:eastAsia="zh-CN"/>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Char Char6"/>
    <w:autoRedefine/>
    <w:qFormat/>
    <w:uiPriority w:val="0"/>
    <w:rPr>
      <w:rFonts w:eastAsia="宋体"/>
      <w:kern w:val="2"/>
      <w:sz w:val="21"/>
      <w:szCs w:val="24"/>
      <w:lang w:val="en-US" w:eastAsia="zh-CN" w:bidi="ar-SA"/>
    </w:rPr>
  </w:style>
  <w:style w:type="character" w:customStyle="1" w:styleId="232">
    <w:name w:val="副标题 Char2"/>
    <w:autoRedefine/>
    <w:qFormat/>
    <w:uiPriority w:val="0"/>
    <w:rPr>
      <w:rFonts w:ascii="Cambria" w:hAnsi="Cambria" w:eastAsia="宋体" w:cs="Times New Roman"/>
      <w:b/>
      <w:bCs/>
      <w:snapToGrid w:val="0"/>
      <w:kern w:val="28"/>
      <w:sz w:val="32"/>
      <w:szCs w:val="32"/>
    </w:rPr>
  </w:style>
  <w:style w:type="character" w:customStyle="1" w:styleId="233">
    <w:name w:val="tw4winTerm"/>
    <w:autoRedefine/>
    <w:qFormat/>
    <w:uiPriority w:val="0"/>
    <w:rPr>
      <w:color w:val="0000FF"/>
    </w:rPr>
  </w:style>
  <w:style w:type="character" w:customStyle="1" w:styleId="234">
    <w:name w:val="Char Char81"/>
    <w:autoRedefine/>
    <w:qFormat/>
    <w:uiPriority w:val="6"/>
    <w:rPr>
      <w:rFonts w:eastAsia="宋体"/>
      <w:b/>
      <w:sz w:val="24"/>
      <w:lang w:val="en-US" w:eastAsia="zh-CN"/>
    </w:rPr>
  </w:style>
  <w:style w:type="character" w:customStyle="1" w:styleId="235">
    <w:name w:val="链接"/>
    <w:autoRedefine/>
    <w:qFormat/>
    <w:uiPriority w:val="0"/>
    <w:rPr>
      <w:color w:val="0000FF"/>
      <w:sz w:val="21"/>
      <w:szCs w:val="21"/>
      <w:u w:val="single"/>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8">
    <w:name w:val="Char Char8"/>
    <w:autoRedefine/>
    <w:qFormat/>
    <w:uiPriority w:val="0"/>
    <w:rPr>
      <w:rFonts w:eastAsia="宋体"/>
      <w:b/>
      <w:sz w:val="24"/>
      <w:lang w:val="en-US" w:eastAsia="zh-CN"/>
    </w:rPr>
  </w:style>
  <w:style w:type="character" w:customStyle="1" w:styleId="239">
    <w:name w:val="样式8 Char"/>
    <w:qFormat/>
    <w:uiPriority w:val="0"/>
    <w:rPr>
      <w:rFonts w:ascii="仿宋_GB2312" w:hAnsi="宋体" w:eastAsia="仿宋_GB2312"/>
      <w:b/>
      <w:bCs/>
      <w:kern w:val="2"/>
      <w:sz w:val="24"/>
      <w:szCs w:val="24"/>
    </w:rPr>
  </w:style>
  <w:style w:type="character" w:customStyle="1" w:styleId="240">
    <w:name w:val="Char Char41"/>
    <w:autoRedefine/>
    <w:qFormat/>
    <w:uiPriority w:val="0"/>
    <w:rPr>
      <w:rFonts w:eastAsia="宋体"/>
      <w:b/>
      <w:sz w:val="24"/>
      <w:lang w:val="en-US" w:eastAsia="zh-CN" w:bidi="ar-SA"/>
    </w:rPr>
  </w:style>
  <w:style w:type="character" w:customStyle="1" w:styleId="241">
    <w:name w:val="FA正文 Char Char"/>
    <w:autoRedefine/>
    <w:qFormat/>
    <w:uiPriority w:val="0"/>
    <w:rPr>
      <w:rFonts w:hAnsi="宋体"/>
      <w:kern w:val="2"/>
      <w:sz w:val="24"/>
      <w:lang w:bidi="ar-SA"/>
    </w:rPr>
  </w:style>
  <w:style w:type="character" w:customStyle="1" w:styleId="242">
    <w:name w:val="页脚 字符"/>
    <w:autoRedefine/>
    <w:qFormat/>
    <w:uiPriority w:val="99"/>
    <w:rPr>
      <w:kern w:val="2"/>
      <w:sz w:val="18"/>
      <w:szCs w:val="18"/>
    </w:rPr>
  </w:style>
  <w:style w:type="character" w:customStyle="1" w:styleId="243">
    <w:name w:val="普通文字 Char3"/>
    <w:autoRedefine/>
    <w:qFormat/>
    <w:uiPriority w:val="0"/>
    <w:rPr>
      <w:rFonts w:ascii="宋体" w:hAnsi="Courier New" w:eastAsia="宋体"/>
      <w:kern w:val="2"/>
      <w:sz w:val="21"/>
      <w:lang w:val="en-US" w:eastAsia="zh-CN" w:bidi="ar-SA"/>
    </w:rPr>
  </w:style>
  <w:style w:type="character" w:customStyle="1" w:styleId="244">
    <w:name w:val="f141"/>
    <w:autoRedefine/>
    <w:qFormat/>
    <w:uiPriority w:val="0"/>
    <w:rPr>
      <w:rFonts w:ascii="Tahoma" w:hAnsi="Tahoma" w:eastAsia="宋体"/>
      <w:b/>
      <w:kern w:val="2"/>
      <w:sz w:val="21"/>
      <w:szCs w:val="21"/>
      <w:lang w:val="en-US" w:eastAsia="zh-CN" w:bidi="ar-SA"/>
    </w:rPr>
  </w:style>
  <w:style w:type="character" w:customStyle="1" w:styleId="245">
    <w:name w:val="h3 Char"/>
    <w:autoRedefine/>
    <w:qFormat/>
    <w:uiPriority w:val="0"/>
    <w:rPr>
      <w:rFonts w:eastAsia="宋体"/>
      <w:b/>
      <w:kern w:val="2"/>
      <w:sz w:val="32"/>
      <w:lang w:val="en-US" w:eastAsia="zh-CN" w:bidi="ar-SA"/>
    </w:rPr>
  </w:style>
  <w:style w:type="character" w:customStyle="1" w:styleId="246">
    <w:name w:val="style1"/>
    <w:autoRedefine/>
    <w:qFormat/>
    <w:uiPriority w:val="0"/>
    <w:rPr>
      <w:rFonts w:ascii="Arial" w:hAnsi="Arial" w:eastAsia="黑体" w:cs="Arial"/>
      <w:snapToGrid w:val="0"/>
      <w:kern w:val="0"/>
      <w:szCs w:val="21"/>
    </w:rPr>
  </w:style>
  <w:style w:type="character" w:customStyle="1" w:styleId="24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48">
    <w:name w:val="日期 Char1"/>
    <w:semiHidden/>
    <w:qFormat/>
    <w:uiPriority w:val="99"/>
    <w:rPr>
      <w:rFonts w:ascii="Times New Roman" w:hAnsi="Times New Roman" w:eastAsia="宋体" w:cs="Times New Roman"/>
      <w:szCs w:val="24"/>
    </w:rPr>
  </w:style>
  <w:style w:type="character" w:customStyle="1" w:styleId="249">
    <w:name w:val="3级 Char"/>
    <w:link w:val="250"/>
    <w:qFormat/>
    <w:uiPriority w:val="0"/>
    <w:rPr>
      <w:rFonts w:ascii="宋体" w:hAnsi="宋体"/>
      <w:b/>
      <w:bCs/>
      <w:snapToGrid/>
      <w:sz w:val="28"/>
    </w:rPr>
  </w:style>
  <w:style w:type="paragraph" w:customStyle="1" w:styleId="250">
    <w:name w:val="3级"/>
    <w:basedOn w:val="251"/>
    <w:link w:val="249"/>
    <w:autoRedefine/>
    <w:qFormat/>
    <w:uiPriority w:val="0"/>
    <w:pPr>
      <w:ind w:left="0" w:right="466" w:firstLine="288"/>
    </w:pPr>
    <w:rPr>
      <w:rFonts w:hAnsi="宋体"/>
      <w:snapToGrid/>
    </w:rPr>
  </w:style>
  <w:style w:type="paragraph" w:customStyle="1" w:styleId="25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52">
    <w:name w:val="标书1 Char1"/>
    <w:autoRedefine/>
    <w:qFormat/>
    <w:uiPriority w:val="0"/>
    <w:rPr>
      <w:rFonts w:eastAsia="宋体"/>
      <w:b/>
      <w:bCs/>
      <w:kern w:val="44"/>
      <w:sz w:val="44"/>
      <w:szCs w:val="44"/>
      <w:lang w:val="en-US" w:eastAsia="zh-CN" w:bidi="ar-SA"/>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正文文本缩进 Char"/>
    <w:autoRedefine/>
    <w:qFormat/>
    <w:uiPriority w:val="0"/>
    <w:rPr>
      <w:rFonts w:ascii="宋体" w:hAnsi="宋体"/>
      <w:kern w:val="2"/>
      <w:sz w:val="24"/>
      <w:szCs w:val="24"/>
    </w:rPr>
  </w:style>
  <w:style w:type="character" w:customStyle="1" w:styleId="255">
    <w:name w:val="Char Char26"/>
    <w:autoRedefine/>
    <w:qFormat/>
    <w:uiPriority w:val="6"/>
    <w:rPr>
      <w:kern w:val="1"/>
      <w:sz w:val="21"/>
      <w:szCs w:val="24"/>
    </w:rPr>
  </w:style>
  <w:style w:type="character" w:customStyle="1" w:styleId="256">
    <w:name w:val="tw4winError"/>
    <w:autoRedefine/>
    <w:qFormat/>
    <w:uiPriority w:val="0"/>
    <w:rPr>
      <w:rFonts w:ascii="Courier New" w:hAnsi="Courier New" w:cs="Courier New"/>
      <w:color w:val="00FF00"/>
      <w:sz w:val="40"/>
      <w:szCs w:val="40"/>
    </w:rPr>
  </w:style>
  <w:style w:type="character" w:customStyle="1" w:styleId="257">
    <w:name w:val="md"/>
    <w:autoRedefine/>
    <w:qFormat/>
    <w:uiPriority w:val="0"/>
    <w:rPr>
      <w:rFonts w:ascii="Arial" w:hAnsi="Arial" w:eastAsia="黑体" w:cs="Arial"/>
      <w:snapToGrid w:val="0"/>
      <w:kern w:val="0"/>
      <w:szCs w:val="21"/>
    </w:rPr>
  </w:style>
  <w:style w:type="character" w:customStyle="1" w:styleId="258">
    <w:name w:val="表正文 Char3"/>
    <w:autoRedefine/>
    <w:qFormat/>
    <w:uiPriority w:val="0"/>
    <w:rPr>
      <w:rFonts w:eastAsia="宋体"/>
    </w:rPr>
  </w:style>
  <w:style w:type="character" w:customStyle="1" w:styleId="259">
    <w:name w:val="Item List Char"/>
    <w:link w:val="260"/>
    <w:autoRedefine/>
    <w:qFormat/>
    <w:uiPriority w:val="0"/>
    <w:rPr>
      <w:rFonts w:ascii="Arial"/>
      <w:bCs/>
      <w:sz w:val="21"/>
      <w:szCs w:val="21"/>
      <w:lang w:val="en-US" w:eastAsia="zh-CN" w:bidi="ar-SA"/>
    </w:rPr>
  </w:style>
  <w:style w:type="paragraph" w:customStyle="1" w:styleId="260">
    <w:name w:val="Item List"/>
    <w:link w:val="25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1">
    <w:name w:val="带编号样式 Char"/>
    <w:autoRedefine/>
    <w:qFormat/>
    <w:uiPriority w:val="0"/>
    <w:rPr>
      <w:rFonts w:ascii="仿宋_GB2312" w:eastAsia="仿宋_GB2312"/>
      <w:color w:val="000000"/>
      <w:sz w:val="24"/>
      <w:lang w:bidi="ar-SA"/>
    </w:rPr>
  </w:style>
  <w:style w:type="character" w:customStyle="1" w:styleId="262">
    <w:name w:val="Char Char91"/>
    <w:autoRedefine/>
    <w:qFormat/>
    <w:uiPriority w:val="0"/>
    <w:rPr>
      <w:rFonts w:eastAsia="宋体"/>
      <w:kern w:val="2"/>
      <w:sz w:val="18"/>
      <w:szCs w:val="18"/>
      <w:lang w:val="en-US" w:eastAsia="zh-CN" w:bidi="ar-SA"/>
    </w:rPr>
  </w:style>
  <w:style w:type="character" w:customStyle="1" w:styleId="263">
    <w:name w:val="hui"/>
    <w:autoRedefine/>
    <w:qFormat/>
    <w:uiPriority w:val="0"/>
    <w:rPr>
      <w:rFonts w:ascii="Arial" w:hAnsi="Arial" w:eastAsia="黑体" w:cs="Arial"/>
      <w:snapToGrid w:val="0"/>
      <w:kern w:val="0"/>
      <w:szCs w:val="21"/>
    </w:rPr>
  </w:style>
  <w:style w:type="character" w:customStyle="1" w:styleId="264">
    <w:name w:val="编号，小四 Char"/>
    <w:link w:val="265"/>
    <w:autoRedefine/>
    <w:qFormat/>
    <w:uiPriority w:val="0"/>
    <w:rPr>
      <w:rFonts w:ascii="Arial" w:hAnsi="Arial"/>
      <w:sz w:val="24"/>
    </w:rPr>
  </w:style>
  <w:style w:type="paragraph" w:customStyle="1" w:styleId="265">
    <w:name w:val="编号，小四"/>
    <w:basedOn w:val="1"/>
    <w:link w:val="26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266">
    <w:name w:val="unnamed31"/>
    <w:autoRedefine/>
    <w:qFormat/>
    <w:uiPriority w:val="0"/>
    <w:rPr>
      <w:rFonts w:ascii="Tahoma" w:hAnsi="Tahoma" w:eastAsia="宋体"/>
      <w:b/>
      <w:kern w:val="2"/>
      <w:sz w:val="24"/>
      <w:szCs w:val="32"/>
      <w:u w:val="none"/>
      <w:lang w:val="en-US" w:eastAsia="zh-CN" w:bidi="ar-SA"/>
    </w:rPr>
  </w:style>
  <w:style w:type="character" w:customStyle="1" w:styleId="267">
    <w:name w:val="tw4winPopup"/>
    <w:autoRedefine/>
    <w:qFormat/>
    <w:uiPriority w:val="0"/>
    <w:rPr>
      <w:rFonts w:ascii="Courier New" w:hAnsi="Courier New" w:cs="Courier New"/>
      <w:color w:val="008000"/>
      <w:lang w:val="en-US" w:eastAsia="zh-CN"/>
    </w:rPr>
  </w:style>
  <w:style w:type="character" w:customStyle="1" w:styleId="268">
    <w:name w:val="Char Char311"/>
    <w:autoRedefine/>
    <w:qFormat/>
    <w:uiPriority w:val="0"/>
    <w:rPr>
      <w:rFonts w:eastAsia="宋体"/>
      <w:kern w:val="2"/>
      <w:sz w:val="21"/>
      <w:szCs w:val="24"/>
      <w:lang w:val="en-US" w:eastAsia="zh-CN" w:bidi="ar-SA"/>
    </w:rPr>
  </w:style>
  <w:style w:type="character" w:customStyle="1" w:styleId="269">
    <w:name w:val="tw4winMark"/>
    <w:autoRedefine/>
    <w:qFormat/>
    <w:uiPriority w:val="0"/>
    <w:rPr>
      <w:rFonts w:ascii="Courier New" w:hAnsi="Courier New" w:cs="Courier New"/>
      <w:vanish/>
      <w:color w:val="800080"/>
      <w:sz w:val="24"/>
      <w:szCs w:val="24"/>
      <w:vertAlign w:val="subscript"/>
    </w:rPr>
  </w:style>
  <w:style w:type="character" w:customStyle="1" w:styleId="270">
    <w:name w:val="文档结构图 Char"/>
    <w:autoRedefine/>
    <w:qFormat/>
    <w:uiPriority w:val="0"/>
    <w:rPr>
      <w:rFonts w:eastAsia="宋体"/>
      <w:kern w:val="2"/>
      <w:sz w:val="21"/>
      <w:szCs w:val="24"/>
      <w:lang w:val="en-US" w:eastAsia="zh-CN" w:bidi="ar-SA"/>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Char Char5"/>
    <w:autoRedefine/>
    <w:qFormat/>
    <w:uiPriority w:val="0"/>
    <w:rPr>
      <w:rFonts w:ascii="宋体" w:hAnsi="Courier New" w:eastAsia="宋体"/>
      <w:kern w:val="2"/>
      <w:sz w:val="21"/>
      <w:lang w:val="en-US" w:eastAsia="zh-CN"/>
    </w:rPr>
  </w:style>
  <w:style w:type="character" w:customStyle="1" w:styleId="273">
    <w:name w:val="页眉 字符1"/>
    <w:autoRedefine/>
    <w:qFormat/>
    <w:uiPriority w:val="99"/>
    <w:rPr>
      <w:kern w:val="2"/>
      <w:sz w:val="18"/>
      <w:szCs w:val="18"/>
    </w:rPr>
  </w:style>
  <w:style w:type="character" w:customStyle="1" w:styleId="274">
    <w:name w:val="标题 2 Char"/>
    <w:autoRedefine/>
    <w:qFormat/>
    <w:uiPriority w:val="0"/>
    <w:rPr>
      <w:rFonts w:ascii="Arial" w:hAnsi="Arial" w:eastAsia="黑体"/>
      <w:b/>
      <w:kern w:val="2"/>
      <w:sz w:val="32"/>
      <w:lang w:val="en-US" w:eastAsia="zh-CN"/>
    </w:rPr>
  </w:style>
  <w:style w:type="character" w:customStyle="1" w:styleId="275">
    <w:name w:val="正文非缩进 Char"/>
    <w:autoRedefine/>
    <w:qFormat/>
    <w:uiPriority w:val="0"/>
    <w:rPr>
      <w:rFonts w:ascii="宋体" w:eastAsia="宋体"/>
      <w:snapToGrid w:val="0"/>
      <w:color w:val="000000"/>
      <w:kern w:val="28"/>
      <w:sz w:val="28"/>
      <w:lang w:val="en-US" w:eastAsia="zh-CN" w:bidi="ar-SA"/>
    </w:rPr>
  </w:style>
  <w:style w:type="character" w:customStyle="1" w:styleId="276">
    <w:name w:val="正文首行缩进 2 Char1"/>
    <w:autoRedefine/>
    <w:qFormat/>
    <w:uiPriority w:val="0"/>
    <w:rPr>
      <w:rFonts w:ascii="Times New Roman" w:hAnsi="Times New Roman" w:eastAsia="宋体" w:cs="Times New Roman"/>
      <w:kern w:val="2"/>
      <w:sz w:val="24"/>
      <w:szCs w:val="24"/>
    </w:rPr>
  </w:style>
  <w:style w:type="character" w:customStyle="1" w:styleId="277">
    <w:name w:val="Char Char33"/>
    <w:autoRedefine/>
    <w:qFormat/>
    <w:uiPriority w:val="6"/>
    <w:rPr>
      <w:rFonts w:ascii="Arial" w:hAnsi="Arial" w:eastAsia="黑体"/>
      <w:b/>
      <w:kern w:val="1"/>
      <w:sz w:val="24"/>
      <w:szCs w:val="24"/>
    </w:rPr>
  </w:style>
  <w:style w:type="character" w:customStyle="1" w:styleId="278">
    <w:name w:val="font21"/>
    <w:autoRedefine/>
    <w:qFormat/>
    <w:uiPriority w:val="0"/>
    <w:rPr>
      <w:rFonts w:hint="eastAsia" w:ascii="宋体" w:hAnsi="宋体" w:eastAsia="宋体"/>
      <w:kern w:val="2"/>
      <w:sz w:val="28"/>
      <w:szCs w:val="28"/>
      <w:lang w:val="en-US" w:eastAsia="zh-CN" w:bidi="ar-SA"/>
    </w:rPr>
  </w:style>
  <w:style w:type="character" w:customStyle="1" w:styleId="279">
    <w:name w:val="Default Char"/>
    <w:link w:val="280"/>
    <w:autoRedefine/>
    <w:qFormat/>
    <w:uiPriority w:val="0"/>
    <w:rPr>
      <w:rFonts w:ascii="仿宋_GB2312" w:eastAsia="仿宋_GB2312" w:cs="仿宋_GB2312"/>
      <w:color w:val="000000"/>
      <w:sz w:val="24"/>
      <w:szCs w:val="24"/>
      <w:lang w:val="en-US" w:eastAsia="zh-CN" w:bidi="ar-SA"/>
    </w:rPr>
  </w:style>
  <w:style w:type="paragraph" w:customStyle="1" w:styleId="280">
    <w:name w:val="Default"/>
    <w:link w:val="27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1">
    <w:name w:val="maywed421"/>
    <w:autoRedefine/>
    <w:qFormat/>
    <w:uiPriority w:val="0"/>
    <w:rPr>
      <w:color w:val="366FB6"/>
      <w:u w:val="none"/>
    </w:rPr>
  </w:style>
  <w:style w:type="character" w:customStyle="1" w:styleId="282">
    <w:name w:val="big1"/>
    <w:autoRedefine/>
    <w:qFormat/>
    <w:uiPriority w:val="0"/>
    <w:rPr>
      <w:rFonts w:hint="eastAsia" w:ascii="宋体" w:hAnsi="宋体" w:eastAsia="宋体"/>
      <w:color w:val="333333"/>
      <w:sz w:val="22"/>
      <w:szCs w:val="22"/>
    </w:rPr>
  </w:style>
  <w:style w:type="character" w:customStyle="1" w:styleId="283">
    <w:name w:val="H6 Char"/>
    <w:autoRedefine/>
    <w:qFormat/>
    <w:uiPriority w:val="0"/>
    <w:rPr>
      <w:rFonts w:ascii="Arial" w:hAnsi="Arial" w:eastAsia="黑体"/>
      <w:b/>
      <w:bCs/>
      <w:kern w:val="2"/>
      <w:sz w:val="24"/>
      <w:szCs w:val="24"/>
    </w:rPr>
  </w:style>
  <w:style w:type="character" w:customStyle="1" w:styleId="284">
    <w:name w:val="style91"/>
    <w:autoRedefine/>
    <w:qFormat/>
    <w:uiPriority w:val="0"/>
    <w:rPr>
      <w:color w:val="333333"/>
    </w:rPr>
  </w:style>
  <w:style w:type="character" w:customStyle="1" w:styleId="285">
    <w:name w:val="H5 Char"/>
    <w:autoRedefine/>
    <w:qFormat/>
    <w:uiPriority w:val="0"/>
    <w:rPr>
      <w:b/>
      <w:bCs/>
      <w:kern w:val="2"/>
      <w:sz w:val="28"/>
      <w:szCs w:val="28"/>
    </w:rPr>
  </w:style>
  <w:style w:type="character" w:customStyle="1" w:styleId="286">
    <w:name w:val="Char Char52"/>
    <w:autoRedefine/>
    <w:qFormat/>
    <w:uiPriority w:val="0"/>
    <w:rPr>
      <w:rFonts w:ascii="宋体" w:hAnsi="Courier New" w:eastAsia="宋体"/>
      <w:kern w:val="2"/>
      <w:sz w:val="21"/>
      <w:lang w:val="en-US" w:eastAsia="zh-CN"/>
    </w:rPr>
  </w:style>
  <w:style w:type="character" w:customStyle="1" w:styleId="287">
    <w:name w:val="冯广丽 Char"/>
    <w:link w:val="288"/>
    <w:autoRedefine/>
    <w:qFormat/>
    <w:uiPriority w:val="0"/>
    <w:rPr>
      <w:rFonts w:ascii="宋体" w:hAnsi="宋体"/>
      <w:kern w:val="2"/>
      <w:sz w:val="24"/>
      <w:szCs w:val="22"/>
    </w:rPr>
  </w:style>
  <w:style w:type="paragraph" w:customStyle="1" w:styleId="288">
    <w:name w:val="冯广丽"/>
    <w:basedOn w:val="1"/>
    <w:link w:val="287"/>
    <w:autoRedefine/>
    <w:qFormat/>
    <w:uiPriority w:val="0"/>
    <w:pPr>
      <w:adjustRightInd/>
      <w:spacing w:line="360" w:lineRule="auto"/>
      <w:ind w:firstLine="480" w:firstLineChars="200"/>
    </w:pPr>
    <w:rPr>
      <w:rFonts w:ascii="宋体" w:hAnsi="宋体"/>
      <w:sz w:val="24"/>
      <w:szCs w:val="22"/>
    </w:rPr>
  </w:style>
  <w:style w:type="character" w:customStyle="1" w:styleId="289">
    <w:name w:val="Char Char1211"/>
    <w:autoRedefine/>
    <w:qFormat/>
    <w:uiPriority w:val="0"/>
    <w:rPr>
      <w:rFonts w:ascii="仿宋_GB2312" w:eastAsia="仿宋_GB2312"/>
      <w:b/>
      <w:bCs/>
      <w:kern w:val="2"/>
      <w:sz w:val="24"/>
      <w:szCs w:val="24"/>
      <w:lang w:val="zh-CN" w:eastAsia="zh-CN" w:bidi="ar-SA"/>
    </w:rPr>
  </w:style>
  <w:style w:type="character" w:customStyle="1" w:styleId="290">
    <w:name w:val="Table Text Char"/>
    <w:link w:val="291"/>
    <w:autoRedefine/>
    <w:qFormat/>
    <w:uiPriority w:val="0"/>
    <w:rPr>
      <w:sz w:val="24"/>
      <w:szCs w:val="24"/>
    </w:rPr>
  </w:style>
  <w:style w:type="paragraph" w:customStyle="1" w:styleId="291">
    <w:name w:val="Table Text"/>
    <w:basedOn w:val="1"/>
    <w:link w:val="290"/>
    <w:autoRedefine/>
    <w:qFormat/>
    <w:uiPriority w:val="0"/>
    <w:pPr>
      <w:widowControl/>
      <w:spacing w:before="60" w:after="60"/>
      <w:jc w:val="left"/>
    </w:pPr>
    <w:rPr>
      <w:kern w:val="0"/>
      <w:sz w:val="24"/>
    </w:rPr>
  </w:style>
  <w:style w:type="character" w:customStyle="1" w:styleId="292">
    <w:name w:val="正文 编号 Char"/>
    <w:autoRedefine/>
    <w:qFormat/>
    <w:uiPriority w:val="0"/>
    <w:rPr>
      <w:rFonts w:ascii="仿宋_GB2312" w:hAnsi="仿宋_GB2312" w:eastAsia="仿宋_GB2312"/>
      <w:kern w:val="2"/>
      <w:sz w:val="24"/>
      <w:lang w:bidi="ar-SA"/>
    </w:rPr>
  </w:style>
  <w:style w:type="character" w:customStyle="1" w:styleId="293">
    <w:name w:val="Used by Word for text of Help footnotes Char Char"/>
    <w:autoRedefine/>
    <w:qFormat/>
    <w:uiPriority w:val="0"/>
    <w:rPr>
      <w:rFonts w:ascii="Times New Roman" w:hAnsi="Times New Roman" w:eastAsia="宋体" w:cs="Times New Roman"/>
      <w:sz w:val="20"/>
      <w:szCs w:val="20"/>
    </w:rPr>
  </w:style>
  <w:style w:type="character" w:customStyle="1" w:styleId="294">
    <w:name w:val="Char Char15"/>
    <w:autoRedefine/>
    <w:qFormat/>
    <w:uiPriority w:val="6"/>
    <w:rPr>
      <w:rFonts w:ascii="宋体" w:hAnsi="宋体"/>
      <w:kern w:val="1"/>
      <w:sz w:val="21"/>
    </w:rPr>
  </w:style>
  <w:style w:type="character" w:customStyle="1" w:styleId="295">
    <w:name w:val="Bold"/>
    <w:autoRedefine/>
    <w:qFormat/>
    <w:uiPriority w:val="0"/>
    <w:rPr>
      <w:rFonts w:ascii="Arial" w:hAnsi="Arial" w:eastAsia="黑体" w:cs="Times New Roman"/>
      <w:b/>
      <w:kern w:val="2"/>
      <w:sz w:val="32"/>
      <w:szCs w:val="32"/>
      <w:lang w:val="en-US" w:eastAsia="zh-CN" w:bidi="ar-SA"/>
    </w:rPr>
  </w:style>
  <w:style w:type="character" w:customStyle="1" w:styleId="296">
    <w:name w:val="标题 2 Char Char"/>
    <w:autoRedefine/>
    <w:qFormat/>
    <w:uiPriority w:val="0"/>
    <w:rPr>
      <w:rFonts w:ascii="楷体_GB2312" w:hAnsi="Arial" w:eastAsia="楷体_GB2312"/>
      <w:b/>
      <w:bCs/>
      <w:kern w:val="2"/>
      <w:sz w:val="24"/>
      <w:szCs w:val="32"/>
      <w:lang w:val="en-US" w:eastAsia="zh-CN" w:bidi="ar-SA"/>
    </w:rPr>
  </w:style>
  <w:style w:type="character" w:customStyle="1" w:styleId="297">
    <w:name w:val="tw4winExternal"/>
    <w:autoRedefine/>
    <w:qFormat/>
    <w:uiPriority w:val="0"/>
    <w:rPr>
      <w:rFonts w:ascii="Courier New" w:hAnsi="Courier New" w:cs="Courier New"/>
      <w:color w:val="808080"/>
      <w:lang w:val="en-US" w:eastAsia="zh-CN"/>
    </w:rPr>
  </w:style>
  <w:style w:type="character" w:customStyle="1" w:styleId="298">
    <w:name w:val="Char Char37"/>
    <w:autoRedefine/>
    <w:qFormat/>
    <w:uiPriority w:val="6"/>
    <w:rPr>
      <w:b/>
      <w:kern w:val="1"/>
      <w:sz w:val="44"/>
      <w:szCs w:val="44"/>
    </w:rPr>
  </w:style>
  <w:style w:type="character" w:customStyle="1" w:styleId="299">
    <w:name w:val="正文文本缩进 3 Char1"/>
    <w:autoRedefine/>
    <w:semiHidden/>
    <w:qFormat/>
    <w:uiPriority w:val="99"/>
    <w:rPr>
      <w:rFonts w:ascii="Times New Roman" w:hAnsi="Times New Roman" w:eastAsia="宋体" w:cs="Times New Roman"/>
      <w:sz w:val="16"/>
      <w:szCs w:val="16"/>
    </w:rPr>
  </w:style>
  <w:style w:type="character" w:customStyle="1" w:styleId="300">
    <w:name w:val="message1"/>
    <w:autoRedefine/>
    <w:qFormat/>
    <w:uiPriority w:val="0"/>
    <w:rPr>
      <w:rFonts w:hint="default" w:ascii="Tahoma" w:hAnsi="Tahoma" w:cs="Tahoma"/>
      <w:sz w:val="18"/>
      <w:szCs w:val="18"/>
    </w:rPr>
  </w:style>
  <w:style w:type="character" w:customStyle="1" w:styleId="301">
    <w:name w:val="列出段落 Char"/>
    <w:autoRedefine/>
    <w:qFormat/>
    <w:uiPriority w:val="0"/>
    <w:rPr>
      <w:rFonts w:eastAsia="楷体_GB2312" w:cs="Lucida Sans"/>
      <w:kern w:val="2"/>
      <w:sz w:val="24"/>
      <w:szCs w:val="24"/>
      <w:lang w:val="en-US" w:eastAsia="zh-CN" w:bidi="ar-SA"/>
    </w:rPr>
  </w:style>
  <w:style w:type="character" w:customStyle="1" w:styleId="302">
    <w:name w:val="javascript"/>
    <w:autoRedefine/>
    <w:qFormat/>
    <w:uiPriority w:val="0"/>
  </w:style>
  <w:style w:type="character" w:customStyle="1" w:styleId="303">
    <w:name w:val="标题 1 Char Char"/>
    <w:autoRedefine/>
    <w:qFormat/>
    <w:uiPriority w:val="0"/>
    <w:rPr>
      <w:rFonts w:hint="eastAsia" w:ascii="宋体" w:hAnsi="宋体" w:eastAsia="宋体"/>
      <w:b/>
      <w:spacing w:val="-2"/>
      <w:sz w:val="24"/>
      <w:lang w:val="en-US" w:eastAsia="zh-CN" w:bidi="ar-SA"/>
    </w:rPr>
  </w:style>
  <w:style w:type="character" w:customStyle="1" w:styleId="304">
    <w:name w:val="正文（缩进2汉字） Char"/>
    <w:link w:val="305"/>
    <w:autoRedefine/>
    <w:qFormat/>
    <w:uiPriority w:val="0"/>
    <w:rPr>
      <w:rFonts w:ascii="宋体"/>
    </w:rPr>
  </w:style>
  <w:style w:type="paragraph" w:customStyle="1" w:styleId="305">
    <w:name w:val="正文（缩进2汉字）"/>
    <w:basedOn w:val="1"/>
    <w:link w:val="30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06">
    <w:name w:val="gf正文1 Char Char"/>
    <w:link w:val="307"/>
    <w:autoRedefine/>
    <w:qFormat/>
    <w:uiPriority w:val="0"/>
    <w:rPr>
      <w:rFonts w:ascii="宋体" w:hAnsi="宋体" w:cs="宋体"/>
      <w:kern w:val="2"/>
      <w:sz w:val="24"/>
      <w:szCs w:val="24"/>
    </w:rPr>
  </w:style>
  <w:style w:type="paragraph" w:customStyle="1" w:styleId="307">
    <w:name w:val="gf正文1"/>
    <w:basedOn w:val="1"/>
    <w:link w:val="30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08">
    <w:name w:val="哈哈正文 Char Char"/>
    <w:autoRedefine/>
    <w:qFormat/>
    <w:uiPriority w:val="0"/>
    <w:rPr>
      <w:rFonts w:ascii="宋体" w:hAnsi="宋体" w:eastAsia="宋体" w:cs="宋体"/>
      <w:kern w:val="2"/>
      <w:sz w:val="24"/>
      <w:lang w:val="en-US" w:eastAsia="zh-CN" w:bidi="ar-SA"/>
    </w:rPr>
  </w:style>
  <w:style w:type="character" w:customStyle="1" w:styleId="309">
    <w:name w:val="font01"/>
    <w:autoRedefine/>
    <w:qFormat/>
    <w:uiPriority w:val="0"/>
    <w:rPr>
      <w:rFonts w:hint="eastAsia" w:ascii="微软雅黑" w:hAnsi="微软雅黑" w:eastAsia="微软雅黑" w:cs="微软雅黑"/>
      <w:color w:val="000000"/>
      <w:sz w:val="20"/>
      <w:szCs w:val="20"/>
      <w:u w:val="none"/>
    </w:rPr>
  </w:style>
  <w:style w:type="character" w:customStyle="1" w:styleId="310">
    <w:name w:val="content"/>
    <w:autoRedefine/>
    <w:qFormat/>
    <w:uiPriority w:val="0"/>
  </w:style>
  <w:style w:type="character" w:customStyle="1" w:styleId="311">
    <w:name w:val="标题 4 Char1"/>
    <w:autoRedefine/>
    <w:qFormat/>
    <w:uiPriority w:val="9"/>
    <w:rPr>
      <w:rFonts w:ascii="Cambria" w:hAnsi="Cambria" w:eastAsia="宋体" w:cs="Times New Roman"/>
      <w:b/>
      <w:bCs/>
      <w:kern w:val="2"/>
      <w:sz w:val="28"/>
      <w:szCs w:val="28"/>
    </w:rPr>
  </w:style>
  <w:style w:type="character" w:customStyle="1" w:styleId="312">
    <w:name w:val="font51"/>
    <w:autoRedefine/>
    <w:qFormat/>
    <w:uiPriority w:val="0"/>
    <w:rPr>
      <w:rFonts w:hint="eastAsia" w:ascii="仿宋" w:hAnsi="仿宋" w:eastAsia="仿宋" w:cs="仿宋"/>
      <w:color w:val="000000"/>
      <w:sz w:val="20"/>
      <w:szCs w:val="20"/>
      <w:u w:val="none"/>
    </w:rPr>
  </w:style>
  <w:style w:type="character" w:customStyle="1" w:styleId="313">
    <w:name w:val="Char Char11"/>
    <w:autoRedefine/>
    <w:qFormat/>
    <w:locked/>
    <w:uiPriority w:val="0"/>
    <w:rPr>
      <w:rFonts w:ascii="宋体" w:hAnsi="宋体" w:eastAsia="宋体"/>
      <w:b/>
      <w:kern w:val="2"/>
      <w:sz w:val="24"/>
      <w:szCs w:val="24"/>
      <w:lang w:val="en-US" w:eastAsia="zh-CN" w:bidi="ar-SA"/>
    </w:rPr>
  </w:style>
  <w:style w:type="character" w:customStyle="1" w:styleId="314">
    <w:name w:val="批注文字 字符"/>
    <w:autoRedefine/>
    <w:qFormat/>
    <w:uiPriority w:val="0"/>
    <w:rPr>
      <w:rFonts w:ascii="Arial" w:hAnsi="Arial" w:eastAsia="黑体" w:cs="Arial"/>
      <w:snapToGrid w:val="0"/>
      <w:kern w:val="0"/>
      <w:szCs w:val="21"/>
    </w:rPr>
  </w:style>
  <w:style w:type="character" w:customStyle="1" w:styleId="315">
    <w:name w:val="列表段落 字符"/>
    <w:autoRedefine/>
    <w:qFormat/>
    <w:uiPriority w:val="99"/>
  </w:style>
  <w:style w:type="character" w:customStyle="1" w:styleId="316">
    <w:name w:val="Ò³Ã¼ Char Char1"/>
    <w:autoRedefine/>
    <w:qFormat/>
    <w:uiPriority w:val="0"/>
    <w:rPr>
      <w:rFonts w:eastAsia="宋体"/>
      <w:kern w:val="2"/>
      <w:sz w:val="18"/>
      <w:szCs w:val="18"/>
      <w:lang w:val="en-US" w:eastAsia="zh-CN" w:bidi="ar-SA"/>
    </w:rPr>
  </w:style>
  <w:style w:type="character" w:customStyle="1" w:styleId="317">
    <w:name w:val="Font Style82"/>
    <w:autoRedefine/>
    <w:qFormat/>
    <w:uiPriority w:val="99"/>
    <w:rPr>
      <w:rFonts w:ascii="宋体" w:eastAsia="宋体" w:cs="宋体"/>
      <w:color w:val="000000"/>
      <w:sz w:val="14"/>
      <w:szCs w:val="14"/>
    </w:rPr>
  </w:style>
  <w:style w:type="character" w:customStyle="1" w:styleId="318">
    <w:name w:val="正文文本 Char2"/>
    <w:autoRedefine/>
    <w:semiHidden/>
    <w:qFormat/>
    <w:uiPriority w:val="99"/>
    <w:rPr>
      <w:rFonts w:ascii="Times New Roman" w:hAnsi="Times New Roman" w:eastAsia="宋体" w:cs="Times New Roman"/>
      <w:snapToGrid w:val="0"/>
      <w:kern w:val="0"/>
      <w:szCs w:val="24"/>
    </w:rPr>
  </w:style>
  <w:style w:type="character" w:customStyle="1" w:styleId="319">
    <w:name w:val="正文首行缩进 Char Char Char Char Char Char"/>
    <w:autoRedefine/>
    <w:qFormat/>
    <w:uiPriority w:val="0"/>
    <w:rPr>
      <w:rFonts w:ascii="宋体" w:eastAsia="宋体"/>
      <w:kern w:val="2"/>
      <w:sz w:val="24"/>
      <w:lang w:val="zh-CN" w:bidi="ar-SA"/>
    </w:rPr>
  </w:style>
  <w:style w:type="character" w:customStyle="1" w:styleId="320">
    <w:name w:val="question-title2"/>
    <w:autoRedefine/>
    <w:qFormat/>
    <w:uiPriority w:val="6"/>
    <w:rPr>
      <w:rFonts w:ascii="Arial" w:hAnsi="Arial" w:eastAsia="黑体" w:cs="Arial"/>
      <w:snapToGrid w:val="0"/>
      <w:kern w:val="0"/>
      <w:szCs w:val="21"/>
    </w:rPr>
  </w:style>
  <w:style w:type="character" w:customStyle="1" w:styleId="321">
    <w:name w:val="gray6"/>
    <w:autoRedefine/>
    <w:qFormat/>
    <w:uiPriority w:val="0"/>
    <w:rPr>
      <w:rFonts w:ascii="Arial" w:hAnsi="Arial" w:eastAsia="黑体" w:cs="Arial"/>
      <w:snapToGrid w:val="0"/>
      <w:kern w:val="0"/>
      <w:szCs w:val="21"/>
    </w:rPr>
  </w:style>
  <w:style w:type="character" w:customStyle="1" w:styleId="322">
    <w:name w:val="正文缩进 Char3"/>
    <w:autoRedefine/>
    <w:qFormat/>
    <w:uiPriority w:val="0"/>
    <w:rPr>
      <w:rFonts w:ascii="宋体" w:eastAsia="宋体"/>
      <w:snapToGrid w:val="0"/>
      <w:color w:val="000000"/>
      <w:kern w:val="28"/>
      <w:sz w:val="28"/>
      <w:lang w:val="en-US" w:eastAsia="zh-CN" w:bidi="ar-SA"/>
    </w:rPr>
  </w:style>
  <w:style w:type="character" w:customStyle="1" w:styleId="323">
    <w:name w:val="正文文本缩进 字符"/>
    <w:autoRedefine/>
    <w:qFormat/>
    <w:uiPriority w:val="0"/>
    <w:rPr>
      <w:rFonts w:ascii="Century Gothic" w:hAnsi="Century Gothic" w:eastAsia="Century Gothic"/>
      <w:kern w:val="2"/>
      <w:sz w:val="24"/>
      <w:lang w:val="en-US" w:eastAsia="zh-CN" w:bidi="ar-SA"/>
    </w:rPr>
  </w:style>
  <w:style w:type="character" w:customStyle="1" w:styleId="32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25">
    <w:name w:val="方案正文 Char"/>
    <w:autoRedefine/>
    <w:qFormat/>
    <w:uiPriority w:val="0"/>
    <w:rPr>
      <w:rFonts w:ascii="仿宋_GB2312" w:eastAsia="仿宋_GB2312"/>
      <w:b/>
      <w:color w:val="000000"/>
      <w:kern w:val="2"/>
      <w:sz w:val="24"/>
      <w:lang w:val="en-US" w:eastAsia="zh-CN" w:bidi="ar-SA"/>
    </w:rPr>
  </w:style>
  <w:style w:type="character" w:customStyle="1" w:styleId="32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327">
    <w:name w:val="正文首行缩进 Char Char Char Char Char"/>
    <w:autoRedefine/>
    <w:qFormat/>
    <w:uiPriority w:val="0"/>
    <w:rPr>
      <w:rFonts w:ascii="宋体"/>
      <w:kern w:val="2"/>
      <w:sz w:val="24"/>
      <w:lang w:val="zh-CN"/>
    </w:rPr>
  </w:style>
  <w:style w:type="character" w:customStyle="1" w:styleId="3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329">
    <w:name w:val="unnamed11"/>
    <w:autoRedefine/>
    <w:qFormat/>
    <w:uiPriority w:val="0"/>
    <w:rPr>
      <w:sz w:val="20"/>
      <w:szCs w:val="20"/>
    </w:rPr>
  </w:style>
  <w:style w:type="character" w:customStyle="1" w:styleId="330">
    <w:name w:val="页脚 字符1"/>
    <w:autoRedefine/>
    <w:qFormat/>
    <w:locked/>
    <w:uiPriority w:val="99"/>
    <w:rPr>
      <w:kern w:val="2"/>
      <w:sz w:val="18"/>
      <w:szCs w:val="18"/>
    </w:rPr>
  </w:style>
  <w:style w:type="character" w:customStyle="1" w:styleId="331">
    <w:name w:val="列出段落 Char2"/>
    <w:autoRedefine/>
    <w:qFormat/>
    <w:uiPriority w:val="34"/>
    <w:rPr>
      <w:rFonts w:ascii="Calibri" w:hAnsi="Calibri"/>
      <w:kern w:val="2"/>
      <w:sz w:val="28"/>
    </w:rPr>
  </w:style>
  <w:style w:type="character" w:customStyle="1" w:styleId="332">
    <w:name w:val="U_正文 Char"/>
    <w:link w:val="333"/>
    <w:autoRedefine/>
    <w:qFormat/>
    <w:uiPriority w:val="0"/>
    <w:rPr>
      <w:sz w:val="24"/>
      <w:szCs w:val="24"/>
    </w:rPr>
  </w:style>
  <w:style w:type="paragraph" w:customStyle="1" w:styleId="333">
    <w:name w:val="U_正文"/>
    <w:basedOn w:val="1"/>
    <w:link w:val="332"/>
    <w:autoRedefine/>
    <w:qFormat/>
    <w:uiPriority w:val="0"/>
    <w:pPr>
      <w:adjustRightInd/>
      <w:spacing w:beforeLines="20" w:afterLines="20" w:line="300" w:lineRule="auto"/>
      <w:ind w:firstLine="200" w:firstLineChars="200"/>
    </w:pPr>
    <w:rPr>
      <w:kern w:val="0"/>
      <w:sz w:val="24"/>
    </w:rPr>
  </w:style>
  <w:style w:type="character" w:customStyle="1" w:styleId="334">
    <w:name w:val="b11_01b Char"/>
    <w:link w:val="335"/>
    <w:autoRedefine/>
    <w:qFormat/>
    <w:uiPriority w:val="0"/>
    <w:rPr>
      <w:rFonts w:ascii="Verdana" w:hAnsi="Verdana"/>
      <w:b/>
      <w:bCs/>
      <w:color w:val="4A82CA"/>
      <w:sz w:val="17"/>
      <w:szCs w:val="17"/>
    </w:rPr>
  </w:style>
  <w:style w:type="paragraph" w:customStyle="1" w:styleId="335">
    <w:name w:val="b11_01b"/>
    <w:basedOn w:val="1"/>
    <w:next w:val="1"/>
    <w:link w:val="33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6">
    <w:name w:val="正文样式 Char"/>
    <w:link w:val="337"/>
    <w:autoRedefine/>
    <w:qFormat/>
    <w:uiPriority w:val="0"/>
    <w:rPr>
      <w:rFonts w:ascii="Calibri" w:hAnsi="Calibri"/>
      <w:sz w:val="24"/>
      <w:szCs w:val="24"/>
    </w:rPr>
  </w:style>
  <w:style w:type="paragraph" w:customStyle="1" w:styleId="337">
    <w:name w:val="正文样式"/>
    <w:basedOn w:val="1"/>
    <w:link w:val="336"/>
    <w:autoRedefine/>
    <w:qFormat/>
    <w:uiPriority w:val="0"/>
    <w:pPr>
      <w:adjustRightInd/>
      <w:spacing w:line="360" w:lineRule="auto"/>
      <w:ind w:firstLine="480" w:firstLineChars="200"/>
    </w:pPr>
    <w:rPr>
      <w:rFonts w:ascii="Calibri" w:hAnsi="Calibri"/>
      <w:kern w:val="0"/>
      <w:sz w:val="24"/>
    </w:rPr>
  </w:style>
  <w:style w:type="character" w:customStyle="1" w:styleId="338">
    <w:name w:val="标题 4 Char"/>
    <w:autoRedefine/>
    <w:qFormat/>
    <w:uiPriority w:val="0"/>
    <w:rPr>
      <w:rFonts w:ascii="Arial" w:hAnsi="Arial" w:eastAsia="黑体"/>
      <w:b/>
      <w:kern w:val="2"/>
      <w:sz w:val="28"/>
    </w:rPr>
  </w:style>
  <w:style w:type="character" w:customStyle="1" w:styleId="339">
    <w:name w:val="批注文字 Char2"/>
    <w:autoRedefine/>
    <w:qFormat/>
    <w:uiPriority w:val="99"/>
    <w:rPr>
      <w:rFonts w:ascii="Times New Roman" w:hAnsi="Times New Roman" w:eastAsia="宋体" w:cs="Times New Roman"/>
      <w:snapToGrid w:val="0"/>
      <w:kern w:val="0"/>
      <w:szCs w:val="24"/>
    </w:rPr>
  </w:style>
  <w:style w:type="character" w:customStyle="1" w:styleId="340">
    <w:name w:val="Char Char161"/>
    <w:autoRedefine/>
    <w:qFormat/>
    <w:uiPriority w:val="0"/>
    <w:rPr>
      <w:rFonts w:eastAsia="宋体"/>
      <w:b/>
      <w:kern w:val="2"/>
      <w:sz w:val="32"/>
      <w:lang w:val="en-US" w:eastAsia="zh-CN"/>
    </w:rPr>
  </w:style>
  <w:style w:type="character" w:customStyle="1" w:styleId="341">
    <w:name w:val="Char Char20"/>
    <w:autoRedefine/>
    <w:qFormat/>
    <w:uiPriority w:val="6"/>
    <w:rPr>
      <w:kern w:val="1"/>
      <w:sz w:val="24"/>
    </w:rPr>
  </w:style>
  <w:style w:type="character" w:customStyle="1" w:styleId="342">
    <w:name w:val="表格非标题文字 Char"/>
    <w:link w:val="343"/>
    <w:autoRedefine/>
    <w:qFormat/>
    <w:uiPriority w:val="0"/>
    <w:rPr>
      <w:rFonts w:ascii="Futura Bk" w:hAnsi="Futura Bk"/>
      <w:kern w:val="2"/>
      <w:sz w:val="18"/>
      <w:szCs w:val="21"/>
      <w:lang w:val="en-US" w:eastAsia="zh-CN" w:bidi="ar-SA"/>
    </w:rPr>
  </w:style>
  <w:style w:type="paragraph" w:customStyle="1" w:styleId="343">
    <w:name w:val="表格非标题文字"/>
    <w:link w:val="34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344">
    <w:name w:val="*正文 Char"/>
    <w:link w:val="345"/>
    <w:autoRedefine/>
    <w:qFormat/>
    <w:locked/>
    <w:uiPriority w:val="0"/>
    <w:rPr>
      <w:rFonts w:ascii="宋体" w:hAnsi="宋体"/>
      <w:sz w:val="24"/>
    </w:rPr>
  </w:style>
  <w:style w:type="paragraph" w:customStyle="1" w:styleId="345">
    <w:name w:val="*正文"/>
    <w:basedOn w:val="1"/>
    <w:link w:val="344"/>
    <w:autoRedefine/>
    <w:qFormat/>
    <w:uiPriority w:val="0"/>
    <w:pPr>
      <w:snapToGrid w:val="0"/>
      <w:spacing w:line="360" w:lineRule="auto"/>
      <w:ind w:firstLine="482"/>
      <w:jc w:val="left"/>
    </w:pPr>
    <w:rPr>
      <w:rFonts w:ascii="宋体" w:hAnsi="宋体"/>
      <w:kern w:val="0"/>
      <w:sz w:val="24"/>
      <w:szCs w:val="20"/>
    </w:rPr>
  </w:style>
  <w:style w:type="character" w:customStyle="1" w:styleId="346">
    <w:name w:val="Char Char28"/>
    <w:autoRedefine/>
    <w:qFormat/>
    <w:uiPriority w:val="6"/>
    <w:rPr>
      <w:rFonts w:ascii="仿宋_GB2312" w:hAnsi="仿宋_GB2312" w:eastAsia="仿宋_GB2312"/>
      <w:kern w:val="1"/>
      <w:sz w:val="28"/>
    </w:rPr>
  </w:style>
  <w:style w:type="character" w:customStyle="1" w:styleId="347">
    <w:name w:val="Heading 1 Char"/>
    <w:autoRedefine/>
    <w:qFormat/>
    <w:uiPriority w:val="6"/>
    <w:rPr>
      <w:rFonts w:ascii="Times New Roman" w:hAnsi="Times New Roman" w:eastAsia="黑体" w:cs="Times New Roman"/>
      <w:b/>
      <w:kern w:val="0"/>
      <w:sz w:val="24"/>
      <w:szCs w:val="24"/>
    </w:rPr>
  </w:style>
  <w:style w:type="character" w:customStyle="1" w:styleId="348">
    <w:name w:val="HTML 地址 Char1"/>
    <w:autoRedefine/>
    <w:qFormat/>
    <w:uiPriority w:val="0"/>
    <w:rPr>
      <w:rFonts w:ascii="Times New Roman" w:hAnsi="Times New Roman" w:eastAsia="宋体" w:cs="Times New Roman"/>
      <w:i/>
      <w:iCs/>
      <w:szCs w:val="24"/>
    </w:rPr>
  </w:style>
  <w:style w:type="character" w:customStyle="1" w:styleId="349">
    <w:name w:val="表正文 Char"/>
    <w:autoRedefine/>
    <w:qFormat/>
    <w:uiPriority w:val="0"/>
    <w:rPr>
      <w:rFonts w:ascii="宋体" w:eastAsia="宋体"/>
      <w:snapToGrid w:val="0"/>
      <w:color w:val="000000"/>
      <w:kern w:val="28"/>
      <w:sz w:val="28"/>
      <w:lang w:val="en-US" w:eastAsia="zh-CN" w:bidi="ar-SA"/>
    </w:rPr>
  </w:style>
  <w:style w:type="character" w:customStyle="1" w:styleId="350">
    <w:name w:val="Char Char34"/>
    <w:autoRedefine/>
    <w:qFormat/>
    <w:uiPriority w:val="6"/>
    <w:rPr>
      <w:b/>
      <w:kern w:val="1"/>
      <w:sz w:val="28"/>
      <w:szCs w:val="28"/>
    </w:rPr>
  </w:style>
  <w:style w:type="character" w:customStyle="1" w:styleId="35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352">
    <w:name w:val="未处理的提及1"/>
    <w:autoRedefine/>
    <w:qFormat/>
    <w:uiPriority w:val="0"/>
    <w:rPr>
      <w:color w:val="808080"/>
      <w:shd w:val="clear" w:color="auto" w:fill="E6E6E6"/>
    </w:rPr>
  </w:style>
  <w:style w:type="character" w:customStyle="1" w:styleId="353">
    <w:name w:val="5正文 Char"/>
    <w:link w:val="354"/>
    <w:autoRedefine/>
    <w:qFormat/>
    <w:uiPriority w:val="0"/>
    <w:rPr>
      <w:rFonts w:ascii="仿宋_GB2312" w:hAnsi="微软雅黑" w:eastAsia="仿宋_GB2312"/>
      <w:sz w:val="28"/>
      <w:szCs w:val="21"/>
    </w:rPr>
  </w:style>
  <w:style w:type="paragraph" w:customStyle="1" w:styleId="354">
    <w:name w:val="5正文"/>
    <w:basedOn w:val="1"/>
    <w:link w:val="3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55">
    <w:name w:val="Char Char14"/>
    <w:autoRedefine/>
    <w:qFormat/>
    <w:uiPriority w:val="6"/>
    <w:rPr>
      <w:rFonts w:ascii="黑体" w:hAnsi="黑体" w:eastAsia="黑体"/>
    </w:rPr>
  </w:style>
  <w:style w:type="character" w:customStyle="1" w:styleId="356">
    <w:name w:val="Heading 2 Hidden Char"/>
    <w:autoRedefine/>
    <w:qFormat/>
    <w:uiPriority w:val="0"/>
    <w:rPr>
      <w:rFonts w:ascii="仿宋_GB2312" w:eastAsia="仿宋_GB2312"/>
      <w:b/>
      <w:bCs/>
      <w:kern w:val="2"/>
      <w:sz w:val="24"/>
      <w:szCs w:val="24"/>
      <w:lang w:val="zh-CN" w:eastAsia="zh-CN" w:bidi="ar-SA"/>
    </w:rPr>
  </w:style>
  <w:style w:type="character" w:customStyle="1" w:styleId="357">
    <w:name w:val="font11"/>
    <w:autoRedefine/>
    <w:qFormat/>
    <w:uiPriority w:val="0"/>
    <w:rPr>
      <w:rFonts w:hint="default" w:ascii="Times New Roman" w:hAnsi="Times New Roman" w:cs="Times New Roman"/>
      <w:color w:val="000000"/>
      <w:sz w:val="22"/>
      <w:szCs w:val="22"/>
      <w:u w:val="none"/>
    </w:rPr>
  </w:style>
  <w:style w:type="character" w:customStyle="1" w:styleId="358">
    <w:name w:val="blue1"/>
    <w:autoRedefine/>
    <w:qFormat/>
    <w:uiPriority w:val="0"/>
    <w:rPr>
      <w:rFonts w:ascii="Arial" w:hAnsi="Arial" w:eastAsia="黑体" w:cs="Arial"/>
      <w:snapToGrid w:val="0"/>
      <w:kern w:val="0"/>
      <w:szCs w:val="21"/>
    </w:rPr>
  </w:style>
  <w:style w:type="character" w:customStyle="1" w:styleId="359">
    <w:name w:val="正文2 Char Char"/>
    <w:link w:val="360"/>
    <w:autoRedefine/>
    <w:qFormat/>
    <w:uiPriority w:val="0"/>
    <w:rPr>
      <w:rFonts w:eastAsia="宋体"/>
      <w:kern w:val="2"/>
      <w:sz w:val="24"/>
      <w:lang w:val="en-US" w:eastAsia="zh-CN" w:bidi="ar-SA"/>
    </w:rPr>
  </w:style>
  <w:style w:type="paragraph" w:customStyle="1" w:styleId="360">
    <w:name w:val="正文2"/>
    <w:basedOn w:val="1"/>
    <w:link w:val="359"/>
    <w:autoRedefine/>
    <w:qFormat/>
    <w:uiPriority w:val="0"/>
    <w:pPr>
      <w:spacing w:before="156" w:line="360" w:lineRule="auto"/>
      <w:ind w:firstLine="510" w:firstLineChars="200"/>
    </w:pPr>
    <w:rPr>
      <w:sz w:val="24"/>
      <w:szCs w:val="20"/>
    </w:rPr>
  </w:style>
  <w:style w:type="character" w:customStyle="1" w:styleId="361">
    <w:name w:val="Char Char24"/>
    <w:autoRedefine/>
    <w:qFormat/>
    <w:uiPriority w:val="6"/>
    <w:rPr>
      <w:kern w:val="1"/>
      <w:sz w:val="21"/>
    </w:rPr>
  </w:style>
  <w:style w:type="character" w:customStyle="1" w:styleId="362">
    <w:name w:val="普通文字 Char1 Char"/>
    <w:autoRedefine/>
    <w:qFormat/>
    <w:uiPriority w:val="0"/>
    <w:rPr>
      <w:rFonts w:ascii="宋体" w:hAnsi="Courier New" w:eastAsia="宋体"/>
      <w:kern w:val="2"/>
      <w:sz w:val="21"/>
      <w:szCs w:val="24"/>
      <w:lang w:val="en-US" w:eastAsia="zh-CN" w:bidi="ar-SA"/>
    </w:rPr>
  </w:style>
  <w:style w:type="character" w:customStyle="1" w:styleId="363">
    <w:name w:val="正文文本缩进 Char1"/>
    <w:autoRedefine/>
    <w:qFormat/>
    <w:uiPriority w:val="0"/>
    <w:rPr>
      <w:rFonts w:ascii="Calibri" w:hAnsi="Calibri"/>
      <w:sz w:val="28"/>
    </w:rPr>
  </w:style>
  <w:style w:type="character" w:customStyle="1" w:styleId="364">
    <w:name w:val="No Spacing Char"/>
    <w:link w:val="365"/>
    <w:autoRedefine/>
    <w:qFormat/>
    <w:uiPriority w:val="1"/>
    <w:rPr>
      <w:sz w:val="22"/>
      <w:szCs w:val="22"/>
      <w:lang w:val="en-US" w:eastAsia="zh-CN" w:bidi="ar-SA"/>
    </w:rPr>
  </w:style>
  <w:style w:type="paragraph" w:customStyle="1" w:styleId="365">
    <w:name w:val="无间隔11"/>
    <w:link w:val="364"/>
    <w:autoRedefine/>
    <w:qFormat/>
    <w:uiPriority w:val="1"/>
    <w:rPr>
      <w:rFonts w:ascii="Times New Roman" w:hAnsi="Times New Roman" w:eastAsia="宋体" w:cs="Times New Roman"/>
      <w:sz w:val="22"/>
      <w:szCs w:val="22"/>
      <w:lang w:val="en-US" w:eastAsia="zh-CN" w:bidi="ar-SA"/>
    </w:rPr>
  </w:style>
  <w:style w:type="character" w:customStyle="1" w:styleId="366">
    <w:name w:val="font12gray1"/>
    <w:autoRedefine/>
    <w:qFormat/>
    <w:uiPriority w:val="0"/>
    <w:rPr>
      <w:rFonts w:ascii="仿宋_GB2312" w:eastAsia="微软雅黑"/>
      <w:b/>
      <w:spacing w:val="300"/>
      <w:kern w:val="2"/>
      <w:sz w:val="18"/>
      <w:szCs w:val="18"/>
      <w:lang w:val="en-US" w:eastAsia="zh-CN" w:bidi="ar-SA"/>
    </w:rPr>
  </w:style>
  <w:style w:type="character" w:customStyle="1" w:styleId="367">
    <w:name w:val="Char Char7"/>
    <w:autoRedefine/>
    <w:semiHidden/>
    <w:qFormat/>
    <w:uiPriority w:val="0"/>
    <w:rPr>
      <w:rFonts w:eastAsia="宋体"/>
      <w:kern w:val="2"/>
      <w:sz w:val="21"/>
      <w:szCs w:val="24"/>
      <w:lang w:val="en-US" w:eastAsia="zh-CN" w:bidi="ar-SA"/>
    </w:rPr>
  </w:style>
  <w:style w:type="character" w:customStyle="1" w:styleId="368">
    <w:name w:val="表名 Char"/>
    <w:autoRedefine/>
    <w:qFormat/>
    <w:uiPriority w:val="0"/>
    <w:rPr>
      <w:rFonts w:eastAsia="宋体"/>
      <w:b/>
      <w:bCs/>
      <w:kern w:val="2"/>
      <w:sz w:val="24"/>
      <w:szCs w:val="24"/>
      <w:lang w:val="en-US" w:eastAsia="zh-CN" w:bidi="ar-SA"/>
    </w:rPr>
  </w:style>
  <w:style w:type="character" w:customStyle="1" w:styleId="369">
    <w:name w:val="Document Map Char"/>
    <w:autoRedefine/>
    <w:qFormat/>
    <w:locked/>
    <w:uiPriority w:val="0"/>
    <w:rPr>
      <w:rFonts w:eastAsia="宋体"/>
      <w:kern w:val="2"/>
      <w:sz w:val="21"/>
      <w:szCs w:val="24"/>
      <w:lang w:val="en-US" w:eastAsia="zh-CN" w:bidi="ar-SA"/>
    </w:rPr>
  </w:style>
  <w:style w:type="character" w:customStyle="1" w:styleId="370">
    <w:name w:val="font41"/>
    <w:autoRedefine/>
    <w:qFormat/>
    <w:uiPriority w:val="0"/>
    <w:rPr>
      <w:rFonts w:hint="eastAsia" w:ascii="仿宋_GB2312" w:eastAsia="仿宋_GB2312" w:cs="仿宋_GB2312"/>
      <w:color w:val="000000"/>
      <w:sz w:val="22"/>
      <w:szCs w:val="22"/>
      <w:u w:val="none"/>
    </w:rPr>
  </w:style>
  <w:style w:type="character" w:customStyle="1" w:styleId="371">
    <w:name w:val="纯文本 Char_0"/>
    <w:link w:val="372"/>
    <w:autoRedefine/>
    <w:qFormat/>
    <w:uiPriority w:val="0"/>
    <w:rPr>
      <w:rFonts w:ascii="宋体" w:hAnsi="Courier New"/>
      <w:kern w:val="2"/>
      <w:sz w:val="21"/>
      <w:szCs w:val="21"/>
      <w:lang w:val="en-US" w:eastAsia="zh-CN"/>
    </w:rPr>
  </w:style>
  <w:style w:type="paragraph" w:customStyle="1" w:styleId="372">
    <w:name w:val="纯文本_0_0"/>
    <w:basedOn w:val="373"/>
    <w:link w:val="371"/>
    <w:autoRedefine/>
    <w:qFormat/>
    <w:uiPriority w:val="0"/>
    <w:rPr>
      <w:rFonts w:ascii="宋体" w:hAnsi="Courier New"/>
      <w:szCs w:val="21"/>
    </w:rPr>
  </w:style>
  <w:style w:type="paragraph" w:customStyle="1" w:styleId="37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4">
    <w:name w:val="Balloon Text Char"/>
    <w:autoRedefine/>
    <w:qFormat/>
    <w:locked/>
    <w:uiPriority w:val="0"/>
    <w:rPr>
      <w:rFonts w:eastAsia="宋体"/>
      <w:kern w:val="2"/>
      <w:sz w:val="18"/>
      <w:szCs w:val="18"/>
      <w:lang w:val="en-US" w:eastAsia="zh-CN" w:bidi="ar-SA"/>
    </w:rPr>
  </w:style>
  <w:style w:type="character" w:customStyle="1" w:styleId="375">
    <w:name w:val="正文 项目2 Char"/>
    <w:autoRedefine/>
    <w:qFormat/>
    <w:uiPriority w:val="0"/>
    <w:rPr>
      <w:rFonts w:ascii="仿宋_GB2312" w:hAnsi="仿宋_GB2312" w:eastAsia="仿宋_GB2312"/>
      <w:kern w:val="2"/>
      <w:sz w:val="24"/>
      <w:lang w:bidi="ar-SA"/>
    </w:rPr>
  </w:style>
  <w:style w:type="character" w:customStyle="1" w:styleId="376">
    <w:name w:val="正文 项目 Char"/>
    <w:autoRedefine/>
    <w:qFormat/>
    <w:uiPriority w:val="0"/>
    <w:rPr>
      <w:rFonts w:ascii="仿宋_GB2312" w:hAnsi="仿宋_GB2312" w:eastAsia="仿宋_GB2312"/>
      <w:kern w:val="2"/>
      <w:sz w:val="24"/>
      <w:lang w:bidi="ar-SA"/>
    </w:rPr>
  </w:style>
  <w:style w:type="character" w:customStyle="1" w:styleId="377">
    <w:name w:val="h Char Char1"/>
    <w:autoRedefine/>
    <w:qFormat/>
    <w:uiPriority w:val="0"/>
    <w:rPr>
      <w:rFonts w:eastAsia="宋体"/>
      <w:kern w:val="2"/>
      <w:sz w:val="18"/>
      <w:szCs w:val="18"/>
      <w:lang w:val="en-US" w:eastAsia="zh-CN" w:bidi="ar-SA"/>
    </w:rPr>
  </w:style>
  <w:style w:type="character" w:customStyle="1" w:styleId="378">
    <w:name w:val="Char Char27"/>
    <w:autoRedefine/>
    <w:qFormat/>
    <w:uiPriority w:val="6"/>
    <w:rPr>
      <w:rFonts w:ascii="宋体" w:hAnsi="宋体" w:eastAsia="宋体"/>
      <w:color w:val="000000"/>
      <w:kern w:val="1"/>
      <w:sz w:val="28"/>
      <w:lang w:val="en-US" w:eastAsia="zh-CN" w:bidi="ar-SA"/>
    </w:rPr>
  </w:style>
  <w:style w:type="character" w:customStyle="1" w:styleId="379">
    <w:name w:val="style36"/>
    <w:autoRedefine/>
    <w:qFormat/>
    <w:uiPriority w:val="0"/>
    <w:rPr>
      <w:rFonts w:ascii="Arial" w:hAnsi="Arial" w:eastAsia="黑体" w:cs="Arial"/>
      <w:snapToGrid w:val="0"/>
      <w:kern w:val="0"/>
      <w:szCs w:val="21"/>
    </w:rPr>
  </w:style>
  <w:style w:type="character" w:customStyle="1" w:styleId="380">
    <w:name w:val="px14"/>
    <w:autoRedefine/>
    <w:qFormat/>
    <w:uiPriority w:val="0"/>
    <w:rPr>
      <w:rFonts w:ascii="仿宋_GB2312" w:eastAsia="微软雅黑" w:cs="Times New Roman"/>
      <w:b/>
      <w:kern w:val="2"/>
      <w:sz w:val="32"/>
      <w:szCs w:val="32"/>
      <w:lang w:val="en-US" w:eastAsia="zh-CN" w:bidi="ar-SA"/>
    </w:rPr>
  </w:style>
  <w:style w:type="character" w:customStyle="1" w:styleId="381">
    <w:name w:val="样式 正文缩进 + 首行缩进:  2 字符 Char Char"/>
    <w:link w:val="382"/>
    <w:autoRedefine/>
    <w:qFormat/>
    <w:uiPriority w:val="0"/>
    <w:rPr>
      <w:rFonts w:cs="宋体"/>
      <w:kern w:val="2"/>
      <w:sz w:val="24"/>
    </w:rPr>
  </w:style>
  <w:style w:type="paragraph" w:customStyle="1" w:styleId="382">
    <w:name w:val="样式 正文缩进 + 首行缩进:  2 字符"/>
    <w:basedOn w:val="15"/>
    <w:link w:val="381"/>
    <w:autoRedefine/>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383">
    <w:name w:val="HTML 预设格式 Char1"/>
    <w:autoRedefine/>
    <w:qFormat/>
    <w:uiPriority w:val="0"/>
    <w:rPr>
      <w:rFonts w:ascii="Courier New" w:hAnsi="Courier New" w:eastAsia="宋体" w:cs="Courier New"/>
      <w:sz w:val="20"/>
      <w:szCs w:val="20"/>
    </w:rPr>
  </w:style>
  <w:style w:type="character" w:customStyle="1" w:styleId="384">
    <w:name w:val="未用 Char"/>
    <w:autoRedefine/>
    <w:qFormat/>
    <w:uiPriority w:val="0"/>
    <w:rPr>
      <w:rFonts w:ascii="Arial" w:hAnsi="Arial" w:eastAsia="黑体"/>
      <w:kern w:val="2"/>
      <w:sz w:val="21"/>
      <w:szCs w:val="21"/>
      <w:lang w:val="en-US" w:eastAsia="zh-CN" w:bidi="ar-SA"/>
    </w:rPr>
  </w:style>
  <w:style w:type="character" w:customStyle="1" w:styleId="385">
    <w:name w:val="普通文字 Char1"/>
    <w:autoRedefine/>
    <w:qFormat/>
    <w:uiPriority w:val="0"/>
    <w:rPr>
      <w:rFonts w:ascii="宋体" w:hAnsi="Courier New" w:eastAsia="宋体"/>
      <w:kern w:val="2"/>
      <w:sz w:val="21"/>
      <w:lang w:val="en-US" w:eastAsia="zh-CN"/>
    </w:rPr>
  </w:style>
  <w:style w:type="character" w:customStyle="1" w:styleId="386">
    <w:name w:val="hei16b1"/>
    <w:autoRedefine/>
    <w:qFormat/>
    <w:uiPriority w:val="0"/>
    <w:rPr>
      <w:rFonts w:hint="default" w:ascii="Arial" w:hAnsi="Arial" w:cs="Arial"/>
      <w:b/>
      <w:bCs/>
      <w:color w:val="000000"/>
      <w:sz w:val="24"/>
      <w:szCs w:val="24"/>
    </w:rPr>
  </w:style>
  <w:style w:type="character" w:customStyle="1" w:styleId="387">
    <w:name w:val="标书表格字体格式 Char"/>
    <w:autoRedefine/>
    <w:qFormat/>
    <w:uiPriority w:val="0"/>
    <w:rPr>
      <w:kern w:val="2"/>
      <w:sz w:val="21"/>
      <w:szCs w:val="24"/>
      <w:lang w:bidi="ar-SA"/>
    </w:rPr>
  </w:style>
  <w:style w:type="character" w:customStyle="1" w:styleId="388">
    <w:name w:val="Char Char19"/>
    <w:autoRedefine/>
    <w:qFormat/>
    <w:uiPriority w:val="6"/>
    <w:rPr>
      <w:rFonts w:ascii="宋体" w:hAnsi="宋体"/>
      <w:i/>
      <w:sz w:val="24"/>
      <w:szCs w:val="24"/>
    </w:rPr>
  </w:style>
  <w:style w:type="character" w:customStyle="1" w:styleId="389">
    <w:name w:val="文档结构图 字符1"/>
    <w:autoRedefine/>
    <w:qFormat/>
    <w:uiPriority w:val="0"/>
    <w:rPr>
      <w:rFonts w:ascii="宋体" w:hAnsi="Calibri" w:eastAsia="黑体" w:cs="Arial"/>
      <w:snapToGrid w:val="0"/>
      <w:kern w:val="2"/>
      <w:sz w:val="18"/>
      <w:szCs w:val="18"/>
    </w:rPr>
  </w:style>
  <w:style w:type="character" w:customStyle="1" w:styleId="390">
    <w:name w:val="页脚 Char"/>
    <w:autoRedefine/>
    <w:qFormat/>
    <w:uiPriority w:val="0"/>
    <w:rPr>
      <w:rFonts w:eastAsia="仿宋_GB2312"/>
      <w:kern w:val="2"/>
      <w:sz w:val="18"/>
      <w:lang w:val="en-US" w:eastAsia="zh-CN"/>
    </w:rPr>
  </w:style>
  <w:style w:type="character" w:customStyle="1" w:styleId="391">
    <w:name w:val="h Char Char"/>
    <w:autoRedefine/>
    <w:qFormat/>
    <w:uiPriority w:val="0"/>
    <w:rPr>
      <w:rFonts w:eastAsia="宋体"/>
      <w:kern w:val="2"/>
      <w:sz w:val="18"/>
      <w:lang w:val="en-US" w:eastAsia="zh-CN" w:bidi="ar-SA"/>
    </w:rPr>
  </w:style>
  <w:style w:type="character" w:customStyle="1" w:styleId="392">
    <w:name w:val="Comment Text Char"/>
    <w:autoRedefine/>
    <w:qFormat/>
    <w:locked/>
    <w:uiPriority w:val="0"/>
    <w:rPr>
      <w:rFonts w:ascii="宋体" w:hAnsi="宋体" w:eastAsia="宋体"/>
      <w:kern w:val="2"/>
      <w:sz w:val="24"/>
      <w:lang w:val="en-US" w:eastAsia="zh-CN" w:bidi="ar-SA"/>
    </w:rPr>
  </w:style>
  <w:style w:type="character" w:customStyle="1" w:styleId="393">
    <w:name w:val="myp1111"/>
    <w:autoRedefine/>
    <w:qFormat/>
    <w:uiPriority w:val="0"/>
    <w:rPr>
      <w:rFonts w:hint="default" w:ascii="ˎ̥" w:hAnsi="ˎ̥"/>
      <w:color w:val="000000"/>
      <w:sz w:val="20"/>
      <w:szCs w:val="20"/>
      <w:u w:val="none"/>
    </w:rPr>
  </w:style>
  <w:style w:type="character" w:customStyle="1" w:styleId="394">
    <w:name w:val="tw4winJump"/>
    <w:autoRedefine/>
    <w:qFormat/>
    <w:uiPriority w:val="0"/>
    <w:rPr>
      <w:rFonts w:ascii="Courier New" w:hAnsi="Courier New" w:cs="Courier New"/>
      <w:color w:val="008080"/>
      <w:lang w:val="en-US" w:eastAsia="zh-CN"/>
    </w:rPr>
  </w:style>
  <w:style w:type="character" w:customStyle="1" w:styleId="395">
    <w:name w:val="正文文本缩进 Char2"/>
    <w:autoRedefine/>
    <w:qFormat/>
    <w:uiPriority w:val="0"/>
    <w:rPr>
      <w:rFonts w:ascii="Times New Roman" w:hAnsi="Times New Roman" w:eastAsia="宋体" w:cs="Times New Roman"/>
      <w:snapToGrid w:val="0"/>
      <w:kern w:val="0"/>
      <w:szCs w:val="24"/>
    </w:rPr>
  </w:style>
  <w:style w:type="character" w:customStyle="1" w:styleId="396">
    <w:name w:val="hui3"/>
    <w:autoRedefine/>
    <w:qFormat/>
    <w:uiPriority w:val="0"/>
    <w:rPr>
      <w:color w:val="333333"/>
    </w:rPr>
  </w:style>
  <w:style w:type="character" w:customStyle="1" w:styleId="397">
    <w:name w:val="表格名称[858D7CFB-ED40-4347-BF05-701D383B685F]"/>
    <w:link w:val="398"/>
    <w:autoRedefine/>
    <w:qFormat/>
    <w:uiPriority w:val="0"/>
    <w:rPr>
      <w:sz w:val="32"/>
    </w:rPr>
  </w:style>
  <w:style w:type="paragraph" w:customStyle="1" w:styleId="398">
    <w:name w:val="表格名称"/>
    <w:basedOn w:val="3"/>
    <w:link w:val="397"/>
    <w:autoRedefine/>
    <w:qFormat/>
    <w:uiPriority w:val="0"/>
    <w:pPr>
      <w:snapToGrid w:val="0"/>
      <w:spacing w:before="240" w:after="240" w:line="240" w:lineRule="auto"/>
      <w:ind w:left="0" w:firstLine="0"/>
      <w:jc w:val="center"/>
    </w:pPr>
    <w:rPr>
      <w:rFonts w:ascii="Times New Roman" w:hAnsi="Times New Roman" w:eastAsia="宋体"/>
      <w:b w:val="0"/>
      <w:bCs w:val="0"/>
      <w:szCs w:val="20"/>
    </w:rPr>
  </w:style>
  <w:style w:type="character" w:customStyle="1" w:styleId="399">
    <w:name w:val="Char Char4"/>
    <w:autoRedefine/>
    <w:qFormat/>
    <w:uiPriority w:val="0"/>
    <w:rPr>
      <w:rFonts w:eastAsia="宋体"/>
      <w:b/>
      <w:sz w:val="24"/>
      <w:lang w:val="en-US" w:eastAsia="zh-CN" w:bidi="ar-SA"/>
    </w:rPr>
  </w:style>
  <w:style w:type="character" w:customStyle="1" w:styleId="400">
    <w:name w:val="c7 style3"/>
    <w:autoRedefine/>
    <w:qFormat/>
    <w:uiPriority w:val="0"/>
  </w:style>
  <w:style w:type="character" w:customStyle="1" w:styleId="401">
    <w:name w:val="zbggmain style9"/>
    <w:autoRedefine/>
    <w:qFormat/>
    <w:uiPriority w:val="0"/>
  </w:style>
  <w:style w:type="character" w:customStyle="1" w:styleId="402">
    <w:name w:val="正文文本 3 Char1"/>
    <w:autoRedefine/>
    <w:semiHidden/>
    <w:qFormat/>
    <w:uiPriority w:val="99"/>
    <w:rPr>
      <w:rFonts w:ascii="Times New Roman" w:hAnsi="Times New Roman" w:eastAsia="宋体" w:cs="Times New Roman"/>
      <w:sz w:val="16"/>
      <w:szCs w:val="16"/>
    </w:rPr>
  </w:style>
  <w:style w:type="character" w:customStyle="1" w:styleId="403">
    <w:name w:val="公文正文 Char Char"/>
    <w:link w:val="404"/>
    <w:autoRedefine/>
    <w:qFormat/>
    <w:uiPriority w:val="0"/>
    <w:rPr>
      <w:rFonts w:ascii="仿宋_GB2312" w:eastAsia="仿宋_GB2312"/>
      <w:kern w:val="2"/>
      <w:sz w:val="24"/>
      <w:szCs w:val="24"/>
    </w:rPr>
  </w:style>
  <w:style w:type="paragraph" w:customStyle="1" w:styleId="404">
    <w:name w:val="公文正文"/>
    <w:basedOn w:val="1"/>
    <w:link w:val="403"/>
    <w:autoRedefine/>
    <w:qFormat/>
    <w:uiPriority w:val="0"/>
    <w:pPr>
      <w:adjustRightInd/>
      <w:spacing w:before="156" w:line="360" w:lineRule="auto"/>
      <w:ind w:firstLine="360" w:firstLineChars="200"/>
    </w:pPr>
    <w:rPr>
      <w:rFonts w:ascii="仿宋_GB2312" w:eastAsia="仿宋_GB2312"/>
      <w:sz w:val="24"/>
    </w:rPr>
  </w:style>
  <w:style w:type="character" w:customStyle="1" w:styleId="405">
    <w:name w:val="正文2 Char"/>
    <w:autoRedefine/>
    <w:qFormat/>
    <w:uiPriority w:val="0"/>
    <w:rPr>
      <w:rFonts w:eastAsia="宋体"/>
      <w:kern w:val="2"/>
      <w:sz w:val="24"/>
      <w:lang w:val="en-US" w:eastAsia="zh-CN" w:bidi="ar-SA"/>
    </w:rPr>
  </w:style>
  <w:style w:type="character" w:customStyle="1" w:styleId="406">
    <w:name w:val="Body Text(ch) Char Char"/>
    <w:autoRedefine/>
    <w:qFormat/>
    <w:uiPriority w:val="0"/>
    <w:rPr>
      <w:rFonts w:ascii="宋体"/>
      <w:kern w:val="2"/>
      <w:sz w:val="24"/>
      <w:szCs w:val="21"/>
      <w:lang w:val="zh-CN"/>
    </w:rPr>
  </w:style>
  <w:style w:type="character" w:customStyle="1" w:styleId="407">
    <w:name w:val="shadow11"/>
    <w:autoRedefine/>
    <w:qFormat/>
    <w:uiPriority w:val="0"/>
    <w:rPr>
      <w:color w:val="000000"/>
      <w:sz w:val="21"/>
    </w:rPr>
  </w:style>
  <w:style w:type="character" w:customStyle="1" w:styleId="408">
    <w:name w:val="param-name"/>
    <w:autoRedefine/>
    <w:qFormat/>
    <w:uiPriority w:val="99"/>
    <w:rPr>
      <w:rFonts w:ascii="Arial" w:hAnsi="Arial" w:eastAsia="黑体" w:cs="Arial"/>
      <w:snapToGrid w:val="0"/>
      <w:kern w:val="0"/>
      <w:szCs w:val="21"/>
    </w:rPr>
  </w:style>
  <w:style w:type="character" w:customStyle="1" w:styleId="409">
    <w:name w:val="正文非缩进 Char3"/>
    <w:autoRedefine/>
    <w:qFormat/>
    <w:uiPriority w:val="0"/>
    <w:rPr>
      <w:rFonts w:ascii="宋体" w:eastAsia="宋体"/>
      <w:snapToGrid w:val="0"/>
      <w:color w:val="000000"/>
      <w:kern w:val="28"/>
      <w:sz w:val="28"/>
      <w:lang w:val="en-US" w:eastAsia="zh-CN" w:bidi="ar-SA"/>
    </w:rPr>
  </w:style>
  <w:style w:type="character" w:customStyle="1" w:styleId="410">
    <w:name w:val="Char Char82"/>
    <w:autoRedefine/>
    <w:qFormat/>
    <w:uiPriority w:val="0"/>
    <w:rPr>
      <w:rFonts w:eastAsia="宋体"/>
      <w:b/>
      <w:sz w:val="24"/>
      <w:lang w:val="en-US" w:eastAsia="zh-CN"/>
    </w:rPr>
  </w:style>
  <w:style w:type="character" w:customStyle="1" w:styleId="411">
    <w:name w:val="Char Char"/>
    <w:autoRedefine/>
    <w:qFormat/>
    <w:uiPriority w:val="0"/>
    <w:rPr>
      <w:rFonts w:ascii="宋体" w:hAnsi="Courier New" w:eastAsia="宋体"/>
      <w:kern w:val="2"/>
      <w:sz w:val="21"/>
      <w:lang w:val="en-US" w:eastAsia="zh-CN" w:bidi="ar-SA"/>
    </w:rPr>
  </w:style>
  <w:style w:type="character" w:customStyle="1" w:styleId="412">
    <w:name w:val="样式 宋体"/>
    <w:autoRedefine/>
    <w:qFormat/>
    <w:uiPriority w:val="0"/>
    <w:rPr>
      <w:rFonts w:ascii="宋体" w:hAnsi="宋体"/>
      <w:sz w:val="24"/>
    </w:rPr>
  </w:style>
  <w:style w:type="character" w:customStyle="1" w:styleId="413">
    <w:name w:val="Char Char29"/>
    <w:autoRedefine/>
    <w:qFormat/>
    <w:uiPriority w:val="6"/>
    <w:rPr>
      <w:rFonts w:ascii="Arial" w:hAnsi="Arial" w:eastAsia="微软雅黑"/>
      <w:b/>
      <w:kern w:val="1"/>
      <w:sz w:val="44"/>
      <w:szCs w:val="32"/>
      <w:lang w:val="en-US" w:eastAsia="zh-CN" w:bidi="ar-SA"/>
    </w:rPr>
  </w:style>
  <w:style w:type="character" w:customStyle="1" w:styleId="414">
    <w:name w:val="签名 Char1"/>
    <w:autoRedefine/>
    <w:qFormat/>
    <w:uiPriority w:val="0"/>
    <w:rPr>
      <w:rFonts w:ascii="Times New Roman" w:hAnsi="Times New Roman" w:eastAsia="宋体" w:cs="Times New Roman"/>
      <w:szCs w:val="24"/>
    </w:rPr>
  </w:style>
  <w:style w:type="character" w:customStyle="1" w:styleId="415">
    <w:name w:val="Char Char61"/>
    <w:autoRedefine/>
    <w:qFormat/>
    <w:uiPriority w:val="6"/>
    <w:rPr>
      <w:rFonts w:eastAsia="宋体"/>
      <w:kern w:val="2"/>
      <w:sz w:val="21"/>
      <w:szCs w:val="24"/>
      <w:lang w:val="en-US" w:eastAsia="zh-CN" w:bidi="ar-SA"/>
    </w:rPr>
  </w:style>
  <w:style w:type="character" w:customStyle="1" w:styleId="416">
    <w:name w:val="Char Char18"/>
    <w:autoRedefine/>
    <w:qFormat/>
    <w:uiPriority w:val="6"/>
    <w:rPr>
      <w:rFonts w:ascii="宋体" w:hAnsi="宋体"/>
      <w:sz w:val="28"/>
    </w:rPr>
  </w:style>
  <w:style w:type="character" w:customStyle="1" w:styleId="417">
    <w:name w:val="Table Text Char1"/>
    <w:qFormat/>
    <w:uiPriority w:val="0"/>
    <w:rPr>
      <w:rFonts w:eastAsia="宋体"/>
      <w:sz w:val="24"/>
      <w:szCs w:val="24"/>
      <w:lang w:val="en-US" w:eastAsia="zh-CN" w:bidi="ar-SA"/>
    </w:rPr>
  </w:style>
  <w:style w:type="character" w:customStyle="1" w:styleId="418">
    <w:name w:val="批注文字 Char"/>
    <w:qFormat/>
    <w:uiPriority w:val="99"/>
    <w:rPr>
      <w:kern w:val="2"/>
      <w:sz w:val="21"/>
      <w:szCs w:val="24"/>
    </w:rPr>
  </w:style>
  <w:style w:type="character" w:customStyle="1" w:styleId="419">
    <w:name w:val="Char Char22"/>
    <w:qFormat/>
    <w:uiPriority w:val="6"/>
    <w:rPr>
      <w:rFonts w:ascii="宋体" w:hAnsi="宋体"/>
      <w:kern w:val="1"/>
      <w:sz w:val="24"/>
      <w:szCs w:val="24"/>
    </w:rPr>
  </w:style>
  <w:style w:type="character" w:customStyle="1" w:styleId="420">
    <w:name w:val="正文文字缩进 2 Char Char"/>
    <w:qFormat/>
    <w:uiPriority w:val="0"/>
    <w:rPr>
      <w:rFonts w:ascii="宋体"/>
      <w:sz w:val="28"/>
    </w:rPr>
  </w:style>
  <w:style w:type="character" w:customStyle="1" w:styleId="421">
    <w:name w:val="pt141"/>
    <w:qFormat/>
    <w:uiPriority w:val="0"/>
    <w:rPr>
      <w:color w:val="330066"/>
      <w:sz w:val="22"/>
      <w:szCs w:val="22"/>
    </w:rPr>
  </w:style>
  <w:style w:type="character" w:customStyle="1" w:styleId="422">
    <w:name w:val="正文文本缩进 2 Char1"/>
    <w:semiHidden/>
    <w:qFormat/>
    <w:uiPriority w:val="99"/>
    <w:rPr>
      <w:rFonts w:ascii="Times New Roman" w:hAnsi="Times New Roman" w:eastAsia="宋体" w:cs="Times New Roman"/>
      <w:szCs w:val="24"/>
    </w:rPr>
  </w:style>
  <w:style w:type="character" w:customStyle="1" w:styleId="423">
    <w:name w:val="Char Char611"/>
    <w:qFormat/>
    <w:uiPriority w:val="0"/>
    <w:rPr>
      <w:rFonts w:eastAsia="宋体"/>
      <w:kern w:val="2"/>
      <w:sz w:val="21"/>
      <w:szCs w:val="24"/>
      <w:lang w:val="en-US" w:eastAsia="zh-CN" w:bidi="ar-SA"/>
    </w:rPr>
  </w:style>
  <w:style w:type="character" w:customStyle="1" w:styleId="424">
    <w:name w:val="zbggtop11 style5"/>
    <w:qFormat/>
    <w:uiPriority w:val="0"/>
    <w:rPr>
      <w:rFonts w:ascii="Arial" w:hAnsi="Arial" w:eastAsia="黑体" w:cs="Arial"/>
      <w:snapToGrid w:val="0"/>
      <w:kern w:val="0"/>
      <w:szCs w:val="21"/>
    </w:rPr>
  </w:style>
  <w:style w:type="character" w:customStyle="1" w:styleId="425">
    <w:name w:val="highlight1"/>
    <w:qFormat/>
    <w:uiPriority w:val="0"/>
    <w:rPr>
      <w:rFonts w:ascii="仿宋_GB2312" w:eastAsia="微软雅黑"/>
      <w:b/>
      <w:kern w:val="2"/>
      <w:sz w:val="23"/>
      <w:szCs w:val="23"/>
      <w:lang w:val="en-US" w:eastAsia="zh-CN" w:bidi="ar-SA"/>
    </w:rPr>
  </w:style>
  <w:style w:type="character" w:customStyle="1" w:styleId="426">
    <w:name w:val="Char Char9"/>
    <w:qFormat/>
    <w:uiPriority w:val="0"/>
    <w:rPr>
      <w:rFonts w:eastAsia="宋体"/>
      <w:kern w:val="2"/>
      <w:sz w:val="18"/>
      <w:szCs w:val="18"/>
      <w:lang w:val="en-US" w:eastAsia="zh-CN" w:bidi="ar-SA"/>
    </w:rPr>
  </w:style>
  <w:style w:type="character" w:customStyle="1" w:styleId="427">
    <w:name w:val="Used by Word for text of Help footnotes Char Char1"/>
    <w:qFormat/>
    <w:uiPriority w:val="0"/>
    <w:rPr>
      <w:color w:val="0000FF"/>
      <w:sz w:val="21"/>
    </w:rPr>
  </w:style>
  <w:style w:type="character" w:customStyle="1" w:styleId="428">
    <w:name w:val="页眉 Char"/>
    <w:qFormat/>
    <w:uiPriority w:val="0"/>
    <w:rPr>
      <w:rFonts w:eastAsia="仿宋_GB2312"/>
      <w:kern w:val="2"/>
      <w:sz w:val="18"/>
      <w:lang w:val="en-US" w:eastAsia="zh-CN"/>
    </w:rPr>
  </w:style>
  <w:style w:type="character" w:customStyle="1" w:styleId="429">
    <w:name w:val="Char Char23"/>
    <w:qFormat/>
    <w:uiPriority w:val="6"/>
    <w:rPr>
      <w:color w:val="0000FF"/>
      <w:sz w:val="21"/>
    </w:rPr>
  </w:style>
  <w:style w:type="character" w:customStyle="1" w:styleId="430">
    <w:name w:val="批注框文本 字符"/>
    <w:qFormat/>
    <w:uiPriority w:val="0"/>
    <w:rPr>
      <w:rFonts w:ascii="Arial" w:hAnsi="Arial" w:eastAsia="黑体" w:cs="Arial"/>
      <w:snapToGrid w:val="0"/>
      <w:kern w:val="0"/>
      <w:sz w:val="18"/>
      <w:szCs w:val="18"/>
    </w:rPr>
  </w:style>
  <w:style w:type="character" w:customStyle="1" w:styleId="431">
    <w:name w:val="纯文本 Char2"/>
    <w:semiHidden/>
    <w:qFormat/>
    <w:uiPriority w:val="99"/>
    <w:rPr>
      <w:rFonts w:ascii="宋体" w:hAnsi="Courier New" w:eastAsia="宋体" w:cs="Courier New"/>
    </w:rPr>
  </w:style>
  <w:style w:type="character" w:customStyle="1" w:styleId="432">
    <w:name w:val="Char Char25"/>
    <w:qFormat/>
    <w:uiPriority w:val="6"/>
    <w:rPr>
      <w:rFonts w:ascii="宋体" w:hAnsi="宋体"/>
      <w:kern w:val="1"/>
      <w:sz w:val="24"/>
      <w:lang w:val="zh-CN"/>
    </w:rPr>
  </w:style>
  <w:style w:type="character" w:customStyle="1" w:styleId="433">
    <w:name w:val="Char Char411"/>
    <w:qFormat/>
    <w:uiPriority w:val="0"/>
    <w:rPr>
      <w:rFonts w:eastAsia="宋体"/>
      <w:b/>
      <w:sz w:val="24"/>
      <w:lang w:val="en-US" w:eastAsia="zh-CN" w:bidi="ar-SA"/>
    </w:rPr>
  </w:style>
  <w:style w:type="character" w:customStyle="1" w:styleId="434">
    <w:name w:val="此正文 Char"/>
    <w:link w:val="435"/>
    <w:qFormat/>
    <w:uiPriority w:val="0"/>
    <w:rPr>
      <w:kern w:val="2"/>
      <w:sz w:val="24"/>
      <w:szCs w:val="24"/>
    </w:rPr>
  </w:style>
  <w:style w:type="paragraph" w:customStyle="1" w:styleId="435">
    <w:name w:val="此正文"/>
    <w:basedOn w:val="1"/>
    <w:link w:val="434"/>
    <w:qFormat/>
    <w:uiPriority w:val="0"/>
    <w:pPr>
      <w:adjustRightInd/>
      <w:spacing w:line="360" w:lineRule="auto"/>
      <w:ind w:firstLine="200" w:firstLineChars="200"/>
    </w:pPr>
    <w:rPr>
      <w:sz w:val="24"/>
    </w:rPr>
  </w:style>
  <w:style w:type="character" w:customStyle="1" w:styleId="436">
    <w:name w:val="font81"/>
    <w:qFormat/>
    <w:uiPriority w:val="0"/>
    <w:rPr>
      <w:rFonts w:ascii="微软雅黑" w:hAnsi="微软雅黑" w:eastAsia="微软雅黑" w:cs="微软雅黑"/>
      <w:color w:val="000000"/>
      <w:sz w:val="20"/>
      <w:szCs w:val="20"/>
      <w:u w:val="none"/>
    </w:rPr>
  </w:style>
  <w:style w:type="character" w:customStyle="1" w:styleId="437">
    <w:name w:val="t21"/>
    <w:qFormat/>
    <w:uiPriority w:val="0"/>
    <w:rPr>
      <w:rFonts w:ascii="仿宋_GB2312" w:eastAsia="微软雅黑"/>
      <w:b/>
      <w:kern w:val="2"/>
      <w:sz w:val="23"/>
      <w:szCs w:val="23"/>
      <w:lang w:val="en-US" w:eastAsia="zh-CN" w:bidi="ar-SA"/>
    </w:rPr>
  </w:style>
  <w:style w:type="character" w:customStyle="1" w:styleId="438">
    <w:name w:val="正文首行缩进 Char Char Char Char Char Char1"/>
    <w:qFormat/>
    <w:uiPriority w:val="0"/>
    <w:rPr>
      <w:rFonts w:ascii="宋体" w:eastAsia="宋体"/>
      <w:kern w:val="2"/>
      <w:sz w:val="24"/>
      <w:szCs w:val="24"/>
      <w:lang w:val="zh-CN" w:bidi="ar-SA"/>
    </w:rPr>
  </w:style>
  <w:style w:type="character" w:customStyle="1" w:styleId="439">
    <w:name w:val="称呼 Char1"/>
    <w:qFormat/>
    <w:uiPriority w:val="0"/>
    <w:rPr>
      <w:rFonts w:ascii="Times New Roman" w:hAnsi="Times New Roman" w:eastAsia="宋体" w:cs="Times New Roman"/>
      <w:szCs w:val="24"/>
    </w:rPr>
  </w:style>
  <w:style w:type="character" w:customStyle="1" w:styleId="440">
    <w:name w:val="正文缩进 Char1"/>
    <w:qFormat/>
    <w:uiPriority w:val="0"/>
    <w:rPr>
      <w:rFonts w:ascii="宋体" w:eastAsia="宋体"/>
      <w:snapToGrid w:val="0"/>
      <w:color w:val="000000"/>
      <w:kern w:val="28"/>
      <w:sz w:val="28"/>
      <w:lang w:val="en-US" w:eastAsia="zh-CN" w:bidi="ar-SA"/>
    </w:rPr>
  </w:style>
  <w:style w:type="character" w:customStyle="1" w:styleId="441">
    <w:name w:val="h Char1"/>
    <w:qFormat/>
    <w:uiPriority w:val="0"/>
    <w:rPr>
      <w:sz w:val="18"/>
      <w:szCs w:val="18"/>
    </w:rPr>
  </w:style>
  <w:style w:type="character" w:customStyle="1" w:styleId="442">
    <w:name w:val="font31"/>
    <w:qFormat/>
    <w:uiPriority w:val="0"/>
    <w:rPr>
      <w:rFonts w:hint="eastAsia" w:ascii="仿宋" w:hAnsi="仿宋" w:eastAsia="仿宋" w:cs="仿宋"/>
      <w:color w:val="000000"/>
      <w:sz w:val="20"/>
      <w:szCs w:val="20"/>
      <w:u w:val="none"/>
    </w:rPr>
  </w:style>
  <w:style w:type="character" w:customStyle="1" w:styleId="443">
    <w:name w:val="Char Char35"/>
    <w:qFormat/>
    <w:uiPriority w:val="6"/>
    <w:rPr>
      <w:rFonts w:ascii="Arial" w:hAnsi="Arial" w:eastAsia="黑体"/>
      <w:b/>
      <w:kern w:val="1"/>
      <w:sz w:val="28"/>
      <w:szCs w:val="28"/>
      <w:lang w:val="zh-CN"/>
    </w:rPr>
  </w:style>
  <w:style w:type="character" w:customStyle="1" w:styleId="444">
    <w:name w:val="纯文本 Char Char Char"/>
    <w:qFormat/>
    <w:uiPriority w:val="0"/>
    <w:rPr>
      <w:rFonts w:ascii="宋体" w:hAnsi="Courier New" w:eastAsia="宋体"/>
      <w:kern w:val="2"/>
      <w:sz w:val="21"/>
      <w:lang w:val="en-US" w:eastAsia="zh-CN" w:bidi="ar-SA"/>
    </w:rPr>
  </w:style>
  <w:style w:type="character" w:customStyle="1" w:styleId="445">
    <w:name w:val="正文1 Char1"/>
    <w:qFormat/>
    <w:uiPriority w:val="0"/>
    <w:rPr>
      <w:rFonts w:ascii="仿宋_GB2312" w:hAnsi="Courier New" w:eastAsia="仿宋_GB2312"/>
      <w:kern w:val="28"/>
      <w:sz w:val="24"/>
      <w:szCs w:val="24"/>
      <w:lang w:val="en-US" w:eastAsia="zh-CN"/>
    </w:rPr>
  </w:style>
  <w:style w:type="character" w:customStyle="1" w:styleId="446">
    <w:name w:val="页脚 Char1"/>
    <w:qFormat/>
    <w:uiPriority w:val="0"/>
    <w:rPr>
      <w:rFonts w:eastAsia="宋体"/>
      <w:kern w:val="2"/>
      <w:sz w:val="18"/>
      <w:szCs w:val="18"/>
      <w:lang w:val="en-US" w:eastAsia="zh-CN" w:bidi="ar-SA"/>
    </w:rPr>
  </w:style>
  <w:style w:type="character" w:customStyle="1" w:styleId="447">
    <w:name w:val="Char Char17"/>
    <w:qFormat/>
    <w:uiPriority w:val="6"/>
    <w:rPr>
      <w:rFonts w:eastAsia="仿宋_GB2312"/>
      <w:sz w:val="24"/>
    </w:rPr>
  </w:style>
  <w:style w:type="character" w:customStyle="1" w:styleId="448">
    <w:name w:val="Char Char16"/>
    <w:qFormat/>
    <w:uiPriority w:val="6"/>
    <w:rPr>
      <w:kern w:val="1"/>
      <w:sz w:val="18"/>
      <w:szCs w:val="18"/>
    </w:rPr>
  </w:style>
  <w:style w:type="character" w:customStyle="1" w:styleId="449">
    <w:name w:val="页眉 字符"/>
    <w:qFormat/>
    <w:uiPriority w:val="99"/>
    <w:rPr>
      <w:kern w:val="2"/>
      <w:sz w:val="18"/>
      <w:szCs w:val="18"/>
    </w:rPr>
  </w:style>
  <w:style w:type="character" w:customStyle="1" w:styleId="450">
    <w:name w:val="标题 3 Char2"/>
    <w:qFormat/>
    <w:uiPriority w:val="0"/>
    <w:rPr>
      <w:rFonts w:eastAsia="宋体"/>
      <w:b/>
      <w:bCs/>
      <w:kern w:val="2"/>
      <w:sz w:val="32"/>
      <w:szCs w:val="32"/>
      <w:lang w:val="en-US" w:eastAsia="zh-CN" w:bidi="ar-SA"/>
    </w:rPr>
  </w:style>
  <w:style w:type="character" w:customStyle="1" w:styleId="451">
    <w:name w:val="Char Char21"/>
    <w:qFormat/>
    <w:uiPriority w:val="6"/>
    <w:rPr>
      <w:rFonts w:ascii="宋体" w:hAnsi="宋体"/>
      <w:kern w:val="1"/>
      <w:sz w:val="24"/>
      <w:szCs w:val="21"/>
      <w:lang w:val="zh-CN"/>
    </w:rPr>
  </w:style>
  <w:style w:type="character" w:customStyle="1" w:styleId="452">
    <w:name w:val="标准文本 Char Char"/>
    <w:link w:val="453"/>
    <w:qFormat/>
    <w:uiPriority w:val="0"/>
    <w:rPr>
      <w:rFonts w:cs="宋体"/>
      <w:kern w:val="2"/>
      <w:sz w:val="24"/>
    </w:rPr>
  </w:style>
  <w:style w:type="paragraph" w:customStyle="1" w:styleId="453">
    <w:name w:val="标准文本"/>
    <w:basedOn w:val="1"/>
    <w:link w:val="452"/>
    <w:qFormat/>
    <w:uiPriority w:val="0"/>
    <w:pPr>
      <w:adjustRightInd/>
      <w:spacing w:line="360" w:lineRule="auto"/>
      <w:ind w:firstLine="480" w:firstLineChars="200"/>
    </w:pPr>
    <w:rPr>
      <w:sz w:val="24"/>
      <w:szCs w:val="20"/>
    </w:rPr>
  </w:style>
  <w:style w:type="character" w:customStyle="1" w:styleId="454">
    <w:name w:val="tpc_content1"/>
    <w:qFormat/>
    <w:uiPriority w:val="0"/>
    <w:rPr>
      <w:sz w:val="20"/>
      <w:szCs w:val="20"/>
    </w:rPr>
  </w:style>
  <w:style w:type="character" w:customStyle="1" w:styleId="455">
    <w:name w:val="正文文本 2 字符"/>
    <w:qFormat/>
    <w:uiPriority w:val="0"/>
    <w:rPr>
      <w:rFonts w:ascii="Arial" w:hAnsi="Arial" w:eastAsia="宋体"/>
      <w:kern w:val="2"/>
      <w:sz w:val="24"/>
      <w:szCs w:val="24"/>
      <w:lang w:val="en-US" w:eastAsia="zh-CN" w:bidi="ar-SA"/>
    </w:rPr>
  </w:style>
  <w:style w:type="character" w:customStyle="1" w:styleId="456">
    <w:name w:val="font71"/>
    <w:qFormat/>
    <w:uiPriority w:val="0"/>
    <w:rPr>
      <w:rFonts w:hint="eastAsia" w:ascii="宋体" w:hAnsi="宋体" w:eastAsia="宋体" w:cs="宋体"/>
      <w:color w:val="000000"/>
      <w:sz w:val="22"/>
      <w:szCs w:val="22"/>
      <w:u w:val="none"/>
    </w:rPr>
  </w:style>
  <w:style w:type="character" w:customStyle="1" w:styleId="457">
    <w:name w:val="font91"/>
    <w:qFormat/>
    <w:uiPriority w:val="0"/>
    <w:rPr>
      <w:rFonts w:hint="eastAsia" w:ascii="仿宋" w:hAnsi="仿宋" w:eastAsia="仿宋" w:cs="仿宋"/>
      <w:color w:val="000000"/>
      <w:sz w:val="22"/>
      <w:szCs w:val="22"/>
      <w:u w:val="none"/>
    </w:rPr>
  </w:style>
  <w:style w:type="character" w:customStyle="1" w:styleId="458">
    <w:name w:val="_Style 456"/>
    <w:unhideWhenUsed/>
    <w:qFormat/>
    <w:uiPriority w:val="99"/>
    <w:rPr>
      <w:color w:val="605E5C"/>
      <w:shd w:val="clear" w:color="auto" w:fill="E1DFDD"/>
    </w:rPr>
  </w:style>
  <w:style w:type="paragraph" w:customStyle="1" w:styleId="4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4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62">
    <w:name w:val="表1"/>
    <w:basedOn w:val="1"/>
    <w:qFormat/>
    <w:uiPriority w:val="0"/>
    <w:pPr>
      <w:tabs>
        <w:tab w:val="left" w:pos="703"/>
      </w:tabs>
      <w:adjustRightInd/>
      <w:spacing w:line="360" w:lineRule="auto"/>
      <w:ind w:left="703"/>
      <w:jc w:val="center"/>
    </w:pPr>
  </w:style>
  <w:style w:type="paragraph" w:customStyle="1" w:styleId="46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64">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EB_表格"/>
    <w:basedOn w:val="1"/>
    <w:qFormat/>
    <w:uiPriority w:val="0"/>
    <w:pPr>
      <w:adjustRightInd/>
      <w:spacing w:line="300" w:lineRule="auto"/>
      <w:jc w:val="center"/>
    </w:pPr>
  </w:style>
  <w:style w:type="paragraph" w:customStyle="1" w:styleId="46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68">
    <w:name w:val="Char11"/>
    <w:basedOn w:val="1"/>
    <w:qFormat/>
    <w:uiPriority w:val="0"/>
    <w:pPr>
      <w:tabs>
        <w:tab w:val="left" w:pos="432"/>
      </w:tabs>
      <w:adjustRightInd/>
      <w:spacing w:beforeLines="50" w:afterLines="50"/>
      <w:ind w:left="432" w:hanging="432" w:firstLineChars="200"/>
    </w:pPr>
    <w:rPr>
      <w:sz w:val="24"/>
    </w:rPr>
  </w:style>
  <w:style w:type="paragraph" w:customStyle="1" w:styleId="469">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70">
    <w:name w:val="Normal0"/>
    <w:qFormat/>
    <w:uiPriority w:val="0"/>
    <w:rPr>
      <w:rFonts w:ascii="Times New Roman" w:hAnsi="Times New Roman" w:eastAsia="宋体" w:cs="Times New Roman"/>
      <w:lang w:val="en-US" w:eastAsia="en-US" w:bidi="ar-SA"/>
    </w:rPr>
  </w:style>
  <w:style w:type="paragraph" w:customStyle="1" w:styleId="47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7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74">
    <w:name w:val="_Style 3"/>
    <w:basedOn w:val="1"/>
    <w:qFormat/>
    <w:uiPriority w:val="0"/>
    <w:pPr>
      <w:adjustRightInd/>
      <w:ind w:firstLine="420" w:firstLineChars="200"/>
    </w:pPr>
    <w:rPr>
      <w:rFonts w:eastAsia="仿宋_GB2312"/>
      <w:sz w:val="28"/>
    </w:rPr>
  </w:style>
  <w:style w:type="paragraph" w:customStyle="1" w:styleId="475">
    <w:name w:val="图中文字"/>
    <w:basedOn w:val="1"/>
    <w:qFormat/>
    <w:uiPriority w:val="0"/>
    <w:pPr>
      <w:snapToGrid w:val="0"/>
      <w:spacing w:line="0" w:lineRule="atLeast"/>
      <w:ind w:firstLine="200" w:firstLineChars="200"/>
      <w:jc w:val="center"/>
    </w:pPr>
    <w:rPr>
      <w:sz w:val="24"/>
      <w:szCs w:val="20"/>
    </w:rPr>
  </w:style>
  <w:style w:type="paragraph" w:customStyle="1" w:styleId="47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7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7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2">
    <w:name w:val="封面"/>
    <w:basedOn w:val="1"/>
    <w:qFormat/>
    <w:uiPriority w:val="0"/>
    <w:pPr>
      <w:spacing w:line="360" w:lineRule="atLeast"/>
      <w:jc w:val="right"/>
      <w:textAlignment w:val="baseline"/>
    </w:pPr>
    <w:rPr>
      <w:rFonts w:ascii="Symbol" w:hAnsi="Symbol"/>
      <w:kern w:val="0"/>
      <w:szCs w:val="20"/>
    </w:rPr>
  </w:style>
  <w:style w:type="paragraph" w:customStyle="1" w:styleId="48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84">
    <w:name w:val="MM Topic 1"/>
    <w:basedOn w:val="2"/>
    <w:qFormat/>
    <w:uiPriority w:val="0"/>
    <w:pPr>
      <w:tabs>
        <w:tab w:val="left" w:pos="840"/>
        <w:tab w:val="clear" w:pos="432"/>
      </w:tabs>
      <w:adjustRightInd/>
      <w:ind w:left="840" w:hanging="420"/>
    </w:pPr>
  </w:style>
  <w:style w:type="paragraph" w:customStyle="1" w:styleId="485">
    <w:name w:val="左对齐表格文字"/>
    <w:basedOn w:val="1"/>
    <w:qFormat/>
    <w:uiPriority w:val="0"/>
    <w:pPr>
      <w:adjustRightInd/>
      <w:ind w:firstLine="200" w:firstLineChars="200"/>
      <w:jc w:val="right"/>
    </w:pPr>
  </w:style>
  <w:style w:type="paragraph" w:customStyle="1" w:styleId="4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3">
    <w:name w:val="Char Char Char Char Char Char Char Char2"/>
    <w:basedOn w:val="1"/>
    <w:qFormat/>
    <w:uiPriority w:val="0"/>
    <w:pPr>
      <w:tabs>
        <w:tab w:val="left" w:pos="360"/>
      </w:tabs>
    </w:pPr>
    <w:rPr>
      <w:sz w:val="24"/>
      <w:szCs w:val="20"/>
    </w:rPr>
  </w:style>
  <w:style w:type="paragraph" w:customStyle="1" w:styleId="494">
    <w:name w:val="Char Char1 Char Char Char"/>
    <w:basedOn w:val="1"/>
    <w:qFormat/>
    <w:uiPriority w:val="0"/>
    <w:rPr>
      <w:rFonts w:ascii="仿宋_GB2312" w:eastAsia="仿宋_GB2312"/>
      <w:b/>
      <w:sz w:val="32"/>
      <w:szCs w:val="20"/>
    </w:rPr>
  </w:style>
  <w:style w:type="paragraph" w:customStyle="1" w:styleId="495">
    <w:name w:val="Char111"/>
    <w:basedOn w:val="1"/>
    <w:qFormat/>
    <w:uiPriority w:val="0"/>
    <w:rPr>
      <w:rFonts w:ascii="仿宋_GB2312" w:eastAsia="仿宋_GB2312"/>
      <w:b/>
      <w:sz w:val="32"/>
      <w:szCs w:val="32"/>
    </w:rPr>
  </w:style>
  <w:style w:type="paragraph" w:customStyle="1" w:styleId="496">
    <w:name w:val="3级标题"/>
    <w:basedOn w:val="497"/>
    <w:qFormat/>
    <w:uiPriority w:val="0"/>
    <w:pPr>
      <w:outlineLvl w:val="2"/>
    </w:pPr>
  </w:style>
  <w:style w:type="paragraph" w:customStyle="1" w:styleId="497">
    <w:name w:val="2级标题"/>
    <w:basedOn w:val="498"/>
    <w:qFormat/>
    <w:uiPriority w:val="0"/>
    <w:pPr>
      <w:jc w:val="left"/>
      <w:outlineLvl w:val="1"/>
    </w:pPr>
    <w:rPr>
      <w:rFonts w:ascii="Times New Roman" w:hAnsi="Times New Roman" w:eastAsia="仿宋"/>
      <w:sz w:val="30"/>
    </w:rPr>
  </w:style>
  <w:style w:type="paragraph" w:customStyle="1" w:styleId="49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U_编号2"/>
    <w:basedOn w:val="1"/>
    <w:qFormat/>
    <w:uiPriority w:val="0"/>
    <w:pPr>
      <w:tabs>
        <w:tab w:val="left" w:pos="785"/>
      </w:tabs>
      <w:adjustRightInd/>
      <w:spacing w:beforeLines="10" w:afterLines="10" w:line="300" w:lineRule="auto"/>
    </w:pPr>
    <w:rPr>
      <w:sz w:val="24"/>
    </w:rPr>
  </w:style>
  <w:style w:type="paragraph" w:customStyle="1" w:styleId="5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0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0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08">
    <w:name w:val="4"/>
    <w:basedOn w:val="1"/>
    <w:next w:val="37"/>
    <w:qFormat/>
    <w:uiPriority w:val="0"/>
    <w:pPr>
      <w:spacing w:after="120" w:line="480" w:lineRule="auto"/>
      <w:ind w:left="420" w:leftChars="200"/>
    </w:pPr>
    <w:rPr>
      <w:sz w:val="24"/>
      <w:szCs w:val="20"/>
    </w:rPr>
  </w:style>
  <w:style w:type="paragraph" w:customStyle="1" w:styleId="509">
    <w:name w:val="MM Topic 3"/>
    <w:basedOn w:val="4"/>
    <w:qFormat/>
    <w:uiPriority w:val="0"/>
    <w:pPr>
      <w:tabs>
        <w:tab w:val="left" w:pos="1680"/>
        <w:tab w:val="clear" w:pos="900"/>
      </w:tabs>
      <w:adjustRightInd/>
      <w:ind w:left="1680" w:hanging="420"/>
    </w:pPr>
  </w:style>
  <w:style w:type="paragraph" w:customStyle="1" w:styleId="51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11">
    <w:name w:val="有符号正文"/>
    <w:basedOn w:val="1"/>
    <w:qFormat/>
    <w:uiPriority w:val="0"/>
    <w:pPr>
      <w:adjustRightInd/>
      <w:spacing w:line="400" w:lineRule="exact"/>
      <w:ind w:firstLine="200" w:firstLineChars="200"/>
    </w:pPr>
    <w:rPr>
      <w:rFonts w:ascii="Arial" w:hAnsi="Arial"/>
    </w:rPr>
  </w:style>
  <w:style w:type="paragraph" w:customStyle="1" w:styleId="512">
    <w:name w:val="Char23"/>
    <w:basedOn w:val="1"/>
    <w:qFormat/>
    <w:uiPriority w:val="0"/>
    <w:rPr>
      <w:rFonts w:ascii="仿宋_GB2312" w:eastAsia="仿宋_GB2312"/>
      <w:b/>
      <w:sz w:val="32"/>
      <w:szCs w:val="32"/>
    </w:rPr>
  </w:style>
  <w:style w:type="paragraph" w:customStyle="1" w:styleId="51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14">
    <w:name w:val="Char Char11 Char Char Char Char Char Char Char Char Char"/>
    <w:basedOn w:val="1"/>
    <w:qFormat/>
    <w:uiPriority w:val="0"/>
    <w:pPr>
      <w:spacing w:line="360" w:lineRule="auto"/>
    </w:pPr>
    <w:rPr>
      <w:szCs w:val="20"/>
    </w:rPr>
  </w:style>
  <w:style w:type="paragraph" w:customStyle="1" w:styleId="515">
    <w:name w:val="Char Char1 Char Char Char2"/>
    <w:basedOn w:val="1"/>
    <w:qFormat/>
    <w:uiPriority w:val="0"/>
    <w:rPr>
      <w:rFonts w:ascii="仿宋_GB2312" w:eastAsia="仿宋_GB2312"/>
      <w:b/>
      <w:sz w:val="32"/>
      <w:szCs w:val="32"/>
    </w:rPr>
  </w:style>
  <w:style w:type="paragraph" w:customStyle="1" w:styleId="51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518">
    <w:name w:val="Char Char11 Char Char Char Char Char Char Char Char Char11"/>
    <w:basedOn w:val="1"/>
    <w:qFormat/>
    <w:uiPriority w:val="0"/>
    <w:pPr>
      <w:spacing w:line="360" w:lineRule="auto"/>
    </w:pPr>
    <w:rPr>
      <w:szCs w:val="20"/>
    </w:rPr>
  </w:style>
  <w:style w:type="paragraph" w:customStyle="1" w:styleId="51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22">
    <w:name w:val="p0"/>
    <w:basedOn w:val="1"/>
    <w:qFormat/>
    <w:uiPriority w:val="0"/>
    <w:pPr>
      <w:widowControl/>
      <w:adjustRightInd/>
    </w:pPr>
    <w:rPr>
      <w:kern w:val="0"/>
      <w:szCs w:val="21"/>
    </w:rPr>
  </w:style>
  <w:style w:type="paragraph" w:customStyle="1" w:styleId="523">
    <w:name w:val="正文（标题三）"/>
    <w:basedOn w:val="1"/>
    <w:qFormat/>
    <w:uiPriority w:val="0"/>
    <w:pPr>
      <w:spacing w:line="360" w:lineRule="auto"/>
      <w:ind w:firstLine="200" w:firstLineChars="200"/>
    </w:pPr>
    <w:rPr>
      <w:sz w:val="24"/>
    </w:rPr>
  </w:style>
  <w:style w:type="paragraph" w:customStyle="1" w:styleId="524">
    <w:name w:val="正文箭头"/>
    <w:basedOn w:val="525"/>
    <w:qFormat/>
    <w:uiPriority w:val="0"/>
    <w:pPr>
      <w:tabs>
        <w:tab w:val="left" w:pos="0"/>
        <w:tab w:val="left" w:pos="703"/>
      </w:tabs>
    </w:pPr>
  </w:style>
  <w:style w:type="paragraph" w:customStyle="1" w:styleId="5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26">
    <w:name w:val="CM14"/>
    <w:basedOn w:val="280"/>
    <w:next w:val="280"/>
    <w:qFormat/>
    <w:uiPriority w:val="0"/>
    <w:pPr>
      <w:spacing w:after="68"/>
    </w:pPr>
    <w:rPr>
      <w:rFonts w:ascii="FHLHE E+ Futura Bk" w:eastAsia="FHLHE E+ Futura Bk" w:cs="Times New Roman"/>
      <w:color w:val="auto"/>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Char Char Char Char Char Char Char1"/>
    <w:basedOn w:val="1"/>
    <w:qFormat/>
    <w:uiPriority w:val="6"/>
    <w:rPr>
      <w:rFonts w:ascii="仿宋_GB2312" w:eastAsia="仿宋_GB2312"/>
      <w:b/>
      <w:sz w:val="32"/>
      <w:szCs w:val="32"/>
    </w:rPr>
  </w:style>
  <w:style w:type="paragraph" w:customStyle="1" w:styleId="52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3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3">
    <w:name w:val="Char1 Char Char Char21"/>
    <w:basedOn w:val="1"/>
    <w:qFormat/>
    <w:uiPriority w:val="0"/>
    <w:rPr>
      <w:rFonts w:ascii="Tahoma" w:hAnsi="Tahoma"/>
      <w:sz w:val="24"/>
      <w:szCs w:val="20"/>
    </w:rPr>
  </w:style>
  <w:style w:type="paragraph" w:customStyle="1" w:styleId="5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35">
    <w:name w:val="文本正文 Char"/>
    <w:basedOn w:val="1"/>
    <w:qFormat/>
    <w:uiPriority w:val="0"/>
    <w:pPr>
      <w:spacing w:line="360" w:lineRule="auto"/>
      <w:ind w:firstLine="200" w:firstLineChars="200"/>
    </w:pPr>
    <w:rPr>
      <w:kern w:val="0"/>
      <w:sz w:val="24"/>
      <w:szCs w:val="20"/>
    </w:rPr>
  </w:style>
  <w:style w:type="paragraph" w:customStyle="1" w:styleId="53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7">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3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4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Char Char Char Char Char Char Char Char Char Char"/>
    <w:basedOn w:val="1"/>
    <w:qFormat/>
    <w:uiPriority w:val="0"/>
    <w:rPr>
      <w:rFonts w:ascii="仿宋_GB2312" w:eastAsia="仿宋_GB2312"/>
      <w:b/>
      <w:sz w:val="32"/>
      <w:szCs w:val="32"/>
    </w:rPr>
  </w:style>
  <w:style w:type="paragraph" w:customStyle="1" w:styleId="543">
    <w:name w:val="正文 项目2"/>
    <w:basedOn w:val="544"/>
    <w:qFormat/>
    <w:uiPriority w:val="0"/>
    <w:pPr>
      <w:tabs>
        <w:tab w:val="left" w:pos="840"/>
      </w:tabs>
      <w:spacing w:after="0"/>
      <w:ind w:left="900"/>
    </w:pPr>
  </w:style>
  <w:style w:type="paragraph" w:customStyle="1" w:styleId="54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45">
    <w:name w:val="Plain Text1"/>
    <w:basedOn w:val="1"/>
    <w:qFormat/>
    <w:uiPriority w:val="7"/>
    <w:pPr>
      <w:adjustRightInd/>
    </w:pPr>
    <w:rPr>
      <w:rFonts w:ascii="宋体" w:hAnsi="Courier New"/>
    </w:rPr>
  </w:style>
  <w:style w:type="paragraph" w:customStyle="1" w:styleId="546">
    <w:name w:val="Char Char113"/>
    <w:basedOn w:val="1"/>
    <w:qFormat/>
    <w:uiPriority w:val="0"/>
    <w:pPr>
      <w:widowControl/>
      <w:spacing w:after="160" w:line="240" w:lineRule="exact"/>
      <w:jc w:val="left"/>
    </w:pPr>
    <w:rPr>
      <w:rFonts w:eastAsia="仿宋_GB2312"/>
      <w:sz w:val="28"/>
    </w:rPr>
  </w:style>
  <w:style w:type="paragraph" w:customStyle="1" w:styleId="547">
    <w:name w:val="6级标题"/>
    <w:basedOn w:val="548"/>
    <w:qFormat/>
    <w:uiPriority w:val="0"/>
    <w:pPr>
      <w:keepNext/>
      <w:tabs>
        <w:tab w:val="left" w:pos="360"/>
      </w:tabs>
      <w:outlineLvl w:val="5"/>
    </w:pPr>
  </w:style>
  <w:style w:type="paragraph" w:customStyle="1" w:styleId="548">
    <w:name w:val="5级标题"/>
    <w:basedOn w:val="54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49">
    <w:name w:val="4级标题"/>
    <w:basedOn w:val="14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5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51">
    <w:name w:val="Char Char Char1 Char"/>
    <w:basedOn w:val="1"/>
    <w:qFormat/>
    <w:uiPriority w:val="0"/>
    <w:rPr>
      <w:szCs w:val="20"/>
    </w:rPr>
  </w:style>
  <w:style w:type="paragraph" w:customStyle="1" w:styleId="552">
    <w:name w:val="Char1 Char Char Char2"/>
    <w:basedOn w:val="1"/>
    <w:qFormat/>
    <w:uiPriority w:val="0"/>
    <w:pPr>
      <w:adjustRightInd/>
      <w:ind w:firstLine="200" w:firstLineChars="200"/>
    </w:pPr>
    <w:rPr>
      <w:rFonts w:ascii="Tahoma" w:hAnsi="Tahoma"/>
      <w:sz w:val="24"/>
      <w:szCs w:val="20"/>
    </w:rPr>
  </w:style>
  <w:style w:type="paragraph" w:customStyle="1" w:styleId="5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5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5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5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标书表格字体格式"/>
    <w:next w:val="560"/>
    <w:qFormat/>
    <w:uiPriority w:val="0"/>
    <w:rPr>
      <w:rFonts w:ascii="Times New Roman" w:hAnsi="Times New Roman" w:eastAsia="宋体" w:cs="Times New Roman"/>
      <w:kern w:val="2"/>
      <w:sz w:val="21"/>
      <w:szCs w:val="24"/>
      <w:lang w:val="en-US" w:eastAsia="zh-CN" w:bidi="ar-SA"/>
    </w:rPr>
  </w:style>
  <w:style w:type="paragraph" w:customStyle="1" w:styleId="5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6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62">
    <w:name w:val="Char Char1 Char"/>
    <w:basedOn w:val="1"/>
    <w:qFormat/>
    <w:uiPriority w:val="0"/>
    <w:rPr>
      <w:rFonts w:ascii="仿宋_GB2312" w:eastAsia="仿宋_GB2312"/>
      <w:b/>
      <w:sz w:val="32"/>
      <w:szCs w:val="32"/>
    </w:rPr>
  </w:style>
  <w:style w:type="paragraph" w:customStyle="1" w:styleId="563">
    <w:name w:val="带编号样式"/>
    <w:basedOn w:val="535"/>
    <w:qFormat/>
    <w:uiPriority w:val="0"/>
    <w:pPr>
      <w:tabs>
        <w:tab w:val="left" w:pos="840"/>
      </w:tabs>
      <w:snapToGrid w:val="0"/>
      <w:ind w:left="840" w:hanging="420" w:firstLineChars="0"/>
    </w:pPr>
    <w:rPr>
      <w:rFonts w:ascii="仿宋_GB2312" w:eastAsia="仿宋_GB2312"/>
      <w:color w:val="000000"/>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65">
    <w:name w:val="一级条标题"/>
    <w:basedOn w:val="566"/>
    <w:next w:val="567"/>
    <w:qFormat/>
    <w:uiPriority w:val="0"/>
    <w:pPr>
      <w:tabs>
        <w:tab w:val="left" w:pos="1260"/>
        <w:tab w:val="left" w:pos="1680"/>
      </w:tabs>
      <w:spacing w:beforeLines="0" w:afterLines="0"/>
      <w:ind w:left="1680"/>
      <w:outlineLvl w:val="2"/>
    </w:pPr>
  </w:style>
  <w:style w:type="paragraph" w:customStyle="1" w:styleId="566">
    <w:name w:val="章标题"/>
    <w:next w:val="56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8">
    <w:name w:val="Char2 Char Char1"/>
    <w:basedOn w:val="1"/>
    <w:qFormat/>
    <w:uiPriority w:val="6"/>
    <w:pPr>
      <w:adjustRightInd/>
    </w:pPr>
    <w:rPr>
      <w:rFonts w:ascii="Tahoma" w:hAnsi="Tahoma"/>
      <w:sz w:val="24"/>
      <w:szCs w:val="20"/>
    </w:rPr>
  </w:style>
  <w:style w:type="paragraph" w:customStyle="1" w:styleId="56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71">
    <w:name w:val="Char3 Char Char Char1"/>
    <w:basedOn w:val="1"/>
    <w:qFormat/>
    <w:uiPriority w:val="6"/>
    <w:pPr>
      <w:widowControl/>
      <w:adjustRightInd/>
      <w:spacing w:after="160" w:line="240" w:lineRule="exact"/>
      <w:jc w:val="left"/>
    </w:pPr>
    <w:rPr>
      <w:szCs w:val="20"/>
    </w:rPr>
  </w:style>
  <w:style w:type="paragraph" w:customStyle="1" w:styleId="5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73">
    <w:name w:val="Char Char Char"/>
    <w:basedOn w:val="1"/>
    <w:qFormat/>
    <w:uiPriority w:val="0"/>
    <w:rPr>
      <w:rFonts w:ascii="Tahoma" w:hAnsi="Tahoma"/>
      <w:sz w:val="24"/>
      <w:szCs w:val="20"/>
    </w:rPr>
  </w:style>
  <w:style w:type="paragraph" w:customStyle="1" w:styleId="574">
    <w:name w:val="二级条标题"/>
    <w:basedOn w:val="565"/>
    <w:next w:val="567"/>
    <w:qFormat/>
    <w:uiPriority w:val="0"/>
    <w:pPr>
      <w:tabs>
        <w:tab w:val="left" w:pos="2100"/>
        <w:tab w:val="clear" w:pos="1680"/>
      </w:tabs>
      <w:ind w:left="0"/>
      <w:outlineLvl w:val="3"/>
    </w:pPr>
  </w:style>
  <w:style w:type="paragraph" w:customStyle="1" w:styleId="5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7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5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79">
    <w:name w:val="_Style 6"/>
    <w:basedOn w:val="1"/>
    <w:qFormat/>
    <w:uiPriority w:val="34"/>
    <w:pPr>
      <w:adjustRightInd/>
      <w:ind w:firstLine="420" w:firstLineChars="200"/>
    </w:pPr>
    <w:rPr>
      <w:rFonts w:eastAsia="仿宋_GB2312"/>
      <w:sz w:val="28"/>
    </w:rPr>
  </w:style>
  <w:style w:type="paragraph" w:customStyle="1" w:styleId="5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8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8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84">
    <w:name w:val="Char Char Char Char Char Char Char Char"/>
    <w:basedOn w:val="1"/>
    <w:qFormat/>
    <w:uiPriority w:val="0"/>
    <w:pPr>
      <w:tabs>
        <w:tab w:val="left" w:pos="360"/>
      </w:tabs>
    </w:pPr>
    <w:rPr>
      <w:sz w:val="24"/>
      <w:szCs w:val="20"/>
    </w:rPr>
  </w:style>
  <w:style w:type="paragraph" w:customStyle="1" w:styleId="58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8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87">
    <w:name w:val="样式1 + (中宋体"/>
    <w:basedOn w:val="83"/>
    <w:qFormat/>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588">
    <w:name w:val="0"/>
    <w:basedOn w:val="1"/>
    <w:qFormat/>
    <w:uiPriority w:val="0"/>
    <w:pPr>
      <w:widowControl/>
    </w:pPr>
    <w:rPr>
      <w:kern w:val="0"/>
      <w:sz w:val="24"/>
      <w:szCs w:val="20"/>
    </w:rPr>
  </w:style>
  <w:style w:type="paragraph" w:customStyle="1" w:styleId="58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0">
    <w:name w:val="Char Char Char Char11"/>
    <w:basedOn w:val="1"/>
    <w:qFormat/>
    <w:uiPriority w:val="0"/>
    <w:rPr>
      <w:rFonts w:ascii="Tahoma" w:hAnsi="Tahoma"/>
      <w:sz w:val="24"/>
      <w:szCs w:val="20"/>
    </w:rPr>
  </w:style>
  <w:style w:type="paragraph" w:customStyle="1" w:styleId="591">
    <w:name w:val="Char Char Char Char Char Char Char Char Char Char1"/>
    <w:basedOn w:val="1"/>
    <w:qFormat/>
    <w:uiPriority w:val="0"/>
    <w:rPr>
      <w:rFonts w:ascii="仿宋_GB2312" w:eastAsia="仿宋_GB2312"/>
      <w:b/>
      <w:sz w:val="32"/>
      <w:szCs w:val="32"/>
    </w:rPr>
  </w:style>
  <w:style w:type="paragraph" w:customStyle="1" w:styleId="59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94">
    <w:name w:val="正文 内标 序号标"/>
    <w:basedOn w:val="595"/>
    <w:qFormat/>
    <w:uiPriority w:val="0"/>
    <w:pPr>
      <w:tabs>
        <w:tab w:val="left" w:pos="0"/>
      </w:tabs>
      <w:adjustRightInd/>
      <w:spacing w:before="0"/>
      <w:ind w:firstLine="482"/>
    </w:pPr>
    <w:rPr>
      <w:rFonts w:ascii="微软雅黑" w:hAnsi="微软雅黑"/>
      <w:sz w:val="24"/>
      <w:szCs w:val="24"/>
    </w:rPr>
  </w:style>
  <w:style w:type="paragraph" w:customStyle="1" w:styleId="595">
    <w:name w:val="My正文"/>
    <w:basedOn w:val="1"/>
    <w:qFormat/>
    <w:uiPriority w:val="0"/>
    <w:pPr>
      <w:spacing w:before="120" w:line="360" w:lineRule="auto"/>
      <w:ind w:firstLine="567"/>
    </w:pPr>
    <w:rPr>
      <w:rFonts w:ascii="Arial" w:hAnsi="Arial"/>
      <w:sz w:val="20"/>
      <w:szCs w:val="20"/>
    </w:rPr>
  </w:style>
  <w:style w:type="paragraph" w:customStyle="1" w:styleId="5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9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9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99">
    <w:name w:val="标题4_自定义"/>
    <w:basedOn w:val="5"/>
    <w:qFormat/>
    <w:uiPriority w:val="0"/>
    <w:pPr>
      <w:adjustRightInd/>
      <w:spacing w:before="0" w:after="0" w:line="360" w:lineRule="auto"/>
    </w:pPr>
    <w:rPr>
      <w:rFonts w:ascii="Verdana" w:eastAsia="Verdana"/>
      <w:sz w:val="21"/>
      <w:lang w:val="en-US"/>
    </w:rPr>
  </w:style>
  <w:style w:type="paragraph" w:customStyle="1" w:styleId="600">
    <w:name w:val="_正文段落"/>
    <w:basedOn w:val="1"/>
    <w:qFormat/>
    <w:uiPriority w:val="0"/>
    <w:pPr>
      <w:adjustRightInd/>
      <w:ind w:firstLine="560"/>
    </w:pPr>
    <w:rPr>
      <w:rFonts w:ascii="仿宋_GB2312" w:hAnsi="仿宋" w:eastAsia="仿宋_GB2312"/>
      <w:kern w:val="0"/>
      <w:sz w:val="28"/>
      <w:szCs w:val="28"/>
    </w:rPr>
  </w:style>
  <w:style w:type="paragraph" w:customStyle="1" w:styleId="60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3">
    <w:name w:val="Char Char Char1 Char1"/>
    <w:basedOn w:val="1"/>
    <w:qFormat/>
    <w:uiPriority w:val="6"/>
    <w:rPr>
      <w:szCs w:val="20"/>
    </w:rPr>
  </w:style>
  <w:style w:type="paragraph" w:customStyle="1" w:styleId="604">
    <w:name w:val="正文主体"/>
    <w:basedOn w:val="605"/>
    <w:qFormat/>
    <w:uiPriority w:val="0"/>
  </w:style>
  <w:style w:type="paragraph" w:customStyle="1" w:styleId="60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0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9">
    <w:name w:val="样式 样式2 + 左侧:  1 字符 右侧:  1 字符"/>
    <w:basedOn w:val="61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11">
    <w:name w:val="bullet"/>
    <w:basedOn w:val="1"/>
    <w:qFormat/>
    <w:uiPriority w:val="0"/>
    <w:pPr>
      <w:tabs>
        <w:tab w:val="left" w:pos="840"/>
      </w:tabs>
      <w:adjustRightInd/>
      <w:ind w:left="840" w:hanging="420"/>
    </w:pPr>
  </w:style>
  <w:style w:type="paragraph" w:customStyle="1" w:styleId="61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613">
    <w:name w:val="trademark"/>
    <w:qFormat/>
    <w:uiPriority w:val="0"/>
    <w:pPr>
      <w:spacing w:after="60"/>
    </w:pPr>
    <w:rPr>
      <w:rFonts w:ascii="Futura Bk" w:hAnsi="Futura Bk" w:eastAsia="宋体" w:cs="Times New Roman"/>
      <w:sz w:val="15"/>
      <w:lang w:val="en-US" w:eastAsia="en-US" w:bidi="ar-SA"/>
    </w:rPr>
  </w:style>
  <w:style w:type="paragraph" w:customStyle="1" w:styleId="6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15">
    <w:name w:val="Char"/>
    <w:basedOn w:val="1"/>
    <w:qFormat/>
    <w:uiPriority w:val="0"/>
    <w:rPr>
      <w:rFonts w:ascii="仿宋_GB2312" w:eastAsia="仿宋_GB2312"/>
      <w:b/>
      <w:sz w:val="32"/>
      <w:szCs w:val="32"/>
    </w:rPr>
  </w:style>
  <w:style w:type="paragraph" w:customStyle="1" w:styleId="6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1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19">
    <w:name w:val="Char Char11 Char Char Char1"/>
    <w:basedOn w:val="1"/>
    <w:qFormat/>
    <w:uiPriority w:val="6"/>
    <w:pPr>
      <w:spacing w:line="360" w:lineRule="auto"/>
    </w:pPr>
    <w:rPr>
      <w:szCs w:val="20"/>
    </w:rPr>
  </w:style>
  <w:style w:type="paragraph" w:customStyle="1" w:styleId="620">
    <w:name w:val="Char Char1 Char Char Char1"/>
    <w:basedOn w:val="1"/>
    <w:qFormat/>
    <w:uiPriority w:val="6"/>
    <w:rPr>
      <w:rFonts w:ascii="仿宋_GB2312" w:eastAsia="仿宋_GB2312"/>
      <w:b/>
      <w:sz w:val="32"/>
      <w:szCs w:val="20"/>
    </w:rPr>
  </w:style>
  <w:style w:type="paragraph" w:customStyle="1" w:styleId="62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2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a1"/>
    <w:basedOn w:val="1"/>
    <w:qFormat/>
    <w:uiPriority w:val="0"/>
    <w:pPr>
      <w:widowControl/>
      <w:spacing w:line="300" w:lineRule="atLeast"/>
      <w:jc w:val="left"/>
    </w:pPr>
    <w:rPr>
      <w:rFonts w:ascii="宋体" w:hAnsi="宋体"/>
      <w:kern w:val="0"/>
      <w:sz w:val="18"/>
      <w:szCs w:val="20"/>
    </w:rPr>
  </w:style>
  <w:style w:type="paragraph" w:customStyle="1" w:styleId="62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627">
    <w:name w:val="P1"/>
    <w:basedOn w:val="1"/>
    <w:qFormat/>
    <w:uiPriority w:val="0"/>
    <w:pPr>
      <w:adjustRightInd/>
      <w:spacing w:line="288" w:lineRule="auto"/>
      <w:ind w:firstLine="425" w:firstLineChars="200"/>
    </w:pPr>
  </w:style>
  <w:style w:type="paragraph" w:customStyle="1" w:styleId="628">
    <w:name w:val="_Style 8"/>
    <w:basedOn w:val="1"/>
    <w:qFormat/>
    <w:uiPriority w:val="34"/>
    <w:pPr>
      <w:adjustRightInd/>
      <w:ind w:firstLine="420" w:firstLineChars="200"/>
    </w:pPr>
    <w:rPr>
      <w:rFonts w:eastAsia="仿宋_GB2312"/>
      <w:sz w:val="28"/>
    </w:rPr>
  </w:style>
  <w:style w:type="paragraph" w:customStyle="1" w:styleId="629">
    <w:name w:val="Char Char1121"/>
    <w:basedOn w:val="1"/>
    <w:qFormat/>
    <w:uiPriority w:val="0"/>
    <w:pPr>
      <w:spacing w:line="360" w:lineRule="auto"/>
    </w:pPr>
    <w:rPr>
      <w:szCs w:val="20"/>
    </w:rPr>
  </w:style>
  <w:style w:type="paragraph" w:customStyle="1" w:styleId="63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31">
    <w:name w:val="Char2 Char Char Char2"/>
    <w:basedOn w:val="1"/>
    <w:qFormat/>
    <w:uiPriority w:val="0"/>
    <w:rPr>
      <w:rFonts w:ascii="仿宋_GB2312" w:eastAsia="仿宋_GB2312"/>
      <w:b/>
      <w:sz w:val="32"/>
      <w:szCs w:val="32"/>
    </w:rPr>
  </w:style>
  <w:style w:type="paragraph" w:customStyle="1" w:styleId="63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63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4">
    <w:name w:val="正文1.25"/>
    <w:basedOn w:val="1"/>
    <w:qFormat/>
    <w:uiPriority w:val="0"/>
    <w:pPr>
      <w:adjustRightInd/>
      <w:spacing w:line="300" w:lineRule="auto"/>
      <w:ind w:firstLine="480" w:firstLineChars="200"/>
    </w:pPr>
    <w:rPr>
      <w:sz w:val="24"/>
      <w:szCs w:val="20"/>
    </w:rPr>
  </w:style>
  <w:style w:type="paragraph" w:customStyle="1" w:styleId="63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3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7">
    <w:name w:val="_Style 5"/>
    <w:basedOn w:val="1"/>
    <w:qFormat/>
    <w:uiPriority w:val="34"/>
    <w:pPr>
      <w:adjustRightInd/>
      <w:ind w:firstLine="420" w:firstLineChars="200"/>
    </w:pPr>
    <w:rPr>
      <w:rFonts w:eastAsia="仿宋_GB2312"/>
      <w:sz w:val="28"/>
    </w:rPr>
  </w:style>
  <w:style w:type="paragraph" w:customStyle="1" w:styleId="6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39">
    <w:name w:val="样式 标题 4PIM 4H4h4bulletblbbH41H42H43H44H45H46H47H48...1"/>
    <w:basedOn w:val="5"/>
    <w:qFormat/>
    <w:uiPriority w:val="0"/>
    <w:pPr>
      <w:widowControl/>
      <w:jc w:val="left"/>
    </w:pPr>
    <w:rPr>
      <w:rFonts w:cs="宋体"/>
      <w:sz w:val="24"/>
      <w:szCs w:val="20"/>
    </w:rPr>
  </w:style>
  <w:style w:type="paragraph" w:customStyle="1" w:styleId="64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41">
    <w:name w:val="Body Text 2*"/>
    <w:basedOn w:val="1"/>
    <w:qFormat/>
    <w:uiPriority w:val="6"/>
    <w:pPr>
      <w:widowControl/>
      <w:adjustRightInd/>
      <w:ind w:left="720" w:hanging="720"/>
    </w:pPr>
    <w:rPr>
      <w:color w:val="000000"/>
      <w:kern w:val="0"/>
      <w:sz w:val="24"/>
      <w:szCs w:val="20"/>
    </w:rPr>
  </w:style>
  <w:style w:type="paragraph" w:customStyle="1" w:styleId="642">
    <w:name w:val="封面公司名"/>
    <w:qFormat/>
    <w:uiPriority w:val="0"/>
    <w:pPr>
      <w:jc w:val="center"/>
    </w:pPr>
    <w:rPr>
      <w:rFonts w:ascii="Arial" w:hAnsi="Arial" w:eastAsia="楷体_GB2312" w:cs="宋体"/>
      <w:bCs/>
      <w:kern w:val="2"/>
      <w:sz w:val="28"/>
      <w:lang w:val="en-US" w:eastAsia="zh-CN" w:bidi="ar-SA"/>
    </w:rPr>
  </w:style>
  <w:style w:type="paragraph" w:customStyle="1" w:styleId="64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44">
    <w:name w:val="xl119"/>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4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4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9">
    <w:name w:val="Char Char11 Char Char Char"/>
    <w:basedOn w:val="1"/>
    <w:qFormat/>
    <w:uiPriority w:val="0"/>
    <w:pPr>
      <w:spacing w:line="360" w:lineRule="auto"/>
    </w:pPr>
    <w:rPr>
      <w:szCs w:val="20"/>
    </w:rPr>
  </w:style>
  <w:style w:type="paragraph" w:customStyle="1" w:styleId="650">
    <w:name w:val="Char1"/>
    <w:basedOn w:val="1"/>
    <w:qFormat/>
    <w:uiPriority w:val="0"/>
    <w:rPr>
      <w:rFonts w:ascii="仿宋_GB2312" w:eastAsia="仿宋_GB2312"/>
      <w:b/>
      <w:sz w:val="32"/>
      <w:szCs w:val="32"/>
    </w:rPr>
  </w:style>
  <w:style w:type="paragraph" w:customStyle="1" w:styleId="65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5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53">
    <w:name w:val="xl120"/>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4">
    <w:name w:val="Char2 Char Char Char1"/>
    <w:basedOn w:val="1"/>
    <w:qFormat/>
    <w:uiPriority w:val="6"/>
    <w:rPr>
      <w:rFonts w:ascii="仿宋_GB2312" w:eastAsia="仿宋_GB2312"/>
      <w:b/>
      <w:sz w:val="32"/>
      <w:szCs w:val="32"/>
    </w:rPr>
  </w:style>
  <w:style w:type="paragraph" w:customStyle="1" w:styleId="6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5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57">
    <w:name w:val="xl121"/>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Char1 Char Char Char1"/>
    <w:basedOn w:val="1"/>
    <w:qFormat/>
    <w:uiPriority w:val="0"/>
    <w:pPr>
      <w:adjustRightInd/>
      <w:ind w:firstLine="200" w:firstLineChars="200"/>
    </w:pPr>
    <w:rPr>
      <w:rFonts w:ascii="Tahoma" w:hAnsi="Tahoma"/>
      <w:sz w:val="24"/>
      <w:szCs w:val="20"/>
    </w:rPr>
  </w:style>
  <w:style w:type="paragraph" w:customStyle="1" w:styleId="661">
    <w:name w:val="xl123"/>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6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66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64">
    <w:name w:val="Char2 Char Char2"/>
    <w:basedOn w:val="1"/>
    <w:qFormat/>
    <w:uiPriority w:val="0"/>
    <w:pPr>
      <w:adjustRightInd/>
    </w:pPr>
    <w:rPr>
      <w:rFonts w:ascii="Tahoma" w:hAnsi="Tahoma"/>
      <w:sz w:val="24"/>
      <w:szCs w:val="20"/>
    </w:rPr>
  </w:style>
  <w:style w:type="paragraph" w:customStyle="1" w:styleId="665">
    <w:name w:val="Char Char111"/>
    <w:basedOn w:val="1"/>
    <w:qFormat/>
    <w:uiPriority w:val="0"/>
    <w:pPr>
      <w:spacing w:line="360" w:lineRule="auto"/>
    </w:pPr>
    <w:rPr>
      <w:szCs w:val="20"/>
    </w:rPr>
  </w:style>
  <w:style w:type="paragraph" w:customStyle="1" w:styleId="666">
    <w:name w:val="Char Char Char Char Char Char Char Char Char Char Char Char1 Char1"/>
    <w:basedOn w:val="1"/>
    <w:qFormat/>
    <w:uiPriority w:val="6"/>
    <w:rPr>
      <w:rFonts w:ascii="Tahoma" w:hAnsi="Tahoma" w:cs="仿宋_GB2312"/>
      <w:sz w:val="24"/>
      <w:szCs w:val="20"/>
    </w:rPr>
  </w:style>
  <w:style w:type="paragraph" w:customStyle="1" w:styleId="6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2">
    <w:name w:val="样式3"/>
    <w:basedOn w:val="610"/>
    <w:qFormat/>
    <w:uiPriority w:val="0"/>
    <w:pPr>
      <w:spacing w:beforeLines="100"/>
      <w:jc w:val="left"/>
    </w:pPr>
  </w:style>
  <w:style w:type="paragraph" w:customStyle="1" w:styleId="67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7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76">
    <w:name w:val="正文标准"/>
    <w:basedOn w:val="1"/>
    <w:qFormat/>
    <w:uiPriority w:val="0"/>
    <w:pPr>
      <w:adjustRightInd/>
      <w:spacing w:line="360" w:lineRule="auto"/>
      <w:ind w:firstLine="200" w:firstLineChars="200"/>
    </w:pPr>
    <w:rPr>
      <w:rFonts w:ascii="宋体" w:hAnsi="Calibri"/>
      <w:sz w:val="24"/>
    </w:rPr>
  </w:style>
  <w:style w:type="paragraph" w:customStyle="1" w:styleId="677">
    <w:name w:val="表文字"/>
    <w:qFormat/>
    <w:uiPriority w:val="0"/>
    <w:rPr>
      <w:rFonts w:ascii="宋体" w:hAnsi="Times New Roman" w:eastAsia="宋体" w:cs="Times New Roman"/>
      <w:kern w:val="2"/>
      <w:lang w:val="en-US" w:eastAsia="zh-CN" w:bidi="ar-SA"/>
    </w:rPr>
  </w:style>
  <w:style w:type="paragraph" w:customStyle="1" w:styleId="67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79">
    <w:name w:val="FA正文"/>
    <w:basedOn w:val="1"/>
    <w:qFormat/>
    <w:uiPriority w:val="0"/>
    <w:pPr>
      <w:spacing w:line="360" w:lineRule="auto"/>
      <w:ind w:firstLine="480" w:firstLineChars="200"/>
    </w:pPr>
    <w:rPr>
      <w:rFonts w:hAnsi="宋体"/>
      <w:sz w:val="24"/>
      <w:szCs w:val="20"/>
    </w:rPr>
  </w:style>
  <w:style w:type="paragraph" w:customStyle="1" w:styleId="680">
    <w:name w:val="表格（小）"/>
    <w:basedOn w:val="1"/>
    <w:qFormat/>
    <w:uiPriority w:val="0"/>
    <w:pPr>
      <w:adjustRightInd/>
      <w:snapToGrid w:val="0"/>
      <w:spacing w:line="300" w:lineRule="auto"/>
    </w:pPr>
    <w:rPr>
      <w:rFonts w:eastAsia="仿宋"/>
      <w:szCs w:val="21"/>
    </w:rPr>
  </w:style>
  <w:style w:type="paragraph" w:customStyle="1" w:styleId="681">
    <w:name w:val="彩色列表 - 强调文字颜色 11"/>
    <w:basedOn w:val="1"/>
    <w:qFormat/>
    <w:uiPriority w:val="0"/>
    <w:pPr>
      <w:adjustRightInd/>
      <w:ind w:firstLine="420" w:firstLineChars="200"/>
    </w:pPr>
    <w:rPr>
      <w:rFonts w:ascii="Calibri" w:hAnsi="Calibri"/>
      <w:szCs w:val="22"/>
    </w:rPr>
  </w:style>
  <w:style w:type="paragraph" w:customStyle="1" w:styleId="682">
    <w:name w:val="修订1"/>
    <w:qFormat/>
    <w:uiPriority w:val="3"/>
    <w:rPr>
      <w:rFonts w:ascii="Times New Roman" w:hAnsi="Times New Roman" w:eastAsia="宋体" w:cs="Times New Roman"/>
      <w:color w:val="000000"/>
      <w:kern w:val="1"/>
      <w:sz w:val="21"/>
      <w:lang w:val="en-US" w:eastAsia="zh-CN" w:bidi="ar-SA"/>
    </w:rPr>
  </w:style>
  <w:style w:type="paragraph" w:customStyle="1" w:styleId="683">
    <w:name w:val="正文表标题"/>
    <w:next w:val="56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Char Char Char 字元 字元"/>
    <w:basedOn w:val="1"/>
    <w:qFormat/>
    <w:uiPriority w:val="0"/>
    <w:pPr>
      <w:adjustRightInd/>
      <w:spacing w:line="360" w:lineRule="auto"/>
      <w:ind w:firstLine="200" w:firstLineChars="200"/>
    </w:pPr>
    <w:rPr>
      <w:szCs w:val="20"/>
    </w:rPr>
  </w:style>
  <w:style w:type="paragraph" w:customStyle="1" w:styleId="687">
    <w:name w:val="Char Char Char Char Char Char Char Char Char Char Char Char1 Char"/>
    <w:basedOn w:val="1"/>
    <w:qFormat/>
    <w:uiPriority w:val="0"/>
    <w:rPr>
      <w:rFonts w:ascii="Tahoma" w:hAnsi="Tahoma" w:cs="仿宋_GB2312"/>
      <w:sz w:val="24"/>
      <w:szCs w:val="20"/>
    </w:rPr>
  </w:style>
  <w:style w:type="paragraph" w:customStyle="1" w:styleId="688">
    <w:name w:val="正文文字表格居中"/>
    <w:basedOn w:val="1"/>
    <w:next w:val="55"/>
    <w:qFormat/>
    <w:uiPriority w:val="0"/>
    <w:pPr>
      <w:snapToGrid w:val="0"/>
      <w:spacing w:line="360" w:lineRule="auto"/>
    </w:pPr>
    <w:rPr>
      <w:rFonts w:ascii="宋体"/>
      <w:b/>
      <w:sz w:val="24"/>
      <w:szCs w:val="20"/>
    </w:rPr>
  </w:style>
  <w:style w:type="paragraph" w:customStyle="1" w:styleId="689">
    <w:name w:val="Char6"/>
    <w:basedOn w:val="1"/>
    <w:qFormat/>
    <w:uiPriority w:val="0"/>
    <w:rPr>
      <w:rFonts w:ascii="仿宋_GB2312" w:eastAsia="仿宋_GB2312"/>
      <w:b/>
      <w:sz w:val="32"/>
      <w:szCs w:val="32"/>
    </w:rPr>
  </w:style>
  <w:style w:type="paragraph" w:customStyle="1" w:styleId="6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91">
    <w:name w:val="Char3"/>
    <w:basedOn w:val="1"/>
    <w:qFormat/>
    <w:uiPriority w:val="0"/>
    <w:pPr>
      <w:adjustRightInd/>
    </w:pPr>
    <w:rPr>
      <w:rFonts w:ascii="仿宋_GB2312" w:eastAsia="仿宋_GB2312"/>
      <w:b/>
      <w:sz w:val="32"/>
      <w:szCs w:val="32"/>
    </w:rPr>
  </w:style>
  <w:style w:type="paragraph" w:customStyle="1" w:styleId="69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3">
    <w:name w:val="xl98"/>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69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9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6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99">
    <w:name w:val="正文文字 2"/>
    <w:basedOn w:val="280"/>
    <w:next w:val="280"/>
    <w:qFormat/>
    <w:uiPriority w:val="0"/>
    <w:rPr>
      <w:rFonts w:ascii="宋体" w:eastAsia="宋体" w:cs="Times New Roman"/>
      <w:color w:val="auto"/>
    </w:rPr>
  </w:style>
  <w:style w:type="paragraph" w:customStyle="1" w:styleId="70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01">
    <w:name w:val="List Paragraph1"/>
    <w:basedOn w:val="1"/>
    <w:qFormat/>
    <w:uiPriority w:val="0"/>
    <w:pPr>
      <w:spacing w:line="360" w:lineRule="auto"/>
      <w:ind w:firstLine="200" w:firstLineChars="200"/>
    </w:pPr>
    <w:rPr>
      <w:rFonts w:eastAsia="楷体_GB2312" w:cs="Lucida Sans"/>
      <w:sz w:val="24"/>
    </w:rPr>
  </w:style>
  <w:style w:type="paragraph" w:customStyle="1" w:styleId="702">
    <w:name w:val="_Style 12"/>
    <w:basedOn w:val="19"/>
    <w:qFormat/>
    <w:uiPriority w:val="0"/>
    <w:pPr>
      <w:snapToGrid w:val="0"/>
      <w:spacing w:line="360" w:lineRule="auto"/>
    </w:pPr>
  </w:style>
  <w:style w:type="paragraph" w:customStyle="1" w:styleId="70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6">
    <w:name w:val="列出段落2"/>
    <w:basedOn w:val="1"/>
    <w:qFormat/>
    <w:uiPriority w:val="99"/>
    <w:pPr>
      <w:adjustRightInd/>
      <w:ind w:firstLine="420" w:firstLineChars="200"/>
    </w:pPr>
    <w:rPr>
      <w:rFonts w:ascii="宋体" w:hAnsi="宋体"/>
      <w:sz w:val="24"/>
    </w:rPr>
  </w:style>
  <w:style w:type="paragraph" w:customStyle="1" w:styleId="70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0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1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71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标准小四"/>
    <w:basedOn w:val="1"/>
    <w:qFormat/>
    <w:uiPriority w:val="0"/>
    <w:pPr>
      <w:spacing w:line="360" w:lineRule="auto"/>
      <w:ind w:firstLine="480" w:firstLineChars="200"/>
    </w:pPr>
    <w:rPr>
      <w:rFonts w:ascii="Arial" w:hAnsi="Arial"/>
      <w:sz w:val="24"/>
      <w:szCs w:val="21"/>
    </w:rPr>
  </w:style>
  <w:style w:type="paragraph" w:customStyle="1" w:styleId="71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1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1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1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71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19">
    <w:name w:val="xl9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72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2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2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2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5">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18"/>
      <w:szCs w:val="18"/>
    </w:rPr>
  </w:style>
  <w:style w:type="paragraph" w:customStyle="1" w:styleId="72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2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28">
    <w:name w:val="正文 首行缩进:  2 字符 Char"/>
    <w:basedOn w:val="1"/>
    <w:qFormat/>
    <w:uiPriority w:val="0"/>
    <w:pPr>
      <w:adjustRightInd/>
      <w:spacing w:line="360" w:lineRule="auto"/>
      <w:ind w:firstLine="480"/>
    </w:pPr>
    <w:rPr>
      <w:rFonts w:cs="宋体"/>
      <w:sz w:val="24"/>
      <w:szCs w:val="20"/>
    </w:rPr>
  </w:style>
  <w:style w:type="paragraph" w:customStyle="1" w:styleId="729">
    <w:name w:val="Char Char110"/>
    <w:basedOn w:val="1"/>
    <w:qFormat/>
    <w:uiPriority w:val="6"/>
    <w:pPr>
      <w:spacing w:line="360" w:lineRule="auto"/>
    </w:pPr>
    <w:rPr>
      <w:rFonts w:ascii="Tahoma" w:hAnsi="Tahoma"/>
      <w:sz w:val="24"/>
      <w:szCs w:val="20"/>
    </w:rPr>
  </w:style>
  <w:style w:type="paragraph" w:customStyle="1" w:styleId="73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732">
    <w:name w:val="Char2"/>
    <w:basedOn w:val="1"/>
    <w:qFormat/>
    <w:uiPriority w:val="0"/>
    <w:rPr>
      <w:rFonts w:ascii="仿宋_GB2312" w:eastAsia="仿宋_GB2312"/>
      <w:b/>
      <w:sz w:val="32"/>
      <w:szCs w:val="32"/>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35">
    <w:name w:val="Char2 Char Char"/>
    <w:basedOn w:val="1"/>
    <w:qFormat/>
    <w:uiPriority w:val="0"/>
    <w:pPr>
      <w:adjustRightInd/>
    </w:pPr>
    <w:rPr>
      <w:rFonts w:ascii="Tahoma" w:hAnsi="Tahoma"/>
      <w:sz w:val="24"/>
      <w:szCs w:val="20"/>
    </w:rPr>
  </w:style>
  <w:style w:type="paragraph" w:customStyle="1" w:styleId="73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39">
    <w:name w:val="xl12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0">
    <w:name w:val="MM Topic 4"/>
    <w:basedOn w:val="5"/>
    <w:qFormat/>
    <w:uiPriority w:val="0"/>
    <w:pPr>
      <w:tabs>
        <w:tab w:val="left" w:pos="2100"/>
        <w:tab w:val="clear" w:pos="864"/>
      </w:tabs>
      <w:adjustRightInd/>
      <w:ind w:left="2100" w:hanging="420"/>
    </w:pPr>
    <w:rPr>
      <w:lang w:val="en-US"/>
    </w:rPr>
  </w:style>
  <w:style w:type="paragraph" w:customStyle="1" w:styleId="741">
    <w:name w:val="xl1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4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45">
    <w:name w:val="Char3 Char Char Char"/>
    <w:basedOn w:val="1"/>
    <w:qFormat/>
    <w:uiPriority w:val="0"/>
    <w:pPr>
      <w:widowControl/>
      <w:adjustRightInd/>
      <w:spacing w:after="160" w:line="240" w:lineRule="exact"/>
      <w:jc w:val="left"/>
    </w:pPr>
    <w:rPr>
      <w:szCs w:val="20"/>
    </w:rPr>
  </w:style>
  <w:style w:type="paragraph" w:customStyle="1" w:styleId="746">
    <w:name w:val="xl12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74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48">
    <w:name w:val="Char Char Char Char"/>
    <w:basedOn w:val="1"/>
    <w:qFormat/>
    <w:uiPriority w:val="0"/>
    <w:rPr>
      <w:rFonts w:ascii="Tahoma" w:hAnsi="Tahoma"/>
      <w:sz w:val="24"/>
      <w:szCs w:val="20"/>
    </w:rPr>
  </w:style>
  <w:style w:type="paragraph" w:customStyle="1" w:styleId="74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7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5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75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样式 标题 3H3 + 两端对齐"/>
    <w:basedOn w:val="4"/>
    <w:qFormat/>
    <w:uiPriority w:val="0"/>
    <w:pPr>
      <w:keepLines w:val="0"/>
      <w:spacing w:before="0" w:after="0" w:line="240" w:lineRule="auto"/>
      <w:jc w:val="left"/>
    </w:pPr>
    <w:rPr>
      <w:rFonts w:cs="宋体"/>
      <w:sz w:val="21"/>
      <w:szCs w:val="20"/>
    </w:rPr>
  </w:style>
  <w:style w:type="paragraph" w:customStyle="1" w:styleId="75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5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5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59">
    <w:name w:val="加粗正文"/>
    <w:basedOn w:val="1"/>
    <w:qFormat/>
    <w:uiPriority w:val="0"/>
    <w:pPr>
      <w:adjustRightInd/>
      <w:spacing w:beforeLines="50" w:afterLines="50" w:line="360" w:lineRule="auto"/>
      <w:ind w:firstLine="422" w:firstLineChars="200"/>
    </w:pPr>
    <w:rPr>
      <w:b/>
      <w:bCs/>
      <w:szCs w:val="21"/>
    </w:rPr>
  </w:style>
  <w:style w:type="paragraph" w:customStyle="1" w:styleId="76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1">
    <w:name w:val="Char Char1 Char Char Char Char Char Char1"/>
    <w:basedOn w:val="1"/>
    <w:qFormat/>
    <w:uiPriority w:val="0"/>
    <w:rPr>
      <w:rFonts w:ascii="仿宋_GB2312" w:eastAsia="仿宋_GB2312"/>
      <w:b/>
      <w:sz w:val="32"/>
      <w:szCs w:val="20"/>
    </w:rPr>
  </w:style>
  <w:style w:type="paragraph" w:customStyle="1" w:styleId="76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76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6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65">
    <w:name w:val="Char Char1 Char Char Char Char Char Char"/>
    <w:basedOn w:val="1"/>
    <w:qFormat/>
    <w:uiPriority w:val="0"/>
    <w:rPr>
      <w:rFonts w:ascii="仿宋_GB2312" w:eastAsia="仿宋_GB2312"/>
      <w:b/>
      <w:sz w:val="32"/>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68">
    <w:name w:val="Char Char Char Char Char Char Char Char1"/>
    <w:basedOn w:val="1"/>
    <w:qFormat/>
    <w:uiPriority w:val="0"/>
    <w:pPr>
      <w:tabs>
        <w:tab w:val="left" w:pos="360"/>
      </w:tabs>
    </w:pPr>
    <w:rPr>
      <w:sz w:val="24"/>
      <w:szCs w:val="20"/>
    </w:rPr>
  </w:style>
  <w:style w:type="paragraph" w:customStyle="1" w:styleId="769">
    <w:name w:val="MM Topic 5"/>
    <w:basedOn w:val="6"/>
    <w:qFormat/>
    <w:uiPriority w:val="0"/>
    <w:pPr>
      <w:tabs>
        <w:tab w:val="left" w:pos="2520"/>
        <w:tab w:val="clear" w:pos="1008"/>
      </w:tabs>
      <w:adjustRightInd/>
      <w:ind w:left="2520" w:hanging="420"/>
    </w:pPr>
  </w:style>
  <w:style w:type="paragraph" w:customStyle="1" w:styleId="770">
    <w:name w:val="Char Char Char Char Char Char Char Char Char Char Char1 Char"/>
    <w:basedOn w:val="1"/>
    <w:qFormat/>
    <w:uiPriority w:val="0"/>
    <w:pPr>
      <w:adjustRightInd/>
    </w:pPr>
    <w:rPr>
      <w:rFonts w:ascii="Tahoma" w:hAnsi="Tahoma"/>
      <w:sz w:val="24"/>
    </w:rPr>
  </w:style>
  <w:style w:type="paragraph" w:customStyle="1" w:styleId="7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772">
    <w:name w:val="标题五"/>
    <w:basedOn w:val="1"/>
    <w:qFormat/>
    <w:uiPriority w:val="0"/>
    <w:pPr>
      <w:adjustRightInd/>
      <w:spacing w:beforeLines="50" w:line="360" w:lineRule="auto"/>
    </w:pPr>
    <w:rPr>
      <w:b/>
      <w:sz w:val="24"/>
    </w:rPr>
  </w:style>
  <w:style w:type="paragraph" w:customStyle="1" w:styleId="77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7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7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adjustRightInd/>
      <w:spacing w:before="100" w:beforeAutospacing="1" w:after="100" w:afterAutospacing="1"/>
      <w:jc w:val="left"/>
    </w:pPr>
    <w:rPr>
      <w:rFonts w:ascii="仿宋" w:hAnsi="仿宋" w:eastAsia="仿宋" w:cs="宋体"/>
      <w:kern w:val="0"/>
      <w:sz w:val="18"/>
      <w:szCs w:val="18"/>
    </w:rPr>
  </w:style>
  <w:style w:type="paragraph" w:customStyle="1" w:styleId="77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78">
    <w:name w:val="默认段落字体 Para Char"/>
    <w:basedOn w:val="1"/>
    <w:qFormat/>
    <w:uiPriority w:val="0"/>
    <w:rPr>
      <w:rFonts w:ascii="Tahoma" w:hAnsi="Tahoma"/>
      <w:sz w:val="24"/>
      <w:szCs w:val="20"/>
    </w:rPr>
  </w:style>
  <w:style w:type="paragraph" w:customStyle="1" w:styleId="77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8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82">
    <w:name w:val="_标题2"/>
    <w:basedOn w:val="623"/>
    <w:next w:val="6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8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7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85">
    <w:name w:val="表格内文"/>
    <w:basedOn w:val="1"/>
    <w:qFormat/>
    <w:uiPriority w:val="0"/>
    <w:pPr>
      <w:adjustRightInd/>
      <w:spacing w:line="360" w:lineRule="auto"/>
    </w:pPr>
    <w:rPr>
      <w:rFonts w:ascii="宋体" w:hAnsi="宋体" w:cs="宋体"/>
      <w:color w:val="000000"/>
      <w:szCs w:val="20"/>
    </w:rPr>
  </w:style>
  <w:style w:type="paragraph" w:customStyle="1" w:styleId="786">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7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89">
    <w:name w:val="WW-正文文字缩进 2"/>
    <w:basedOn w:val="1"/>
    <w:qFormat/>
    <w:uiPriority w:val="0"/>
    <w:pPr>
      <w:suppressAutoHyphens/>
      <w:adjustRightInd/>
      <w:ind w:firstLine="420"/>
    </w:pPr>
    <w:rPr>
      <w:kern w:val="1"/>
      <w:szCs w:val="20"/>
    </w:rPr>
  </w:style>
  <w:style w:type="paragraph" w:customStyle="1" w:styleId="790">
    <w:name w:val="列表内容"/>
    <w:basedOn w:val="1"/>
    <w:next w:val="1"/>
    <w:qFormat/>
    <w:uiPriority w:val="0"/>
    <w:pPr>
      <w:widowControl/>
      <w:tabs>
        <w:tab w:val="left" w:pos="840"/>
      </w:tabs>
      <w:ind w:left="840" w:hanging="420"/>
      <w:jc w:val="left"/>
    </w:pPr>
    <w:rPr>
      <w:kern w:val="0"/>
      <w:sz w:val="18"/>
    </w:rPr>
  </w:style>
  <w:style w:type="paragraph" w:customStyle="1" w:styleId="791">
    <w:name w:val="四级条标题"/>
    <w:basedOn w:val="792"/>
    <w:next w:val="567"/>
    <w:qFormat/>
    <w:uiPriority w:val="0"/>
    <w:pPr>
      <w:tabs>
        <w:tab w:val="left" w:pos="1260"/>
        <w:tab w:val="left" w:pos="2520"/>
        <w:tab w:val="left" w:pos="2940"/>
      </w:tabs>
      <w:ind w:left="2940"/>
      <w:outlineLvl w:val="5"/>
    </w:pPr>
  </w:style>
  <w:style w:type="paragraph" w:customStyle="1" w:styleId="792">
    <w:name w:val="三级条标题"/>
    <w:basedOn w:val="574"/>
    <w:next w:val="567"/>
    <w:qFormat/>
    <w:uiPriority w:val="0"/>
    <w:pPr>
      <w:tabs>
        <w:tab w:val="left" w:pos="2520"/>
        <w:tab w:val="clear" w:pos="2100"/>
      </w:tabs>
      <w:ind w:left="2520"/>
      <w:outlineLvl w:val="4"/>
    </w:pPr>
  </w:style>
  <w:style w:type="paragraph" w:customStyle="1" w:styleId="793">
    <w:name w:val="正文（首行缩进2字符）"/>
    <w:basedOn w:val="1"/>
    <w:qFormat/>
    <w:uiPriority w:val="0"/>
    <w:pPr>
      <w:adjustRightInd/>
      <w:spacing w:line="360" w:lineRule="auto"/>
      <w:ind w:firstLine="480" w:firstLineChars="200"/>
    </w:pPr>
    <w:rPr>
      <w:sz w:val="24"/>
      <w:szCs w:val="20"/>
    </w:rPr>
  </w:style>
  <w:style w:type="paragraph" w:customStyle="1" w:styleId="79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9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9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97">
    <w:name w:val="默认段落样式"/>
    <w:basedOn w:val="360"/>
    <w:qFormat/>
    <w:uiPriority w:val="0"/>
    <w:pPr>
      <w:spacing w:before="0"/>
      <w:ind w:firstLine="480"/>
      <w:outlineLvl w:val="2"/>
    </w:pPr>
    <w:rPr>
      <w:rFonts w:ascii="仿宋_GB2312" w:hAnsi="宋体" w:eastAsia="仿宋_GB2312"/>
      <w:color w:val="000000"/>
      <w:szCs w:val="24"/>
    </w:r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00">
    <w:name w:val="_Style 94"/>
    <w:basedOn w:val="1"/>
    <w:next w:val="143"/>
    <w:qFormat/>
    <w:uiPriority w:val="34"/>
    <w:pPr>
      <w:adjustRightInd/>
      <w:spacing w:line="360" w:lineRule="auto"/>
      <w:ind w:firstLine="200" w:firstLineChars="200"/>
    </w:pPr>
    <w:rPr>
      <w:rFonts w:ascii="Calibri" w:hAnsi="Calibri"/>
      <w:sz w:val="28"/>
      <w:szCs w:val="20"/>
    </w:rPr>
  </w:style>
  <w:style w:type="paragraph" w:customStyle="1" w:styleId="801">
    <w:name w:val="数字标题1"/>
    <w:basedOn w:val="2"/>
    <w:next w:val="1"/>
    <w:qFormat/>
    <w:uiPriority w:val="0"/>
    <w:pPr>
      <w:tabs>
        <w:tab w:val="left" w:pos="480"/>
        <w:tab w:val="clear" w:pos="432"/>
      </w:tabs>
      <w:ind w:left="480" w:hanging="480"/>
    </w:pPr>
  </w:style>
  <w:style w:type="paragraph" w:customStyle="1" w:styleId="80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03">
    <w:name w:val="默认段落字体 Para Char Char Char Char"/>
    <w:basedOn w:val="1"/>
    <w:qFormat/>
    <w:uiPriority w:val="0"/>
    <w:pPr>
      <w:spacing w:line="360" w:lineRule="auto"/>
    </w:pPr>
    <w:rPr>
      <w:szCs w:val="20"/>
    </w:rPr>
  </w:style>
  <w:style w:type="paragraph" w:customStyle="1" w:styleId="804">
    <w:name w:val="xl111"/>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05">
    <w:name w:val="Char5"/>
    <w:basedOn w:val="1"/>
    <w:qFormat/>
    <w:uiPriority w:val="0"/>
    <w:rPr>
      <w:rFonts w:ascii="仿宋_GB2312" w:eastAsia="仿宋_GB2312"/>
      <w:b/>
      <w:sz w:val="32"/>
      <w:szCs w:val="32"/>
    </w:rPr>
  </w:style>
  <w:style w:type="paragraph" w:customStyle="1" w:styleId="806">
    <w:name w:val="Char Char Char Char Char Char Char2"/>
    <w:basedOn w:val="1"/>
    <w:qFormat/>
    <w:uiPriority w:val="0"/>
    <w:rPr>
      <w:rFonts w:ascii="仿宋_GB2312" w:eastAsia="仿宋_GB2312"/>
      <w:b/>
      <w:sz w:val="32"/>
      <w:szCs w:val="32"/>
    </w:rPr>
  </w:style>
  <w:style w:type="paragraph" w:customStyle="1" w:styleId="8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808">
    <w:name w:val="Char Char1101"/>
    <w:basedOn w:val="1"/>
    <w:qFormat/>
    <w:uiPriority w:val="0"/>
    <w:pPr>
      <w:spacing w:line="360" w:lineRule="auto"/>
    </w:pPr>
    <w:rPr>
      <w:rFonts w:ascii="Tahoma" w:hAnsi="Tahoma"/>
      <w:sz w:val="24"/>
      <w:szCs w:val="20"/>
    </w:rPr>
  </w:style>
  <w:style w:type="paragraph" w:customStyle="1" w:styleId="809">
    <w:name w:val="修订3"/>
    <w:qFormat/>
    <w:uiPriority w:val="0"/>
    <w:rPr>
      <w:rFonts w:ascii="Times New Roman" w:hAnsi="Times New Roman" w:eastAsia="宋体" w:cs="Times New Roman"/>
      <w:kern w:val="2"/>
      <w:sz w:val="21"/>
      <w:lang w:val="en-US" w:eastAsia="zh-CN" w:bidi="ar-SA"/>
    </w:rPr>
  </w:style>
  <w:style w:type="paragraph" w:customStyle="1" w:styleId="810">
    <w:name w:val="列出段落5"/>
    <w:basedOn w:val="1"/>
    <w:qFormat/>
    <w:uiPriority w:val="0"/>
    <w:pPr>
      <w:spacing w:line="360" w:lineRule="auto"/>
      <w:ind w:firstLine="200" w:firstLineChars="200"/>
    </w:pPr>
    <w:rPr>
      <w:rFonts w:eastAsia="楷体_GB2312" w:cs="Lucida Sans"/>
      <w:sz w:val="24"/>
    </w:rPr>
  </w:style>
  <w:style w:type="paragraph" w:customStyle="1" w:styleId="81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15">
    <w:name w:val="xl103"/>
    <w:basedOn w:val="1"/>
    <w:qFormat/>
    <w:uiPriority w:val="0"/>
    <w:pPr>
      <w:widowControl/>
      <w:pBdr>
        <w:top w:val="single" w:color="auto" w:sz="12" w:space="0"/>
        <w:left w:val="single" w:color="auto" w:sz="4" w:space="0"/>
        <w:bottom w:val="single" w:color="auto" w:sz="4"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81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1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18">
    <w:name w:val="xl105"/>
    <w:basedOn w:val="1"/>
    <w:qFormat/>
    <w:uiPriority w:val="0"/>
    <w:pPr>
      <w:widowControl/>
      <w:pBdr>
        <w:top w:val="single" w:color="auto" w:sz="4" w:space="0"/>
        <w:left w:val="single" w:color="auto" w:sz="12"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81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20">
    <w:name w:val="Char Char Char1 Char2"/>
    <w:basedOn w:val="1"/>
    <w:qFormat/>
    <w:uiPriority w:val="0"/>
    <w:rPr>
      <w:szCs w:val="20"/>
    </w:rPr>
  </w:style>
  <w:style w:type="paragraph" w:customStyle="1" w:styleId="82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adjustRightInd/>
      <w:spacing w:before="100" w:beforeAutospacing="1" w:after="100" w:afterAutospacing="1"/>
      <w:jc w:val="left"/>
    </w:pPr>
    <w:rPr>
      <w:rFonts w:ascii="仿宋" w:hAnsi="仿宋" w:eastAsia="仿宋" w:cs="宋体"/>
      <w:kern w:val="0"/>
      <w:sz w:val="24"/>
    </w:rPr>
  </w:style>
  <w:style w:type="paragraph" w:customStyle="1" w:styleId="822">
    <w:name w:val="文档正文"/>
    <w:basedOn w:val="1"/>
    <w:qFormat/>
    <w:uiPriority w:val="0"/>
    <w:pPr>
      <w:spacing w:line="480" w:lineRule="atLeast"/>
      <w:ind w:firstLine="567"/>
      <w:textAlignment w:val="baseline"/>
    </w:pPr>
    <w:rPr>
      <w:kern w:val="0"/>
      <w:sz w:val="24"/>
      <w:szCs w:val="20"/>
    </w:rPr>
  </w:style>
  <w:style w:type="paragraph" w:customStyle="1" w:styleId="823">
    <w:name w:val="Char Char Char Char Char Char Char Char Char Char Char Char1 Char2"/>
    <w:basedOn w:val="1"/>
    <w:qFormat/>
    <w:uiPriority w:val="0"/>
    <w:rPr>
      <w:rFonts w:ascii="Tahoma" w:hAnsi="Tahoma" w:cs="仿宋_GB2312"/>
      <w:sz w:val="24"/>
      <w:szCs w:val="20"/>
    </w:rPr>
  </w:style>
  <w:style w:type="paragraph" w:customStyle="1" w:styleId="8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5">
    <w:name w:val="xl11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27">
    <w:name w:val="默认段落字体 Para Char Char Char1 Char"/>
    <w:basedOn w:val="1"/>
    <w:qFormat/>
    <w:uiPriority w:val="0"/>
    <w:pPr>
      <w:spacing w:line="240" w:lineRule="atLeast"/>
      <w:ind w:left="420" w:firstLine="420"/>
    </w:pPr>
    <w:rPr>
      <w:sz w:val="24"/>
    </w:rPr>
  </w:style>
  <w:style w:type="paragraph" w:customStyle="1" w:styleId="82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29">
    <w:name w:val="Test2"/>
    <w:basedOn w:val="3"/>
    <w:qFormat/>
    <w:uiPriority w:val="0"/>
    <w:pPr>
      <w:widowControl/>
      <w:adjustRightInd w:val="0"/>
      <w:snapToGrid w:val="0"/>
      <w:spacing w:before="360" w:after="360" w:line="240" w:lineRule="atLeast"/>
    </w:pPr>
    <w:rPr>
      <w:rFonts w:ascii="宋体" w:hAnsi="Arial" w:eastAsia="宋体"/>
      <w:snapToGrid w:val="0"/>
      <w:sz w:val="28"/>
      <w:lang w:val="en-US"/>
    </w:rPr>
  </w:style>
  <w:style w:type="paragraph" w:customStyle="1" w:styleId="830">
    <w:name w:val="彩色列表 - 强调文字颜色 12"/>
    <w:basedOn w:val="1"/>
    <w:qFormat/>
    <w:uiPriority w:val="0"/>
    <w:pPr>
      <w:adjustRightInd/>
      <w:ind w:firstLine="420" w:firstLineChars="200"/>
    </w:pPr>
    <w:rPr>
      <w:rFonts w:ascii="Calibri" w:hAnsi="Calibri"/>
      <w:szCs w:val="22"/>
    </w:rPr>
  </w:style>
  <w:style w:type="paragraph" w:customStyle="1" w:styleId="83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832">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83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3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6">
    <w:name w:val="xl101"/>
    <w:basedOn w:val="1"/>
    <w:qFormat/>
    <w:uiPriority w:val="0"/>
    <w:pPr>
      <w:widowControl/>
      <w:pBdr>
        <w:top w:val="single" w:color="auto" w:sz="12"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b/>
      <w:bCs/>
      <w:kern w:val="0"/>
      <w:sz w:val="32"/>
      <w:szCs w:val="32"/>
    </w:rPr>
  </w:style>
  <w:style w:type="paragraph" w:customStyle="1" w:styleId="8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8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39">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840">
    <w:name w:val="正文21"/>
    <w:basedOn w:val="1"/>
    <w:qFormat/>
    <w:uiPriority w:val="0"/>
    <w:pPr>
      <w:adjustRightInd/>
      <w:spacing w:before="156" w:line="360" w:lineRule="auto"/>
      <w:ind w:firstLine="510" w:firstLineChars="200"/>
    </w:pPr>
    <w:rPr>
      <w:sz w:val="24"/>
      <w:szCs w:val="20"/>
    </w:rPr>
  </w:style>
  <w:style w:type="paragraph" w:customStyle="1" w:styleId="841">
    <w:name w:val="xl102"/>
    <w:basedOn w:val="1"/>
    <w:qFormat/>
    <w:uiPriority w:val="0"/>
    <w:pPr>
      <w:widowControl/>
      <w:pBdr>
        <w:top w:val="single" w:color="auto" w:sz="12"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84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8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844">
    <w:name w:val="xl109"/>
    <w:basedOn w:val="1"/>
    <w:qFormat/>
    <w:uiPriority w:val="0"/>
    <w:pPr>
      <w:widowControl/>
      <w:pBdr>
        <w:top w:val="single" w:color="auto" w:sz="4" w:space="0"/>
        <w:left w:val="single" w:color="auto" w:sz="12"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84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表格"/>
    <w:basedOn w:val="1"/>
    <w:qFormat/>
    <w:uiPriority w:val="0"/>
    <w:pPr>
      <w:snapToGrid w:val="0"/>
      <w:ind w:firstLine="42" w:firstLineChars="21"/>
    </w:pPr>
    <w:rPr>
      <w:rFonts w:ascii="宋体" w:hAnsi="宋体"/>
      <w:kern w:val="0"/>
      <w:sz w:val="20"/>
      <w:szCs w:val="20"/>
    </w:rPr>
  </w:style>
  <w:style w:type="paragraph" w:customStyle="1" w:styleId="847">
    <w:name w:val="样式7"/>
    <w:basedOn w:val="504"/>
    <w:next w:val="1"/>
    <w:qFormat/>
    <w:uiPriority w:val="0"/>
    <w:pPr>
      <w:spacing w:afterLines="50"/>
      <w:jc w:val="left"/>
      <w:outlineLvl w:val="3"/>
    </w:pPr>
    <w:rPr>
      <w:sz w:val="24"/>
      <w:szCs w:val="24"/>
    </w:rPr>
  </w:style>
  <w:style w:type="paragraph" w:customStyle="1" w:styleId="8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49">
    <w:name w:val="Char1 Char Char Char4"/>
    <w:basedOn w:val="1"/>
    <w:qFormat/>
    <w:uiPriority w:val="0"/>
    <w:pPr>
      <w:adjustRightInd/>
      <w:ind w:firstLine="200" w:firstLineChars="200"/>
    </w:pPr>
    <w:rPr>
      <w:rFonts w:ascii="Tahoma" w:hAnsi="Tahoma"/>
      <w:sz w:val="24"/>
      <w:szCs w:val="20"/>
    </w:rPr>
  </w:style>
  <w:style w:type="paragraph" w:customStyle="1" w:styleId="850">
    <w:name w:val="修订2"/>
    <w:qFormat/>
    <w:uiPriority w:val="0"/>
    <w:rPr>
      <w:rFonts w:ascii="Times New Roman" w:hAnsi="Times New Roman" w:eastAsia="宋体" w:cs="Times New Roman"/>
      <w:kern w:val="2"/>
      <w:sz w:val="21"/>
      <w:lang w:val="en-US" w:eastAsia="zh-CN" w:bidi="ar-SA"/>
    </w:rPr>
  </w:style>
  <w:style w:type="paragraph" w:customStyle="1" w:styleId="851">
    <w:name w:val="文章标题"/>
    <w:next w:val="64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852">
    <w:name w:val="五级条标题"/>
    <w:basedOn w:val="791"/>
    <w:next w:val="567"/>
    <w:qFormat/>
    <w:uiPriority w:val="0"/>
    <w:pPr>
      <w:tabs>
        <w:tab w:val="left" w:pos="3360"/>
        <w:tab w:val="clear" w:pos="2940"/>
      </w:tabs>
      <w:ind w:left="3360"/>
      <w:outlineLvl w:val="6"/>
    </w:pPr>
  </w:style>
  <w:style w:type="paragraph" w:customStyle="1" w:styleId="853">
    <w:name w:val="Char Char11 Char Char Char Char Char Char Char Char Char1"/>
    <w:basedOn w:val="1"/>
    <w:qFormat/>
    <w:uiPriority w:val="6"/>
    <w:pPr>
      <w:spacing w:line="360" w:lineRule="auto"/>
    </w:pPr>
    <w:rPr>
      <w:szCs w:val="20"/>
    </w:rPr>
  </w:style>
  <w:style w:type="paragraph" w:customStyle="1" w:styleId="854">
    <w:name w:val="索引 11"/>
    <w:basedOn w:val="1"/>
    <w:next w:val="1"/>
    <w:qFormat/>
    <w:uiPriority w:val="99"/>
    <w:pPr>
      <w:adjustRightInd/>
      <w:spacing w:line="360" w:lineRule="auto"/>
    </w:pPr>
    <w:rPr>
      <w:rFonts w:ascii="仿宋_GB2312" w:eastAsia="仿宋_GB2312"/>
      <w:sz w:val="24"/>
      <w:szCs w:val="20"/>
    </w:rPr>
  </w:style>
  <w:style w:type="paragraph" w:customStyle="1" w:styleId="855">
    <w:name w:val="xl11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7">
    <w:name w:val="xl104"/>
    <w:basedOn w:val="1"/>
    <w:qFormat/>
    <w:uiPriority w:val="0"/>
    <w:pPr>
      <w:widowControl/>
      <w:pBdr>
        <w:top w:val="single" w:color="auto" w:sz="12" w:space="0"/>
        <w:left w:val="single" w:color="auto" w:sz="4" w:space="0"/>
        <w:bottom w:val="single" w:color="auto" w:sz="4" w:space="0"/>
        <w:right w:val="single" w:color="auto" w:sz="12"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85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6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6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2">
    <w:name w:val="单元格居中"/>
    <w:basedOn w:val="1"/>
    <w:qFormat/>
    <w:uiPriority w:val="0"/>
    <w:pPr>
      <w:adjustRightInd/>
      <w:spacing w:line="360" w:lineRule="auto"/>
      <w:jc w:val="center"/>
    </w:pPr>
    <w:rPr>
      <w:sz w:val="24"/>
    </w:rPr>
  </w:style>
  <w:style w:type="paragraph" w:customStyle="1" w:styleId="86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19"/>
    <w:basedOn w:val="1"/>
    <w:qFormat/>
    <w:uiPriority w:val="0"/>
    <w:pPr>
      <w:adjustRightInd/>
    </w:pPr>
    <w:rPr>
      <w:szCs w:val="20"/>
    </w:rPr>
  </w:style>
  <w:style w:type="paragraph" w:customStyle="1" w:styleId="8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68">
    <w:name w:val="Char Char Char Char Char Char Char"/>
    <w:basedOn w:val="1"/>
    <w:qFormat/>
    <w:uiPriority w:val="0"/>
    <w:rPr>
      <w:rFonts w:ascii="仿宋_GB2312" w:eastAsia="仿宋_GB2312"/>
      <w:b/>
      <w:sz w:val="32"/>
      <w:szCs w:val="32"/>
    </w:rPr>
  </w:style>
  <w:style w:type="paragraph" w:customStyle="1" w:styleId="8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7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72">
    <w:name w:val="Char2 Char Char Char"/>
    <w:basedOn w:val="1"/>
    <w:qFormat/>
    <w:uiPriority w:val="0"/>
    <w:rPr>
      <w:rFonts w:ascii="仿宋_GB2312" w:eastAsia="仿宋_GB2312"/>
      <w:b/>
      <w:sz w:val="32"/>
      <w:szCs w:val="32"/>
    </w:rPr>
  </w:style>
  <w:style w:type="paragraph" w:customStyle="1" w:styleId="873">
    <w:name w:val="样式 正文文本缩进 + 段前: 2 字符"/>
    <w:basedOn w:val="1"/>
    <w:qFormat/>
    <w:uiPriority w:val="0"/>
    <w:pPr>
      <w:adjustRightInd/>
      <w:ind w:left="420" w:leftChars="200"/>
      <w:jc w:val="left"/>
    </w:pPr>
    <w:rPr>
      <w:sz w:val="28"/>
      <w:szCs w:val="20"/>
      <w:lang w:eastAsia="zh-TW"/>
    </w:rPr>
  </w:style>
  <w:style w:type="paragraph" w:customStyle="1" w:styleId="87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7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876">
    <w:name w:val="数字标题5"/>
    <w:basedOn w:val="6"/>
    <w:next w:val="1"/>
    <w:qFormat/>
    <w:uiPriority w:val="0"/>
    <w:pPr>
      <w:tabs>
        <w:tab w:val="left" w:pos="1080"/>
        <w:tab w:val="clear" w:pos="1008"/>
      </w:tabs>
      <w:ind w:left="1080" w:hanging="1080"/>
    </w:pPr>
  </w:style>
  <w:style w:type="paragraph" w:customStyle="1" w:styleId="877">
    <w:name w:val="Char Char1 Char Char1 Char Char1"/>
    <w:basedOn w:val="1"/>
    <w:qFormat/>
    <w:uiPriority w:val="0"/>
    <w:pPr>
      <w:tabs>
        <w:tab w:val="left" w:pos="840"/>
      </w:tabs>
      <w:ind w:left="840" w:hanging="420"/>
    </w:pPr>
    <w:rPr>
      <w:rFonts w:ascii="Tahoma" w:hAnsi="Tahoma"/>
      <w:sz w:val="24"/>
    </w:rPr>
  </w:style>
  <w:style w:type="paragraph" w:customStyle="1" w:styleId="878">
    <w:name w:val="五级无标题条"/>
    <w:basedOn w:val="1"/>
    <w:qFormat/>
    <w:uiPriority w:val="0"/>
    <w:pPr>
      <w:adjustRightInd/>
    </w:pPr>
  </w:style>
  <w:style w:type="paragraph" w:customStyle="1" w:styleId="87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80">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8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88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8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8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8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szCs w:val="20"/>
      <w:lang w:val="en-US"/>
    </w:rPr>
  </w:style>
  <w:style w:type="paragraph" w:customStyle="1" w:styleId="889">
    <w:name w:val="Char1 Char Char Char5"/>
    <w:basedOn w:val="1"/>
    <w:qFormat/>
    <w:uiPriority w:val="0"/>
    <w:pPr>
      <w:adjustRightInd/>
      <w:ind w:firstLine="200" w:firstLineChars="200"/>
    </w:pPr>
    <w:rPr>
      <w:rFonts w:ascii="Tahoma" w:hAnsi="Tahoma"/>
      <w:sz w:val="24"/>
      <w:szCs w:val="20"/>
    </w:rPr>
  </w:style>
  <w:style w:type="paragraph" w:customStyle="1" w:styleId="89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9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数字标题3"/>
    <w:basedOn w:val="4"/>
    <w:next w:val="1"/>
    <w:qFormat/>
    <w:uiPriority w:val="0"/>
    <w:pPr>
      <w:spacing w:line="240" w:lineRule="auto"/>
    </w:pPr>
    <w:rPr>
      <w:sz w:val="28"/>
      <w:szCs w:val="28"/>
    </w:rPr>
  </w:style>
  <w:style w:type="paragraph" w:customStyle="1" w:styleId="894">
    <w:name w:val="Char24"/>
    <w:basedOn w:val="1"/>
    <w:qFormat/>
    <w:uiPriority w:val="0"/>
    <w:rPr>
      <w:rFonts w:ascii="仿宋_GB2312" w:eastAsia="仿宋_GB2312"/>
      <w:b/>
      <w:sz w:val="32"/>
      <w:szCs w:val="32"/>
    </w:rPr>
  </w:style>
  <w:style w:type="paragraph" w:customStyle="1" w:styleId="895">
    <w:name w:val="单元格左对齐"/>
    <w:basedOn w:val="1"/>
    <w:qFormat/>
    <w:uiPriority w:val="0"/>
    <w:pPr>
      <w:adjustRightInd/>
      <w:spacing w:line="360" w:lineRule="auto"/>
    </w:pPr>
    <w:rPr>
      <w:sz w:val="24"/>
    </w:rPr>
  </w:style>
  <w:style w:type="paragraph" w:customStyle="1" w:styleId="896">
    <w:name w:val="批注框文本 Char Char"/>
    <w:basedOn w:val="1"/>
    <w:qFormat/>
    <w:uiPriority w:val="0"/>
    <w:pPr>
      <w:adjustRightInd/>
    </w:pPr>
    <w:rPr>
      <w:sz w:val="18"/>
      <w:szCs w:val="20"/>
    </w:rPr>
  </w:style>
  <w:style w:type="paragraph" w:customStyle="1" w:styleId="89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89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0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rPr>
  </w:style>
  <w:style w:type="paragraph" w:customStyle="1" w:styleId="9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903">
    <w:name w:val="表格标题2"/>
    <w:basedOn w:val="785"/>
    <w:qFormat/>
    <w:uiPriority w:val="0"/>
    <w:rPr>
      <w:b/>
    </w:rPr>
  </w:style>
  <w:style w:type="paragraph" w:customStyle="1" w:styleId="9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905">
    <w:name w:val="Char Char Char Char Char Char Char Char Char Char2"/>
    <w:basedOn w:val="1"/>
    <w:qFormat/>
    <w:uiPriority w:val="0"/>
    <w:rPr>
      <w:rFonts w:ascii="仿宋_GB2312" w:eastAsia="仿宋_GB2312"/>
      <w:b/>
      <w:sz w:val="32"/>
      <w:szCs w:val="32"/>
    </w:rPr>
  </w:style>
  <w:style w:type="paragraph" w:customStyle="1" w:styleId="9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9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09">
    <w:name w:val="Char Char4 Char Char"/>
    <w:basedOn w:val="1"/>
    <w:qFormat/>
    <w:uiPriority w:val="0"/>
    <w:pPr>
      <w:widowControl/>
      <w:adjustRightInd/>
      <w:spacing w:after="160" w:line="240" w:lineRule="exact"/>
      <w:jc w:val="left"/>
    </w:pPr>
  </w:style>
  <w:style w:type="paragraph" w:customStyle="1" w:styleId="9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11">
    <w:name w:val="Char Char1 Char Char Char Char Char Char2"/>
    <w:basedOn w:val="1"/>
    <w:qFormat/>
    <w:uiPriority w:val="0"/>
    <w:rPr>
      <w:rFonts w:ascii="仿宋_GB2312" w:eastAsia="仿宋_GB2312"/>
      <w:b/>
      <w:sz w:val="32"/>
      <w:szCs w:val="20"/>
    </w:rPr>
  </w:style>
  <w:style w:type="paragraph" w:customStyle="1" w:styleId="912">
    <w:name w:val="Char Char11 Char Char Char2"/>
    <w:basedOn w:val="1"/>
    <w:qFormat/>
    <w:uiPriority w:val="0"/>
    <w:pPr>
      <w:spacing w:line="360" w:lineRule="auto"/>
    </w:pPr>
    <w:rPr>
      <w:szCs w:val="20"/>
    </w:rPr>
  </w:style>
  <w:style w:type="paragraph" w:customStyle="1" w:styleId="9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20">
    <w:name w:val="Char311"/>
    <w:basedOn w:val="1"/>
    <w:qFormat/>
    <w:uiPriority w:val="0"/>
    <w:pPr>
      <w:adjustRightInd/>
      <w:ind w:firstLine="200" w:firstLineChars="200"/>
    </w:pPr>
    <w:rPr>
      <w:rFonts w:ascii="Tahoma" w:hAnsi="Tahoma"/>
      <w:sz w:val="24"/>
      <w:szCs w:val="20"/>
    </w:rPr>
  </w:style>
  <w:style w:type="paragraph" w:customStyle="1" w:styleId="9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9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23">
    <w:name w:val="正文 内标"/>
    <w:basedOn w:val="534"/>
    <w:qFormat/>
    <w:uiPriority w:val="0"/>
    <w:pPr>
      <w:tabs>
        <w:tab w:val="left" w:pos="0"/>
      </w:tabs>
      <w:ind w:left="900" w:firstLine="0" w:firstLineChars="0"/>
    </w:pPr>
  </w:style>
  <w:style w:type="paragraph" w:customStyle="1" w:styleId="924">
    <w:name w:val="Bulleted List"/>
    <w:basedOn w:val="1"/>
    <w:qFormat/>
    <w:uiPriority w:val="0"/>
    <w:pPr>
      <w:tabs>
        <w:tab w:val="left" w:pos="1260"/>
      </w:tabs>
      <w:adjustRightInd/>
      <w:ind w:left="1260" w:hanging="420"/>
    </w:pPr>
  </w:style>
  <w:style w:type="paragraph" w:customStyle="1" w:styleId="925">
    <w:name w:val="样式 左侧:  0.85 厘米"/>
    <w:basedOn w:val="1"/>
    <w:qFormat/>
    <w:uiPriority w:val="2"/>
    <w:pPr>
      <w:adjustRightInd/>
      <w:spacing w:line="360" w:lineRule="auto"/>
    </w:pPr>
    <w:rPr>
      <w:rFonts w:cs="宋体"/>
      <w:sz w:val="24"/>
      <w:szCs w:val="20"/>
    </w:rPr>
  </w:style>
  <w:style w:type="paragraph" w:customStyle="1" w:styleId="9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2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3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3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3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3">
    <w:name w:val="Char31"/>
    <w:basedOn w:val="1"/>
    <w:qFormat/>
    <w:uiPriority w:val="0"/>
    <w:pPr>
      <w:adjustRightInd/>
    </w:pPr>
    <w:rPr>
      <w:rFonts w:ascii="仿宋_GB2312" w:eastAsia="仿宋_GB2312"/>
      <w:b/>
      <w:sz w:val="32"/>
      <w:szCs w:val="32"/>
    </w:rPr>
  </w:style>
  <w:style w:type="paragraph" w:customStyle="1" w:styleId="93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93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7">
    <w:name w:val="Char Char1"/>
    <w:basedOn w:val="1"/>
    <w:qFormat/>
    <w:uiPriority w:val="0"/>
    <w:pPr>
      <w:widowControl/>
      <w:spacing w:after="160" w:line="240" w:lineRule="exact"/>
      <w:jc w:val="left"/>
    </w:pPr>
    <w:rPr>
      <w:rFonts w:eastAsia="仿宋_GB2312"/>
      <w:sz w:val="28"/>
    </w:rPr>
  </w:style>
  <w:style w:type="paragraph" w:customStyle="1" w:styleId="938">
    <w:name w:val="Char21"/>
    <w:basedOn w:val="1"/>
    <w:qFormat/>
    <w:uiPriority w:val="0"/>
    <w:pPr>
      <w:adjustRightInd/>
      <w:ind w:firstLine="200" w:firstLineChars="200"/>
    </w:pPr>
    <w:rPr>
      <w:rFonts w:ascii="仿宋_GB2312" w:eastAsia="仿宋_GB2312"/>
      <w:b/>
      <w:sz w:val="32"/>
      <w:szCs w:val="32"/>
    </w:rPr>
  </w:style>
  <w:style w:type="paragraph" w:customStyle="1" w:styleId="939">
    <w:name w:val="列表段落1"/>
    <w:basedOn w:val="1"/>
    <w:qFormat/>
    <w:uiPriority w:val="34"/>
    <w:pPr>
      <w:adjustRightInd/>
      <w:ind w:right="238" w:firstLine="420"/>
    </w:pPr>
    <w:rPr>
      <w:rFonts w:ascii="Calibri" w:hAnsi="Calibri"/>
      <w:sz w:val="24"/>
    </w:rPr>
  </w:style>
  <w:style w:type="paragraph" w:customStyle="1" w:styleId="94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44">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94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4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4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4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49">
    <w:name w:val="Char1 Char Char Char3"/>
    <w:basedOn w:val="1"/>
    <w:qFormat/>
    <w:uiPriority w:val="0"/>
    <w:pPr>
      <w:adjustRightInd/>
      <w:ind w:firstLine="200" w:firstLineChars="200"/>
    </w:pPr>
    <w:rPr>
      <w:rFonts w:ascii="Tahoma" w:hAnsi="Tahoma"/>
      <w:sz w:val="24"/>
      <w:szCs w:val="20"/>
    </w:rPr>
  </w:style>
  <w:style w:type="paragraph" w:customStyle="1" w:styleId="950">
    <w:name w:val="MM Empty"/>
    <w:basedOn w:val="1"/>
    <w:qFormat/>
    <w:uiPriority w:val="0"/>
    <w:pPr>
      <w:adjustRightInd/>
    </w:pPr>
  </w:style>
  <w:style w:type="paragraph" w:customStyle="1" w:styleId="95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5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53">
    <w:name w:val="_Style 1"/>
    <w:basedOn w:val="1"/>
    <w:qFormat/>
    <w:uiPriority w:val="34"/>
    <w:pPr>
      <w:adjustRightInd/>
      <w:ind w:firstLine="420" w:firstLineChars="200"/>
    </w:pPr>
    <w:rPr>
      <w:rFonts w:eastAsia="仿宋_GB2312"/>
      <w:sz w:val="28"/>
    </w:rPr>
  </w:style>
  <w:style w:type="paragraph" w:customStyle="1" w:styleId="954">
    <w:name w:val="表格 内容"/>
    <w:basedOn w:val="471"/>
    <w:qFormat/>
    <w:uiPriority w:val="0"/>
    <w:rPr>
      <w:b w:val="0"/>
      <w:sz w:val="20"/>
    </w:rPr>
  </w:style>
  <w:style w:type="paragraph" w:customStyle="1" w:styleId="95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1">
    <w:name w:val="Char Char112"/>
    <w:basedOn w:val="1"/>
    <w:qFormat/>
    <w:uiPriority w:val="6"/>
    <w:pPr>
      <w:widowControl/>
      <w:spacing w:after="160" w:line="240" w:lineRule="exact"/>
      <w:jc w:val="left"/>
    </w:pPr>
    <w:rPr>
      <w:rFonts w:eastAsia="仿宋_GB2312"/>
      <w:sz w:val="28"/>
    </w:rPr>
  </w:style>
  <w:style w:type="paragraph" w:customStyle="1" w:styleId="962">
    <w:name w:val="正文 图"/>
    <w:basedOn w:val="595"/>
    <w:qFormat/>
    <w:uiPriority w:val="0"/>
    <w:pPr>
      <w:adjustRightInd/>
      <w:spacing w:before="0"/>
      <w:ind w:firstLine="0"/>
      <w:jc w:val="center"/>
    </w:pPr>
    <w:rPr>
      <w:rFonts w:ascii="微软雅黑" w:hAnsi="微软雅黑"/>
    </w:rPr>
  </w:style>
  <w:style w:type="paragraph" w:customStyle="1" w:styleId="96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5">
    <w:name w:val="Thf"/>
    <w:basedOn w:val="717"/>
    <w:qFormat/>
    <w:uiPriority w:val="0"/>
    <w:pPr>
      <w:ind w:left="0"/>
    </w:pPr>
  </w:style>
  <w:style w:type="paragraph" w:customStyle="1" w:styleId="96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8">
    <w:name w:val="注释"/>
    <w:basedOn w:val="1"/>
    <w:qFormat/>
    <w:uiPriority w:val="0"/>
    <w:pPr>
      <w:adjustRightInd/>
      <w:spacing w:line="360" w:lineRule="auto"/>
      <w:ind w:firstLine="480"/>
    </w:pPr>
    <w:rPr>
      <w:sz w:val="24"/>
    </w:rPr>
  </w:style>
  <w:style w:type="paragraph" w:customStyle="1" w:styleId="969">
    <w:name w:val="列出段落111"/>
    <w:basedOn w:val="1"/>
    <w:qFormat/>
    <w:uiPriority w:val="34"/>
    <w:pPr>
      <w:ind w:firstLine="420" w:firstLineChars="200"/>
    </w:pPr>
  </w:style>
  <w:style w:type="paragraph" w:customStyle="1" w:styleId="970">
    <w:name w:val="_Style 947"/>
    <w:basedOn w:val="1"/>
    <w:next w:val="143"/>
    <w:qFormat/>
    <w:uiPriority w:val="34"/>
    <w:pPr>
      <w:adjustRightInd/>
      <w:ind w:firstLine="420" w:firstLineChars="200"/>
    </w:pPr>
  </w:style>
  <w:style w:type="paragraph" w:customStyle="1" w:styleId="9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2">
    <w:name w:val="纯文本2"/>
    <w:basedOn w:val="1"/>
    <w:qFormat/>
    <w:uiPriority w:val="0"/>
    <w:pPr>
      <w:adjustRightInd/>
      <w:snapToGrid w:val="0"/>
      <w:jc w:val="left"/>
    </w:pPr>
    <w:rPr>
      <w:rFonts w:ascii="Century Gothic" w:hAnsi="楷体_GB2312" w:eastAsia="Century Gothic"/>
      <w:szCs w:val="20"/>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0"/>
    <w:pPr>
      <w:adjustRightInd/>
      <w:jc w:val="left"/>
    </w:pPr>
    <w:rPr>
      <w:rFonts w:ascii="Calibri" w:hAnsi="Calibri"/>
      <w:kern w:val="0"/>
      <w:sz w:val="22"/>
      <w:szCs w:val="22"/>
      <w:lang w:eastAsia="en-US"/>
    </w:rPr>
  </w:style>
  <w:style w:type="paragraph" w:customStyle="1" w:styleId="97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24"/>
    </w:rPr>
  </w:style>
  <w:style w:type="paragraph" w:customStyle="1" w:styleId="9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81">
    <w:name w:val="投标正文"/>
    <w:basedOn w:val="1"/>
    <w:qFormat/>
    <w:uiPriority w:val="0"/>
    <w:pPr>
      <w:spacing w:line="360" w:lineRule="auto"/>
      <w:ind w:firstLine="200" w:firstLineChars="200"/>
    </w:pPr>
    <w:rPr>
      <w:rFonts w:ascii="宋体" w:hAnsi="Calibri"/>
      <w:sz w:val="24"/>
    </w:rPr>
  </w:style>
  <w:style w:type="paragraph" w:customStyle="1" w:styleId="982">
    <w:name w:val="BodyText1I2"/>
    <w:basedOn w:val="983"/>
    <w:qFormat/>
    <w:uiPriority w:val="0"/>
    <w:pPr>
      <w:ind w:firstLine="420"/>
    </w:pPr>
  </w:style>
  <w:style w:type="paragraph" w:customStyle="1" w:styleId="983">
    <w:name w:val="BodyTextIndent"/>
    <w:basedOn w:val="1"/>
    <w:qFormat/>
    <w:uiPriority w:val="0"/>
    <w:pPr>
      <w:spacing w:line="520" w:lineRule="exact"/>
      <w:ind w:left="570"/>
      <w:textAlignment w:val="baseline"/>
    </w:pPr>
    <w:rPr>
      <w:rFonts w:ascii="方正仿宋简体" w:hAnsi="创艺简仿宋" w:eastAsia="方正仿宋简体"/>
      <w:sz w:val="24"/>
    </w:rPr>
  </w:style>
  <w:style w:type="paragraph" w:customStyle="1" w:styleId="984">
    <w:name w:val="xl95"/>
    <w:basedOn w:val="1"/>
    <w:qFormat/>
    <w:uiPriority w:val="0"/>
    <w:pPr>
      <w:widowControl/>
      <w:pBdr>
        <w:top w:val="single" w:color="auto" w:sz="12"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32"/>
      <w:szCs w:val="32"/>
    </w:rPr>
  </w:style>
  <w:style w:type="paragraph" w:customStyle="1" w:styleId="985">
    <w:name w:val="xl9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986">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b/>
      <w:bCs/>
      <w:kern w:val="0"/>
      <w:sz w:val="18"/>
      <w:szCs w:val="18"/>
    </w:rPr>
  </w:style>
  <w:style w:type="paragraph" w:customStyle="1" w:styleId="987">
    <w:name w:val="xl11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988">
    <w:name w:val="xl11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89">
    <w:name w:val="xl114"/>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0">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18"/>
      <w:szCs w:val="18"/>
    </w:rPr>
  </w:style>
  <w:style w:type="paragraph" w:customStyle="1" w:styleId="991">
    <w:name w:val="xl126"/>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992">
    <w:name w:val="xl1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b/>
      <w:bCs/>
      <w:kern w:val="0"/>
      <w:sz w:val="18"/>
      <w:szCs w:val="18"/>
    </w:rPr>
  </w:style>
  <w:style w:type="paragraph" w:customStyle="1" w:styleId="993">
    <w:name w:val="引用1"/>
    <w:basedOn w:val="1"/>
    <w:next w:val="1"/>
    <w:qFormat/>
    <w:uiPriority w:val="29"/>
    <w:rPr>
      <w:i/>
      <w:iCs/>
      <w:color w:val="000000"/>
    </w:rPr>
  </w:style>
  <w:style w:type="table" w:customStyle="1" w:styleId="99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0">
    <w:name w:val="修订4"/>
    <w:hidden/>
    <w:unhideWhenUsed/>
    <w:qFormat/>
    <w:uiPriority w:val="99"/>
    <w:rPr>
      <w:rFonts w:ascii="Times New Roman" w:hAnsi="Times New Roman" w:eastAsia="宋体" w:cs="Times New Roman"/>
      <w:kern w:val="2"/>
      <w:sz w:val="21"/>
      <w:szCs w:val="24"/>
      <w:lang w:val="en-US" w:eastAsia="zh-CN" w:bidi="ar-SA"/>
    </w:rPr>
  </w:style>
  <w:style w:type="paragraph" w:styleId="10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116</Pages>
  <Words>17490</Words>
  <Characters>18762</Characters>
  <Lines>408</Lines>
  <Paragraphs>115</Paragraphs>
  <TotalTime>4</TotalTime>
  <ScaleCrop>false</ScaleCrop>
  <LinksUpToDate>false</LinksUpToDate>
  <CharactersWithSpaces>19390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2023-04-26T13:34:00Z</dcterms:created>
  <dc:creator>玥</dc:creator>
  <cp:lastModifiedBy>飘飞</cp:lastModifiedBy>
  <cp:lastPrinted>2024-12-18T01:21:00Z</cp:lastPrinted>
  <dcterms:modified xsi:type="dcterms:W3CDTF">2024-12-18T07:23:01Z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5EEBCA65D79C4ED699B875A7BC9F3D44_13</vt:lpwstr>
  </property>
</Properties>
</file>